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2BBE" w14:textId="64EED704" w:rsidR="00F27B75" w:rsidRPr="00F27B75" w:rsidRDefault="00F27B75" w:rsidP="00AA258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F27B7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[For </w:t>
      </w:r>
      <w:r w:rsidRPr="00AA258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SUPPLEMENTARY MATERIAL</w:t>
      </w:r>
      <w:r w:rsidRPr="00F27B7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]</w:t>
      </w:r>
    </w:p>
    <w:p w14:paraId="73DB96E0" w14:textId="5058CEAE" w:rsidR="00F27B75" w:rsidRPr="00F27B75" w:rsidRDefault="00F27B75" w:rsidP="00AA258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F27B7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Byzantine plate and Frankish mines: the provenance of silver in north-west European coinage during the Long Eighth Century (</w:t>
      </w:r>
      <w:r w:rsidRPr="00F27B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en-GB"/>
        </w:rPr>
        <w:t>c.</w:t>
      </w:r>
      <w:r w:rsidRPr="00F27B7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660–820)</w:t>
      </w:r>
    </w:p>
    <w:p w14:paraId="4A380D41" w14:textId="3D133BD3" w:rsidR="00F27B75" w:rsidRPr="00F27B75" w:rsidRDefault="00F27B75" w:rsidP="00AA25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27B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Jane Kershaw</w:t>
      </w:r>
      <w:r w:rsidRPr="00F27B75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1,*</w:t>
      </w:r>
      <w:r w:rsidRPr="00F27B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Stephen W. Merkel</w:t>
      </w:r>
      <w:r w:rsidRPr="00F27B75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F27B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Paolo D’Impor</w:t>
      </w:r>
      <w:r w:rsidR="002D2E8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zano</w:t>
      </w:r>
      <w:r w:rsidRPr="00F27B75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2</w:t>
      </w:r>
      <w:r w:rsidRPr="00F27B7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&amp; Rory Naismith</w:t>
      </w:r>
      <w:r w:rsidRPr="00F27B75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3</w:t>
      </w:r>
    </w:p>
    <w:p w14:paraId="63615672" w14:textId="77777777" w:rsidR="00F27B75" w:rsidRPr="00F27B75" w:rsidRDefault="00F27B75" w:rsidP="00AA258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83E3978" w14:textId="77777777" w:rsidR="00F27B75" w:rsidRPr="00F27B75" w:rsidRDefault="00F27B75" w:rsidP="00AA25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B7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F27B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School of Archaeology, University of Oxford, UK</w:t>
      </w:r>
    </w:p>
    <w:p w14:paraId="762F7334" w14:textId="107701C8" w:rsidR="00F27B75" w:rsidRPr="00F27B75" w:rsidRDefault="00F27B75" w:rsidP="00AA25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27B7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 xml:space="preserve">2 </w:t>
      </w:r>
      <w:r w:rsidRPr="00F27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Faculty of Science, Vrije Universiteit Amsterdam, </w:t>
      </w:r>
      <w:r w:rsidR="0020738A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Pr="00F27B75">
        <w:rPr>
          <w:rFonts w:ascii="Times New Roman" w:eastAsia="Times New Roman" w:hAnsi="Times New Roman" w:cs="Times New Roman"/>
          <w:sz w:val="24"/>
          <w:szCs w:val="24"/>
          <w:lang w:val="en-GB"/>
        </w:rPr>
        <w:t>he Netherlands</w:t>
      </w:r>
    </w:p>
    <w:p w14:paraId="15637E17" w14:textId="77777777" w:rsidR="00F27B75" w:rsidRPr="00F27B75" w:rsidRDefault="00F27B75" w:rsidP="00AA25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7B7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3 </w:t>
      </w:r>
      <w:r w:rsidRPr="00F27B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Department of Anglo-Saxon, Norse and Celtic, University of Cambridge, </w:t>
      </w:r>
      <w:r w:rsidRPr="00F27B75">
        <w:rPr>
          <w:rFonts w:ascii="Times New Roman" w:eastAsia="Times New Roman" w:hAnsi="Times New Roman" w:cs="Times New Roman"/>
          <w:sz w:val="24"/>
          <w:szCs w:val="24"/>
          <w:lang w:val="en-GB"/>
        </w:rPr>
        <w:t>UK</w:t>
      </w:r>
    </w:p>
    <w:p w14:paraId="24E8F6EC" w14:textId="77777777" w:rsidR="00F27B75" w:rsidRPr="00F27B75" w:rsidRDefault="00F27B75" w:rsidP="00AA25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AU" w:eastAsia="en-GB"/>
        </w:rPr>
      </w:pPr>
      <w:r w:rsidRPr="00F27B75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  <w:vertAlign w:val="superscript"/>
          <w:lang w:val="en-US" w:eastAsia="en-GB"/>
        </w:rPr>
        <w:t>*</w:t>
      </w:r>
      <w:r w:rsidRPr="00F27B75">
        <w:rPr>
          <w:rFonts w:ascii="Times New Roman" w:eastAsia="Times New Roman" w:hAnsi="Times New Roman" w:cs="Times New Roman"/>
          <w:sz w:val="24"/>
          <w:szCs w:val="24"/>
          <w:vertAlign w:val="superscript"/>
          <w:lang w:val="en-AU" w:eastAsia="en-GB"/>
        </w:rPr>
        <w:t xml:space="preserve"> </w:t>
      </w:r>
      <w:r w:rsidRPr="00F27B75">
        <w:rPr>
          <w:rFonts w:ascii="Times New Roman" w:eastAsia="Times New Roman" w:hAnsi="Times New Roman" w:cs="Times New Roman"/>
          <w:sz w:val="24"/>
          <w:szCs w:val="24"/>
          <w:lang w:val="en-AU" w:eastAsia="en-GB"/>
        </w:rPr>
        <w:t xml:space="preserve">Author for correspondence </w:t>
      </w:r>
      <w:r w:rsidRPr="00F27B75">
        <w:rPr>
          <w:rFonts w:ascii="Segoe UI Symbol" w:eastAsia="Arial Unicode MS" w:hAnsi="Segoe UI Symbol" w:cs="Segoe UI Symbol"/>
          <w:sz w:val="24"/>
          <w:szCs w:val="24"/>
          <w:bdr w:val="nil"/>
          <w:lang w:val="en-US" w:eastAsia="en-GB"/>
        </w:rPr>
        <w:t>✉</w:t>
      </w:r>
      <w:r w:rsidRPr="00F27B75">
        <w:rPr>
          <w:rFonts w:ascii="Times New Roman" w:eastAsia="Times New Roman" w:hAnsi="Times New Roman" w:cs="Times New Roman"/>
          <w:sz w:val="24"/>
          <w:szCs w:val="24"/>
          <w:lang w:val="en-AU" w:eastAsia="en-GB"/>
        </w:rPr>
        <w:t xml:space="preserve"> jane.kershaw@arch.ox.ac.uk</w:t>
      </w:r>
    </w:p>
    <w:p w14:paraId="185588EA" w14:textId="77777777" w:rsidR="00F27B75" w:rsidRPr="00F27B75" w:rsidRDefault="00F27B75" w:rsidP="00AA25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  <w:lang w:val="en-US" w:eastAsia="en-GB"/>
        </w:rPr>
      </w:pPr>
      <w:r w:rsidRPr="00F27B75"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  <w:lang w:val="en-US" w:eastAsia="en-GB"/>
        </w:rPr>
        <w:t>Received: 13 March 2023; Revised: 1 June 2023; Accepted: 20 July 2023</w:t>
      </w:r>
    </w:p>
    <w:p w14:paraId="54B57419" w14:textId="2792CCDC" w:rsidR="00322D6E" w:rsidRPr="00AA2582" w:rsidRDefault="00322D6E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215860F" w14:textId="7EAD5591" w:rsidR="00631140" w:rsidRPr="00AA2582" w:rsidRDefault="00631140" w:rsidP="00AA25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AA2582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>ection</w:t>
      </w:r>
      <w:r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</w:t>
      </w:r>
      <w:r w:rsidR="00AA2582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Pb </w:t>
      </w:r>
      <w:r w:rsidR="00AA2582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>isotope reference datasets</w:t>
      </w:r>
    </w:p>
    <w:p w14:paraId="5EC4A592" w14:textId="27426497" w:rsidR="00631140" w:rsidRPr="00AA2582" w:rsidRDefault="00BC7E69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The following selection of </w:t>
      </w:r>
      <w:r w:rsidR="00254F9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ore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reference data is based on the state of research on mining </w:t>
      </w:r>
      <w:r w:rsidR="00254F98" w:rsidRPr="00AA2582">
        <w:rPr>
          <w:rFonts w:ascii="Times New Roman" w:hAnsi="Times New Roman" w:cs="Times New Roman"/>
          <w:sz w:val="24"/>
          <w:szCs w:val="24"/>
          <w:lang w:val="en-GB"/>
        </w:rPr>
        <w:t>in 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ate Antiquity and the early Middle Ages</w:t>
      </w:r>
      <w:r w:rsidR="0076489C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254F9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significantly more analyses of ore from a wider geographic framework were also consulted. </w:t>
      </w:r>
      <w:r w:rsidR="00721488" w:rsidRPr="00AA2582">
        <w:rPr>
          <w:rFonts w:ascii="Times New Roman" w:hAnsi="Times New Roman" w:cs="Times New Roman"/>
          <w:sz w:val="24"/>
          <w:szCs w:val="24"/>
          <w:lang w:val="en-GB"/>
        </w:rPr>
        <w:t>During reference data</w:t>
      </w:r>
      <w:r w:rsidR="00254F9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selection, we chose to focus on ore deposits known or </w:t>
      </w:r>
      <w:r w:rsidR="00721488" w:rsidRPr="00AA2582">
        <w:rPr>
          <w:rFonts w:ascii="Times New Roman" w:hAnsi="Times New Roman" w:cs="Times New Roman"/>
          <w:sz w:val="24"/>
          <w:szCs w:val="24"/>
          <w:lang w:val="en-GB"/>
        </w:rPr>
        <w:t>suspected</w:t>
      </w:r>
      <w:r w:rsidR="00254F9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to have produced silver in </w:t>
      </w:r>
      <w:r w:rsidR="0072148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Late Antiquity and </w:t>
      </w:r>
      <w:r w:rsidR="00254F98" w:rsidRPr="00AA2582">
        <w:rPr>
          <w:rFonts w:ascii="Times New Roman" w:hAnsi="Times New Roman" w:cs="Times New Roman"/>
          <w:sz w:val="24"/>
          <w:szCs w:val="24"/>
          <w:lang w:val="en-GB"/>
        </w:rPr>
        <w:t>Middle Ages</w:t>
      </w:r>
      <w:r w:rsidR="0076489C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2148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located </w:t>
      </w:r>
      <w:r w:rsidR="00254F9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within the </w:t>
      </w:r>
      <w:r w:rsidR="0072148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political boundaries of the kingdoms producing the </w:t>
      </w:r>
      <w:r w:rsidR="004A25A6">
        <w:rPr>
          <w:rFonts w:ascii="Times New Roman" w:hAnsi="Times New Roman" w:cs="Times New Roman"/>
          <w:sz w:val="24"/>
          <w:szCs w:val="24"/>
          <w:lang w:val="en-GB"/>
        </w:rPr>
        <w:t>relevant coins</w:t>
      </w:r>
      <w:r w:rsidR="0072148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This, however, could not explain the Pb-isotope ratios found in the </w:t>
      </w:r>
      <w:r w:rsidR="002D2E85" w:rsidRPr="00AA2582">
        <w:rPr>
          <w:rFonts w:ascii="Times New Roman" w:hAnsi="Times New Roman" w:cs="Times New Roman"/>
          <w:sz w:val="24"/>
          <w:szCs w:val="24"/>
          <w:lang w:val="en-GB"/>
        </w:rPr>
        <w:t>earl</w:t>
      </w:r>
      <w:r w:rsidR="002D2E85">
        <w:rPr>
          <w:rFonts w:ascii="Times New Roman" w:hAnsi="Times New Roman" w:cs="Times New Roman"/>
          <w:sz w:val="24"/>
          <w:szCs w:val="24"/>
          <w:lang w:val="en-GB"/>
        </w:rPr>
        <w:t>y coin group</w:t>
      </w:r>
      <w:r w:rsidR="0072148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, so </w:t>
      </w:r>
      <w:r w:rsidR="00F641D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2D2E85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="00F641D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made use of </w:t>
      </w:r>
      <w:r w:rsidR="00721488" w:rsidRPr="00AA2582">
        <w:rPr>
          <w:rFonts w:ascii="Times New Roman" w:hAnsi="Times New Roman" w:cs="Times New Roman"/>
          <w:sz w:val="24"/>
          <w:szCs w:val="24"/>
          <w:lang w:val="en-GB"/>
        </w:rPr>
        <w:t>reference data from earlier Roman and Byzantine metalwork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6489C" w:rsidRPr="00AA2582">
        <w:rPr>
          <w:rFonts w:ascii="Times New Roman" w:hAnsi="Times New Roman" w:cs="Times New Roman"/>
          <w:sz w:val="24"/>
          <w:szCs w:val="24"/>
          <w:lang w:val="en-GB"/>
        </w:rPr>
        <w:t>Since a</w:t>
      </w:r>
      <w:r w:rsidR="00254F9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nalyses of </w:t>
      </w:r>
      <w:r w:rsidR="002D2E85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F641D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ate </w:t>
      </w:r>
      <w:r w:rsidR="002D2E8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641D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ntique and early medieval </w:t>
      </w:r>
      <w:r w:rsidR="00254F98" w:rsidRPr="00AA2582">
        <w:rPr>
          <w:rFonts w:ascii="Times New Roman" w:hAnsi="Times New Roman" w:cs="Times New Roman"/>
          <w:sz w:val="24"/>
          <w:szCs w:val="24"/>
          <w:lang w:val="en-GB"/>
        </w:rPr>
        <w:t>metalwork</w:t>
      </w:r>
      <w:r w:rsidR="00F641D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are</w:t>
      </w:r>
      <w:r w:rsidR="00254F9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extremely limited, </w:t>
      </w:r>
      <w:r w:rsidR="00F641D0" w:rsidRPr="00AA2582">
        <w:rPr>
          <w:rFonts w:ascii="Times New Roman" w:hAnsi="Times New Roman" w:cs="Times New Roman"/>
          <w:sz w:val="24"/>
          <w:szCs w:val="24"/>
          <w:lang w:val="en-GB"/>
        </w:rPr>
        <w:t>we supplement</w:t>
      </w:r>
      <w:r w:rsidR="0076489C" w:rsidRPr="00AA2582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F641D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East Roman/Byzantine</w:t>
      </w:r>
      <w:r w:rsidR="00254F9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silver analyses</w:t>
      </w:r>
      <w:r w:rsidR="00F641D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with analyses of lead artefacts</w:t>
      </w:r>
      <w:r w:rsidR="00254F98" w:rsidRPr="00AA258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C0ADA11" w14:textId="275CB4CA" w:rsidR="00BC7E69" w:rsidRPr="00AA2582" w:rsidRDefault="00BC7E69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9A63D96" w14:textId="70A0AB80" w:rsidR="00721488" w:rsidRPr="00AA2582" w:rsidRDefault="00680E1B" w:rsidP="00AA258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Merovingian and </w:t>
      </w:r>
      <w:r w:rsidR="0052139C">
        <w:rPr>
          <w:rFonts w:ascii="Times New Roman" w:hAnsi="Times New Roman" w:cs="Times New Roman"/>
          <w:i/>
          <w:iCs/>
          <w:sz w:val="24"/>
          <w:szCs w:val="24"/>
          <w:lang w:val="en-GB"/>
        </w:rPr>
        <w:t>Carolingian</w:t>
      </w:r>
      <w:r w:rsidR="0052139C" w:rsidRPr="00AA258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AA2582" w:rsidRPr="00AA2582">
        <w:rPr>
          <w:rFonts w:ascii="Times New Roman" w:hAnsi="Times New Roman" w:cs="Times New Roman"/>
          <w:i/>
          <w:iCs/>
          <w:sz w:val="24"/>
          <w:szCs w:val="24"/>
          <w:lang w:val="en-GB"/>
        </w:rPr>
        <w:t>coin analyses</w:t>
      </w:r>
    </w:p>
    <w:p w14:paraId="09957C96" w14:textId="360EAA00" w:rsidR="00721488" w:rsidRPr="00AA2582" w:rsidRDefault="00721488" w:rsidP="00AA258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15 Carolingian coins with Melle-type lead isotope ratios, </w:t>
      </w:r>
      <w:r w:rsidR="00AA2582">
        <w:rPr>
          <w:rFonts w:ascii="Times New Roman" w:hAnsi="Times New Roman" w:cs="Times New Roman"/>
          <w:sz w:val="24"/>
          <w:szCs w:val="24"/>
          <w:lang w:val="en-GB"/>
        </w:rPr>
        <w:t>eighth–ninth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centur</w:t>
      </w:r>
      <w:r w:rsidR="004A25A6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AD (Sarah 2008)</w:t>
      </w:r>
    </w:p>
    <w:p w14:paraId="46D938D8" w14:textId="67334EF9" w:rsidR="00721488" w:rsidRPr="00AA2582" w:rsidRDefault="00721488" w:rsidP="00AA258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>Three Carolingian coins of Charlemagne: two monogram</w:t>
      </w:r>
      <w:r w:rsidR="004A25A6">
        <w:rPr>
          <w:rFonts w:ascii="Times New Roman" w:hAnsi="Times New Roman" w:cs="Times New Roman"/>
          <w:sz w:val="24"/>
          <w:szCs w:val="24"/>
          <w:lang w:val="en-GB"/>
        </w:rPr>
        <w:t>-type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from Melle and a late issue (Tèreygeol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2005)</w:t>
      </w:r>
    </w:p>
    <w:p w14:paraId="166692B5" w14:textId="28170629" w:rsidR="00721488" w:rsidRPr="00AA2582" w:rsidRDefault="00721488" w:rsidP="00AA258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Eight Merovingian coins from Paris (Tèreygeol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2005)</w:t>
      </w:r>
    </w:p>
    <w:p w14:paraId="2A907177" w14:textId="77777777" w:rsidR="00BC7E69" w:rsidRPr="00AA2582" w:rsidRDefault="00BC7E69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910ADC1" w14:textId="595B2CCA" w:rsidR="00631140" w:rsidRPr="00AA2582" w:rsidRDefault="00631140" w:rsidP="00AA258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Byzantine </w:t>
      </w:r>
      <w:r w:rsidR="00AA2582" w:rsidRPr="00AA2582">
        <w:rPr>
          <w:rFonts w:ascii="Times New Roman" w:hAnsi="Times New Roman" w:cs="Times New Roman"/>
          <w:i/>
          <w:iCs/>
          <w:sz w:val="24"/>
          <w:szCs w:val="24"/>
          <w:lang w:val="en-GB"/>
        </w:rPr>
        <w:t>silver and lead analyses</w:t>
      </w:r>
    </w:p>
    <w:p w14:paraId="4FE6852D" w14:textId="44DE878D" w:rsidR="00631140" w:rsidRPr="00AA2582" w:rsidRDefault="00631140" w:rsidP="00AA258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15 lead-alloy seals from </w:t>
      </w:r>
      <w:r w:rsidR="00AA2582">
        <w:rPr>
          <w:rFonts w:ascii="Times New Roman" w:hAnsi="Times New Roman" w:cs="Times New Roman"/>
          <w:sz w:val="24"/>
          <w:szCs w:val="24"/>
          <w:lang w:val="en-GB"/>
        </w:rPr>
        <w:t>seventh</w:t>
      </w:r>
      <w:r w:rsidR="004A25A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century AD Syria, Constantinople and Cyprus (Morrisson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1993) (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204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Pb ratios absent)</w:t>
      </w:r>
    </w:p>
    <w:p w14:paraId="598FF4CD" w14:textId="0F64FBD3" w:rsidR="00631140" w:rsidRPr="00AA2582" w:rsidRDefault="00631140" w:rsidP="00AA258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Five lead seals from </w:t>
      </w:r>
      <w:r w:rsidR="00AA2582">
        <w:rPr>
          <w:rFonts w:ascii="Times New Roman" w:hAnsi="Times New Roman" w:cs="Times New Roman"/>
          <w:sz w:val="24"/>
          <w:szCs w:val="24"/>
          <w:lang w:val="en-GB"/>
        </w:rPr>
        <w:t>fourth–sixth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centur</w:t>
      </w:r>
      <w:r w:rsidR="004A25A6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AD</w:t>
      </w:r>
      <w:r w:rsidR="004A25A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Constantinople (Karagiorgou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2021)</w:t>
      </w:r>
    </w:p>
    <w:p w14:paraId="02AF3411" w14:textId="49355A0C" w:rsidR="00631140" w:rsidRPr="00AA2582" w:rsidRDefault="00631140" w:rsidP="00AA258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Six East Roman/Byzantine silver plates from the </w:t>
      </w:r>
      <w:r w:rsidR="00AA2582">
        <w:rPr>
          <w:rFonts w:ascii="Times New Roman" w:hAnsi="Times New Roman" w:cs="Times New Roman"/>
          <w:sz w:val="24"/>
          <w:szCs w:val="24"/>
          <w:lang w:val="en-GB"/>
        </w:rPr>
        <w:t>fourth–s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eventh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centur</w:t>
      </w:r>
      <w:r w:rsidR="004A25A6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AD (Scott 1990)</w:t>
      </w:r>
    </w:p>
    <w:p w14:paraId="166D309E" w14:textId="4824F493" w:rsidR="00631140" w:rsidRPr="00AA2582" w:rsidRDefault="00631140" w:rsidP="00AA258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13 East Roman/Byzantine silver objects from the </w:t>
      </w:r>
      <w:r w:rsidR="00AA2582">
        <w:rPr>
          <w:rFonts w:ascii="Times New Roman" w:hAnsi="Times New Roman" w:cs="Times New Roman"/>
          <w:sz w:val="24"/>
          <w:szCs w:val="24"/>
          <w:lang w:val="en-GB"/>
        </w:rPr>
        <w:t>fifth–seventh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centur</w:t>
      </w:r>
      <w:r w:rsidR="004A25A6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AD (Ströbele 2017); </w:t>
      </w:r>
      <w:r w:rsidR="00AA258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he two objects from Hüfingen, Germany, </w:t>
      </w:r>
      <w:r w:rsidR="00AA2582">
        <w:rPr>
          <w:rFonts w:ascii="Times New Roman" w:hAnsi="Times New Roman" w:cs="Times New Roman"/>
          <w:sz w:val="24"/>
          <w:szCs w:val="24"/>
          <w:lang w:val="en-GB"/>
        </w:rPr>
        <w:t xml:space="preserve">were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excluded</w:t>
      </w:r>
    </w:p>
    <w:p w14:paraId="75EED8F7" w14:textId="770AC8BC" w:rsidR="00631140" w:rsidRPr="00AA2582" w:rsidRDefault="00631140" w:rsidP="00AA258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Seven coins from Laodicea (Turkey) from the end of the 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second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century AD (Ponting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2003)</w:t>
      </w:r>
    </w:p>
    <w:p w14:paraId="7A946939" w14:textId="77777777" w:rsidR="004E01E5" w:rsidRPr="00AA2582" w:rsidRDefault="004E01E5" w:rsidP="00AA25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67067C15" w14:textId="53E4EF5D" w:rsidR="00631140" w:rsidRPr="00AA2582" w:rsidRDefault="00AA2582" w:rsidP="00AA258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West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AA2582">
        <w:rPr>
          <w:rFonts w:ascii="Times New Roman" w:hAnsi="Times New Roman" w:cs="Times New Roman"/>
          <w:i/>
          <w:iCs/>
          <w:sz w:val="24"/>
          <w:szCs w:val="24"/>
          <w:lang w:val="en-GB"/>
        </w:rPr>
        <w:t>oman silver analyses</w:t>
      </w:r>
    </w:p>
    <w:p w14:paraId="7ED3114F" w14:textId="55FD8B47" w:rsidR="00631140" w:rsidRPr="00AA2582" w:rsidRDefault="00631140" w:rsidP="00AA2582">
      <w:pPr>
        <w:pStyle w:val="ListParagraph"/>
        <w:numPr>
          <w:ilvl w:val="0"/>
          <w:numId w:val="11"/>
        </w:numPr>
        <w:spacing w:after="0" w:line="360" w:lineRule="auto"/>
        <w:ind w:left="1068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14 silver objects from the Marengo hoard, Italy, 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second–third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centur</w:t>
      </w:r>
      <w:r w:rsidR="004A25A6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AD (Angelini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2019)</w:t>
      </w:r>
    </w:p>
    <w:p w14:paraId="024C022F" w14:textId="176B8B10" w:rsidR="00631140" w:rsidRPr="00AA2582" w:rsidRDefault="00631140" w:rsidP="00AA2582">
      <w:pPr>
        <w:pStyle w:val="ListParagraph"/>
        <w:numPr>
          <w:ilvl w:val="0"/>
          <w:numId w:val="11"/>
        </w:numPr>
        <w:spacing w:after="0" w:line="360" w:lineRule="auto"/>
        <w:ind w:left="1068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One analysis of </w:t>
      </w:r>
      <w:r w:rsidR="004A25A6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silver coin (</w:t>
      </w:r>
      <w:r w:rsidRPr="00AF7AAA">
        <w:rPr>
          <w:rFonts w:ascii="Times New Roman" w:hAnsi="Times New Roman" w:cs="Times New Roman"/>
          <w:i/>
          <w:iCs/>
          <w:sz w:val="24"/>
          <w:szCs w:val="24"/>
          <w:lang w:val="en-GB"/>
        </w:rPr>
        <w:t>quinarius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), London, AD 296 (Brill 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&amp;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Shields 1972)</w:t>
      </w:r>
    </w:p>
    <w:p w14:paraId="38FC6991" w14:textId="4A478A02" w:rsidR="00631140" w:rsidRPr="00AA2582" w:rsidRDefault="00631140" w:rsidP="00AA2582">
      <w:pPr>
        <w:pStyle w:val="ListParagraph"/>
        <w:numPr>
          <w:ilvl w:val="0"/>
          <w:numId w:val="11"/>
        </w:numPr>
        <w:spacing w:after="0" w:line="360" w:lineRule="auto"/>
        <w:ind w:left="1068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17 Roman silver objects from the Allençon, Graincourt and Berthouville hoards, late 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second–fourth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centur</w:t>
      </w:r>
      <w:r w:rsidR="004A25A6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AD (Baratte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1985)</w:t>
      </w:r>
    </w:p>
    <w:p w14:paraId="466AA4C3" w14:textId="7B429B0E" w:rsidR="00631140" w:rsidRPr="00AA2582" w:rsidRDefault="00631140" w:rsidP="00AA2582">
      <w:pPr>
        <w:pStyle w:val="ListParagraph"/>
        <w:numPr>
          <w:ilvl w:val="0"/>
          <w:numId w:val="11"/>
        </w:numPr>
        <w:spacing w:after="0" w:line="360" w:lineRule="auto"/>
        <w:ind w:left="1068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Two phalera from Grave 1 Gierhalde Hüfingen, Germany, 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sixth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century AD (Ströbele 2017)</w:t>
      </w:r>
    </w:p>
    <w:p w14:paraId="043FA975" w14:textId="3D453E03" w:rsidR="00631140" w:rsidRPr="00AA2582" w:rsidRDefault="00631140" w:rsidP="00AA2582">
      <w:pPr>
        <w:pStyle w:val="ListParagraph"/>
        <w:numPr>
          <w:ilvl w:val="0"/>
          <w:numId w:val="11"/>
        </w:numPr>
        <w:spacing w:after="0" w:line="360" w:lineRule="auto"/>
        <w:ind w:left="1068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Seven denarii from Rome, late 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second–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early 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third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centur</w:t>
      </w:r>
      <w:r w:rsidR="004A25A6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AD (Ponting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2003)</w:t>
      </w:r>
    </w:p>
    <w:p w14:paraId="13A148F3" w14:textId="77777777" w:rsidR="004E01E5" w:rsidRPr="00AA2582" w:rsidRDefault="004E01E5" w:rsidP="00AA2582">
      <w:pPr>
        <w:spacing w:after="0" w:line="360" w:lineRule="auto"/>
        <w:ind w:left="348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29150481" w14:textId="532D28B2" w:rsidR="00631140" w:rsidRPr="00AA2582" w:rsidRDefault="00631140" w:rsidP="00AA258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Western European </w:t>
      </w:r>
      <w:r w:rsidR="00AA2582">
        <w:rPr>
          <w:rFonts w:ascii="Times New Roman" w:hAnsi="Times New Roman" w:cs="Times New Roman"/>
          <w:i/>
          <w:iCs/>
          <w:sz w:val="24"/>
          <w:szCs w:val="24"/>
          <w:lang w:val="en-GB"/>
        </w:rPr>
        <w:t>o</w:t>
      </w:r>
      <w:r w:rsidRPr="00AA258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re </w:t>
      </w:r>
      <w:r w:rsidR="00AA2582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 w:rsidRPr="00AA2582">
        <w:rPr>
          <w:rFonts w:ascii="Times New Roman" w:hAnsi="Times New Roman" w:cs="Times New Roman"/>
          <w:i/>
          <w:iCs/>
          <w:sz w:val="24"/>
          <w:szCs w:val="24"/>
          <w:lang w:val="en-GB"/>
        </w:rPr>
        <w:t>nalyses</w:t>
      </w:r>
    </w:p>
    <w:p w14:paraId="265A8568" w14:textId="197AF768" w:rsidR="00631140" w:rsidRPr="00AA2582" w:rsidRDefault="00631140" w:rsidP="00AA258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British Isles Pb ore (Rohl 1996; Scaife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2001)</w:t>
      </w:r>
    </w:p>
    <w:p w14:paraId="79BCB7A0" w14:textId="1D721FC2" w:rsidR="00631140" w:rsidRPr="00AA2582" w:rsidRDefault="00631140" w:rsidP="00AA258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A2582">
        <w:rPr>
          <w:rFonts w:ascii="Times New Roman" w:hAnsi="Times New Roman" w:cs="Times New Roman"/>
          <w:sz w:val="24"/>
          <w:szCs w:val="24"/>
          <w:lang w:val="nl-NL"/>
        </w:rPr>
        <w:t xml:space="preserve">Belgian/Ardenne Pb ore (Cauet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nl-NL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nl-NL"/>
        </w:rPr>
        <w:t xml:space="preserve">. 1982; Goemaere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nl-NL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nl-NL"/>
        </w:rPr>
        <w:t>. 2022)</w:t>
      </w:r>
    </w:p>
    <w:p w14:paraId="57DD74F4" w14:textId="3E391A30" w:rsidR="00631140" w:rsidRPr="00AA2582" w:rsidRDefault="00631140" w:rsidP="00AA258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A2582">
        <w:rPr>
          <w:rFonts w:ascii="Times New Roman" w:hAnsi="Times New Roman" w:cs="Times New Roman"/>
          <w:sz w:val="24"/>
          <w:szCs w:val="24"/>
          <w:lang w:val="nl-NL"/>
        </w:rPr>
        <w:t xml:space="preserve">Blackforest Pb/Ag ore, Germany (Lippolt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nl-NL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nl-NL"/>
        </w:rPr>
        <w:t xml:space="preserve">. 1983; Ströbele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nl-NL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nl-NL"/>
        </w:rPr>
        <w:t>. 2012)</w:t>
      </w:r>
    </w:p>
    <w:p w14:paraId="65DC89FB" w14:textId="07FACD80" w:rsidR="00631140" w:rsidRPr="00AF7AAA" w:rsidRDefault="00631140" w:rsidP="00AA258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F7AAA">
        <w:rPr>
          <w:rFonts w:ascii="Times New Roman" w:hAnsi="Times New Roman" w:cs="Times New Roman"/>
          <w:sz w:val="24"/>
          <w:szCs w:val="24"/>
          <w:lang w:val="fr-FR"/>
        </w:rPr>
        <w:t>Vosges/S</w:t>
      </w:r>
      <w:r w:rsidR="004A25A6">
        <w:rPr>
          <w:rFonts w:ascii="Times New Roman" w:hAnsi="Times New Roman" w:cs="Times New Roman"/>
          <w:sz w:val="24"/>
          <w:szCs w:val="24"/>
          <w:lang w:val="fr-FR"/>
        </w:rPr>
        <w:t>ain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4A25A6">
        <w:rPr>
          <w:rFonts w:ascii="Times New Roman" w:hAnsi="Times New Roman" w:cs="Times New Roman"/>
          <w:sz w:val="24"/>
          <w:szCs w:val="24"/>
          <w:lang w:val="fr-FR"/>
        </w:rPr>
        <w:t>e-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>Marie</w:t>
      </w:r>
      <w:r w:rsidR="004A25A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>aux</w:t>
      </w:r>
      <w:r w:rsidR="004A25A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>Mine</w:t>
      </w:r>
      <w:r w:rsidR="004A25A6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 xml:space="preserve">, France (Forel </w:t>
      </w:r>
      <w:r w:rsidR="00AA2582" w:rsidRPr="00AF7AAA">
        <w:rPr>
          <w:rFonts w:ascii="Times New Roman" w:hAnsi="Times New Roman" w:cs="Times New Roman"/>
          <w:i/>
          <w:sz w:val="24"/>
          <w:szCs w:val="24"/>
          <w:lang w:val="fr-FR"/>
        </w:rPr>
        <w:t>et al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>. 2010)</w:t>
      </w:r>
    </w:p>
    <w:p w14:paraId="58A65E1D" w14:textId="1EC56F0E" w:rsidR="00631140" w:rsidRPr="00AA2582" w:rsidRDefault="00631140" w:rsidP="00AA258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2582">
        <w:rPr>
          <w:rFonts w:ascii="Times New Roman" w:hAnsi="Times New Roman" w:cs="Times New Roman"/>
          <w:sz w:val="24"/>
          <w:szCs w:val="24"/>
        </w:rPr>
        <w:t xml:space="preserve">North Eifel, </w:t>
      </w:r>
      <w:r w:rsidRPr="00AA2582">
        <w:rPr>
          <w:rFonts w:ascii="Times New Roman" w:hAnsi="Times New Roman" w:cs="Times New Roman"/>
          <w:bCs/>
          <w:sz w:val="24"/>
          <w:szCs w:val="24"/>
        </w:rPr>
        <w:t>Germany (Bleialf, Mechernich, Maubach, Rescheid) (</w:t>
      </w:r>
      <w:bookmarkStart w:id="0" w:name="_Hlk123729405"/>
      <w:r w:rsidRPr="00AA2582">
        <w:rPr>
          <w:rFonts w:ascii="Times New Roman" w:hAnsi="Times New Roman" w:cs="Times New Roman"/>
          <w:bCs/>
          <w:sz w:val="24"/>
          <w:szCs w:val="24"/>
        </w:rPr>
        <w:t xml:space="preserve">Bielicki </w:t>
      </w:r>
      <w:r w:rsidR="00153C72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Pr="00AA2582">
        <w:rPr>
          <w:rFonts w:ascii="Times New Roman" w:hAnsi="Times New Roman" w:cs="Times New Roman"/>
          <w:bCs/>
          <w:sz w:val="24"/>
          <w:szCs w:val="24"/>
        </w:rPr>
        <w:t>Tischendorf 1991</w:t>
      </w:r>
      <w:r w:rsidR="00153C72" w:rsidRPr="00AA2582">
        <w:rPr>
          <w:rFonts w:ascii="Times New Roman" w:hAnsi="Times New Roman" w:cs="Times New Roman"/>
          <w:bCs/>
          <w:sz w:val="24"/>
          <w:szCs w:val="24"/>
        </w:rPr>
        <w:t>; Schneider 1994</w:t>
      </w:r>
      <w:r w:rsidR="00153C7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53C72" w:rsidRPr="00AA2582">
        <w:rPr>
          <w:rFonts w:ascii="Times New Roman" w:hAnsi="Times New Roman" w:cs="Times New Roman"/>
          <w:bCs/>
          <w:sz w:val="24"/>
          <w:szCs w:val="24"/>
        </w:rPr>
        <w:t xml:space="preserve">Krahn </w:t>
      </w:r>
      <w:r w:rsidR="00153C72">
        <w:rPr>
          <w:rFonts w:ascii="Times New Roman" w:hAnsi="Times New Roman" w:cs="Times New Roman"/>
          <w:bCs/>
          <w:sz w:val="24"/>
          <w:szCs w:val="24"/>
        </w:rPr>
        <w:t>&amp;</w:t>
      </w:r>
      <w:r w:rsidR="00153C72" w:rsidRPr="00AA2582">
        <w:rPr>
          <w:rFonts w:ascii="Times New Roman" w:hAnsi="Times New Roman" w:cs="Times New Roman"/>
          <w:bCs/>
          <w:sz w:val="24"/>
          <w:szCs w:val="24"/>
        </w:rPr>
        <w:t xml:space="preserve"> Baumann 1996</w:t>
      </w:r>
      <w:r w:rsidR="00153C7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53C72" w:rsidRPr="00AA2582">
        <w:rPr>
          <w:rFonts w:ascii="Times New Roman" w:hAnsi="Times New Roman" w:cs="Times New Roman"/>
          <w:bCs/>
          <w:sz w:val="24"/>
          <w:szCs w:val="24"/>
        </w:rPr>
        <w:t>Durali-Müller 2005</w:t>
      </w:r>
      <w:r w:rsidR="00153C7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AA2582">
        <w:rPr>
          <w:rFonts w:ascii="Times New Roman" w:hAnsi="Times New Roman" w:cs="Times New Roman"/>
          <w:bCs/>
          <w:sz w:val="24"/>
          <w:szCs w:val="24"/>
        </w:rPr>
        <w:t>Bode 2008</w:t>
      </w:r>
      <w:bookmarkEnd w:id="0"/>
      <w:r w:rsidR="00153C72">
        <w:rPr>
          <w:rFonts w:ascii="Times New Roman" w:hAnsi="Times New Roman" w:cs="Times New Roman"/>
          <w:bCs/>
          <w:sz w:val="24"/>
          <w:szCs w:val="24"/>
        </w:rPr>
        <w:t>)</w:t>
      </w:r>
    </w:p>
    <w:p w14:paraId="01756903" w14:textId="17421C31" w:rsidR="00631140" w:rsidRPr="00AA2582" w:rsidRDefault="00631140" w:rsidP="00AA258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2582">
        <w:rPr>
          <w:rFonts w:ascii="Times New Roman" w:hAnsi="Times New Roman" w:cs="Times New Roman"/>
          <w:sz w:val="24"/>
          <w:szCs w:val="24"/>
        </w:rPr>
        <w:t>Rammelsberg and Upper Harz/Bad Grund, Germany (Lehmann 2011)</w:t>
      </w:r>
    </w:p>
    <w:p w14:paraId="104A4FD7" w14:textId="7B979F43" w:rsidR="00631140" w:rsidRPr="00AA2582" w:rsidRDefault="00631140" w:rsidP="00AA258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2582">
        <w:rPr>
          <w:rFonts w:ascii="Times New Roman" w:hAnsi="Times New Roman" w:cs="Times New Roman"/>
          <w:bCs/>
          <w:sz w:val="24"/>
          <w:szCs w:val="24"/>
        </w:rPr>
        <w:t>Mont-Lozère, Cévennes</w:t>
      </w:r>
      <w:r w:rsidR="004A25A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A2582">
        <w:rPr>
          <w:rFonts w:ascii="Times New Roman" w:hAnsi="Times New Roman" w:cs="Times New Roman"/>
          <w:bCs/>
          <w:sz w:val="24"/>
          <w:szCs w:val="24"/>
        </w:rPr>
        <w:t xml:space="preserve">France (Baron </w:t>
      </w:r>
      <w:r w:rsidR="00AA2582" w:rsidRPr="00AA2582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Pr="00AA2582">
        <w:rPr>
          <w:rFonts w:ascii="Times New Roman" w:hAnsi="Times New Roman" w:cs="Times New Roman"/>
          <w:bCs/>
          <w:sz w:val="24"/>
          <w:szCs w:val="24"/>
        </w:rPr>
        <w:t>. 2006)</w:t>
      </w:r>
    </w:p>
    <w:p w14:paraId="0DE5A3FB" w14:textId="641C07DB" w:rsidR="00631140" w:rsidRPr="00AA2582" w:rsidRDefault="00631140" w:rsidP="00AA258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2582">
        <w:rPr>
          <w:rFonts w:ascii="Times New Roman" w:hAnsi="Times New Roman" w:cs="Times New Roman"/>
          <w:bCs/>
          <w:sz w:val="24"/>
          <w:szCs w:val="24"/>
        </w:rPr>
        <w:t>Massif Central, France (Marcoux 1986)</w:t>
      </w:r>
    </w:p>
    <w:p w14:paraId="3DD08DFE" w14:textId="4D714AF2" w:rsidR="00631140" w:rsidRPr="00AA2582" w:rsidRDefault="00631140" w:rsidP="00AA258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Melle Pb ore </w:t>
      </w:r>
      <w:r w:rsidRPr="00AA258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(Téreygeol </w:t>
      </w:r>
      <w:r w:rsidR="00AA2582" w:rsidRPr="00AA2582">
        <w:rPr>
          <w:rFonts w:ascii="Times New Roman" w:hAnsi="Times New Roman" w:cs="Times New Roman"/>
          <w:bCs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2005; unpublished analyses G. Sarah) and medieval lead slag and vitreous material produced at Melle (Gratuze </w:t>
      </w:r>
      <w:r w:rsidR="00AA2582" w:rsidRPr="00AA2582">
        <w:rPr>
          <w:rFonts w:ascii="Times New Roman" w:hAnsi="Times New Roman" w:cs="Times New Roman"/>
          <w:bCs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bCs/>
          <w:sz w:val="24"/>
          <w:szCs w:val="24"/>
          <w:lang w:val="en-GB"/>
        </w:rPr>
        <w:t>. 201</w:t>
      </w:r>
      <w:r w:rsidR="00D22847">
        <w:rPr>
          <w:rFonts w:ascii="Times New Roman" w:hAnsi="Times New Roman" w:cs="Times New Roman"/>
          <w:bCs/>
          <w:sz w:val="24"/>
          <w:szCs w:val="24"/>
          <w:lang w:val="en-GB"/>
        </w:rPr>
        <w:t>7</w:t>
      </w:r>
      <w:r w:rsidRPr="00AA2582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</w:p>
    <w:p w14:paraId="04E41524" w14:textId="47BD27A8" w:rsidR="00631140" w:rsidRPr="00AF7AAA" w:rsidRDefault="00631140" w:rsidP="00AA258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F7AAA">
        <w:rPr>
          <w:rFonts w:ascii="Times New Roman" w:hAnsi="Times New Roman" w:cs="Times New Roman"/>
          <w:sz w:val="24"/>
          <w:szCs w:val="24"/>
          <w:lang w:val="fr-FR"/>
        </w:rPr>
        <w:t xml:space="preserve">Pyrennes Mountains (Munoz </w:t>
      </w:r>
      <w:r w:rsidR="00AA2582" w:rsidRPr="00AF7AAA">
        <w:rPr>
          <w:rFonts w:ascii="Times New Roman" w:hAnsi="Times New Roman" w:cs="Times New Roman"/>
          <w:i/>
          <w:sz w:val="24"/>
          <w:szCs w:val="24"/>
          <w:lang w:val="fr-FR"/>
        </w:rPr>
        <w:t>et al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>. 2016)</w:t>
      </w:r>
    </w:p>
    <w:p w14:paraId="3D0BC95D" w14:textId="2E9A08E5" w:rsidR="00631140" w:rsidRPr="00AA2582" w:rsidRDefault="00631140" w:rsidP="00AA258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Alps, Wallis area, Switzerland (Guénette-Beck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2009)</w:t>
      </w:r>
    </w:p>
    <w:p w14:paraId="2BC3BBEF" w14:textId="77777777" w:rsidR="00631140" w:rsidRPr="00AA2582" w:rsidRDefault="00631140" w:rsidP="00AA25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631140" w:rsidRPr="00AA2582" w:rsidSect="000E034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5FED39F" w14:textId="6DFC2DBD" w:rsidR="006D5D38" w:rsidRPr="00AA2582" w:rsidRDefault="00153C72" w:rsidP="00AA25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Section</w:t>
      </w:r>
      <w:r w:rsidR="00C46F86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631140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A04F23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Analytical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</w:t>
      </w:r>
      <w:r w:rsidR="006D5D38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>ethods</w:t>
      </w:r>
      <w:r w:rsidR="00306DC9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1837E9A0" w14:textId="374D06C2" w:rsidR="00306DC9" w:rsidRPr="00153C72" w:rsidRDefault="00306DC9" w:rsidP="00AA258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53C7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Elemental </w:t>
      </w:r>
      <w:r w:rsidR="00153C72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 w:rsidRPr="00153C72">
        <w:rPr>
          <w:rFonts w:ascii="Times New Roman" w:hAnsi="Times New Roman" w:cs="Times New Roman"/>
          <w:i/>
          <w:iCs/>
          <w:sz w:val="24"/>
          <w:szCs w:val="24"/>
          <w:lang w:val="en-GB"/>
        </w:rPr>
        <w:t>nalysis</w:t>
      </w:r>
    </w:p>
    <w:p w14:paraId="58DAB956" w14:textId="0A0B864C" w:rsidR="006D5D38" w:rsidRPr="00AA2582" w:rsidRDefault="006D5D38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The coins were analysed at the University of Cambridge 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epartment of Earth Science by </w:t>
      </w:r>
      <w:r w:rsidRPr="00AA2582">
        <w:rPr>
          <w:rFonts w:ascii="Times New Roman" w:hAnsi="Times New Roman" w:cs="Times New Roman"/>
          <w:i/>
          <w:iCs/>
          <w:sz w:val="24"/>
          <w:szCs w:val="24"/>
          <w:lang w:val="en-GB"/>
        </w:rPr>
        <w:t>in situ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laser ablation using a NWR193 LA system coupled with a Nexion 350D ICP-MS. We tested the laser ablation settings (4Jcm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at 5Hz; 6Jcm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at 5Hz; 6 Jcm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at 10Hz) using a spot size of 80µm on five matrix-matched reference materials that were previously analysed by solution ICP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MS or 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optical emission spectroscopy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in other laboratories.</w:t>
      </w:r>
      <w:r w:rsidR="00AA4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A4EDB" w:rsidRPr="00AA4EDB">
        <w:rPr>
          <w:rFonts w:ascii="Times New Roman" w:hAnsi="Times New Roman" w:cs="Times New Roman"/>
          <w:sz w:val="24"/>
          <w:szCs w:val="24"/>
          <w:lang w:val="en-GB"/>
        </w:rPr>
        <w:t xml:space="preserve">The study found, using silver as </w:t>
      </w:r>
      <w:r w:rsidR="00840159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AA4EDB" w:rsidRPr="00AA4EDB">
        <w:rPr>
          <w:rFonts w:ascii="Times New Roman" w:hAnsi="Times New Roman" w:cs="Times New Roman"/>
          <w:sz w:val="24"/>
          <w:szCs w:val="24"/>
          <w:lang w:val="en-GB"/>
        </w:rPr>
        <w:t>internal standard, that the best analysis condition</w:t>
      </w:r>
      <w:r w:rsidR="00FD2A7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A4EDB" w:rsidRPr="00AA4EDB">
        <w:rPr>
          <w:rFonts w:ascii="Times New Roman" w:hAnsi="Times New Roman" w:cs="Times New Roman"/>
          <w:sz w:val="24"/>
          <w:szCs w:val="24"/>
          <w:lang w:val="en-GB"/>
        </w:rPr>
        <w:t xml:space="preserve"> were found at 6 Jcm2 at 10Hz</w:t>
      </w:r>
      <w:r w:rsidR="00AA4ED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5E0A4BE" w14:textId="097720A9" w:rsidR="00CB27CC" w:rsidRPr="00AA2582" w:rsidRDefault="006D5D38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>During analysis, the samples and reference materials were ablated for 60 seconds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Glitter software was used to capture time-resolved spectra. After the first 30 seconds, surface enrichment effects subsided and signal intensities/ablation behaviour became more consistent between individual ablations. For quantification, the average background-subtracted signal intensity for the final 20 seconds of the ablation were used. </w:t>
      </w:r>
    </w:p>
    <w:p w14:paraId="62B6C5A5" w14:textId="0E331F3E" w:rsidR="00CB27CC" w:rsidRPr="00AA2582" w:rsidRDefault="00CB27C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The isotopes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53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Cr, </w:t>
      </w:r>
      <w:r w:rsidR="00F26D80"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57</w:t>
      </w:r>
      <w:r w:rsidR="00F26D8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Fe,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59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Co,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60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Ni,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65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Cu,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66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Zn,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75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As,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77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Se,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105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Pd,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107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Ag,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111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Cd,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113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In,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118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Sn,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121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Sb,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125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Te,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195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Pt,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197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Au,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208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Pb and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209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Bi were </w:t>
      </w:r>
      <w:r w:rsidR="006B4450" w:rsidRPr="00AA2582">
        <w:rPr>
          <w:rFonts w:ascii="Times New Roman" w:hAnsi="Times New Roman" w:cs="Times New Roman"/>
          <w:sz w:val="24"/>
          <w:szCs w:val="24"/>
          <w:lang w:val="en-GB"/>
        </w:rPr>
        <w:t>selected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for quantification.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57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Fe signal intensities were monitored</w:t>
      </w:r>
      <w:r w:rsidR="0067361F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but </w:t>
      </w:r>
      <w:r w:rsidR="006B445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quantified values are not reported </w:t>
      </w:r>
      <w:r w:rsidR="0067361F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because the </w:t>
      </w:r>
      <w:r w:rsidR="006B4450" w:rsidRPr="00AA2582">
        <w:rPr>
          <w:rFonts w:ascii="Times New Roman" w:hAnsi="Times New Roman" w:cs="Times New Roman"/>
          <w:sz w:val="24"/>
          <w:szCs w:val="24"/>
          <w:lang w:val="en-GB"/>
        </w:rPr>
        <w:t>high background</w:t>
      </w:r>
      <w:r w:rsidR="0067361F" w:rsidRPr="00AA2582">
        <w:rPr>
          <w:rFonts w:ascii="Times New Roman" w:hAnsi="Times New Roman" w:cs="Times New Roman"/>
          <w:sz w:val="24"/>
          <w:szCs w:val="24"/>
          <w:lang w:val="en-GB"/>
        </w:rPr>
        <w:t>, isobaric interference</w:t>
      </w:r>
      <w:r w:rsidR="006B445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with argon compounds</w:t>
      </w:r>
      <w:r w:rsidR="0067361F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and high variability make interpretations based on this element unreliable. Simple </w:t>
      </w:r>
      <w:r w:rsidR="004E2594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normalisation using </w:t>
      </w:r>
      <w:r w:rsidR="004E2594"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107</w:t>
      </w:r>
      <w:r w:rsidR="004E2594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Ag intensities </w:t>
      </w:r>
      <w:r w:rsidR="006B4450" w:rsidRPr="00AA2582">
        <w:rPr>
          <w:rFonts w:ascii="Times New Roman" w:hAnsi="Times New Roman" w:cs="Times New Roman"/>
          <w:sz w:val="24"/>
          <w:szCs w:val="24"/>
          <w:lang w:val="en-GB"/>
        </w:rPr>
        <w:t>consistently indicated</w:t>
      </w:r>
      <w:r w:rsidR="0067361F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concentrations in the hundreds to</w:t>
      </w:r>
      <w:r w:rsidR="006B445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low</w:t>
      </w:r>
      <w:r w:rsidR="0067361F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thousands of ppm in reference materials and samples.</w:t>
      </w:r>
    </w:p>
    <w:p w14:paraId="5A050A22" w14:textId="5F9DB808" w:rsidR="006D5D38" w:rsidRPr="00AA2582" w:rsidRDefault="006D5D38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Both MBH 133X-AGA1 and </w:t>
      </w:r>
      <w:r w:rsidR="00CB27CC" w:rsidRPr="00AA2582">
        <w:rPr>
          <w:rFonts w:ascii="Times New Roman" w:hAnsi="Times New Roman" w:cs="Times New Roman"/>
          <w:sz w:val="24"/>
          <w:szCs w:val="24"/>
          <w:lang w:val="en-GB"/>
        </w:rPr>
        <w:t>MBH 133X-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AGA3 were measured as standards, but since the coins are made of silver </w:t>
      </w:r>
      <w:r w:rsidR="00C24DEA" w:rsidRPr="00AA2582">
        <w:rPr>
          <w:rFonts w:ascii="Times New Roman" w:hAnsi="Times New Roman" w:cs="Times New Roman"/>
          <w:sz w:val="24"/>
          <w:szCs w:val="24"/>
          <w:lang w:val="en-GB"/>
        </w:rPr>
        <w:t>with approximately 5% copper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4EB7" w:rsidRPr="00AA2582">
        <w:rPr>
          <w:rFonts w:ascii="Times New Roman" w:hAnsi="Times New Roman" w:cs="Times New Roman"/>
          <w:sz w:val="24"/>
          <w:szCs w:val="24"/>
          <w:lang w:val="en-GB"/>
        </w:rPr>
        <w:t>MBH 133X-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AGA3 was chosen to be the primary standard for all samples. Calibration and quantification were achieved by standard bracketing with AGA3 using the method described by Halter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2002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The average compositions, the raw measurements, detection limits and analyses of reference materials are provided in </w:t>
      </w:r>
      <w:r w:rsidR="00153C72">
        <w:rPr>
          <w:rFonts w:ascii="Times New Roman" w:hAnsi="Times New Roman" w:cs="Times New Roman"/>
          <w:sz w:val="24"/>
          <w:szCs w:val="24"/>
          <w:lang w:val="en-GB"/>
        </w:rPr>
        <w:t>OSM2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E6297CA" w14:textId="02CA31C3" w:rsidR="006D5D38" w:rsidRPr="00AA2582" w:rsidRDefault="006D5D38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1E3A4CA" w14:textId="5F67ECFD" w:rsidR="00306DC9" w:rsidRPr="00223A7E" w:rsidRDefault="00306DC9" w:rsidP="00AA258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223A7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Portable </w:t>
      </w:r>
      <w:r w:rsidR="00223A7E" w:rsidRPr="00223A7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laser ablation sampling </w:t>
      </w:r>
      <w:r w:rsidRPr="00223A7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and </w:t>
      </w:r>
      <w:r w:rsidR="00137931" w:rsidRPr="00223A7E">
        <w:rPr>
          <w:rFonts w:ascii="Times New Roman" w:hAnsi="Times New Roman" w:cs="Times New Roman"/>
          <w:i/>
          <w:iCs/>
          <w:sz w:val="24"/>
          <w:szCs w:val="24"/>
          <w:lang w:val="en-GB"/>
        </w:rPr>
        <w:t>Pb</w:t>
      </w:r>
      <w:r w:rsidRPr="00223A7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223A7E" w:rsidRPr="00223A7E">
        <w:rPr>
          <w:rFonts w:ascii="Times New Roman" w:hAnsi="Times New Roman" w:cs="Times New Roman"/>
          <w:i/>
          <w:iCs/>
          <w:sz w:val="24"/>
          <w:szCs w:val="24"/>
          <w:lang w:val="en-GB"/>
        </w:rPr>
        <w:t>isotope analysis</w:t>
      </w:r>
    </w:p>
    <w:p w14:paraId="2B14183C" w14:textId="56A2A1EE" w:rsidR="00306DC9" w:rsidRPr="00AA2582" w:rsidRDefault="00306DC9" w:rsidP="00AA2582">
      <w:pPr>
        <w:spacing w:after="0" w:line="360" w:lineRule="auto"/>
        <w:rPr>
          <w:rFonts w:ascii="Times New Roman" w:hAnsi="Times New Roman" w:cs="Times New Roman"/>
          <w:strike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>The portable laser unit was set up at the Fitzwilliam Museum</w:t>
      </w:r>
      <w:r w:rsidR="0084015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Cambridge, UK, on a desk in the </w:t>
      </w:r>
      <w:r w:rsidR="00840159">
        <w:rPr>
          <w:rFonts w:ascii="Times New Roman" w:hAnsi="Times New Roman" w:cs="Times New Roman"/>
          <w:sz w:val="24"/>
          <w:szCs w:val="24"/>
          <w:lang w:val="en-GB"/>
        </w:rPr>
        <w:t>Department of Coins and Medals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The laser setup, described in Knaf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(2017) and Merkel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(202</w:t>
      </w:r>
      <w:r w:rsidR="006A7E9F" w:rsidRPr="00AA258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), consists of an air-cooled </w:t>
      </w:r>
      <w:r w:rsidRPr="00AA2582">
        <w:rPr>
          <w:rFonts w:ascii="Times New Roman" w:hAnsi="Times New Roman" w:cs="Times New Roman"/>
          <w:sz w:val="24"/>
          <w:szCs w:val="24"/>
        </w:rPr>
        <w:t>λ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532nm pulsed diode pumped solid state (DPSS) laser (Wedge HB 532, Bright Solutions SRL, Cura Carpignano, Italy) with </w:t>
      </w:r>
      <w:r w:rsidRPr="00AA258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 pulse duration of &lt;1ns and an out energy of 1.3mJ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The pulse frequency can be varied between 1</w:t>
      </w:r>
      <w:r w:rsidR="00223A7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10000Hz, and the laser's light intensity (energy) can be varied between 0 and 100. For this study the laser was set to a frequency of 100Hz, beam intensity 95% and sampling time 60 seconds. An optical fibre connects the laser to the ablation module where 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laser is focused on the object surface by an aspheric lens to a diameter of 100</w:t>
      </w:r>
      <w:r w:rsidRPr="00AA2582">
        <w:rPr>
          <w:rFonts w:ascii="Times New Roman" w:hAnsi="Times New Roman" w:cs="Times New Roman"/>
          <w:sz w:val="24"/>
          <w:szCs w:val="24"/>
        </w:rPr>
        <w:t>μ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m. The laser head is connected via a tube to the filter holder, on which the sample is collected by suction of a membrane pump. An eight-fold magnification monochromatic CCD camera (Chameleon, CMLN-13S2M-CS, Point Grey Research, Richmond, BC, Canada with the software package Fly Capture Point Grey SDK) and a microphone connected to the ablation module, help the operator to focus the laser on the right sampling spot. During sampling, the emission is turned on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the membrane pump is turned on </w:t>
      </w:r>
      <w:r w:rsidR="00A12EE0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A12EE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seconds </w:t>
      </w:r>
      <w:r w:rsidR="00A12EE0">
        <w:rPr>
          <w:rFonts w:ascii="Times New Roman" w:hAnsi="Times New Roman" w:cs="Times New Roman"/>
          <w:sz w:val="24"/>
          <w:szCs w:val="24"/>
          <w:lang w:val="en-GB"/>
        </w:rPr>
        <w:t>after</w:t>
      </w:r>
      <w:r w:rsidR="00A12EE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the slide is opened. After one minute of ablation, the slide is closed. Ten seconds after, the membrane pump and the emission are turned off.</w:t>
      </w:r>
    </w:p>
    <w:p w14:paraId="3CF28E10" w14:textId="6122F311" w:rsidR="00306DC9" w:rsidRPr="00AA2582" w:rsidRDefault="00306DC9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The sample is collected onto pre-cleaned hydrophobic membrane filters (PTFE Mitex® LSWP01300, Merck Millipore Corporation, MA, USA) with a pore size of </w:t>
      </w:r>
      <w:r w:rsidR="00AA4EDB">
        <w:rPr>
          <w:rFonts w:ascii="Times New Roman" w:hAnsi="Times New Roman" w:cs="Times New Roman"/>
          <w:sz w:val="24"/>
          <w:szCs w:val="24"/>
          <w:lang w:val="en-GB"/>
        </w:rPr>
        <w:t>0.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AA2582">
        <w:rPr>
          <w:rFonts w:ascii="Times New Roman" w:hAnsi="Times New Roman" w:cs="Times New Roman"/>
          <w:sz w:val="24"/>
          <w:szCs w:val="24"/>
        </w:rPr>
        <w:t>μ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m, a porosity of 60%, a diameter of 13 mm and a thickness of 170</w:t>
      </w:r>
      <w:r w:rsidRPr="00AA2582">
        <w:rPr>
          <w:rFonts w:ascii="Times New Roman" w:hAnsi="Times New Roman" w:cs="Times New Roman"/>
          <w:sz w:val="24"/>
          <w:szCs w:val="24"/>
        </w:rPr>
        <w:t>μ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m. The filters were cleaned with 2M HF and 6M HNO</w:t>
      </w:r>
      <w:r w:rsidRPr="00AA25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on a hotplate, 100</w:t>
      </w:r>
      <w:r w:rsidR="00223A7E">
        <w:rPr>
          <w:rFonts w:ascii="Times New Roman" w:hAnsi="Times New Roman" w:cs="Times New Roman"/>
          <w:sz w:val="24"/>
          <w:szCs w:val="24"/>
          <w:lang w:val="en-GB"/>
        </w:rPr>
        <w:t>°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C, for several days. </w:t>
      </w:r>
    </w:p>
    <w:p w14:paraId="10FDCAF7" w14:textId="77325B3D" w:rsidR="00137931" w:rsidRPr="00AA2582" w:rsidRDefault="00306DC9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In this study, the sample wheel holding the filters described in Knaf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23A7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="00223A7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and Merkel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23A7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6A7E9F" w:rsidRPr="00AA258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223A7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was replaced by a single-filter holder. </w:t>
      </w:r>
      <w:r w:rsidR="00223A7E">
        <w:rPr>
          <w:rFonts w:ascii="Times New Roman" w:hAnsi="Times New Roman" w:cs="Times New Roman"/>
          <w:sz w:val="24"/>
          <w:szCs w:val="24"/>
          <w:lang w:val="en-GB"/>
        </w:rPr>
        <w:t>The s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ingle filter holder can be cleaned and prepared in the clean lab, reducing environmental contamination and lowering memory effects. The filter holder is connected to the laser head by a pre-cleaned (10% double distilled HNO</w:t>
      </w:r>
      <w:r w:rsidRPr="00AA25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) tube shortened 5</w:t>
      </w:r>
      <w:r w:rsidR="00223A7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10x times compared to Knaf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23A7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="00223A7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, and replaced after each ablation, reducing loss of sample and memory effect. After each ablation the laser head is cleaned with 2M HNO</w:t>
      </w:r>
      <w:r w:rsidRPr="00AA25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, ethanol and M</w:t>
      </w:r>
      <w:r w:rsidR="00C61DE5">
        <w:rPr>
          <w:rFonts w:ascii="Times New Roman" w:hAnsi="Times New Roman" w:cs="Times New Roman"/>
          <w:sz w:val="24"/>
          <w:szCs w:val="24"/>
          <w:lang w:val="en-GB"/>
        </w:rPr>
        <w:t>illi-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Q, and dried using compressed air.</w:t>
      </w:r>
    </w:p>
    <w:p w14:paraId="1228FB27" w14:textId="0A058A3D" w:rsidR="00306DC9" w:rsidRPr="00AA2582" w:rsidRDefault="00C90039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The Pb contents of the coins were known from prior LA-ICPMS analysis, and these Pb concentrations were used to determine the number of ablations needed to collect </w:t>
      </w:r>
      <w:r w:rsidR="00223A7E">
        <w:rPr>
          <w:rFonts w:ascii="Times New Roman" w:hAnsi="Times New Roman" w:cs="Times New Roman"/>
          <w:sz w:val="24"/>
          <w:szCs w:val="24"/>
          <w:lang w:val="en-GB"/>
        </w:rPr>
        <w:t>approximately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1000ng of Pb on the filter, which equated to, on average, six ablations</w:t>
      </w:r>
      <w:r w:rsidR="00585004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223A7E">
        <w:rPr>
          <w:rFonts w:ascii="Times New Roman" w:hAnsi="Times New Roman" w:cs="Times New Roman"/>
          <w:sz w:val="24"/>
          <w:szCs w:val="24"/>
          <w:lang w:val="en-GB"/>
        </w:rPr>
        <w:t>see OSM3</w:t>
      </w:r>
      <w:r w:rsidR="00585004" w:rsidRPr="00AA258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Before and after sampling, the individual single-filter holders were sealed with </w:t>
      </w:r>
      <w:r w:rsidR="00585004" w:rsidRPr="00AA2582">
        <w:rPr>
          <w:rFonts w:ascii="Times New Roman" w:hAnsi="Times New Roman" w:cs="Times New Roman"/>
          <w:sz w:val="24"/>
          <w:szCs w:val="24"/>
          <w:lang w:val="en-GB"/>
        </w:rPr>
        <w:t>parafilm.</w:t>
      </w:r>
      <w:r w:rsidR="00DD66B9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4F23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Three coins were not sampled by pLA: two 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 xml:space="preserve">were </w:t>
      </w:r>
      <w:r w:rsidR="00A04F23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suspected to be historical (27) and modern (43) forgeries, 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>while</w:t>
      </w:r>
      <w:r w:rsidR="0052139C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4F23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one Pb-poor coin (17) was was drilled with a 0.5 mm bit to collect </w:t>
      </w:r>
      <w:r w:rsidR="00223A7E">
        <w:rPr>
          <w:rFonts w:ascii="Times New Roman" w:hAnsi="Times New Roman" w:cs="Times New Roman"/>
          <w:sz w:val="24"/>
          <w:szCs w:val="24"/>
          <w:lang w:val="en-GB"/>
        </w:rPr>
        <w:t>approximately</w:t>
      </w:r>
      <w:r w:rsidR="00A04F23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1 mg of metal.</w:t>
      </w:r>
    </w:p>
    <w:p w14:paraId="7ECD25DE" w14:textId="7A0DCFED" w:rsidR="00306DC9" w:rsidRPr="00AA2582" w:rsidRDefault="00306DC9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>All the sample preparation and labware cleaning was carried out in a clean lab class 1000. The filters holding the ablated silver were submerged in 1mL 7M HNO</w:t>
      </w:r>
      <w:r w:rsidRPr="00AA25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in a 1.5mL Eppendorf centrifuge tube in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clean laboratory at the Vrije Universitieit Amsterdam. The samples were sonicated for 30 minutes in order to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fully dissolve the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silver. Once the samples were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dissolved, the filters were removed using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Teflon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tweezers cleaned with HNO</w:t>
      </w:r>
      <w:r w:rsidRPr="00AA25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and Milli-Q water between samples. The silver was precipitated adding 0.2mL 6.5M HCl to the sample solutions and centrifuged for 5 minutes. The supernatant solution was then moved into pre-cleaned 7mL Savillex vials. The samples were dried down on a hotplate at 110</w:t>
      </w:r>
      <w:r w:rsidR="0006265F" w:rsidRPr="00AA2582">
        <w:rPr>
          <w:rFonts w:ascii="Times New Roman" w:hAnsi="Times New Roman" w:cs="Times New Roman"/>
          <w:sz w:val="24"/>
          <w:szCs w:val="24"/>
          <w:lang w:val="en-GB"/>
        </w:rPr>
        <w:t>°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C overnight and redissolved in 0.2mL 0.7</w:t>
      </w:r>
      <w:r w:rsidR="00C61DE5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HBr. The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Pb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fraction was extracted via liquid chromatography using AG1-X8 mesh 200</w:t>
      </w:r>
      <w:r w:rsidR="00C61DE5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400 as described in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erkel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6A7E9F" w:rsidRPr="00AA258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After columns the samples were dried down and redissolved in 1% HNO</w:t>
      </w:r>
      <w:r w:rsidRPr="00AA258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The Pb content was evaluated using an ICP-MS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X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series 2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(T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hermo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-F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isher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™)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and diluted to 4mL 25ppb for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Pb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isotope analysis. </w:t>
      </w:r>
    </w:p>
    <w:p w14:paraId="7862F356" w14:textId="45B50720" w:rsidR="00306DC9" w:rsidRPr="00AA2582" w:rsidRDefault="00306DC9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Pb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isotope ratios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were measured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using a Thermo Scientific™ Neptune™ Series High-Resolution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ulticollector ICP-MS equipped with a nebuliser CETAC Aridus II system operating at approximately 4</w:t>
      </w:r>
      <w:r w:rsidR="00C61DE5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5L min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of Argon sweep gas and 0.01</w:t>
      </w:r>
      <w:r w:rsidR="00C61DE5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0.02L min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nitrogen. The temperature setting for the spray chamber is 110</w:t>
      </w:r>
      <w:r w:rsidR="0006265F" w:rsidRPr="00AA2582">
        <w:rPr>
          <w:rFonts w:ascii="Times New Roman" w:hAnsi="Times New Roman" w:cs="Times New Roman"/>
          <w:sz w:val="24"/>
          <w:szCs w:val="24"/>
          <w:lang w:val="en-GB"/>
        </w:rPr>
        <w:t>°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C and 160</w:t>
      </w:r>
      <w:r w:rsidR="0006265F" w:rsidRPr="00AA2582">
        <w:rPr>
          <w:rFonts w:ascii="Times New Roman" w:hAnsi="Times New Roman" w:cs="Times New Roman"/>
          <w:sz w:val="24"/>
          <w:szCs w:val="24"/>
          <w:lang w:val="en-GB"/>
        </w:rPr>
        <w:t>°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C for the membrane. The room temperature is kept at 20±1</w:t>
      </w:r>
      <w:r w:rsidR="0006265F" w:rsidRPr="00AA2582">
        <w:rPr>
          <w:rFonts w:ascii="Times New Roman" w:hAnsi="Times New Roman" w:cs="Times New Roman"/>
          <w:sz w:val="24"/>
          <w:szCs w:val="24"/>
          <w:lang w:val="en-GB"/>
        </w:rPr>
        <w:t>°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Pb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ion beams are measured on Faraday cups equipped with 10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11</w:t>
      </w:r>
      <w:r w:rsidR="0006265F" w:rsidRPr="00AA2582">
        <w:rPr>
          <w:rFonts w:ascii="Times New Roman" w:hAnsi="Times New Roman" w:cs="Times New Roman"/>
          <w:sz w:val="24"/>
          <w:szCs w:val="24"/>
          <w:lang w:val="en-GB"/>
        </w:rPr>
        <w:t>Ω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amplifiers. The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Pb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signals were usually around 0.2V/pp</w:t>
      </w:r>
      <w:r w:rsidR="00DF17B1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A gain calibration was performed once per week on the 10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11</w:t>
      </w:r>
      <w:r w:rsidR="0006265F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Ω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amplifiers. The operating parameters of the instrument used are: RF power [W]: 1290, Faraday cup mass detectors: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201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Hg L4,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202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Hg L3,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204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Pb L2,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205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Tl L1,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206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Pb C,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207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Pb H1,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208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Pb H2,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209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Bi H3. The samples are analysed in one block of 60 cycles with an integration time of 4 seconds.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This method was used to </w:t>
      </w:r>
      <w:r w:rsidR="0052139C" w:rsidRPr="00AA2582">
        <w:rPr>
          <w:rFonts w:ascii="Times New Roman" w:hAnsi="Times New Roman" w:cs="Times New Roman"/>
          <w:sz w:val="24"/>
          <w:szCs w:val="24"/>
          <w:lang w:val="en-GB"/>
        </w:rPr>
        <w:t>analy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="0052139C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all samples, standards and blanks.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The blanks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Pb content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were determined via </w:t>
      </w:r>
      <w:r w:rsidR="00137931" w:rsidRPr="00AA2582">
        <w:rPr>
          <w:rFonts w:ascii="Times New Roman" w:hAnsi="Times New Roman" w:cs="Times New Roman"/>
          <w:sz w:val="24"/>
          <w:szCs w:val="24"/>
          <w:lang w:val="en-GB"/>
        </w:rPr>
        <w:t>Pb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isotope dilution using a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208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Pb spike of known concentration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71E11F2" w14:textId="3ED1D7EC" w:rsidR="00306DC9" w:rsidRPr="00AA2582" w:rsidRDefault="00306DC9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6923E47" w14:textId="77777777" w:rsidR="00302D88" w:rsidRPr="00AA2582" w:rsidRDefault="00302D88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  <w:sectPr w:rsidR="00302D88" w:rsidRPr="00AA2582" w:rsidSect="000E034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7A33361" w14:textId="190D5CD5" w:rsidR="00306DC9" w:rsidRPr="00AA2582" w:rsidRDefault="00C61DE5" w:rsidP="00AA25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Section</w:t>
      </w:r>
      <w:r w:rsidR="00C46F86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631140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C46F86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Analytical </w:t>
      </w:r>
      <w:r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>results and data quality</w:t>
      </w:r>
    </w:p>
    <w:p w14:paraId="6FD92AC2" w14:textId="4A6AB540" w:rsidR="00852237" w:rsidRPr="00C61DE5" w:rsidRDefault="00852237" w:rsidP="00AA258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61DE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Elemental </w:t>
      </w:r>
      <w:r w:rsidR="00C61DE5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 w:rsidRPr="00C61DE5">
        <w:rPr>
          <w:rFonts w:ascii="Times New Roman" w:hAnsi="Times New Roman" w:cs="Times New Roman"/>
          <w:i/>
          <w:iCs/>
          <w:sz w:val="24"/>
          <w:szCs w:val="24"/>
          <w:lang w:val="en-GB"/>
        </w:rPr>
        <w:t>nalysis</w:t>
      </w:r>
    </w:p>
    <w:p w14:paraId="731F1B2E" w14:textId="47B60BD4" w:rsidR="009810AB" w:rsidRPr="00AA2582" w:rsidRDefault="009E01DB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>A summary is provided in Figure S1 comparing</w:t>
      </w:r>
      <w:r w:rsidR="00F26D8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LA results and reference values</w:t>
      </w:r>
      <w:r w:rsidR="00E00DBE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(non-certified)</w:t>
      </w:r>
      <w:r w:rsidR="00F26D8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for most of the elements that are regularly measured in archaeological silver (see Sarah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="00F26D80" w:rsidRPr="00AA2582">
        <w:rPr>
          <w:rFonts w:ascii="Times New Roman" w:hAnsi="Times New Roman" w:cs="Times New Roman"/>
          <w:sz w:val="24"/>
          <w:szCs w:val="24"/>
          <w:lang w:val="en-GB"/>
        </w:rPr>
        <w:t>. 2007)</w:t>
      </w:r>
      <w:r w:rsidR="00E00DBE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The results closely conform to reference values for the </w:t>
      </w:r>
      <w:r w:rsidR="00E00DBE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elements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most </w:t>
      </w:r>
      <w:r w:rsidR="00E00DBE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frequently used in </w:t>
      </w:r>
      <w:r w:rsidR="00307266" w:rsidRPr="00AA2582">
        <w:rPr>
          <w:rFonts w:ascii="Times New Roman" w:hAnsi="Times New Roman" w:cs="Times New Roman"/>
          <w:sz w:val="24"/>
          <w:szCs w:val="24"/>
          <w:lang w:val="en-GB"/>
        </w:rPr>
        <w:t>interpretation,</w:t>
      </w:r>
      <w:r w:rsidR="00E00DBE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and most are</w:t>
      </w:r>
      <w:r w:rsidR="00E00DBE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within error of the reference value</w:t>
      </w:r>
      <w:r w:rsidR="00CE60D7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(Figure S1)</w:t>
      </w:r>
      <w:r w:rsidR="00E00DBE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Particularly with the highest gold and bismuth </w:t>
      </w:r>
      <w:r w:rsidR="00A12EE0">
        <w:rPr>
          <w:rFonts w:ascii="Times New Roman" w:hAnsi="Times New Roman" w:cs="Times New Roman"/>
          <w:sz w:val="24"/>
          <w:szCs w:val="24"/>
          <w:lang w:val="en-GB"/>
        </w:rPr>
        <w:t>concentrations</w:t>
      </w:r>
      <w:r w:rsidR="00A12EE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0DBE" w:rsidRPr="00AA2582">
        <w:rPr>
          <w:rFonts w:ascii="Times New Roman" w:hAnsi="Times New Roman" w:cs="Times New Roman"/>
          <w:sz w:val="24"/>
          <w:szCs w:val="24"/>
          <w:lang w:val="en-GB"/>
        </w:rPr>
        <w:t>measured, there is a slight underestimation in the LA results compared to solution analyses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: AGA3</w:t>
      </w:r>
      <w:r w:rsidR="00307266" w:rsidRPr="00AA258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A7E9F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the calibration standard</w:t>
      </w:r>
      <w:r w:rsidR="00307266" w:rsidRPr="00AA258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A7E9F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7266" w:rsidRPr="00AA2582">
        <w:rPr>
          <w:rFonts w:ascii="Times New Roman" w:hAnsi="Times New Roman" w:cs="Times New Roman"/>
          <w:sz w:val="24"/>
          <w:szCs w:val="24"/>
          <w:lang w:val="en-GB"/>
        </w:rPr>
        <w:t>has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relatively low values for these elements</w:t>
      </w:r>
      <w:r w:rsidR="0030726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307266" w:rsidRPr="00AA2582">
        <w:rPr>
          <w:rFonts w:ascii="Times New Roman" w:hAnsi="Times New Roman" w:cs="Times New Roman"/>
          <w:sz w:val="24"/>
          <w:szCs w:val="24"/>
          <w:lang w:val="en-GB"/>
        </w:rPr>
        <w:t>not optimal for quantifying Au and Bi in high concentrations</w:t>
      </w:r>
      <w:r w:rsidR="00E00DBE" w:rsidRPr="00AA258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90D3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There was considerable variability in the measurements of lead, leading to high standard deviations, though the average concentrations are close to the reference value.</w:t>
      </w:r>
    </w:p>
    <w:p w14:paraId="5713E6F6" w14:textId="27FA2677" w:rsidR="00F26D80" w:rsidRPr="00AA2582" w:rsidRDefault="009810AB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Only </w:t>
      </w:r>
      <w:r w:rsidR="00FF18FE" w:rsidRPr="00AA2582">
        <w:rPr>
          <w:rFonts w:ascii="Times New Roman" w:hAnsi="Times New Roman" w:cs="Times New Roman"/>
          <w:sz w:val="24"/>
          <w:szCs w:val="24"/>
          <w:lang w:val="en-GB"/>
        </w:rPr>
        <w:t>the element copper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in one reference material (Denar27) is considerably different between the methods, but this a problem of sampling rather than an instrumental issue. This discrepancy </w:t>
      </w:r>
      <w:r w:rsidR="00590D3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FF18FE" w:rsidRPr="00AA2582">
        <w:rPr>
          <w:rFonts w:ascii="Times New Roman" w:hAnsi="Times New Roman" w:cs="Times New Roman"/>
          <w:sz w:val="24"/>
          <w:szCs w:val="24"/>
          <w:lang w:val="en-GB"/>
        </w:rPr>
        <w:t>because</w:t>
      </w:r>
      <w:r w:rsidR="00590D3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th</w:t>
      </w:r>
      <w:r w:rsidR="0084015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590D3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reference material is not homogeneous</w:t>
      </w:r>
      <w:r w:rsidR="00FF18FE" w:rsidRPr="00AA258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FF18FE" w:rsidRPr="00AA2582">
        <w:rPr>
          <w:rFonts w:ascii="Times New Roman" w:hAnsi="Times New Roman" w:cs="Times New Roman"/>
          <w:sz w:val="24"/>
          <w:szCs w:val="24"/>
          <w:lang w:val="en-GB"/>
        </w:rPr>
        <w:t>with careful observation of the</w:t>
      </w:r>
      <w:r w:rsidR="00590D3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cross-section it is clear that the coin was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depletion silver</w:t>
      </w:r>
      <w:r w:rsidR="00FF18FE" w:rsidRPr="00AA2582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590D3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Physical sampling for bulk analysis took place on the coin edge, which </w:t>
      </w:r>
      <w:r w:rsidR="00FF18FE" w:rsidRPr="00AA2582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590D3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richer in silver than the core, while the LA sampling was in cross-section</w:t>
      </w:r>
      <w:r w:rsidR="00E51CA9" w:rsidRPr="00AA258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90D3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in the copper-rich core. </w:t>
      </w:r>
      <w:r w:rsidR="00E51CA9" w:rsidRPr="00AA2582">
        <w:rPr>
          <w:rFonts w:ascii="Times New Roman" w:hAnsi="Times New Roman" w:cs="Times New Roman"/>
          <w:sz w:val="24"/>
          <w:szCs w:val="24"/>
          <w:lang w:val="en-GB"/>
        </w:rPr>
        <w:t>At the time of measurement, s</w:t>
      </w:r>
      <w:r w:rsidR="00FF18FE" w:rsidRPr="00AA2582">
        <w:rPr>
          <w:rFonts w:ascii="Times New Roman" w:hAnsi="Times New Roman" w:cs="Times New Roman"/>
          <w:sz w:val="24"/>
          <w:szCs w:val="24"/>
          <w:lang w:val="en-GB"/>
        </w:rPr>
        <w:t>uch a discrepancy was not anticipated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 xml:space="preserve">: it </w:t>
      </w:r>
      <w:r w:rsidR="00FF18FE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is an important reminder </w:t>
      </w:r>
      <w:r w:rsidR="00E51CA9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FF18FE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how </w:t>
      </w:r>
      <w:r w:rsidR="006A7E9F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sample </w:t>
      </w:r>
      <w:r w:rsidR="00FF18FE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inhomogeneity and </w:t>
      </w:r>
      <w:r w:rsidR="006A7E9F" w:rsidRPr="00AA2582">
        <w:rPr>
          <w:rFonts w:ascii="Times New Roman" w:hAnsi="Times New Roman" w:cs="Times New Roman"/>
          <w:sz w:val="24"/>
          <w:szCs w:val="24"/>
          <w:lang w:val="en-GB"/>
        </w:rPr>
        <w:t>sampling method</w:t>
      </w:r>
      <w:r w:rsidR="00FF18FE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can create significant bias.</w:t>
      </w:r>
    </w:p>
    <w:p w14:paraId="40E3CA8F" w14:textId="76099402" w:rsidR="00852237" w:rsidRPr="00AA2582" w:rsidRDefault="001146E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>Triplicate analyses of the samples varied typically less than 25% (2SD) for</w:t>
      </w:r>
      <w:r w:rsidR="006D4F7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the most important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elements</w:t>
      </w:r>
      <w:r w:rsidR="006D4F7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(Cu, Zn, As, Pd, Ag, Sn, Sb, Te, Pt, Au, Pb and Bi)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Variation was the lowest for the elements Au (</w:t>
      </w:r>
      <w:r w:rsidR="008231B2" w:rsidRPr="00AA2582">
        <w:rPr>
          <w:rFonts w:ascii="Times New Roman" w:hAnsi="Times New Roman" w:cs="Times New Roman"/>
          <w:sz w:val="24"/>
          <w:szCs w:val="24"/>
          <w:lang w:val="en-GB"/>
        </w:rPr>
        <w:t>mean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6%), Cu (</w:t>
      </w:r>
      <w:r w:rsidR="008231B2" w:rsidRPr="00AA2582">
        <w:rPr>
          <w:rFonts w:ascii="Times New Roman" w:hAnsi="Times New Roman" w:cs="Times New Roman"/>
          <w:sz w:val="24"/>
          <w:szCs w:val="24"/>
          <w:lang w:val="en-GB"/>
        </w:rPr>
        <w:t>mean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17%) and Bi (</w:t>
      </w:r>
      <w:r w:rsidR="008231B2" w:rsidRPr="00AA2582">
        <w:rPr>
          <w:rFonts w:ascii="Times New Roman" w:hAnsi="Times New Roman" w:cs="Times New Roman"/>
          <w:sz w:val="24"/>
          <w:szCs w:val="24"/>
          <w:lang w:val="en-GB"/>
        </w:rPr>
        <w:t>mean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17%) and highest for As (</w:t>
      </w:r>
      <w:r w:rsidR="008231B2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mean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36%), Te (</w:t>
      </w:r>
      <w:r w:rsidR="008231B2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mean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44%) and Zn (</w:t>
      </w:r>
      <w:r w:rsidR="008231B2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mean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45%).</w:t>
      </w:r>
    </w:p>
    <w:p w14:paraId="33F3F9C9" w14:textId="7AB83741" w:rsidR="001146EC" w:rsidRDefault="001146E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>During elemental analysis it was discovered that two coins are forgeries. Coin 43 is made of 99.97% Ag with only traces of Au (</w:t>
      </w:r>
      <w:r w:rsidR="006D4F78" w:rsidRPr="00AA2582">
        <w:rPr>
          <w:rFonts w:ascii="Times New Roman" w:hAnsi="Times New Roman" w:cs="Times New Roman"/>
          <w:sz w:val="24"/>
          <w:szCs w:val="24"/>
          <w:lang w:val="en-GB"/>
        </w:rPr>
        <w:t>230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ppm)</w:t>
      </w:r>
      <w:r w:rsidR="006D4F78" w:rsidRPr="00AA258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Cu (</w:t>
      </w:r>
      <w:r w:rsidR="006D4F78" w:rsidRPr="00AA258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00ppm)</w:t>
      </w:r>
      <w:r w:rsidR="006D4F78" w:rsidRPr="00AA2582">
        <w:rPr>
          <w:rFonts w:ascii="Times New Roman" w:hAnsi="Times New Roman" w:cs="Times New Roman"/>
          <w:sz w:val="24"/>
          <w:szCs w:val="24"/>
          <w:lang w:val="en-GB"/>
        </w:rPr>
        <w:t>, Pt (15ppm) and Pd</w:t>
      </w:r>
      <w:r w:rsidR="00465D00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4F78" w:rsidRPr="00AA2582">
        <w:rPr>
          <w:rFonts w:ascii="Times New Roman" w:hAnsi="Times New Roman" w:cs="Times New Roman"/>
          <w:sz w:val="24"/>
          <w:szCs w:val="24"/>
          <w:lang w:val="en-GB"/>
        </w:rPr>
        <w:t>(0.2ppm)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No other element was detected. This is likely modern and refined using electrochemical process. Coin 27 is made of copper. In depth profile of the spectra </w:t>
      </w:r>
      <w:r w:rsidR="008231B2" w:rsidRPr="00AA2582">
        <w:rPr>
          <w:rFonts w:ascii="Times New Roman" w:hAnsi="Times New Roman" w:cs="Times New Roman"/>
          <w:sz w:val="24"/>
          <w:szCs w:val="24"/>
          <w:lang w:val="en-GB"/>
        </w:rPr>
        <w:t>there is a slight trace of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silver </w:t>
      </w:r>
      <w:r w:rsidR="008231B2" w:rsidRPr="00AA2582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the surface, so </w:t>
      </w:r>
      <w:r w:rsidR="008231B2" w:rsidRPr="00AA2582">
        <w:rPr>
          <w:rFonts w:ascii="Times New Roman" w:hAnsi="Times New Roman" w:cs="Times New Roman"/>
          <w:sz w:val="24"/>
          <w:szCs w:val="24"/>
          <w:lang w:val="en-GB"/>
        </w:rPr>
        <w:t>the coin may have once been silver coated but may have been lost through use and abrasion.</w:t>
      </w:r>
    </w:p>
    <w:p w14:paraId="082CC51C" w14:textId="77777777" w:rsidR="00C61DE5" w:rsidRPr="00AA2582" w:rsidRDefault="00C61DE5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07B0F31" w14:textId="2829910C" w:rsidR="00852237" w:rsidRPr="00C61DE5" w:rsidRDefault="00852237" w:rsidP="00AA258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61DE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Pb </w:t>
      </w:r>
      <w:r w:rsidR="00C61DE5">
        <w:rPr>
          <w:rFonts w:ascii="Times New Roman" w:hAnsi="Times New Roman" w:cs="Times New Roman"/>
          <w:i/>
          <w:iCs/>
          <w:sz w:val="24"/>
          <w:szCs w:val="24"/>
          <w:lang w:val="en-GB"/>
        </w:rPr>
        <w:t>i</w:t>
      </w:r>
      <w:r w:rsidRPr="00C61DE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sotope </w:t>
      </w:r>
      <w:r w:rsidR="00C61DE5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 w:rsidRPr="00C61DE5">
        <w:rPr>
          <w:rFonts w:ascii="Times New Roman" w:hAnsi="Times New Roman" w:cs="Times New Roman"/>
          <w:i/>
          <w:iCs/>
          <w:sz w:val="24"/>
          <w:szCs w:val="24"/>
          <w:lang w:val="en-GB"/>
        </w:rPr>
        <w:t>nalysis</w:t>
      </w:r>
    </w:p>
    <w:p w14:paraId="2357B956" w14:textId="00A140E6" w:rsidR="000A361C" w:rsidRPr="00AA2582" w:rsidRDefault="00852237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lastRenderedPageBreak/>
        <w:t>T</w:t>
      </w:r>
      <w:r w:rsidR="00306DC9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FF0B66" w:rsidRPr="00AA2582">
        <w:rPr>
          <w:rFonts w:ascii="Times New Roman" w:hAnsi="Times New Roman" w:cs="Times New Roman"/>
          <w:sz w:val="24"/>
          <w:szCs w:val="24"/>
          <w:lang w:val="en-GB"/>
        </w:rPr>
        <w:t>pLA</w:t>
      </w:r>
      <w:r w:rsidR="00306DC9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successfully sampled all material</w:t>
      </w:r>
      <w:r w:rsidR="000A2256" w:rsidRPr="00AA2582">
        <w:rPr>
          <w:rFonts w:ascii="Times New Roman" w:hAnsi="Times New Roman" w:cs="Times New Roman"/>
          <w:sz w:val="24"/>
          <w:szCs w:val="24"/>
          <w:lang w:val="en-GB"/>
        </w:rPr>
        <w:t>, all sample filters having between 500</w:t>
      </w:r>
      <w:r w:rsidR="00C61DE5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0A2256" w:rsidRPr="00AA2582">
        <w:rPr>
          <w:rFonts w:ascii="Times New Roman" w:hAnsi="Times New Roman" w:cs="Times New Roman"/>
          <w:sz w:val="24"/>
          <w:szCs w:val="24"/>
          <w:lang w:val="en-GB"/>
        </w:rPr>
        <w:t>1000ng of Pb</w:t>
      </w:r>
      <w:r w:rsidR="00306DC9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A361C" w:rsidRPr="00AA2582">
        <w:rPr>
          <w:rFonts w:ascii="Times New Roman" w:hAnsi="Times New Roman" w:cs="Times New Roman"/>
          <w:sz w:val="24"/>
          <w:szCs w:val="24"/>
          <w:lang w:val="en-GB"/>
        </w:rPr>
        <w:t>The calculated blank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A361C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were between 30 and 200pg, &lt;0.1% of the average sampled Pb, therefore the blank contribution is considered negligible.</w:t>
      </w:r>
    </w:p>
    <w:p w14:paraId="7EC32DC9" w14:textId="65A3D931" w:rsidR="000A2256" w:rsidRPr="00AA2582" w:rsidRDefault="000A2256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The three analysed reference materials were within error of the values obtained using the same method shown in Merkel </w:t>
      </w:r>
      <w:r w:rsidR="00C61DE5" w:rsidRPr="00C61DE5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Pr="00C61DE5">
        <w:rPr>
          <w:rFonts w:ascii="Times New Roman" w:hAnsi="Times New Roman" w:cs="Times New Roman"/>
          <w:i/>
          <w:iCs/>
          <w:sz w:val="24"/>
          <w:szCs w:val="24"/>
          <w:lang w:val="en-GB"/>
        </w:rPr>
        <w:t>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(202</w:t>
      </w:r>
      <w:r w:rsidR="006A7E9F" w:rsidRPr="00AA258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). MBH</w:t>
      </w:r>
      <w:r w:rsidR="00F44EB7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133X-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AGA3, one of the three reference materials</w:t>
      </w:r>
      <w:r w:rsidR="00E51CA9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sampled in the present study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, is the one that has the most similar matrix to the analysed silver coins</w:t>
      </w:r>
      <w:r w:rsidR="00F44EB7" w:rsidRPr="00AA2582">
        <w:rPr>
          <w:rFonts w:ascii="Times New Roman" w:hAnsi="Times New Roman" w:cs="Times New Roman"/>
          <w:sz w:val="24"/>
          <w:szCs w:val="24"/>
          <w:lang w:val="en-GB"/>
        </w:rPr>
        <w:t>. The 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ong-term reproducibility</w:t>
      </w:r>
      <w:r w:rsidR="00F44EB7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of AGA3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, based on the values obtained in Merkel </w:t>
      </w:r>
      <w:r w:rsidR="00AA2582" w:rsidRPr="00AA2582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. (202</w:t>
      </w:r>
      <w:r w:rsidR="006A7E9F" w:rsidRPr="00AA2582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):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206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Pb/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204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Pb 0.006,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207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Pb/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204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Pb 0.009,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208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Pb/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204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Pb 0.028,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207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Pb/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206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Pb 0.0002 and 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208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Pb/</w:t>
      </w:r>
      <w:r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206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Pb 0.0009).</w:t>
      </w:r>
      <w:r w:rsidR="00F44EB7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These values best estimate analytical precision for the present study.</w:t>
      </w:r>
    </w:p>
    <w:p w14:paraId="016F5EE2" w14:textId="0E3A49D1" w:rsidR="00FF0B66" w:rsidRPr="00AA2582" w:rsidRDefault="007262DE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>Of the 3</w:t>
      </w:r>
      <w:r w:rsidR="000A361C" w:rsidRPr="00AA2582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duplicate filters, there was only one </w:t>
      </w:r>
      <w:r w:rsidR="000A225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pair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with discordant results. </w:t>
      </w:r>
      <w:r w:rsidR="00F86D57" w:rsidRPr="00AA2582">
        <w:rPr>
          <w:rFonts w:ascii="Times New Roman" w:hAnsi="Times New Roman" w:cs="Times New Roman"/>
          <w:sz w:val="24"/>
          <w:szCs w:val="24"/>
          <w:lang w:val="en-GB"/>
        </w:rPr>
        <w:t>These are the two filters from Coin 13. Memory effect from the previous coin can be ruled out because the laser heads were alternated between samples to be cleaned</w:t>
      </w:r>
      <w:r w:rsidR="000A2256" w:rsidRPr="00AA2582">
        <w:rPr>
          <w:rFonts w:ascii="Times New Roman" w:hAnsi="Times New Roman" w:cs="Times New Roman"/>
          <w:sz w:val="24"/>
          <w:szCs w:val="24"/>
          <w:lang w:val="en-GB"/>
        </w:rPr>
        <w:t>. T</w:t>
      </w:r>
      <w:r w:rsidR="00F86D57" w:rsidRPr="00AA2582">
        <w:rPr>
          <w:rFonts w:ascii="Times New Roman" w:hAnsi="Times New Roman" w:cs="Times New Roman"/>
          <w:sz w:val="24"/>
          <w:szCs w:val="24"/>
          <w:lang w:val="en-GB"/>
        </w:rPr>
        <w:t>he previous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>ly</w:t>
      </w:r>
      <w:r w:rsidR="00F86D57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measured coin is Coin 11</w:t>
      </w:r>
      <w:r w:rsidR="006A0284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F86D57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bears no resemblance isotopically. The </w:t>
      </w:r>
      <w:r w:rsidR="000A2256" w:rsidRPr="00AA2582">
        <w:rPr>
          <w:rFonts w:ascii="Times New Roman" w:hAnsi="Times New Roman" w:cs="Times New Roman"/>
          <w:sz w:val="24"/>
          <w:szCs w:val="24"/>
          <w:lang w:val="en-GB"/>
        </w:rPr>
        <w:t>simplest</w:t>
      </w:r>
      <w:r w:rsidR="00F86D57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explanation is that isotope ratios on the obverse and reverse are different</w:t>
      </w:r>
      <w:r w:rsidR="000A225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, which was </w:t>
      </w:r>
      <w:r w:rsidR="00F86D57" w:rsidRPr="00AA2582">
        <w:rPr>
          <w:rFonts w:ascii="Times New Roman" w:hAnsi="Times New Roman" w:cs="Times New Roman"/>
          <w:sz w:val="24"/>
          <w:szCs w:val="24"/>
          <w:lang w:val="en-GB"/>
        </w:rPr>
        <w:t>possibly caused by contamination of other metal in the burial environment</w:t>
      </w:r>
      <w:r w:rsidR="00BF1020" w:rsidRPr="00AA258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86D57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225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The results of Coin 13 were not considered in this study. The rest of the duplicates invariably show that discrepancies of this kind are </w:t>
      </w:r>
      <w:r w:rsidR="006A0284" w:rsidRPr="00AA2582">
        <w:rPr>
          <w:rFonts w:ascii="Times New Roman" w:hAnsi="Times New Roman" w:cs="Times New Roman"/>
          <w:sz w:val="24"/>
          <w:szCs w:val="24"/>
          <w:lang w:val="en-GB"/>
        </w:rPr>
        <w:t>extraordinarily</w:t>
      </w:r>
      <w:r w:rsidR="000A225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rare.</w:t>
      </w:r>
    </w:p>
    <w:p w14:paraId="43DF7D1F" w14:textId="77777777" w:rsidR="00CE60D7" w:rsidRPr="00AA2582" w:rsidRDefault="00CE60D7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2AA914" wp14:editId="4F0C9ADB">
            <wp:extent cx="4860000" cy="8470936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84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E254" w14:textId="39931FBF" w:rsidR="00CE60D7" w:rsidRDefault="00CE60D7" w:rsidP="00AA258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t>Figure S1</w:t>
      </w:r>
      <w:r w:rsidR="00AE4608" w:rsidRP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P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Analyses of MBH 133X-AGA-1 and three coin fragments used as reference materials. The y-axis are the LA-ICP-MS analyses from this study compared to x-axis </w:t>
      </w:r>
      <w:r w:rsidRP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lastRenderedPageBreak/>
        <w:t xml:space="preserve">solution-based ICPMS/OES results from other labs: MBH AGA-1, certificate value; Dirham Ph.8 and Ph.54, University of Oxford (Merkel </w:t>
      </w:r>
      <w:r w:rsidR="00AA2582" w:rsidRPr="00551F01">
        <w:rPr>
          <w:rFonts w:ascii="Times New Roman" w:hAnsi="Times New Roman" w:cs="Times New Roman"/>
          <w:sz w:val="24"/>
          <w:szCs w:val="24"/>
          <w:lang w:val="en-GB"/>
        </w:rPr>
        <w:t>et al</w:t>
      </w:r>
      <w:r w:rsidRP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t>2023</w:t>
      </w:r>
      <w:r w:rsidRP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); Denar 27, Deutsches Bergbau-Museum Bochum. </w:t>
      </w:r>
    </w:p>
    <w:p w14:paraId="5CAFB0D0" w14:textId="5B1F12EC" w:rsidR="00551F01" w:rsidRDefault="00551F01" w:rsidP="00AA258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5225CF22" w14:textId="77777777" w:rsidR="00551F01" w:rsidRPr="00551F01" w:rsidRDefault="00551F01" w:rsidP="00AA258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67F8E5F4" w14:textId="433EE736" w:rsidR="004E01E5" w:rsidRPr="00AA2582" w:rsidRDefault="00551F01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</w:t>
      </w:r>
      <w:r w:rsidR="009E01DB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631140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CE60D7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Data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="00CE60D7" w:rsidRPr="00AA2582">
        <w:rPr>
          <w:rFonts w:ascii="Times New Roman" w:hAnsi="Times New Roman" w:cs="Times New Roman"/>
          <w:b/>
          <w:bCs/>
          <w:sz w:val="24"/>
          <w:szCs w:val="24"/>
          <w:lang w:val="en-GB"/>
        </w:rPr>
        <w:t>nalysis</w:t>
      </w:r>
    </w:p>
    <w:p w14:paraId="2308FE61" w14:textId="15B1D17E" w:rsidR="00392430" w:rsidRPr="00AA2582" w:rsidRDefault="00392430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In addition to using traditional bi-variate plots to investigate patterns in the elemental and isotopic data, the program R was used to carry out a </w:t>
      </w:r>
      <w:r w:rsidR="00CE60D7" w:rsidRPr="00AA2582">
        <w:rPr>
          <w:rFonts w:ascii="Times New Roman" w:hAnsi="Times New Roman" w:cs="Times New Roman"/>
          <w:sz w:val="24"/>
          <w:szCs w:val="24"/>
          <w:lang w:val="en-GB"/>
        </w:rPr>
        <w:t>principal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component analysis (PCA), combining 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>the Pb isotope ratios and concentrations of source related elements (Au, Bi, Pt, Te and Pd)</w:t>
      </w:r>
      <w:r w:rsidR="00EB4D9D">
        <w:rPr>
          <w:rFonts w:ascii="Times New Roman" w:hAnsi="Times New Roman" w:cs="Times New Roman"/>
          <w:sz w:val="24"/>
          <w:szCs w:val="24"/>
          <w:lang w:val="en-GB"/>
        </w:rPr>
        <w:t xml:space="preserve"> (Figure S3)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The results indicate tha</w:t>
      </w:r>
      <w:r w:rsidR="00500424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 the first three components contain 90% of the variability and that the </w:t>
      </w:r>
      <w:r w:rsidR="004D0E93" w:rsidRPr="00AA2582">
        <w:rPr>
          <w:rFonts w:ascii="Times New Roman" w:hAnsi="Times New Roman" w:cs="Times New Roman"/>
          <w:sz w:val="24"/>
          <w:szCs w:val="24"/>
          <w:lang w:val="en-GB"/>
        </w:rPr>
        <w:t>most variation is found in the variables</w:t>
      </w:r>
      <w:r w:rsidR="00500424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0E93"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206</w:t>
      </w:r>
      <w:r w:rsidR="004D0E93" w:rsidRPr="00AA2582">
        <w:rPr>
          <w:rFonts w:ascii="Times New Roman" w:hAnsi="Times New Roman" w:cs="Times New Roman"/>
          <w:sz w:val="24"/>
          <w:szCs w:val="24"/>
          <w:lang w:val="en-GB"/>
        </w:rPr>
        <w:t>Pb/</w:t>
      </w:r>
      <w:r w:rsidR="004D0E93"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204</w:t>
      </w:r>
      <w:r w:rsidR="004D0E93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Pb, </w:t>
      </w:r>
      <w:r w:rsidR="004D0E93"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208</w:t>
      </w:r>
      <w:r w:rsidR="004D0E93" w:rsidRPr="00AA2582">
        <w:rPr>
          <w:rFonts w:ascii="Times New Roman" w:hAnsi="Times New Roman" w:cs="Times New Roman"/>
          <w:sz w:val="24"/>
          <w:szCs w:val="24"/>
          <w:lang w:val="en-GB"/>
        </w:rPr>
        <w:t>Pb/</w:t>
      </w:r>
      <w:r w:rsidR="004D0E93"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204</w:t>
      </w:r>
      <w:r w:rsidR="004D0E93" w:rsidRPr="00AA2582">
        <w:rPr>
          <w:rFonts w:ascii="Times New Roman" w:hAnsi="Times New Roman" w:cs="Times New Roman"/>
          <w:sz w:val="24"/>
          <w:szCs w:val="24"/>
          <w:lang w:val="en-GB"/>
        </w:rPr>
        <w:t>Pb, Au, Pt and Bi.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The PCA analysis is plotted in Figure S2, which shows that the coin data divide into two main groups</w:t>
      </w:r>
      <w:r w:rsidR="00840159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those minted before AD 750 and those minted after. There </w:t>
      </w:r>
      <w:r w:rsidR="00551F01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no systematic differences </w:t>
      </w:r>
      <w:r w:rsidR="00840159">
        <w:rPr>
          <w:rFonts w:ascii="Times New Roman" w:hAnsi="Times New Roman" w:cs="Times New Roman"/>
          <w:sz w:val="24"/>
          <w:szCs w:val="24"/>
          <w:lang w:val="en-GB"/>
        </w:rPr>
        <w:t>within</w:t>
      </w:r>
      <w:r w:rsidR="00840159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the early group </w:t>
      </w:r>
      <w:r w:rsidR="00840159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>coins (Merovingian</w:t>
      </w:r>
      <w:r w:rsidR="00840159">
        <w:rPr>
          <w:rFonts w:ascii="Times New Roman" w:hAnsi="Times New Roman" w:cs="Times New Roman"/>
          <w:sz w:val="24"/>
          <w:szCs w:val="24"/>
          <w:lang w:val="en-GB"/>
        </w:rPr>
        <w:t xml:space="preserve"> denarii and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2A71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arly </w:t>
      </w:r>
      <w:r w:rsidR="00FD2A71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ennies </w:t>
      </w:r>
      <w:r w:rsidR="00840159"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>Frisia and England). In the late group, the PCA groups most of the Carolingian coins (Charlemagne and Louis the Pious) and the Anglo-Saxon coins (Offa/Coenwulf) together.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AE4608" w:rsidRPr="00AF7AAA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coins, 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 xml:space="preserve">namely 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>the denarius of Pipin and the KG3-type coin from Denmark</w:t>
      </w:r>
      <w:r w:rsidR="0052139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E4608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are more similar to the late group.</w:t>
      </w:r>
    </w:p>
    <w:p w14:paraId="08F85743" w14:textId="5E9B4CFB" w:rsidR="00CE60D7" w:rsidRPr="00AA2582" w:rsidRDefault="00AE4608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Individual </w:t>
      </w:r>
      <w:r w:rsidR="00A85507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two-variable </w:t>
      </w:r>
      <w:r w:rsidRPr="00AA2582">
        <w:rPr>
          <w:rFonts w:ascii="Times New Roman" w:hAnsi="Times New Roman" w:cs="Times New Roman"/>
          <w:sz w:val="24"/>
          <w:szCs w:val="24"/>
          <w:lang w:val="en-GB"/>
        </w:rPr>
        <w:t>scatter plots</w:t>
      </w:r>
      <w:r w:rsidR="00A85507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comparing the early (pre-750) and late (post-750) are shown in Figure S3. The scatterplots</w:t>
      </w:r>
      <w:r w:rsidR="00707DA6" w:rsidRPr="00AA2582">
        <w:rPr>
          <w:rFonts w:ascii="Times New Roman" w:hAnsi="Times New Roman" w:cs="Times New Roman"/>
          <w:sz w:val="24"/>
          <w:szCs w:val="24"/>
          <w:lang w:val="en-GB"/>
        </w:rPr>
        <w:t xml:space="preserve"> show that there is a nearly complete separation between the two groups using the variables </w:t>
      </w:r>
      <w:r w:rsidR="00707DA6"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206</w:t>
      </w:r>
      <w:r w:rsidR="00707DA6" w:rsidRPr="00AA2582">
        <w:rPr>
          <w:rFonts w:ascii="Times New Roman" w:hAnsi="Times New Roman" w:cs="Times New Roman"/>
          <w:sz w:val="24"/>
          <w:szCs w:val="24"/>
          <w:lang w:val="en-GB"/>
        </w:rPr>
        <w:t>Pb/</w:t>
      </w:r>
      <w:r w:rsidR="00707DA6" w:rsidRPr="00AA258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204</w:t>
      </w:r>
      <w:r w:rsidR="00707DA6" w:rsidRPr="00AA2582">
        <w:rPr>
          <w:rFonts w:ascii="Times New Roman" w:hAnsi="Times New Roman" w:cs="Times New Roman"/>
          <w:sz w:val="24"/>
          <w:szCs w:val="24"/>
          <w:lang w:val="en-GB"/>
        </w:rPr>
        <w:t>Pb, Au and Pt.</w:t>
      </w:r>
    </w:p>
    <w:p w14:paraId="125CB0D3" w14:textId="77777777" w:rsidR="00CE60D7" w:rsidRDefault="00CE60D7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91517A2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A7DF026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F9680B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D3C8599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9831D8B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16FE2C7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B00098C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AAFEF8E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1D0DE98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3AB3D8B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79FE4A9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A31E1EC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B0774C1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4C90867" w14:textId="77777777" w:rsidR="0052139C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AE34DA0" w14:textId="77777777" w:rsidR="0052139C" w:rsidRPr="00AA2582" w:rsidRDefault="0052139C" w:rsidP="00521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A25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DAD05A" wp14:editId="1C77E4D0">
            <wp:extent cx="5760720" cy="5730913"/>
            <wp:effectExtent l="0" t="0" r="0" b="3175"/>
            <wp:docPr id="134954439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3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5F2A8" w14:textId="77777777" w:rsidR="0052139C" w:rsidRPr="00551F01" w:rsidRDefault="0052139C" w:rsidP="0052139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Figure S2. Analyses of the coins from this study separated by chronology: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o</w:t>
      </w:r>
      <w:r w:rsidRP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t>range, early phase (</w:t>
      </w:r>
      <w:r w:rsidRPr="00551F0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t>. 670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P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750) and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b</w:t>
      </w:r>
      <w:r w:rsidRP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t>lue, late phase (</w:t>
      </w:r>
      <w:r w:rsidRPr="00551F0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t>. 754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Pr="00551F01">
        <w:rPr>
          <w:rFonts w:ascii="Times New Roman" w:hAnsi="Times New Roman" w:cs="Times New Roman"/>
          <w:i/>
          <w:iCs/>
          <w:sz w:val="24"/>
          <w:szCs w:val="24"/>
          <w:lang w:val="en-GB"/>
        </w:rPr>
        <w:t>822).</w:t>
      </w:r>
    </w:p>
    <w:p w14:paraId="30FF6D18" w14:textId="77777777" w:rsidR="0052139C" w:rsidRPr="00AA2582" w:rsidRDefault="0052139C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B97D1D5" w14:textId="5EF83A04" w:rsidR="00392430" w:rsidRPr="00AA2582" w:rsidRDefault="00E02B92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7AAA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3B5D147" wp14:editId="2D60BD8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76854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D9D" w:rsidRPr="00AF7AA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Figure S3. Principle component analysis of the </w:t>
      </w:r>
      <w:r w:rsidR="00BC0E33" w:rsidRPr="00AF7AAA">
        <w:rPr>
          <w:rFonts w:ascii="Times New Roman" w:hAnsi="Times New Roman" w:cs="Times New Roman"/>
          <w:i/>
          <w:iCs/>
          <w:sz w:val="24"/>
          <w:szCs w:val="24"/>
          <w:lang w:val="en-GB"/>
        </w:rPr>
        <w:t>investigated coins:</w:t>
      </w:r>
      <w:r w:rsidR="00EB4D9D" w:rsidRPr="00AF7AA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</w:t>
      </w:r>
      <w:r w:rsidR="00AF7AAA"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="00EB4D9D" w:rsidRPr="00AF7AAA">
        <w:rPr>
          <w:rFonts w:ascii="Times New Roman" w:hAnsi="Times New Roman" w:cs="Times New Roman"/>
          <w:i/>
          <w:iCs/>
          <w:sz w:val="24"/>
          <w:szCs w:val="24"/>
          <w:lang w:val="en-GB"/>
        </w:rPr>
        <w:t>B) bi-plots of the first three components, C</w:t>
      </w:r>
      <w:r w:rsidR="00AF7AAA">
        <w:rPr>
          <w:rFonts w:ascii="Times New Roman" w:hAnsi="Times New Roman" w:cs="Times New Roman"/>
          <w:i/>
          <w:iCs/>
          <w:sz w:val="24"/>
          <w:szCs w:val="24"/>
          <w:lang w:val="en-GB"/>
        </w:rPr>
        <w:t>–</w:t>
      </w:r>
      <w:r w:rsidR="00EB4D9D" w:rsidRPr="00AF7AA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D) the variable contributions in the first three components and E) </w:t>
      </w:r>
      <w:r w:rsidR="00BC0E33" w:rsidRPr="00AF7AAA">
        <w:rPr>
          <w:rFonts w:ascii="Times New Roman" w:hAnsi="Times New Roman" w:cs="Times New Roman"/>
          <w:i/>
          <w:iCs/>
          <w:sz w:val="24"/>
          <w:szCs w:val="24"/>
          <w:lang w:val="en-GB"/>
        </w:rPr>
        <w:t>Scree plot indicating that the first three components explain most of the variability in the dataset.</w:t>
      </w:r>
      <w:r w:rsidR="00BC0E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B4D9D" w:rsidDel="00EB4D9D">
        <w:rPr>
          <w:rStyle w:val="CommentReference"/>
          <w:lang w:val="en-GB"/>
        </w:rPr>
        <w:t xml:space="preserve"> </w:t>
      </w:r>
    </w:p>
    <w:p w14:paraId="31F1B6EC" w14:textId="75769F41" w:rsidR="00392430" w:rsidRPr="00AA2582" w:rsidRDefault="00392430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2C86B4F" w14:textId="77777777" w:rsidR="00CE60D7" w:rsidRPr="00AA2582" w:rsidRDefault="00CE60D7" w:rsidP="00AA2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6E52635" w14:textId="77777777" w:rsidR="00707DA6" w:rsidRPr="00AA2582" w:rsidRDefault="00707DA6" w:rsidP="00AA25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707DA6" w:rsidRPr="00AA2582" w:rsidSect="000E034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BB27A0E" w14:textId="3EA2F11D" w:rsidR="00017462" w:rsidRPr="00551F01" w:rsidRDefault="00017462" w:rsidP="00551F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F0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29DFA63" w14:textId="77777777" w:rsidR="00D22847" w:rsidRPr="00527D5E" w:rsidRDefault="00D22847" w:rsidP="00D228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7AAA">
        <w:rPr>
          <w:rFonts w:ascii="Times New Roman" w:hAnsi="Times New Roman" w:cs="Times New Roman"/>
          <w:smallCaps/>
          <w:sz w:val="24"/>
          <w:szCs w:val="24"/>
          <w:lang w:val="it-IT"/>
        </w:rPr>
        <w:t>Angelini, I., C. Canovaro, M. Venturino &amp; G. Artioli</w:t>
      </w:r>
      <w:r w:rsidRPr="00AF7AA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2019. The silver treasure of Marengo: silver provenancing and insights into late antiquity Roman and Gallo-Roman hoards. 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Archaeological and Anthropological Sciences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>11: 4959–70. https://doi.org/10.1007/s12520-019-00851-2</w:t>
      </w:r>
    </w:p>
    <w:p w14:paraId="719B657A" w14:textId="77777777" w:rsidR="00D22847" w:rsidRPr="00AF7AAA" w:rsidRDefault="00D22847" w:rsidP="00D228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7D5E">
        <w:rPr>
          <w:rFonts w:ascii="Times New Roman" w:hAnsi="Times New Roman" w:cs="Times New Roman"/>
          <w:smallCaps/>
          <w:sz w:val="24"/>
          <w:szCs w:val="24"/>
          <w:lang w:val="en-GB"/>
        </w:rPr>
        <w:t>Baratte, F., M. Menu, T. Berthoud, L.P. Hurtel &amp; I. Aghion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. 1985. Trois trésors d’argenterie, in J. Hours (ed.) 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>Recherches gallo-romaines I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: 11–68. 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>Paris: Editions de la Réunion des Musées Nationaux.</w:t>
      </w:r>
    </w:p>
    <w:p w14:paraId="7190FE64" w14:textId="77777777" w:rsidR="00D22847" w:rsidRPr="00527D5E" w:rsidRDefault="00D22847" w:rsidP="00D228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F7AAA">
        <w:rPr>
          <w:rFonts w:ascii="Times New Roman" w:hAnsi="Times New Roman" w:cs="Times New Roman"/>
          <w:bCs/>
          <w:smallCaps/>
          <w:sz w:val="24"/>
          <w:szCs w:val="24"/>
          <w:lang w:val="it-IT"/>
        </w:rPr>
        <w:t>Baron, S.</w:t>
      </w:r>
      <w:r w:rsidRPr="00AF7AAA">
        <w:rPr>
          <w:rFonts w:ascii="Times New Roman" w:hAnsi="Times New Roman" w:cs="Times New Roman"/>
          <w:smallCaps/>
          <w:sz w:val="24"/>
          <w:szCs w:val="24"/>
          <w:lang w:val="it-IT"/>
        </w:rPr>
        <w:t>, J. Carignan, S. Laurent &amp; A. Ploquin</w:t>
      </w:r>
      <w:r w:rsidRPr="00AF7AA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2006. Medieval lead making on Mont-Lozère massif (Cévennes-France): tracing ore sources using Pb isotopes. 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>Applied Geochemistry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 21: 241–52. https://doi.org/10.1016/j.apgeochem.2005.09.005</w:t>
      </w:r>
    </w:p>
    <w:p w14:paraId="627C32F2" w14:textId="77777777" w:rsidR="00D22847" w:rsidRPr="00527D5E" w:rsidRDefault="00D22847" w:rsidP="00D228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27D5E">
        <w:rPr>
          <w:rFonts w:ascii="Times New Roman" w:hAnsi="Times New Roman" w:cs="Times New Roman"/>
          <w:bCs/>
          <w:smallCaps/>
          <w:sz w:val="24"/>
          <w:szCs w:val="24"/>
          <w:lang w:val="en-GB"/>
        </w:rPr>
        <w:t>Bielicki, K.H. &amp; G. Tischendorf</w:t>
      </w:r>
      <w:r w:rsidRPr="00527D5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1991.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Lead isotope and Pb-Pb model age determinations of ores from central Europe and their metallogenetic interpretation. </w:t>
      </w:r>
      <w:r w:rsidRPr="00527D5E">
        <w:rPr>
          <w:rFonts w:ascii="Times New Roman" w:hAnsi="Times New Roman" w:cs="Times New Roman"/>
          <w:i/>
          <w:iCs/>
          <w:sz w:val="24"/>
          <w:szCs w:val="24"/>
        </w:rPr>
        <w:t>Contributions to Mineralogy and Petrology</w:t>
      </w:r>
      <w:r w:rsidRPr="00527D5E">
        <w:rPr>
          <w:rFonts w:ascii="Times New Roman" w:hAnsi="Times New Roman" w:cs="Times New Roman"/>
          <w:sz w:val="24"/>
          <w:szCs w:val="24"/>
        </w:rPr>
        <w:t xml:space="preserve"> 106: 440–61. https://doi.org/10.1007/BF00321987</w:t>
      </w:r>
    </w:p>
    <w:p w14:paraId="51BB480D" w14:textId="11970CA0" w:rsidR="00D22847" w:rsidRPr="00527D5E" w:rsidRDefault="00D22847" w:rsidP="00D228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27D5E">
        <w:rPr>
          <w:rFonts w:ascii="Times New Roman" w:hAnsi="Times New Roman" w:cs="Times New Roman"/>
          <w:bCs/>
          <w:smallCaps/>
          <w:sz w:val="24"/>
          <w:szCs w:val="24"/>
        </w:rPr>
        <w:t>Bode, M</w:t>
      </w:r>
      <w:r w:rsidRPr="00527D5E">
        <w:rPr>
          <w:rFonts w:ascii="Times New Roman" w:hAnsi="Times New Roman" w:cs="Times New Roman"/>
          <w:bCs/>
          <w:sz w:val="24"/>
          <w:szCs w:val="24"/>
        </w:rPr>
        <w:t xml:space="preserve">. 2008. </w:t>
      </w:r>
      <w:r w:rsidRPr="00527D5E">
        <w:rPr>
          <w:rFonts w:ascii="Times New Roman" w:hAnsi="Times New Roman" w:cs="Times New Roman"/>
          <w:sz w:val="24"/>
          <w:szCs w:val="24"/>
        </w:rPr>
        <w:t xml:space="preserve">Archäometallurgische Untersuchungen zur Blei-/Silbergewinnung im Germanien der Frühen Römischen Kaiserzeit.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>Unpublished</w:t>
      </w:r>
      <w:r w:rsidRPr="00527D5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>PhD dissertation, Westfälische Wilhelms-Universität Münster.</w:t>
      </w:r>
    </w:p>
    <w:p w14:paraId="18C80845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D5E">
        <w:rPr>
          <w:rFonts w:ascii="Times New Roman" w:hAnsi="Times New Roman" w:cs="Times New Roman"/>
          <w:smallCaps/>
          <w:sz w:val="24"/>
          <w:szCs w:val="24"/>
        </w:rPr>
        <w:t>Brill, R.H. &amp; W.R. Shields</w:t>
      </w:r>
      <w:r w:rsidRPr="00527D5E">
        <w:rPr>
          <w:rFonts w:ascii="Times New Roman" w:hAnsi="Times New Roman" w:cs="Times New Roman"/>
          <w:sz w:val="24"/>
          <w:szCs w:val="24"/>
        </w:rPr>
        <w:t xml:space="preserve">. 1972. Lead isotopes in ancient coins, in E.T. Hall &amp; D.M. Metcalf (ed.) </w:t>
      </w:r>
      <w:r w:rsidRPr="00527D5E">
        <w:rPr>
          <w:rFonts w:ascii="Times New Roman" w:hAnsi="Times New Roman" w:cs="Times New Roman"/>
          <w:i/>
          <w:iCs/>
          <w:sz w:val="24"/>
          <w:szCs w:val="24"/>
        </w:rPr>
        <w:t>Methods of chemical and metallurgical investigation of ancient coinage</w:t>
      </w:r>
      <w:r w:rsidRPr="00527D5E">
        <w:rPr>
          <w:rFonts w:ascii="Times New Roman" w:hAnsi="Times New Roman" w:cs="Times New Roman"/>
          <w:sz w:val="24"/>
          <w:szCs w:val="24"/>
        </w:rPr>
        <w:t>: 279–303. London: Royal Numismatic Society.</w:t>
      </w:r>
    </w:p>
    <w:p w14:paraId="4CF207F9" w14:textId="77777777" w:rsidR="00D22847" w:rsidRPr="00527D5E" w:rsidRDefault="00D22847" w:rsidP="00D228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27D5E">
        <w:rPr>
          <w:rFonts w:ascii="Times New Roman" w:hAnsi="Times New Roman" w:cs="Times New Roman"/>
          <w:smallCaps/>
          <w:sz w:val="24"/>
          <w:szCs w:val="24"/>
          <w:lang w:val="nl-NL"/>
        </w:rPr>
        <w:t>Cauet, S., D. Weis &amp; A. Herbosch</w:t>
      </w:r>
      <w:r w:rsidRPr="00527D5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1982. Genetic study of Belgian lead zinc mineralization in carbonate environments through lead isotopic geochemistry. 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>Bulletin BRGM, Orléans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>, II, 4: 329–41.</w:t>
      </w:r>
    </w:p>
    <w:p w14:paraId="7C28AB2D" w14:textId="77777777" w:rsidR="00D22847" w:rsidRPr="00527D5E" w:rsidRDefault="00D22847" w:rsidP="00D228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27D5E">
        <w:rPr>
          <w:rFonts w:ascii="Times New Roman" w:hAnsi="Times New Roman" w:cs="Times New Roman"/>
          <w:bCs/>
          <w:smallCaps/>
          <w:sz w:val="24"/>
          <w:szCs w:val="24"/>
          <w:lang w:val="en-GB"/>
        </w:rPr>
        <w:t>Durali-Müller, S</w:t>
      </w:r>
      <w:r w:rsidRPr="00527D5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2005.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>Roman lead and copper mining in Germany. Their origin and development trough time, deduced from lead and copper isotope provenance studies. Unpublished PhD dissertation, Goethe-Universität Frankfurt am Main.</w:t>
      </w:r>
    </w:p>
    <w:p w14:paraId="3F3BE7BE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27D5E">
        <w:rPr>
          <w:rFonts w:ascii="Times New Roman" w:hAnsi="Times New Roman" w:cs="Times New Roman"/>
          <w:smallCaps/>
          <w:sz w:val="24"/>
          <w:szCs w:val="24"/>
          <w:lang w:val="en-GB"/>
        </w:rPr>
        <w:t>Forel, B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527D5E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. 2010. Historical mining and smelting in the Vosges Mountains (France) recorded in two ombrotrophic peat bogs. 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Geochemical Exploration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 107: 9–20. https://doi.org/10.1016/j.gexplo.2010.05.004</w:t>
      </w:r>
    </w:p>
    <w:p w14:paraId="78362A61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27D5E">
        <w:rPr>
          <w:rFonts w:ascii="Times New Roman" w:hAnsi="Times New Roman" w:cs="Times New Roman"/>
          <w:smallCaps/>
          <w:sz w:val="24"/>
          <w:szCs w:val="24"/>
          <w:lang w:val="en-GB"/>
        </w:rPr>
        <w:t>Goemaere, E., S. Challe, S. de Longueville, T. Delbey &amp; D. Demaiffe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. 2022. Tracking the source of lead of medieval glazed pottery of the Meuse valley (Belgium) through lead isotope analysis. 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Archaeological Science: Reports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 42. https://doi.org/10.1016/j.jasrep.2022.103366</w:t>
      </w:r>
    </w:p>
    <w:p w14:paraId="3D76BCF9" w14:textId="77777777" w:rsidR="00D22847" w:rsidRPr="00AF7AAA" w:rsidRDefault="00D22847" w:rsidP="00D2284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F7AAA">
        <w:rPr>
          <w:rFonts w:ascii="Times New Roman" w:hAnsi="Times New Roman" w:cs="Times New Roman"/>
          <w:bCs/>
          <w:smallCaps/>
          <w:sz w:val="24"/>
          <w:szCs w:val="24"/>
          <w:lang w:val="fr-FR"/>
        </w:rPr>
        <w:lastRenderedPageBreak/>
        <w:t>Gratuze, B., C. Guerrot, D. Foy, A. Arles, F. Téreygeol &amp; S. Baron</w:t>
      </w:r>
      <w:r w:rsidRPr="00AF7AAA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2017. Les galets de verre au plomb carolingiens issus des scories de Melle: élaboration et distribution, in M. Bompaire &amp; G. Sarah (ed.) </w:t>
      </w:r>
      <w:r w:rsidRPr="00527D5E">
        <w:rPr>
          <w:rFonts w:ascii="Times New Roman" w:hAnsi="Times New Roman" w:cs="Times New Roman"/>
          <w:i/>
          <w:sz w:val="24"/>
          <w:szCs w:val="24"/>
          <w:lang w:val="fr-FR"/>
        </w:rPr>
        <w:t>Mine, métal, monnaie, Melle</w:t>
      </w:r>
      <w:r w:rsidRPr="00527D5E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AF7AA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87</w:t>
      </w:r>
      <w:r w:rsidRPr="00AF7AAA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Pr="00AF7AA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110. </w:t>
      </w:r>
      <w:r w:rsidRPr="00527D5E">
        <w:rPr>
          <w:rFonts w:ascii="Times New Roman" w:hAnsi="Times New Roman" w:cs="Times New Roman"/>
          <w:sz w:val="24"/>
          <w:szCs w:val="24"/>
          <w:lang w:val="fr-FR"/>
        </w:rPr>
        <w:t>Genève: Droz.</w:t>
      </w:r>
    </w:p>
    <w:p w14:paraId="0F3C63F1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7AAA">
        <w:rPr>
          <w:rFonts w:ascii="Times New Roman" w:hAnsi="Times New Roman" w:cs="Times New Roman"/>
          <w:smallCaps/>
          <w:sz w:val="24"/>
          <w:szCs w:val="24"/>
          <w:lang w:val="it-IT"/>
        </w:rPr>
        <w:t>Guénette-Beck, B., N. Meisser &amp; P. Curdy</w:t>
      </w:r>
      <w:r w:rsidRPr="00AF7AA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 xml:space="preserve">2009.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New insights into the ancient silver production of the Wallis area, Switzerland. 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>Archaeological and Anthropological Science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 1: 215–29. https://doi.org/10.1007/s12520-009-0014-3</w:t>
      </w:r>
    </w:p>
    <w:p w14:paraId="1AD2D2F8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27D5E">
        <w:rPr>
          <w:rFonts w:ascii="Times New Roman" w:hAnsi="Times New Roman" w:cs="Times New Roman"/>
          <w:smallCaps/>
          <w:sz w:val="24"/>
          <w:szCs w:val="24"/>
          <w:lang w:val="en-GB"/>
        </w:rPr>
        <w:t>Halter, W., T. Pettke, C.A. Heinrich &amp; R. Rothen-Rutishauser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. 2002. Major to trace element analysis of melt inclusions by laser-ablation ICP-MS: methods of quantification. 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>Chemical Geology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 183: 63–86. https://doi.org/10.1016/S0009-2541(01)00372-2</w:t>
      </w:r>
    </w:p>
    <w:p w14:paraId="47622968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D5E">
        <w:rPr>
          <w:rFonts w:ascii="Times New Roman" w:hAnsi="Times New Roman" w:cs="Times New Roman"/>
          <w:smallCaps/>
          <w:sz w:val="24"/>
          <w:szCs w:val="24"/>
        </w:rPr>
        <w:t>Karagiorgou, O., S. Merkel &amp; M. Wołoszyn</w:t>
      </w:r>
      <w:r w:rsidRPr="00527D5E">
        <w:rPr>
          <w:rFonts w:ascii="Times New Roman" w:hAnsi="Times New Roman" w:cs="Times New Roman"/>
          <w:sz w:val="24"/>
          <w:szCs w:val="24"/>
        </w:rPr>
        <w:t xml:space="preserve">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2021. A contribution to the technology and sources of lead in Byzantium: lead isotope analysis of ten Byzantine seals. </w:t>
      </w:r>
      <w:r w:rsidRPr="00527D5E">
        <w:rPr>
          <w:rFonts w:ascii="Times New Roman" w:hAnsi="Times New Roman" w:cs="Times New Roman"/>
          <w:i/>
          <w:iCs/>
          <w:sz w:val="24"/>
          <w:szCs w:val="24"/>
        </w:rPr>
        <w:t>Byzantinische Zeitschrift</w:t>
      </w:r>
      <w:r w:rsidRPr="00527D5E">
        <w:rPr>
          <w:rFonts w:ascii="Times New Roman" w:hAnsi="Times New Roman" w:cs="Times New Roman"/>
          <w:sz w:val="24"/>
          <w:szCs w:val="24"/>
        </w:rPr>
        <w:t xml:space="preserve"> 114(3): 1161–204. https://doi.org/10.1515/bz-2021-0058</w:t>
      </w:r>
    </w:p>
    <w:p w14:paraId="1BDB5958" w14:textId="77777777" w:rsidR="00D22847" w:rsidRPr="00527D5E" w:rsidRDefault="00D22847" w:rsidP="00D228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27D5E">
        <w:rPr>
          <w:rFonts w:ascii="Times New Roman" w:hAnsi="Times New Roman" w:cs="Times New Roman"/>
          <w:smallCaps/>
          <w:sz w:val="24"/>
          <w:szCs w:val="24"/>
        </w:rPr>
        <w:t>Knaf, C.S., J.M. Koornneef &amp; G.R. Davies</w:t>
      </w:r>
      <w:r w:rsidRPr="00527D5E">
        <w:rPr>
          <w:rFonts w:ascii="Times New Roman" w:hAnsi="Times New Roman" w:cs="Times New Roman"/>
          <w:sz w:val="24"/>
          <w:szCs w:val="24"/>
        </w:rPr>
        <w:t xml:space="preserve">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>2017. “Non-invasive” portable laser ablation sampling of art and archaeological materials with subsequent Sr-Nd isotope analysis by TIMS using 10</w:t>
      </w:r>
      <w:r w:rsidRPr="00527D5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13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 Ω ampliers. 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Analytical Atomic Spectrometry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 32: 2210–16. https://doi.org/10.1039/C7JA00191F</w:t>
      </w:r>
    </w:p>
    <w:p w14:paraId="48FF4149" w14:textId="77777777" w:rsidR="00D22847" w:rsidRPr="00527D5E" w:rsidRDefault="00D22847" w:rsidP="00D228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27D5E">
        <w:rPr>
          <w:rFonts w:ascii="Times New Roman" w:hAnsi="Times New Roman" w:cs="Times New Roman"/>
          <w:bCs/>
          <w:smallCaps/>
          <w:sz w:val="24"/>
          <w:szCs w:val="24"/>
          <w:lang w:val="en-GB"/>
        </w:rPr>
        <w:t>Krahn, L. &amp; A. Baumann</w:t>
      </w:r>
      <w:r w:rsidRPr="00527D5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1996.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Lead isotope systematics of epigenetic lead-zinc mineralization in the western part of the Rheinisches Schiefergebirge, Germany. </w:t>
      </w:r>
      <w:r w:rsidRPr="00527D5E">
        <w:rPr>
          <w:rFonts w:ascii="Times New Roman" w:hAnsi="Times New Roman" w:cs="Times New Roman"/>
          <w:i/>
          <w:iCs/>
          <w:sz w:val="24"/>
          <w:szCs w:val="24"/>
        </w:rPr>
        <w:t>Mineralium Deposita</w:t>
      </w:r>
      <w:r w:rsidRPr="00527D5E">
        <w:rPr>
          <w:rFonts w:ascii="Times New Roman" w:hAnsi="Times New Roman" w:cs="Times New Roman"/>
          <w:sz w:val="24"/>
          <w:szCs w:val="24"/>
        </w:rPr>
        <w:t xml:space="preserve"> 31: 225–37. https://doi.org/10.1007/BF00204029</w:t>
      </w:r>
    </w:p>
    <w:p w14:paraId="03786FD4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27D5E">
        <w:rPr>
          <w:rFonts w:ascii="Times New Roman" w:hAnsi="Times New Roman" w:cs="Times New Roman"/>
          <w:bCs/>
          <w:smallCaps/>
          <w:sz w:val="24"/>
          <w:szCs w:val="24"/>
        </w:rPr>
        <w:t>Lehmann, R</w:t>
      </w:r>
      <w:r w:rsidRPr="00527D5E">
        <w:rPr>
          <w:rFonts w:ascii="Times New Roman" w:hAnsi="Times New Roman" w:cs="Times New Roman"/>
          <w:bCs/>
          <w:sz w:val="24"/>
          <w:szCs w:val="24"/>
        </w:rPr>
        <w:t xml:space="preserve">. 2011. </w:t>
      </w:r>
      <w:r w:rsidRPr="00527D5E">
        <w:rPr>
          <w:rFonts w:ascii="Times New Roman" w:hAnsi="Times New Roman" w:cs="Times New Roman"/>
          <w:sz w:val="24"/>
          <w:szCs w:val="24"/>
        </w:rPr>
        <w:t xml:space="preserve">Archäometallurgie von Mittelalterlichen Deutschen Silberbarren und Münzen.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>Unpublished PhD dissertation, Leibniz Universität Hannover.</w:t>
      </w:r>
    </w:p>
    <w:p w14:paraId="3E66D77B" w14:textId="77777777" w:rsidR="00D22847" w:rsidRPr="00AF7AAA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7D5E">
        <w:rPr>
          <w:rFonts w:ascii="Times New Roman" w:hAnsi="Times New Roman" w:cs="Times New Roman"/>
          <w:smallCaps/>
          <w:sz w:val="24"/>
          <w:szCs w:val="24"/>
          <w:lang w:val="en-GB"/>
        </w:rPr>
        <w:t>Lippolt, H.-J., U. Schorn &amp; R.T. Pidgeon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. 1983. Genetic implications of new lead isotope measurements on Schwarzwald vein and Upper Triassic sediment galenas. </w:t>
      </w:r>
      <w:r w:rsidRPr="00AF7AAA">
        <w:rPr>
          <w:rFonts w:ascii="Times New Roman" w:hAnsi="Times New Roman" w:cs="Times New Roman"/>
          <w:i/>
          <w:iCs/>
          <w:sz w:val="24"/>
          <w:szCs w:val="24"/>
          <w:lang w:val="fr-FR"/>
        </w:rPr>
        <w:t>Geologische Rundschau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 xml:space="preserve"> 72(1): 77–104.</w:t>
      </w:r>
    </w:p>
    <w:p w14:paraId="0A655DC2" w14:textId="77777777" w:rsidR="00D22847" w:rsidRPr="00AF7AAA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27D5E">
        <w:rPr>
          <w:rFonts w:ascii="Times New Roman" w:hAnsi="Times New Roman" w:cs="Times New Roman"/>
          <w:smallCaps/>
          <w:sz w:val="24"/>
          <w:szCs w:val="24"/>
          <w:lang w:val="fr-FR"/>
        </w:rPr>
        <w:t>Marcoux, E</w:t>
      </w:r>
      <w:r w:rsidRPr="00527D5E">
        <w:rPr>
          <w:rFonts w:ascii="Times New Roman" w:hAnsi="Times New Roman" w:cs="Times New Roman"/>
          <w:sz w:val="24"/>
          <w:szCs w:val="24"/>
          <w:lang w:val="fr-FR"/>
        </w:rPr>
        <w:t xml:space="preserve">. 1986. </w:t>
      </w:r>
      <w:r w:rsidRPr="00527D5E">
        <w:rPr>
          <w:rFonts w:ascii="Times New Roman" w:hAnsi="Times New Roman" w:cs="Times New Roman"/>
          <w:iCs/>
          <w:sz w:val="24"/>
          <w:szCs w:val="24"/>
          <w:lang w:val="fr-FR"/>
        </w:rPr>
        <w:t>Isotopes du plomb et parageneses metalliques, traceurs de l'histoire des gites mineraux. Illustration des concepts de source, d'heritage et de regionalisme dans les gites francais applications en recherche miniere.</w:t>
      </w:r>
      <w:r w:rsidRPr="00527D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F7AAA">
        <w:rPr>
          <w:rFonts w:ascii="Times New Roman" w:hAnsi="Times New Roman" w:cs="Times New Roman"/>
          <w:sz w:val="24"/>
          <w:szCs w:val="24"/>
          <w:lang w:val="en-GB"/>
        </w:rPr>
        <w:t xml:space="preserve">Unpublished PhD dissertation, Clermont-Ferrand, Document du B.R.G.M., No. 117. </w:t>
      </w:r>
    </w:p>
    <w:p w14:paraId="6DCA874F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127876054"/>
      <w:r w:rsidRPr="00527D5E">
        <w:rPr>
          <w:rFonts w:ascii="Times New Roman" w:hAnsi="Times New Roman" w:cs="Times New Roman"/>
          <w:smallCaps/>
          <w:sz w:val="24"/>
          <w:szCs w:val="24"/>
          <w:lang w:val="nl-NL"/>
        </w:rPr>
        <w:t>Merkel, S.W., P. D’Imporzano, K. van Zuilen, J. Kershaw &amp; G.R. Davies</w:t>
      </w:r>
      <w:r w:rsidRPr="00527D5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2022. “Non-invasive” portable laser ablation sampling for lead isotope analysis of archaeological silver: a comparison with bulk and 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>in situ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 laser ablation techniques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>. Journal of Analytical Atomic Spectrometry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 37: 148–56. </w:t>
      </w:r>
      <w:r w:rsidRPr="00527D5E">
        <w:rPr>
          <w:rFonts w:ascii="Times New Roman" w:hAnsi="Times New Roman" w:cs="Times New Roman"/>
        </w:rPr>
        <w:t>https://doi.org/10.1039/D1JA00342A</w:t>
      </w:r>
    </w:p>
    <w:p w14:paraId="0DB5C582" w14:textId="77777777" w:rsidR="00D22847" w:rsidRPr="00AF7AAA" w:rsidRDefault="00D22847" w:rsidP="00D2284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 w:eastAsia="en-GB"/>
        </w:rPr>
      </w:pPr>
      <w:r w:rsidRPr="009146A3">
        <w:rPr>
          <w:rFonts w:ascii="Times New Roman" w:eastAsia="Calibri" w:hAnsi="Times New Roman" w:cs="Times New Roman"/>
          <w:smallCaps/>
          <w:sz w:val="24"/>
          <w:szCs w:val="24"/>
          <w:lang w:val="en-GB"/>
        </w:rPr>
        <w:lastRenderedPageBreak/>
        <w:t>Merkel, S., J. Oravisjärvi &amp; J. Kershaw. 2023</w:t>
      </w:r>
      <w:r w:rsidRPr="009146A3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. Sources of early Islamic silver: lead isotope analysis of dirhams. </w:t>
      </w:r>
      <w:r w:rsidRPr="00AF7AA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it-IT" w:eastAsia="en-GB"/>
        </w:rPr>
        <w:t xml:space="preserve">Antiquity </w:t>
      </w:r>
      <w:r w:rsidRPr="00AF7AAA">
        <w:rPr>
          <w:rFonts w:ascii="Times New Roman" w:eastAsia="Times New Roman" w:hAnsi="Times New Roman" w:cs="Times New Roman"/>
          <w:bCs/>
          <w:sz w:val="24"/>
          <w:szCs w:val="24"/>
          <w:lang w:val="it-IT" w:eastAsia="en-GB"/>
        </w:rPr>
        <w:t>97: 1564–80. https://doi.org/10.15184/aqy.2023.165</w:t>
      </w:r>
    </w:p>
    <w:bookmarkEnd w:id="1"/>
    <w:p w14:paraId="1166BD9C" w14:textId="77777777" w:rsidR="00D22847" w:rsidRPr="00AF7AAA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F7AAA">
        <w:rPr>
          <w:rFonts w:ascii="Times New Roman" w:hAnsi="Times New Roman" w:cs="Times New Roman"/>
          <w:smallCaps/>
          <w:sz w:val="24"/>
          <w:szCs w:val="24"/>
          <w:lang w:val="it-IT"/>
        </w:rPr>
        <w:t>Morrisson, C., M.F. Guerra &amp; J.-N. Barrandon</w:t>
      </w:r>
      <w:r w:rsidRPr="00AF7AA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 xml:space="preserve">1993. Premieres analyses de plombs byzantins: perspectives et impasses des recherches sur leur composition métallique, in N. Oikonomides (ed.) 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>Studies in Byzantine sigillography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: 1–17. 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>Washington, D.C.: Dumbarton Oaks.</w:t>
      </w:r>
    </w:p>
    <w:p w14:paraId="2D84B1AF" w14:textId="77777777" w:rsidR="00D22847" w:rsidRPr="00AF7AAA" w:rsidRDefault="00D22847" w:rsidP="00D228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F7AAA">
        <w:rPr>
          <w:rFonts w:ascii="Times New Roman" w:hAnsi="Times New Roman" w:cs="Times New Roman"/>
          <w:smallCaps/>
          <w:sz w:val="24"/>
          <w:szCs w:val="24"/>
          <w:lang w:val="fr-FR"/>
        </w:rPr>
        <w:t>Munoz, M., S. Baron, A. Boucher, D. Béziat &amp; S. Salvi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2016. Mesozoic vein-type Pb-Zn mineralization in the Pyrenees: lead isotopic and fluid inclusion evidence from the Les Argentières and Lacore deposits. </w:t>
      </w:r>
      <w:r w:rsidRPr="00AF7AAA">
        <w:rPr>
          <w:rFonts w:ascii="Times New Roman" w:hAnsi="Times New Roman" w:cs="Times New Roman"/>
          <w:i/>
          <w:iCs/>
          <w:sz w:val="24"/>
          <w:szCs w:val="24"/>
          <w:lang w:val="fr-FR"/>
        </w:rPr>
        <w:t>Comptes Rendus Geoscience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 xml:space="preserve"> 348: 322–32. https://doi.org/10.1016/j.crte.2015.07.001</w:t>
      </w:r>
    </w:p>
    <w:p w14:paraId="56A16043" w14:textId="56170F9D" w:rsidR="00D22847" w:rsidRPr="00527D5E" w:rsidRDefault="00D22847" w:rsidP="00D228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7AAA">
        <w:rPr>
          <w:rFonts w:ascii="Times New Roman" w:hAnsi="Times New Roman" w:cs="Times New Roman"/>
          <w:smallCaps/>
          <w:sz w:val="24"/>
          <w:szCs w:val="24"/>
          <w:lang w:val="fr-FR"/>
        </w:rPr>
        <w:t>Ponting, M., J.A. Evans &amp; V. Pashley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2003. Fingerprinting of Roman mints using laser ablation MC-ICP-MS lead isotope analysis. 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>Archaeometry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 45: 591–97. https://doi.org/10.1046/j.1475-4754.2003.00130.x</w:t>
      </w:r>
    </w:p>
    <w:p w14:paraId="2340AE52" w14:textId="77777777" w:rsidR="00D22847" w:rsidRPr="00AF7AAA" w:rsidRDefault="00D22847" w:rsidP="00D228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7D5E">
        <w:rPr>
          <w:rFonts w:ascii="Times New Roman" w:hAnsi="Times New Roman" w:cs="Times New Roman"/>
          <w:smallCaps/>
          <w:sz w:val="24"/>
          <w:szCs w:val="24"/>
          <w:lang w:val="en-GB"/>
        </w:rPr>
        <w:t>Rohl, B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. 1996. Lead isotope data from the Isotrace Laboratory, Oxford: archaeometry data base 2, galena from Britain and Ireland. </w:t>
      </w:r>
      <w:r w:rsidRPr="00AF7AAA">
        <w:rPr>
          <w:rFonts w:ascii="Times New Roman" w:hAnsi="Times New Roman" w:cs="Times New Roman"/>
          <w:i/>
          <w:iCs/>
          <w:sz w:val="24"/>
          <w:szCs w:val="24"/>
          <w:lang w:val="fr-FR"/>
        </w:rPr>
        <w:t>Archaeometry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 xml:space="preserve"> 38: 165–80. https://doi.org/10.1111/j.1475-4754.1996.tb00769.x</w:t>
      </w:r>
    </w:p>
    <w:p w14:paraId="036C4D45" w14:textId="77777777" w:rsidR="00D22847" w:rsidRPr="00527D5E" w:rsidRDefault="00D22847" w:rsidP="00D22847">
      <w:pPr>
        <w:pStyle w:val="Referencesandnotes"/>
        <w:spacing w:before="0" w:line="360" w:lineRule="auto"/>
        <w:ind w:left="0" w:firstLine="0"/>
        <w:rPr>
          <w:lang w:val="fr-FR"/>
        </w:rPr>
      </w:pPr>
      <w:r w:rsidRPr="00AF7AAA">
        <w:rPr>
          <w:smallCaps/>
          <w:lang w:val="fr-FR"/>
        </w:rPr>
        <w:t>Sarah</w:t>
      </w:r>
      <w:r w:rsidRPr="00AF7AAA">
        <w:rPr>
          <w:lang w:val="fr-FR"/>
        </w:rPr>
        <w:t>,</w:t>
      </w:r>
      <w:r w:rsidRPr="00AF7AAA">
        <w:rPr>
          <w:smallCaps/>
          <w:lang w:val="fr-FR"/>
        </w:rPr>
        <w:t xml:space="preserve"> G</w:t>
      </w:r>
      <w:r w:rsidRPr="00AF7AAA">
        <w:rPr>
          <w:lang w:val="fr-FR"/>
        </w:rPr>
        <w:t xml:space="preserve">. 2008. </w:t>
      </w:r>
      <w:r w:rsidRPr="00527D5E">
        <w:rPr>
          <w:lang w:val="fr-FR"/>
        </w:rPr>
        <w:t>Caractérisation de la composition et de la structure des alliages argent-cuivre par ICP-MS avec prélèvement par ablation laser. Application au monnayage carolingien</w:t>
      </w:r>
      <w:r w:rsidRPr="00AF7AAA">
        <w:rPr>
          <w:lang w:val="fr-FR"/>
        </w:rPr>
        <w:t xml:space="preserve">. Unpublished </w:t>
      </w:r>
      <w:r w:rsidRPr="00527D5E">
        <w:rPr>
          <w:lang w:val="fr-FR"/>
        </w:rPr>
        <w:t>PhD dissertation, Université d’Orléans.</w:t>
      </w:r>
    </w:p>
    <w:p w14:paraId="6CDCFC7F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F7AAA">
        <w:rPr>
          <w:rFonts w:ascii="Times New Roman" w:hAnsi="Times New Roman" w:cs="Times New Roman"/>
          <w:smallCaps/>
          <w:sz w:val="24"/>
          <w:szCs w:val="24"/>
          <w:lang w:val="fr-FR"/>
        </w:rPr>
        <w:t>Sarah, G., B. Gratuze &amp; J.N. Barrandon.</w:t>
      </w:r>
      <w:r w:rsidRPr="00AF7A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2007. Application of laser ablation inductively coupled plasma mass spectrometry (LA-ICP-MS) for the investigation of ancient silver coins. </w:t>
      </w:r>
      <w:r w:rsidRPr="00527D5E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Analytical Atomic Spectrometry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 22: 1163–7. https://doi.org/10.1039/B704879C</w:t>
      </w:r>
    </w:p>
    <w:p w14:paraId="74CF8952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27D5E">
        <w:rPr>
          <w:rFonts w:ascii="Times New Roman" w:hAnsi="Times New Roman" w:cs="Times New Roman"/>
          <w:smallCaps/>
          <w:sz w:val="24"/>
          <w:szCs w:val="24"/>
          <w:lang w:val="en-GB"/>
        </w:rPr>
        <w:t>Scaife, B., B.A. Barreiro, J.G, McDonnell &amp; A.M, Pollard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>. 2001. Lead isotope ratios of 36 galenas from the northern Pennines. Available at: https://brettscaife.net/lead/npennine/npennine1-3.html</w:t>
      </w:r>
      <w:r w:rsidRPr="00527D5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 xml:space="preserve"> (accessed 2 Feb 2023).</w:t>
      </w:r>
    </w:p>
    <w:p w14:paraId="58D41249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27D5E">
        <w:rPr>
          <w:rFonts w:ascii="Times New Roman" w:hAnsi="Times New Roman" w:cs="Times New Roman"/>
          <w:bCs/>
          <w:smallCaps/>
          <w:sz w:val="24"/>
          <w:szCs w:val="24"/>
        </w:rPr>
        <w:t>Schneider, J</w:t>
      </w:r>
      <w:r w:rsidRPr="00527D5E">
        <w:rPr>
          <w:rFonts w:ascii="Times New Roman" w:hAnsi="Times New Roman" w:cs="Times New Roman"/>
          <w:bCs/>
          <w:sz w:val="24"/>
          <w:szCs w:val="24"/>
        </w:rPr>
        <w:t xml:space="preserve">. 1994. </w:t>
      </w:r>
      <w:r w:rsidRPr="00527D5E">
        <w:rPr>
          <w:rFonts w:ascii="Times New Roman" w:hAnsi="Times New Roman" w:cs="Times New Roman"/>
          <w:sz w:val="24"/>
          <w:szCs w:val="24"/>
        </w:rPr>
        <w:t xml:space="preserve">Geochemische Untersuchungen zur Genese von Buntmetallvererzungen in der Nordeifel.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>Unpublished PhD dissertation, Justus-Liebig-Universität Gießen.</w:t>
      </w:r>
    </w:p>
    <w:p w14:paraId="5ACE7254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D5E">
        <w:rPr>
          <w:rFonts w:ascii="Times New Roman" w:hAnsi="Times New Roman" w:cs="Times New Roman"/>
          <w:smallCaps/>
          <w:sz w:val="24"/>
          <w:szCs w:val="24"/>
          <w:lang w:val="en-GB"/>
        </w:rPr>
        <w:t>Scott, D.A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. 1990. A technical analytical study of two silver plates in the collection of the J. Paul Getty Museum. </w:t>
      </w:r>
      <w:r w:rsidRPr="00527D5E">
        <w:rPr>
          <w:rFonts w:ascii="Times New Roman" w:hAnsi="Times New Roman" w:cs="Times New Roman"/>
          <w:i/>
          <w:iCs/>
          <w:sz w:val="24"/>
          <w:szCs w:val="24"/>
        </w:rPr>
        <w:t>The J. Paul Getty Museum Journal</w:t>
      </w:r>
      <w:r w:rsidRPr="00527D5E">
        <w:rPr>
          <w:rFonts w:ascii="Times New Roman" w:hAnsi="Times New Roman" w:cs="Times New Roman"/>
          <w:sz w:val="24"/>
          <w:szCs w:val="24"/>
        </w:rPr>
        <w:t xml:space="preserve"> 18: 33–52.</w:t>
      </w:r>
    </w:p>
    <w:p w14:paraId="3D04EB5D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D5E">
        <w:rPr>
          <w:rFonts w:ascii="Times New Roman" w:hAnsi="Times New Roman" w:cs="Times New Roman"/>
          <w:smallCaps/>
          <w:sz w:val="24"/>
          <w:szCs w:val="24"/>
        </w:rPr>
        <w:t>Ströbele, F</w:t>
      </w:r>
      <w:r w:rsidRPr="00527D5E">
        <w:rPr>
          <w:rFonts w:ascii="Times New Roman" w:hAnsi="Times New Roman" w:cs="Times New Roman"/>
          <w:sz w:val="24"/>
          <w:szCs w:val="24"/>
        </w:rPr>
        <w:t xml:space="preserve">. 2017. Archäometrische Analysen, in F. Daim, B. Fourlas, K. Horst &amp; V. Tsamakda (ed.) </w:t>
      </w:r>
      <w:r w:rsidRPr="00527D5E">
        <w:rPr>
          <w:rFonts w:ascii="Times New Roman" w:hAnsi="Times New Roman" w:cs="Times New Roman"/>
          <w:i/>
          <w:iCs/>
          <w:sz w:val="24"/>
          <w:szCs w:val="24"/>
        </w:rPr>
        <w:t>Spätantike und Byzanz: Bestandskatalog Badisches Landesmuseum Karlsruhe, Objekte aus Bein, Elfenbein, Glas, Keramik, Metall und Stein</w:t>
      </w:r>
      <w:r w:rsidRPr="00527D5E">
        <w:rPr>
          <w:rFonts w:ascii="Times New Roman" w:hAnsi="Times New Roman" w:cs="Times New Roman"/>
          <w:sz w:val="24"/>
          <w:szCs w:val="24"/>
        </w:rPr>
        <w:t>: 205–13. Mainz: Römisch-Germanischen Zentralmuseums. https://doi.org/10.11588/propylaeum.384</w:t>
      </w:r>
    </w:p>
    <w:p w14:paraId="00C62961" w14:textId="77777777" w:rsidR="00D22847" w:rsidRPr="00527D5E" w:rsidRDefault="00D22847" w:rsidP="00D228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D5E">
        <w:rPr>
          <w:rFonts w:ascii="Times New Roman" w:hAnsi="Times New Roman" w:cs="Times New Roman"/>
          <w:smallCaps/>
          <w:sz w:val="24"/>
          <w:szCs w:val="24"/>
        </w:rPr>
        <w:lastRenderedPageBreak/>
        <w:t>Ströbele, F</w:t>
      </w:r>
      <w:r w:rsidRPr="00527D5E">
        <w:rPr>
          <w:rFonts w:ascii="Times New Roman" w:hAnsi="Times New Roman" w:cs="Times New Roman"/>
          <w:sz w:val="24"/>
          <w:szCs w:val="24"/>
        </w:rPr>
        <w:t xml:space="preserve">. </w:t>
      </w:r>
      <w:r w:rsidRPr="00527D5E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AF7AAA">
        <w:rPr>
          <w:rFonts w:ascii="Times New Roman" w:hAnsi="Times New Roman" w:cs="Times New Roman"/>
          <w:sz w:val="24"/>
          <w:szCs w:val="24"/>
          <w:lang w:val="nl-NL"/>
        </w:rPr>
        <w:t xml:space="preserve">2012. </w:t>
      </w:r>
      <w:r w:rsidRPr="00527D5E">
        <w:rPr>
          <w:rFonts w:ascii="Times New Roman" w:hAnsi="Times New Roman" w:cs="Times New Roman"/>
          <w:sz w:val="24"/>
          <w:szCs w:val="24"/>
          <w:lang w:val="en-GB"/>
        </w:rPr>
        <w:t xml:space="preserve">Pb isotope constraints on fluid flow and mineralization processes in SW Germany. </w:t>
      </w:r>
      <w:r w:rsidRPr="00527D5E">
        <w:rPr>
          <w:rFonts w:ascii="Times New Roman" w:hAnsi="Times New Roman" w:cs="Times New Roman"/>
          <w:i/>
          <w:iCs/>
          <w:sz w:val="24"/>
          <w:szCs w:val="24"/>
        </w:rPr>
        <w:t>Neues Jahrbuch für Mineralogie – Abhandlungen</w:t>
      </w:r>
      <w:r w:rsidRPr="00527D5E">
        <w:rPr>
          <w:rFonts w:ascii="Times New Roman" w:hAnsi="Times New Roman" w:cs="Times New Roman"/>
          <w:sz w:val="24"/>
          <w:szCs w:val="24"/>
        </w:rPr>
        <w:t xml:space="preserve"> 189(3): 287–309. https://doi.org/10.1127/0077-7757/2012/0225</w:t>
      </w:r>
    </w:p>
    <w:p w14:paraId="4D2E1281" w14:textId="77777777" w:rsidR="00D22847" w:rsidRPr="00527D5E" w:rsidRDefault="00D22847" w:rsidP="00D22847">
      <w:pPr>
        <w:pStyle w:val="Referencesandnotes"/>
        <w:spacing w:before="0" w:line="360" w:lineRule="auto"/>
        <w:ind w:left="0" w:firstLine="0"/>
        <w:rPr>
          <w:rFonts w:eastAsiaTheme="minorHAnsi"/>
          <w:bCs/>
          <w:lang w:val="en-GB"/>
        </w:rPr>
      </w:pPr>
      <w:r w:rsidRPr="00527D5E">
        <w:rPr>
          <w:rFonts w:eastAsiaTheme="minorHAnsi"/>
          <w:bCs/>
          <w:smallCaps/>
          <w:lang w:val="de-DE"/>
        </w:rPr>
        <w:t>Téreygeol, F., S. Hoelzl &amp; P. Horn</w:t>
      </w:r>
      <w:r w:rsidRPr="00527D5E">
        <w:rPr>
          <w:rFonts w:eastAsiaTheme="minorHAnsi"/>
          <w:bCs/>
          <w:lang w:val="de-DE"/>
        </w:rPr>
        <w:t xml:space="preserve">. 2005. Le monnayage de Melle au haut Moyen Age: état de la recherche. </w:t>
      </w:r>
      <w:r w:rsidRPr="00527D5E">
        <w:rPr>
          <w:rFonts w:eastAsiaTheme="minorHAnsi"/>
          <w:bCs/>
          <w:i/>
          <w:iCs/>
          <w:lang w:val="en-GB"/>
        </w:rPr>
        <w:t>Bulletin Association des Archéologues de Poitou-Charentes</w:t>
      </w:r>
      <w:r w:rsidRPr="00527D5E">
        <w:rPr>
          <w:rFonts w:eastAsiaTheme="minorHAnsi"/>
          <w:bCs/>
          <w:lang w:val="en-GB"/>
        </w:rPr>
        <w:t xml:space="preserve"> 34: 49–56.</w:t>
      </w:r>
    </w:p>
    <w:p w14:paraId="7B88B567" w14:textId="77777777" w:rsidR="00D22847" w:rsidRPr="00527D5E" w:rsidRDefault="00D22847" w:rsidP="00D22847"/>
    <w:p w14:paraId="0CD88776" w14:textId="62F6D6DE" w:rsidR="004E7919" w:rsidRPr="00551F01" w:rsidRDefault="004E7919" w:rsidP="00551F01">
      <w:pPr>
        <w:pStyle w:val="Referencesandnotes"/>
        <w:spacing w:before="0" w:line="360" w:lineRule="auto"/>
        <w:ind w:left="0" w:firstLine="0"/>
        <w:rPr>
          <w:rFonts w:eastAsiaTheme="minorHAnsi"/>
          <w:bCs/>
          <w:lang w:val="en-GB"/>
        </w:rPr>
      </w:pPr>
    </w:p>
    <w:sectPr w:rsidR="004E7919" w:rsidRPr="00551F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A437" w14:textId="77777777" w:rsidR="000F7E79" w:rsidRDefault="000F7E79" w:rsidP="003B5AAB">
      <w:pPr>
        <w:spacing w:after="0" w:line="240" w:lineRule="auto"/>
      </w:pPr>
      <w:r>
        <w:separator/>
      </w:r>
    </w:p>
  </w:endnote>
  <w:endnote w:type="continuationSeparator" w:id="0">
    <w:p w14:paraId="6FF9937B" w14:textId="77777777" w:rsidR="000F7E79" w:rsidRDefault="000F7E79" w:rsidP="003B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B6AB" w14:textId="77777777" w:rsidR="000F7E79" w:rsidRDefault="000F7E79" w:rsidP="003B5AAB">
      <w:pPr>
        <w:spacing w:after="0" w:line="240" w:lineRule="auto"/>
      </w:pPr>
      <w:r>
        <w:separator/>
      </w:r>
    </w:p>
  </w:footnote>
  <w:footnote w:type="continuationSeparator" w:id="0">
    <w:p w14:paraId="01300987" w14:textId="77777777" w:rsidR="000F7E79" w:rsidRDefault="000F7E79" w:rsidP="003B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42C3"/>
    <w:multiLevelType w:val="hybridMultilevel"/>
    <w:tmpl w:val="E538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3697A"/>
    <w:multiLevelType w:val="hybridMultilevel"/>
    <w:tmpl w:val="74A8DA7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0B7467"/>
    <w:multiLevelType w:val="hybridMultilevel"/>
    <w:tmpl w:val="AA169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7E61"/>
    <w:multiLevelType w:val="hybridMultilevel"/>
    <w:tmpl w:val="33580C1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C73D91"/>
    <w:multiLevelType w:val="hybridMultilevel"/>
    <w:tmpl w:val="4DBC9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B0B8C"/>
    <w:multiLevelType w:val="hybridMultilevel"/>
    <w:tmpl w:val="3DDA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31FFB"/>
    <w:multiLevelType w:val="hybridMultilevel"/>
    <w:tmpl w:val="541C2A0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602FF4"/>
    <w:multiLevelType w:val="hybridMultilevel"/>
    <w:tmpl w:val="BBDA22C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F854A26"/>
    <w:multiLevelType w:val="hybridMultilevel"/>
    <w:tmpl w:val="C7269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E37A5"/>
    <w:multiLevelType w:val="hybridMultilevel"/>
    <w:tmpl w:val="343AEE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D92746"/>
    <w:multiLevelType w:val="hybridMultilevel"/>
    <w:tmpl w:val="B71C4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16BD3"/>
    <w:multiLevelType w:val="hybridMultilevel"/>
    <w:tmpl w:val="8D1A8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233538">
    <w:abstractNumId w:val="8"/>
  </w:num>
  <w:num w:numId="2" w16cid:durableId="2005624655">
    <w:abstractNumId w:val="11"/>
  </w:num>
  <w:num w:numId="3" w16cid:durableId="1634486171">
    <w:abstractNumId w:val="4"/>
  </w:num>
  <w:num w:numId="4" w16cid:durableId="230237705">
    <w:abstractNumId w:val="2"/>
  </w:num>
  <w:num w:numId="5" w16cid:durableId="1575162873">
    <w:abstractNumId w:val="10"/>
  </w:num>
  <w:num w:numId="6" w16cid:durableId="1200817320">
    <w:abstractNumId w:val="9"/>
  </w:num>
  <w:num w:numId="7" w16cid:durableId="582026825">
    <w:abstractNumId w:val="7"/>
  </w:num>
  <w:num w:numId="8" w16cid:durableId="1158958201">
    <w:abstractNumId w:val="0"/>
  </w:num>
  <w:num w:numId="9" w16cid:durableId="36056035">
    <w:abstractNumId w:val="3"/>
  </w:num>
  <w:num w:numId="10" w16cid:durableId="707799357">
    <w:abstractNumId w:val="1"/>
  </w:num>
  <w:num w:numId="11" w16cid:durableId="1371610349">
    <w:abstractNumId w:val="5"/>
  </w:num>
  <w:num w:numId="12" w16cid:durableId="1450586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C9"/>
    <w:rsid w:val="00017462"/>
    <w:rsid w:val="0006265F"/>
    <w:rsid w:val="00084FB7"/>
    <w:rsid w:val="000A2256"/>
    <w:rsid w:val="000A361C"/>
    <w:rsid w:val="000B1375"/>
    <w:rsid w:val="000E0346"/>
    <w:rsid w:val="000F7E79"/>
    <w:rsid w:val="001146EC"/>
    <w:rsid w:val="00122F91"/>
    <w:rsid w:val="00137931"/>
    <w:rsid w:val="00153C72"/>
    <w:rsid w:val="00186A96"/>
    <w:rsid w:val="0019142F"/>
    <w:rsid w:val="001B7227"/>
    <w:rsid w:val="001E562A"/>
    <w:rsid w:val="0020738A"/>
    <w:rsid w:val="00223A7E"/>
    <w:rsid w:val="00254F98"/>
    <w:rsid w:val="00267BB4"/>
    <w:rsid w:val="002917AB"/>
    <w:rsid w:val="002B1E6C"/>
    <w:rsid w:val="002D2E85"/>
    <w:rsid w:val="002E5FBB"/>
    <w:rsid w:val="00302D88"/>
    <w:rsid w:val="00306DC9"/>
    <w:rsid w:val="00307266"/>
    <w:rsid w:val="00322D6E"/>
    <w:rsid w:val="003262D5"/>
    <w:rsid w:val="003406F0"/>
    <w:rsid w:val="003459B7"/>
    <w:rsid w:val="00352A78"/>
    <w:rsid w:val="003543A0"/>
    <w:rsid w:val="00392430"/>
    <w:rsid w:val="003B5AAB"/>
    <w:rsid w:val="003B5CF0"/>
    <w:rsid w:val="003C0EEC"/>
    <w:rsid w:val="003F1319"/>
    <w:rsid w:val="003F62CB"/>
    <w:rsid w:val="00417826"/>
    <w:rsid w:val="00431EE6"/>
    <w:rsid w:val="00453B1C"/>
    <w:rsid w:val="00456444"/>
    <w:rsid w:val="00460474"/>
    <w:rsid w:val="00465D00"/>
    <w:rsid w:val="004977A0"/>
    <w:rsid w:val="004A25A6"/>
    <w:rsid w:val="004D0E93"/>
    <w:rsid w:val="004D3AC9"/>
    <w:rsid w:val="004E01E5"/>
    <w:rsid w:val="004E2594"/>
    <w:rsid w:val="004E7919"/>
    <w:rsid w:val="00500424"/>
    <w:rsid w:val="0052139C"/>
    <w:rsid w:val="005239F6"/>
    <w:rsid w:val="0054673A"/>
    <w:rsid w:val="00551F01"/>
    <w:rsid w:val="00554972"/>
    <w:rsid w:val="00555FF4"/>
    <w:rsid w:val="00585004"/>
    <w:rsid w:val="005879C7"/>
    <w:rsid w:val="00590D36"/>
    <w:rsid w:val="005A66C3"/>
    <w:rsid w:val="00612369"/>
    <w:rsid w:val="00631140"/>
    <w:rsid w:val="006641E0"/>
    <w:rsid w:val="0067361F"/>
    <w:rsid w:val="00680E1B"/>
    <w:rsid w:val="006A0284"/>
    <w:rsid w:val="006A7E9F"/>
    <w:rsid w:val="006B4450"/>
    <w:rsid w:val="006D4F78"/>
    <w:rsid w:val="006D5D38"/>
    <w:rsid w:val="007036DE"/>
    <w:rsid w:val="00707DA6"/>
    <w:rsid w:val="00721488"/>
    <w:rsid w:val="007236E3"/>
    <w:rsid w:val="007262DE"/>
    <w:rsid w:val="0074349F"/>
    <w:rsid w:val="00747A53"/>
    <w:rsid w:val="00763D3B"/>
    <w:rsid w:val="0076489C"/>
    <w:rsid w:val="007E4A15"/>
    <w:rsid w:val="008231B2"/>
    <w:rsid w:val="00840159"/>
    <w:rsid w:val="00852237"/>
    <w:rsid w:val="00852664"/>
    <w:rsid w:val="008538FE"/>
    <w:rsid w:val="00857D24"/>
    <w:rsid w:val="008A34DA"/>
    <w:rsid w:val="008A3EC3"/>
    <w:rsid w:val="008B7E60"/>
    <w:rsid w:val="008C3654"/>
    <w:rsid w:val="009146A3"/>
    <w:rsid w:val="009434F8"/>
    <w:rsid w:val="009810AB"/>
    <w:rsid w:val="00981531"/>
    <w:rsid w:val="009974F2"/>
    <w:rsid w:val="00997727"/>
    <w:rsid w:val="009E01DB"/>
    <w:rsid w:val="00A04F23"/>
    <w:rsid w:val="00A12EE0"/>
    <w:rsid w:val="00A67BC6"/>
    <w:rsid w:val="00A85507"/>
    <w:rsid w:val="00A93445"/>
    <w:rsid w:val="00A96BF0"/>
    <w:rsid w:val="00AA2582"/>
    <w:rsid w:val="00AA4EDB"/>
    <w:rsid w:val="00AA6D19"/>
    <w:rsid w:val="00AC5E28"/>
    <w:rsid w:val="00AE4608"/>
    <w:rsid w:val="00AF7AAA"/>
    <w:rsid w:val="00B0452D"/>
    <w:rsid w:val="00B54FA0"/>
    <w:rsid w:val="00B84A49"/>
    <w:rsid w:val="00BA2601"/>
    <w:rsid w:val="00BA6AA2"/>
    <w:rsid w:val="00BC0E33"/>
    <w:rsid w:val="00BC7E69"/>
    <w:rsid w:val="00BF1020"/>
    <w:rsid w:val="00BF2C11"/>
    <w:rsid w:val="00C24DEA"/>
    <w:rsid w:val="00C42D2F"/>
    <w:rsid w:val="00C46F86"/>
    <w:rsid w:val="00C61DE5"/>
    <w:rsid w:val="00C62C79"/>
    <w:rsid w:val="00C90039"/>
    <w:rsid w:val="00CA0FA7"/>
    <w:rsid w:val="00CB27CC"/>
    <w:rsid w:val="00CB6642"/>
    <w:rsid w:val="00CE60D7"/>
    <w:rsid w:val="00CE616A"/>
    <w:rsid w:val="00D22847"/>
    <w:rsid w:val="00D4424A"/>
    <w:rsid w:val="00D75F64"/>
    <w:rsid w:val="00D907FE"/>
    <w:rsid w:val="00DD554D"/>
    <w:rsid w:val="00DD66B9"/>
    <w:rsid w:val="00DF17B1"/>
    <w:rsid w:val="00DF7AAF"/>
    <w:rsid w:val="00E00DBE"/>
    <w:rsid w:val="00E01650"/>
    <w:rsid w:val="00E02B92"/>
    <w:rsid w:val="00E157CC"/>
    <w:rsid w:val="00E33997"/>
    <w:rsid w:val="00E51CA9"/>
    <w:rsid w:val="00EB4D9D"/>
    <w:rsid w:val="00EC46FB"/>
    <w:rsid w:val="00F26D80"/>
    <w:rsid w:val="00F27B75"/>
    <w:rsid w:val="00F41550"/>
    <w:rsid w:val="00F44EB7"/>
    <w:rsid w:val="00F641D0"/>
    <w:rsid w:val="00F86D57"/>
    <w:rsid w:val="00FA3A01"/>
    <w:rsid w:val="00FB6D64"/>
    <w:rsid w:val="00FD2A71"/>
    <w:rsid w:val="00FE2D58"/>
    <w:rsid w:val="00FE5C54"/>
    <w:rsid w:val="00FF0B66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367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A96"/>
    <w:pPr>
      <w:ind w:left="720"/>
      <w:contextualSpacing/>
    </w:pPr>
  </w:style>
  <w:style w:type="paragraph" w:customStyle="1" w:styleId="Referencesandnotes">
    <w:name w:val="References and notes"/>
    <w:basedOn w:val="Normal"/>
    <w:rsid w:val="00CB6642"/>
    <w:pPr>
      <w:spacing w:before="120"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52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6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7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B75"/>
    <w:pPr>
      <w:spacing w:after="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B7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F01"/>
    <w:pPr>
      <w:spacing w:after="160"/>
    </w:pPr>
    <w:rPr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F01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B5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AB"/>
  </w:style>
  <w:style w:type="paragraph" w:styleId="Footer">
    <w:name w:val="footer"/>
    <w:basedOn w:val="Normal"/>
    <w:link w:val="FooterChar"/>
    <w:uiPriority w:val="99"/>
    <w:unhideWhenUsed/>
    <w:rsid w:val="003B5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AB"/>
  </w:style>
  <w:style w:type="paragraph" w:styleId="Revision">
    <w:name w:val="Revision"/>
    <w:hidden/>
    <w:uiPriority w:val="99"/>
    <w:semiHidden/>
    <w:rsid w:val="002D2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91B1-DF7A-436D-9CC2-CCF37FFA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3658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2024-02-16T10:04:00Z</dcterms:created>
  <dcterms:modified xsi:type="dcterms:W3CDTF">2024-02-19T11:44:00Z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035c47d4c7b1edb56a656d8e100fde57edf176831f4cb71ab0c0a4fd7269e8f9</vt:lpwstr>
  </property>
</Properties>
</file>