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4990" w14:textId="04AFF777" w:rsidR="005819DE" w:rsidRPr="00C5735E" w:rsidRDefault="005819DE" w:rsidP="005819DE">
      <w:pPr>
        <w:spacing w:line="360" w:lineRule="auto"/>
        <w:rPr>
          <w:b/>
          <w:bCs/>
          <w:iCs/>
        </w:rPr>
      </w:pPr>
      <w:r>
        <w:rPr>
          <w:b/>
          <w:bCs/>
          <w:iCs/>
        </w:rPr>
        <w:t>[SUPPLEMENTARY MATERIAL]</w:t>
      </w:r>
    </w:p>
    <w:p w14:paraId="2428F3C1" w14:textId="77777777" w:rsidR="005819DE" w:rsidRPr="00C5735E" w:rsidRDefault="005819DE" w:rsidP="005819DE">
      <w:pPr>
        <w:spacing w:line="360" w:lineRule="auto"/>
      </w:pPr>
      <w:r w:rsidRPr="00C5735E">
        <w:rPr>
          <w:b/>
        </w:rPr>
        <w:t>Nutritional deficiency and ecological stress in the Middle to Final Western Jomon</w:t>
      </w:r>
    </w:p>
    <w:p w14:paraId="409B8C9D" w14:textId="77777777" w:rsidR="00B40C7D" w:rsidRPr="00C5735E" w:rsidRDefault="00B40C7D" w:rsidP="00B40C7D">
      <w:pPr>
        <w:spacing w:line="360" w:lineRule="auto"/>
      </w:pPr>
      <w:proofErr w:type="spellStart"/>
      <w:r w:rsidRPr="00C5735E">
        <w:t>Melandri</w:t>
      </w:r>
      <w:proofErr w:type="spellEnd"/>
      <w:r w:rsidRPr="00C5735E">
        <w:t xml:space="preserve"> Vlok</w:t>
      </w:r>
      <w:r w:rsidRPr="00C5735E">
        <w:rPr>
          <w:vertAlign w:val="superscript"/>
        </w:rPr>
        <w:t>1,2</w:t>
      </w:r>
      <w:r>
        <w:rPr>
          <w:vertAlign w:val="superscript"/>
        </w:rPr>
        <w:t>,3*</w:t>
      </w:r>
      <w:r>
        <w:t xml:space="preserve"> [ORCID: </w:t>
      </w:r>
      <w:r w:rsidRPr="00C5735E">
        <w:t>0000-0002-5259-3819</w:t>
      </w:r>
      <w:r>
        <w:t>]</w:t>
      </w:r>
      <w:r w:rsidRPr="00C5735E">
        <w:t>, Clare McFadden</w:t>
      </w:r>
      <w:r>
        <w:rPr>
          <w:vertAlign w:val="superscript"/>
        </w:rPr>
        <w:t>4</w:t>
      </w:r>
      <w:r w:rsidRPr="00C5735E">
        <w:t>, Hirofumi Matsumura</w:t>
      </w:r>
      <w:r>
        <w:rPr>
          <w:vertAlign w:val="superscript"/>
        </w:rPr>
        <w:t>5</w:t>
      </w:r>
      <w:r w:rsidRPr="00C5735E">
        <w:t xml:space="preserve"> </w:t>
      </w:r>
      <w:r>
        <w:t>&amp;</w:t>
      </w:r>
      <w:r w:rsidRPr="00C5735E">
        <w:t xml:space="preserve"> Hallie R. Buckley</w:t>
      </w:r>
      <w:r>
        <w:rPr>
          <w:vertAlign w:val="superscript"/>
        </w:rPr>
        <w:t>2</w:t>
      </w:r>
    </w:p>
    <w:p w14:paraId="2A6E35AF" w14:textId="77777777" w:rsidR="00B40C7D" w:rsidRPr="00C5735E" w:rsidRDefault="00B40C7D" w:rsidP="00B40C7D">
      <w:pPr>
        <w:spacing w:line="360" w:lineRule="auto"/>
      </w:pPr>
    </w:p>
    <w:p w14:paraId="610E3B76" w14:textId="77777777" w:rsidR="00B40C7D" w:rsidRPr="009424F4" w:rsidRDefault="00B40C7D" w:rsidP="00B40C7D">
      <w:pPr>
        <w:spacing w:line="360" w:lineRule="auto"/>
        <w:rPr>
          <w:lang w:val="en-AU"/>
        </w:rPr>
      </w:pPr>
      <w:r w:rsidRPr="009424F4">
        <w:rPr>
          <w:vertAlign w:val="superscript"/>
          <w:lang w:val="en-AU"/>
        </w:rPr>
        <w:t xml:space="preserve">1 </w:t>
      </w:r>
      <w:r w:rsidRPr="009424F4">
        <w:rPr>
          <w:lang w:val="en-AU"/>
        </w:rPr>
        <w:t>School of Health Science, University of Notre Dame Australia, Sydney, Australia</w:t>
      </w:r>
    </w:p>
    <w:p w14:paraId="7A0C033E" w14:textId="77777777" w:rsidR="00B40C7D" w:rsidRPr="00C5735E" w:rsidRDefault="00B40C7D" w:rsidP="00B40C7D">
      <w:pPr>
        <w:spacing w:line="360" w:lineRule="auto"/>
        <w:rPr>
          <w:lang w:val="en-AU"/>
        </w:rPr>
      </w:pPr>
      <w:r w:rsidRPr="00C5735E">
        <w:rPr>
          <w:vertAlign w:val="superscript"/>
          <w:lang w:val="en-AU"/>
        </w:rPr>
        <w:t>2</w:t>
      </w:r>
      <w:r>
        <w:rPr>
          <w:vertAlign w:val="superscript"/>
          <w:lang w:val="en-AU"/>
        </w:rPr>
        <w:t xml:space="preserve"> </w:t>
      </w:r>
      <w:r w:rsidRPr="00C5735E">
        <w:rPr>
          <w:lang w:val="en-AU"/>
        </w:rPr>
        <w:t>Department of Anatomy, School of Biomedical Sciences, University of Otago, Dunedin, New Zealand</w:t>
      </w:r>
    </w:p>
    <w:p w14:paraId="39E55883" w14:textId="77777777" w:rsidR="00B40C7D" w:rsidRPr="00C5735E" w:rsidRDefault="00B40C7D" w:rsidP="00B40C7D">
      <w:pPr>
        <w:spacing w:line="360" w:lineRule="auto"/>
        <w:rPr>
          <w:lang w:val="en-AU"/>
        </w:rPr>
      </w:pPr>
      <w:r w:rsidRPr="00C5735E">
        <w:rPr>
          <w:vertAlign w:val="superscript"/>
          <w:lang w:val="en-AU"/>
        </w:rPr>
        <w:t xml:space="preserve">3 </w:t>
      </w:r>
      <w:r w:rsidRPr="00C5735E">
        <w:rPr>
          <w:lang w:val="en-AU"/>
        </w:rPr>
        <w:t>Sydney Southeast Asia Centre, University of Sydney, Australia</w:t>
      </w:r>
    </w:p>
    <w:p w14:paraId="2E815E27" w14:textId="77777777" w:rsidR="00B40C7D" w:rsidRPr="00C5735E" w:rsidRDefault="00B40C7D" w:rsidP="00B40C7D">
      <w:pPr>
        <w:spacing w:line="360" w:lineRule="auto"/>
        <w:rPr>
          <w:lang w:val="en-AU"/>
        </w:rPr>
      </w:pPr>
      <w:r w:rsidRPr="00C5735E">
        <w:rPr>
          <w:vertAlign w:val="superscript"/>
          <w:lang w:val="en-AU"/>
        </w:rPr>
        <w:t>4</w:t>
      </w:r>
      <w:r w:rsidRPr="00C5735E">
        <w:rPr>
          <w:lang w:val="en-AU"/>
        </w:rPr>
        <w:t>School of Archaeology and Anthropology, Australian National University, Canberra</w:t>
      </w:r>
      <w:r>
        <w:rPr>
          <w:lang w:val="en-AU"/>
        </w:rPr>
        <w:t>, Australia</w:t>
      </w:r>
    </w:p>
    <w:p w14:paraId="3405B95D" w14:textId="77777777" w:rsidR="00B40C7D" w:rsidRPr="00C5735E" w:rsidRDefault="00B40C7D" w:rsidP="00B40C7D">
      <w:pPr>
        <w:spacing w:line="360" w:lineRule="auto"/>
        <w:rPr>
          <w:lang w:val="en-AU"/>
        </w:rPr>
      </w:pPr>
      <w:r>
        <w:rPr>
          <w:vertAlign w:val="superscript"/>
          <w:lang w:val="en-AU"/>
        </w:rPr>
        <w:t>5</w:t>
      </w:r>
      <w:r w:rsidRPr="00C5735E">
        <w:rPr>
          <w:lang w:val="en-AU"/>
        </w:rPr>
        <w:t>School of Health Sciences, Sapporo Medical University, Japan</w:t>
      </w:r>
    </w:p>
    <w:p w14:paraId="5AA4EB4B" w14:textId="77777777" w:rsidR="00B40C7D" w:rsidRPr="009424F4" w:rsidRDefault="00B40C7D" w:rsidP="00B40C7D">
      <w:pPr>
        <w:spacing w:line="360" w:lineRule="auto"/>
        <w:rPr>
          <w:lang w:val="en-AU" w:eastAsia="en-GB"/>
        </w:rPr>
      </w:pPr>
      <w:r w:rsidRPr="009424F4">
        <w:rPr>
          <w:rFonts w:eastAsia="Arial Unicode MS"/>
          <w:bdr w:val="nil"/>
          <w:shd w:val="clear" w:color="auto" w:fill="FFFFFF"/>
          <w:vertAlign w:val="superscript"/>
          <w:lang w:val="en-US" w:eastAsia="en-GB"/>
        </w:rPr>
        <w:t>*</w:t>
      </w:r>
      <w:r w:rsidRPr="009424F4">
        <w:rPr>
          <w:vertAlign w:val="superscript"/>
          <w:lang w:val="en-AU" w:eastAsia="en-GB"/>
        </w:rPr>
        <w:t xml:space="preserve"> </w:t>
      </w:r>
      <w:r w:rsidRPr="009424F4">
        <w:rPr>
          <w:lang w:val="en-AU" w:eastAsia="en-GB"/>
        </w:rPr>
        <w:t xml:space="preserve">Author for correspondence </w:t>
      </w:r>
      <w:r w:rsidRPr="009424F4">
        <w:rPr>
          <w:rFonts w:ascii="Segoe UI Symbol" w:eastAsia="Arial Unicode MS" w:hAnsi="Segoe UI Symbol" w:cs="Segoe UI Symbol"/>
          <w:bdr w:val="nil"/>
          <w:lang w:val="en-US" w:eastAsia="en-GB"/>
        </w:rPr>
        <w:t>✉</w:t>
      </w:r>
      <w:r w:rsidRPr="009424F4">
        <w:rPr>
          <w:lang w:val="en-AU" w:eastAsia="en-GB"/>
        </w:rPr>
        <w:t xml:space="preserve"> </w:t>
      </w:r>
      <w:r w:rsidRPr="009424F4">
        <w:t>melandri.vlok@nd.edu.au</w:t>
      </w:r>
    </w:p>
    <w:p w14:paraId="19F79A1E" w14:textId="77777777" w:rsidR="005819DE" w:rsidRPr="00B66ADD" w:rsidRDefault="005819DE" w:rsidP="005819DE">
      <w:pPr>
        <w:pBdr>
          <w:top w:val="nil"/>
          <w:left w:val="nil"/>
          <w:bottom w:val="nil"/>
          <w:right w:val="nil"/>
          <w:between w:val="nil"/>
          <w:bar w:val="nil"/>
        </w:pBdr>
        <w:spacing w:line="360" w:lineRule="auto"/>
        <w:rPr>
          <w:rFonts w:eastAsia="Arial Unicode MS"/>
          <w:i/>
          <w:iCs/>
          <w:bdr w:val="nil"/>
          <w:lang w:val="en-US" w:eastAsia="en-GB"/>
        </w:rPr>
      </w:pPr>
      <w:r w:rsidRPr="00B66ADD">
        <w:rPr>
          <w:rFonts w:eastAsia="Arial Unicode MS"/>
          <w:i/>
          <w:iCs/>
          <w:bdr w:val="nil"/>
          <w:lang w:val="en-US" w:eastAsia="en-GB"/>
        </w:rPr>
        <w:t xml:space="preserve">Received: </w:t>
      </w:r>
      <w:r>
        <w:rPr>
          <w:rFonts w:eastAsia="Arial Unicode MS"/>
          <w:i/>
          <w:iCs/>
          <w:bdr w:val="nil"/>
          <w:lang w:val="en-US" w:eastAsia="en-GB"/>
        </w:rPr>
        <w:t>5 August 2021</w:t>
      </w:r>
      <w:r w:rsidRPr="00B66ADD">
        <w:rPr>
          <w:rFonts w:eastAsia="Arial Unicode MS"/>
          <w:i/>
          <w:iCs/>
          <w:bdr w:val="nil"/>
          <w:lang w:val="en-US" w:eastAsia="en-GB"/>
        </w:rPr>
        <w:t xml:space="preserve">; Revised: </w:t>
      </w:r>
      <w:r>
        <w:rPr>
          <w:rFonts w:eastAsia="Arial Unicode MS"/>
          <w:i/>
          <w:iCs/>
          <w:bdr w:val="nil"/>
          <w:lang w:val="en-US" w:eastAsia="en-GB"/>
        </w:rPr>
        <w:t>9 March 2022</w:t>
      </w:r>
      <w:r w:rsidRPr="00B66ADD">
        <w:rPr>
          <w:rFonts w:eastAsia="Arial Unicode MS"/>
          <w:i/>
          <w:iCs/>
          <w:bdr w:val="nil"/>
          <w:lang w:val="en-US" w:eastAsia="en-GB"/>
        </w:rPr>
        <w:t xml:space="preserve">; Accepted: </w:t>
      </w:r>
      <w:r>
        <w:rPr>
          <w:rFonts w:eastAsia="Arial Unicode MS"/>
          <w:i/>
          <w:iCs/>
          <w:bdr w:val="nil"/>
          <w:lang w:val="en-US" w:eastAsia="en-GB"/>
        </w:rPr>
        <w:t>20 July</w:t>
      </w:r>
      <w:r w:rsidRPr="00B66ADD">
        <w:rPr>
          <w:rFonts w:eastAsia="Arial Unicode MS"/>
          <w:i/>
          <w:iCs/>
          <w:bdr w:val="nil"/>
          <w:lang w:val="en-US" w:eastAsia="en-GB"/>
        </w:rPr>
        <w:t xml:space="preserve"> 2023</w:t>
      </w:r>
    </w:p>
    <w:p w14:paraId="6396BE45" w14:textId="77777777" w:rsidR="005819DE" w:rsidRDefault="005819DE" w:rsidP="00DD5C06">
      <w:pPr>
        <w:spacing w:line="360" w:lineRule="auto"/>
        <w:rPr>
          <w:b/>
          <w:bCs/>
          <w:i/>
        </w:rPr>
      </w:pPr>
    </w:p>
    <w:p w14:paraId="054C9DE7" w14:textId="315EC7B0" w:rsidR="00A13FF3" w:rsidRPr="00CC36C4" w:rsidRDefault="00725C6A" w:rsidP="00DD5C06">
      <w:pPr>
        <w:spacing w:line="360" w:lineRule="auto"/>
        <w:rPr>
          <w:b/>
          <w:bCs/>
          <w:iCs/>
        </w:rPr>
      </w:pPr>
      <w:r w:rsidRPr="00725C6A">
        <w:rPr>
          <w:b/>
          <w:bCs/>
          <w:iCs/>
        </w:rPr>
        <w:t>Section 1:</w:t>
      </w:r>
      <w:r w:rsidR="00A13FF3" w:rsidRPr="00725C6A">
        <w:rPr>
          <w:b/>
          <w:bCs/>
          <w:iCs/>
        </w:rPr>
        <w:t xml:space="preserve"> </w:t>
      </w:r>
      <w:r w:rsidRPr="00725C6A">
        <w:rPr>
          <w:b/>
          <w:bCs/>
          <w:iCs/>
        </w:rPr>
        <w:t>m</w:t>
      </w:r>
      <w:r w:rsidR="00D74FDC" w:rsidRPr="00725C6A">
        <w:rPr>
          <w:b/>
          <w:bCs/>
          <w:iCs/>
        </w:rPr>
        <w:t>aterials and m</w:t>
      </w:r>
      <w:r w:rsidR="00A13FF3" w:rsidRPr="00725C6A">
        <w:rPr>
          <w:b/>
          <w:bCs/>
          <w:iCs/>
        </w:rPr>
        <w:t>ethods of skeletal analysi</w:t>
      </w:r>
      <w:r w:rsidR="009C7F26" w:rsidRPr="00725C6A">
        <w:rPr>
          <w:b/>
          <w:bCs/>
          <w:iCs/>
        </w:rPr>
        <w:t>s</w:t>
      </w:r>
    </w:p>
    <w:p w14:paraId="155E6922" w14:textId="168E80E6" w:rsidR="00D74FDC" w:rsidRPr="00D74FDC" w:rsidRDefault="00D74FDC" w:rsidP="00DD5C06">
      <w:pPr>
        <w:spacing w:line="360" w:lineRule="auto"/>
        <w:rPr>
          <w:b/>
          <w:bCs/>
          <w:iCs/>
        </w:rPr>
      </w:pPr>
      <w:r w:rsidRPr="00D74FDC">
        <w:rPr>
          <w:b/>
          <w:bCs/>
          <w:iCs/>
        </w:rPr>
        <w:t xml:space="preserve">Materials and </w:t>
      </w:r>
      <w:r w:rsidR="00DD5C06">
        <w:rPr>
          <w:b/>
          <w:bCs/>
          <w:iCs/>
        </w:rPr>
        <w:t>p</w:t>
      </w:r>
      <w:r w:rsidRPr="00D74FDC">
        <w:rPr>
          <w:b/>
          <w:bCs/>
          <w:iCs/>
        </w:rPr>
        <w:t>reservation</w:t>
      </w:r>
    </w:p>
    <w:p w14:paraId="02149230" w14:textId="432A4338" w:rsidR="00D74FDC" w:rsidRPr="00D74FDC" w:rsidRDefault="00A60F16" w:rsidP="00DD5C06">
      <w:pPr>
        <w:spacing w:line="360" w:lineRule="auto"/>
        <w:rPr>
          <w:i/>
        </w:rPr>
      </w:pPr>
      <w:r>
        <w:rPr>
          <w:i/>
        </w:rPr>
        <w:t>Ō</w:t>
      </w:r>
      <w:r w:rsidR="00D74FDC" w:rsidRPr="00D74FDC">
        <w:rPr>
          <w:i/>
        </w:rPr>
        <w:t>ta</w:t>
      </w:r>
    </w:p>
    <w:p w14:paraId="25F8AFC3" w14:textId="26175ED8" w:rsidR="00D74FDC" w:rsidRPr="00AF1908" w:rsidRDefault="00D74FDC" w:rsidP="00DD5C06">
      <w:pPr>
        <w:spacing w:line="360" w:lineRule="auto"/>
      </w:pPr>
      <w:r>
        <w:t>Thirty-two individuals over the age of 15 (defined here as adults) from</w:t>
      </w:r>
      <w:r w:rsidR="00A60F16">
        <w:t xml:space="preserve"> Ōta </w:t>
      </w:r>
      <w:r>
        <w:t xml:space="preserve">were included in the palaeopathological analysis. While two neonates (the only subadults) were also present in the assemblage, their remains were too fragmented for inclusion in scurvy diagnosis. Therefore, subadult scurvy could not be identified at </w:t>
      </w:r>
      <w:r w:rsidR="00F7136E">
        <w:t>Ōta</w:t>
      </w:r>
      <w:r>
        <w:t>. The</w:t>
      </w:r>
      <w:r w:rsidR="00A60F16">
        <w:t xml:space="preserve"> Ōta </w:t>
      </w:r>
      <w:r>
        <w:t>site, relatively dated by pottery chronologies to 5000</w:t>
      </w:r>
      <w:r w:rsidR="00AF1908">
        <w:t>–</w:t>
      </w:r>
      <w:r>
        <w:t>4000</w:t>
      </w:r>
      <w:r w:rsidR="005265D3">
        <w:t xml:space="preserve"> </w:t>
      </w:r>
      <w:r>
        <w:t>BP, is a</w:t>
      </w:r>
      <w:r w:rsidR="00A60F16">
        <w:t xml:space="preserve"> Jōmon </w:t>
      </w:r>
      <w:r>
        <w:t xml:space="preserve">shell midden site </w:t>
      </w:r>
      <w:r>
        <w:rPr>
          <w:noProof/>
        </w:rPr>
        <w:t>(Kiyono 1969</w:t>
      </w:r>
      <w:r w:rsidR="00AF1908">
        <w:rPr>
          <w:noProof/>
        </w:rPr>
        <w:t>;</w:t>
      </w:r>
      <w:r>
        <w:rPr>
          <w:noProof/>
        </w:rPr>
        <w:t xml:space="preserve"> Shiomi </w:t>
      </w:r>
      <w:r w:rsidR="000E5081" w:rsidRPr="000E5081">
        <w:rPr>
          <w:i/>
          <w:noProof/>
        </w:rPr>
        <w:t>et al</w:t>
      </w:r>
      <w:r>
        <w:rPr>
          <w:noProof/>
        </w:rPr>
        <w:t>.</w:t>
      </w:r>
      <w:r w:rsidR="00F75A76">
        <w:rPr>
          <w:noProof/>
        </w:rPr>
        <w:t xml:space="preserve"> </w:t>
      </w:r>
      <w:r>
        <w:rPr>
          <w:noProof/>
        </w:rPr>
        <w:t>1971)</w:t>
      </w:r>
      <w:r>
        <w:t>. As a Middle</w:t>
      </w:r>
      <w:r w:rsidR="00A60F16">
        <w:t xml:space="preserve"> Jōmon </w:t>
      </w:r>
      <w:r w:rsidRPr="538C6207">
        <w:rPr>
          <w:color w:val="000000" w:themeColor="text1"/>
        </w:rPr>
        <w:t>site,</w:t>
      </w:r>
      <w:r w:rsidR="00A60F16">
        <w:rPr>
          <w:color w:val="000000" w:themeColor="text1"/>
        </w:rPr>
        <w:t xml:space="preserve"> Ōta </w:t>
      </w:r>
      <w:r w:rsidRPr="538C6207">
        <w:rPr>
          <w:color w:val="000000" w:themeColor="text1"/>
        </w:rPr>
        <w:t xml:space="preserve">dates to </w:t>
      </w:r>
      <w:r>
        <w:t>a time period of climatic stability.</w:t>
      </w:r>
      <w:r w:rsidR="00A60F16">
        <w:t xml:space="preserve"> Ōta </w:t>
      </w:r>
      <w:r>
        <w:t xml:space="preserve">is </w:t>
      </w:r>
      <w:r w:rsidR="00AF1908">
        <w:t xml:space="preserve">a </w:t>
      </w:r>
      <w:r>
        <w:t>shell midden</w:t>
      </w:r>
      <w:r w:rsidR="00AF1908">
        <w:t>,</w:t>
      </w:r>
      <w:r>
        <w:t xml:space="preserve"> similar to sites where pit dwellings are found, and exhibited tools for both foraging and ritual purposes </w:t>
      </w:r>
      <w:r>
        <w:rPr>
          <w:noProof/>
        </w:rPr>
        <w:t>(</w:t>
      </w:r>
      <w:r w:rsidR="00AF1908">
        <w:rPr>
          <w:noProof/>
        </w:rPr>
        <w:t xml:space="preserve">Kiyono 1969; </w:t>
      </w:r>
      <w:r>
        <w:rPr>
          <w:noProof/>
        </w:rPr>
        <w:t>Temple 2018)</w:t>
      </w:r>
      <w:r>
        <w:t>. As was the case with other Middle</w:t>
      </w:r>
      <w:r w:rsidR="00A60F16">
        <w:t xml:space="preserve"> Jōmon </w:t>
      </w:r>
      <w:r>
        <w:t>sites,</w:t>
      </w:r>
      <w:r w:rsidR="00A60F16">
        <w:t xml:space="preserve"> Ōta </w:t>
      </w:r>
      <w:r>
        <w:t xml:space="preserve">was likely a place of longstanding occupation, and a sedentary settlement </w:t>
      </w:r>
      <w:r w:rsidRPr="538C6207">
        <w:rPr>
          <w:noProof/>
        </w:rPr>
        <w:t>(Kiyono 1969)</w:t>
      </w:r>
      <w:r>
        <w:t>. Palaeodietary reconstruction of the</w:t>
      </w:r>
      <w:r w:rsidR="00A60F16">
        <w:t xml:space="preserve"> Ōta </w:t>
      </w:r>
      <w:r>
        <w:t>diet using stable carbon and nitrogen isotopes indicates that food resources were predominantly terrestrial with between 6</w:t>
      </w:r>
      <w:r w:rsidR="00AF1908">
        <w:t>–</w:t>
      </w:r>
      <w:r>
        <w:t xml:space="preserve">13% reliance on marine resources </w:t>
      </w:r>
      <w:r>
        <w:rPr>
          <w:noProof/>
        </w:rPr>
        <w:t xml:space="preserve">(Kusaka </w:t>
      </w:r>
      <w:r w:rsidR="000E5081" w:rsidRPr="000E5081">
        <w:rPr>
          <w:i/>
          <w:noProof/>
        </w:rPr>
        <w:t>et al</w:t>
      </w:r>
      <w:r>
        <w:rPr>
          <w:noProof/>
        </w:rPr>
        <w:t>.</w:t>
      </w:r>
      <w:r w:rsidR="00AF1908">
        <w:rPr>
          <w:noProof/>
        </w:rPr>
        <w:t xml:space="preserve"> 2010,</w:t>
      </w:r>
      <w:r>
        <w:rPr>
          <w:noProof/>
        </w:rPr>
        <w:t xml:space="preserve"> 2015)</w:t>
      </w:r>
      <w:r>
        <w:t xml:space="preserve">. Marine resources were then likely an important protein source </w:t>
      </w:r>
      <w:r>
        <w:rPr>
          <w:noProof/>
        </w:rPr>
        <w:t>(</w:t>
      </w:r>
      <w:r w:rsidR="00AF1908">
        <w:rPr>
          <w:noProof/>
        </w:rPr>
        <w:t xml:space="preserve">Kusaka </w:t>
      </w:r>
      <w:r w:rsidR="00AF1908" w:rsidRPr="000E5081">
        <w:rPr>
          <w:i/>
          <w:noProof/>
        </w:rPr>
        <w:t>et al</w:t>
      </w:r>
      <w:r w:rsidR="00AF1908">
        <w:rPr>
          <w:noProof/>
        </w:rPr>
        <w:t>. 2010, 2015</w:t>
      </w:r>
      <w:r>
        <w:rPr>
          <w:noProof/>
        </w:rPr>
        <w:t>)</w:t>
      </w:r>
      <w:r>
        <w:t xml:space="preserve">. </w:t>
      </w:r>
      <w:r w:rsidR="005265D3">
        <w:rPr>
          <w:noProof/>
        </w:rPr>
        <w:t>Temple (2007)</w:t>
      </w:r>
      <w:r>
        <w:t xml:space="preserve"> reported a linear enamel hypoplasia prevalence per individual of 63.2% and carious lesion rate of 3.8% at </w:t>
      </w:r>
      <w:r w:rsidR="00F7136E">
        <w:t>Ō</w:t>
      </w:r>
      <w:r>
        <w:t>ta, suggesting high levels of systemic stress in</w:t>
      </w:r>
      <w:r w:rsidR="00A60F16">
        <w:t xml:space="preserve"> Ōta </w:t>
      </w:r>
      <w:r>
        <w:t xml:space="preserve">individuals. However, their diet does not </w:t>
      </w:r>
      <w:r>
        <w:lastRenderedPageBreak/>
        <w:t xml:space="preserve">appear to consist of highly cariogenic foods such as roots, tubers and processed nuts </w:t>
      </w:r>
      <w:r w:rsidRPr="538C6207">
        <w:rPr>
          <w:noProof/>
        </w:rPr>
        <w:t>(Temple 2018)</w:t>
      </w:r>
      <w:r>
        <w:t xml:space="preserve">. </w:t>
      </w:r>
      <w:r w:rsidR="005265D3">
        <w:rPr>
          <w:noProof/>
        </w:rPr>
        <w:t>Temple (2007)</w:t>
      </w:r>
      <w:r>
        <w:t xml:space="preserve"> also reported a low prevalence of cribra orbitalia (15.7%) for </w:t>
      </w:r>
      <w:r w:rsidR="00F7136E">
        <w:t>Ōta</w:t>
      </w:r>
      <w:r>
        <w:t xml:space="preserve">. </w:t>
      </w:r>
    </w:p>
    <w:p w14:paraId="507B860F" w14:textId="436673E0" w:rsidR="00D74FDC" w:rsidRDefault="00D74FDC" w:rsidP="00DD5C06">
      <w:pPr>
        <w:spacing w:line="360" w:lineRule="auto"/>
        <w:rPr>
          <w:lang w:val="en-AU"/>
        </w:rPr>
      </w:pPr>
      <w:r w:rsidRPr="538C6207">
        <w:rPr>
          <w:lang w:val="en-AU"/>
        </w:rPr>
        <w:t>The one adolescent from the</w:t>
      </w:r>
      <w:r w:rsidR="00A60F16">
        <w:rPr>
          <w:lang w:val="en-AU"/>
        </w:rPr>
        <w:t xml:space="preserve"> </w:t>
      </w:r>
      <w:proofErr w:type="spellStart"/>
      <w:r w:rsidR="00A60F16">
        <w:rPr>
          <w:lang w:val="en-AU"/>
        </w:rPr>
        <w:t>Ōta</w:t>
      </w:r>
      <w:proofErr w:type="spellEnd"/>
      <w:r w:rsidR="00A60F16">
        <w:rPr>
          <w:lang w:val="en-AU"/>
        </w:rPr>
        <w:t xml:space="preserve"> </w:t>
      </w:r>
      <w:r w:rsidRPr="538C6207">
        <w:rPr>
          <w:lang w:val="en-AU"/>
        </w:rPr>
        <w:t>assemblage (15</w:t>
      </w:r>
      <w:r w:rsidR="00AF1908">
        <w:rPr>
          <w:lang w:val="en-AU"/>
        </w:rPr>
        <w:t>–</w:t>
      </w:r>
      <w:r w:rsidRPr="538C6207">
        <w:rPr>
          <w:lang w:val="en-AU"/>
        </w:rPr>
        <w:t xml:space="preserve">19 years) was fragmented, whereas over 50% of the post-adolescence adults were at least partially complete </w:t>
      </w:r>
      <w:r w:rsidRPr="538C6207">
        <w:rPr>
          <w:noProof/>
          <w:lang w:val="en-AU"/>
        </w:rPr>
        <w:t xml:space="preserve">(after Buikstra </w:t>
      </w:r>
      <w:r w:rsidR="00AF1908">
        <w:rPr>
          <w:noProof/>
          <w:lang w:val="en-AU"/>
        </w:rPr>
        <w:t>&amp;</w:t>
      </w:r>
      <w:r w:rsidRPr="538C6207">
        <w:rPr>
          <w:noProof/>
          <w:lang w:val="en-AU"/>
        </w:rPr>
        <w:t xml:space="preserve"> Ubelaker 1994)</w:t>
      </w:r>
      <w:r w:rsidRPr="538C6207">
        <w:rPr>
          <w:lang w:val="en-AU"/>
        </w:rPr>
        <w:t xml:space="preserve">. Three individuals had some skeletal elements which were charcoal black in colour. Most individuals exhibited grade 2 to 3 surface erosion </w:t>
      </w:r>
      <w:r w:rsidRPr="538C6207">
        <w:rPr>
          <w:noProof/>
          <w:lang w:val="en-AU"/>
        </w:rPr>
        <w:t>(after McKinley 2004)</w:t>
      </w:r>
      <w:r w:rsidRPr="538C6207">
        <w:rPr>
          <w:lang w:val="en-AU"/>
        </w:rPr>
        <w:t xml:space="preserve">, with two individuals exhibiting severe rodent gnawing of the cranium and </w:t>
      </w:r>
      <w:proofErr w:type="spellStart"/>
      <w:r w:rsidRPr="538C6207">
        <w:rPr>
          <w:lang w:val="en-AU"/>
        </w:rPr>
        <w:t>postcranium</w:t>
      </w:r>
      <w:proofErr w:type="spellEnd"/>
      <w:r>
        <w:rPr>
          <w:lang w:val="en-AU"/>
        </w:rPr>
        <w:t xml:space="preserve"> (grade 4 and 5)</w:t>
      </w:r>
      <w:r w:rsidR="00AF1908">
        <w:rPr>
          <w:lang w:val="en-AU"/>
        </w:rPr>
        <w:t>.</w:t>
      </w:r>
    </w:p>
    <w:p w14:paraId="2DD2CC76" w14:textId="77777777" w:rsidR="00D74FDC" w:rsidRDefault="00D74FDC" w:rsidP="00DD5C06">
      <w:pPr>
        <w:spacing w:line="360" w:lineRule="auto"/>
      </w:pPr>
    </w:p>
    <w:p w14:paraId="0AFA8AA2" w14:textId="414F31D9" w:rsidR="00D74FDC" w:rsidRPr="00D74FDC" w:rsidRDefault="00D74FDC" w:rsidP="00DD5C06">
      <w:pPr>
        <w:spacing w:line="360" w:lineRule="auto"/>
        <w:rPr>
          <w:i/>
        </w:rPr>
      </w:pPr>
      <w:r w:rsidRPr="00D74FDC">
        <w:rPr>
          <w:i/>
        </w:rPr>
        <w:t>Tsukumo</w:t>
      </w:r>
    </w:p>
    <w:p w14:paraId="048C8E0A" w14:textId="19E1CFF8" w:rsidR="00D74FDC" w:rsidRDefault="00D74FDC" w:rsidP="00DD5C06">
      <w:pPr>
        <w:spacing w:line="360" w:lineRule="auto"/>
      </w:pPr>
      <w:r>
        <w:t>Thirty individuals (</w:t>
      </w:r>
      <w:r w:rsidR="009C7F26">
        <w:t>8</w:t>
      </w:r>
      <w:r>
        <w:t xml:space="preserve"> subadults (&lt;15 years), 2</w:t>
      </w:r>
      <w:r w:rsidR="009C7F26">
        <w:t>2</w:t>
      </w:r>
      <w:r>
        <w:t xml:space="preserve"> adults (&gt;15 years)) from Tsukumo were included in the analysis. Tsukumo, like </w:t>
      </w:r>
      <w:r w:rsidR="00F7136E">
        <w:t>Ō</w:t>
      </w:r>
      <w:r>
        <w:t xml:space="preserve">ta, is classified as a shell midden site </w:t>
      </w:r>
      <w:r w:rsidRPr="538C6207">
        <w:rPr>
          <w:noProof/>
        </w:rPr>
        <w:t>(Kiyono 1969)</w:t>
      </w:r>
      <w:r>
        <w:t>. Relative dating places this site in the Late to Final</w:t>
      </w:r>
      <w:r w:rsidR="00A60F16">
        <w:t xml:space="preserve"> Jōmon </w:t>
      </w:r>
      <w:r>
        <w:t>Period (4000</w:t>
      </w:r>
      <w:r w:rsidR="00AF1908">
        <w:t>–</w:t>
      </w:r>
      <w:r>
        <w:t>2300</w:t>
      </w:r>
      <w:r w:rsidR="005265D3">
        <w:t xml:space="preserve"> </w:t>
      </w:r>
      <w:r>
        <w:t xml:space="preserve">BP) during </w:t>
      </w:r>
      <w:r w:rsidR="00AF1908">
        <w:t>a</w:t>
      </w:r>
      <w:r>
        <w:t xml:space="preserve"> period of climat</w:t>
      </w:r>
      <w:r w:rsidR="00AF1908">
        <w:t>ic</w:t>
      </w:r>
      <w:r>
        <w:t xml:space="preserve"> cooling </w:t>
      </w:r>
      <w:r w:rsidRPr="538C6207">
        <w:rPr>
          <w:noProof/>
        </w:rPr>
        <w:t>(Kiyono 1969)</w:t>
      </w:r>
      <w:r>
        <w:t xml:space="preserve">. The Tsukumo assemblage is comprised of predominantly adults. However, there is a greater number of preserved subadults than was the case for </w:t>
      </w:r>
      <w:r w:rsidR="00F7136E">
        <w:t>Ō</w:t>
      </w:r>
      <w:r>
        <w:t>ta. A distinct lack of infants under 1 year of age and older children (6</w:t>
      </w:r>
      <w:r w:rsidR="00AF1908">
        <w:t>–</w:t>
      </w:r>
      <w:r>
        <w:t>10 year olds) does suggest some collection bias where subadults, unless very well preserved, may not have been identified during excavation. While similar to</w:t>
      </w:r>
      <w:r w:rsidR="00A60F16">
        <w:t xml:space="preserve"> Ōta </w:t>
      </w:r>
      <w:r>
        <w:t xml:space="preserve">in regards to sedentary dwellings along the Inland Sea, and similar foraging and fishing tools were excavated from the shell midden </w:t>
      </w:r>
      <w:r w:rsidRPr="538C6207">
        <w:rPr>
          <w:noProof/>
        </w:rPr>
        <w:t xml:space="preserve">(Kiyono </w:t>
      </w:r>
      <w:r w:rsidR="000E5081" w:rsidRPr="000E5081">
        <w:rPr>
          <w:i/>
          <w:noProof/>
        </w:rPr>
        <w:t>et al</w:t>
      </w:r>
      <w:r w:rsidRPr="538C6207">
        <w:rPr>
          <w:noProof/>
        </w:rPr>
        <w:t>. 1920)</w:t>
      </w:r>
      <w:r>
        <w:t>, Tsukumo does have some distinct differences which indicate considerable social change from the Middle to the Late and Final</w:t>
      </w:r>
      <w:r w:rsidR="00A60F16">
        <w:t xml:space="preserve"> Jōmon </w:t>
      </w:r>
      <w:r>
        <w:t xml:space="preserve">Periods in this region. </w:t>
      </w:r>
      <w:r w:rsidRPr="538C6207">
        <w:rPr>
          <w:noProof/>
        </w:rPr>
        <w:t>Kiyono (1969)</w:t>
      </w:r>
      <w:r>
        <w:t xml:space="preserve"> identified fashioned deer antlers placed along the right hip of three individuals at Tsukumo, which were described as </w:t>
      </w:r>
      <w:r w:rsidRPr="00AF1908">
        <w:t>hip ornaments</w:t>
      </w:r>
      <w:r w:rsidRPr="538C6207">
        <w:rPr>
          <w:i/>
          <w:iCs/>
        </w:rPr>
        <w:t xml:space="preserve"> </w:t>
      </w:r>
      <w:r>
        <w:t xml:space="preserve">and animal bone implements were found in 33% of graves. These were not found at </w:t>
      </w:r>
      <w:r w:rsidR="00F7136E">
        <w:t>Ōta</w:t>
      </w:r>
      <w:r>
        <w:t xml:space="preserve">. </w:t>
      </w:r>
      <w:r w:rsidRPr="538C6207">
        <w:rPr>
          <w:noProof/>
        </w:rPr>
        <w:t>Temple (2018)</w:t>
      </w:r>
      <w:r>
        <w:t xml:space="preserve"> has argued that these artefacts indicate social differentiation in identity at Tsukumo. While there remains no evidence for socioeconomic inequality, this may indicate the beginnings of social stratification in the Late to Final</w:t>
      </w:r>
      <w:r w:rsidR="00A60F16">
        <w:t xml:space="preserve"> Jōmon </w:t>
      </w:r>
      <w:r>
        <w:t xml:space="preserve">in </w:t>
      </w:r>
      <w:r w:rsidR="00AF1908">
        <w:t>w</w:t>
      </w:r>
      <w:r>
        <w:t xml:space="preserve">estern Japan </w:t>
      </w:r>
      <w:r w:rsidRPr="538C6207">
        <w:rPr>
          <w:noProof/>
        </w:rPr>
        <w:t>(Temple 2018)</w:t>
      </w:r>
      <w:r>
        <w:t xml:space="preserve">. In regards to the Tsukumo diet, </w:t>
      </w:r>
      <w:r w:rsidRPr="538C6207">
        <w:rPr>
          <w:noProof/>
        </w:rPr>
        <w:t xml:space="preserve">Kusaka </w:t>
      </w:r>
      <w:r w:rsidR="000E5081" w:rsidRPr="000E5081">
        <w:rPr>
          <w:i/>
          <w:noProof/>
        </w:rPr>
        <w:t>et al</w:t>
      </w:r>
      <w:r w:rsidRPr="538C6207">
        <w:rPr>
          <w:noProof/>
        </w:rPr>
        <w:t>. (2010)</w:t>
      </w:r>
      <w:r>
        <w:t xml:space="preserve"> found no differences in the carbon and nitrogen isotope values between males and females, contrasting the findings at </w:t>
      </w:r>
      <w:r w:rsidR="00F7136E">
        <w:t>Ōta</w:t>
      </w:r>
      <w:r>
        <w:t>. Tsukumo individuals also exhibited significantly lower nitrogen values than</w:t>
      </w:r>
      <w:r w:rsidR="00A60F16">
        <w:t xml:space="preserve"> Ōta </w:t>
      </w:r>
      <w:r>
        <w:t>individuals suggesting an increased proportion of terrestrial sources in the Tsukumo diet. The Tsukumo assemblage exhibited a carious lesion prevalence rate of 9.6%, considerably higher than that of</w:t>
      </w:r>
      <w:r w:rsidR="00A60F16">
        <w:t xml:space="preserve"> Ōta </w:t>
      </w:r>
      <w:r w:rsidR="005265D3">
        <w:rPr>
          <w:noProof/>
        </w:rPr>
        <w:t>(Temple 2007)</w:t>
      </w:r>
      <w:r>
        <w:t>. The increased rate of carious lesions of Late and Final</w:t>
      </w:r>
      <w:r w:rsidR="00A60F16">
        <w:t xml:space="preserve"> Jōmon </w:t>
      </w:r>
      <w:r>
        <w:t>compared to Middle Period</w:t>
      </w:r>
      <w:r w:rsidR="00A60F16">
        <w:t xml:space="preserve"> Jōmon </w:t>
      </w:r>
      <w:r>
        <w:t xml:space="preserve">may be related to an increased carbohydrate intake supported by the isotopic findings </w:t>
      </w:r>
      <w:r>
        <w:lastRenderedPageBreak/>
        <w:t xml:space="preserve">of </w:t>
      </w:r>
      <w:r w:rsidRPr="538C6207">
        <w:rPr>
          <w:noProof/>
        </w:rPr>
        <w:t xml:space="preserve">Kusaka </w:t>
      </w:r>
      <w:r w:rsidR="000E5081" w:rsidRPr="000E5081">
        <w:rPr>
          <w:i/>
          <w:noProof/>
        </w:rPr>
        <w:t>et al</w:t>
      </w:r>
      <w:r w:rsidRPr="538C6207">
        <w:rPr>
          <w:noProof/>
        </w:rPr>
        <w:t>. (2010)</w:t>
      </w:r>
      <w:r>
        <w:t xml:space="preserve"> for an increased reliance on terrestrial food resources. The prevalence of linear enamel hypoplasia per individual was similar to that of</w:t>
      </w:r>
      <w:r w:rsidR="00A60F16">
        <w:t xml:space="preserve"> Ōta </w:t>
      </w:r>
      <w:r>
        <w:t xml:space="preserve">at 66.7% in the Tsukumo assemblage </w:t>
      </w:r>
      <w:r w:rsidR="005265D3">
        <w:rPr>
          <w:noProof/>
        </w:rPr>
        <w:t>(Temple 2007)</w:t>
      </w:r>
      <w:r>
        <w:t xml:space="preserve">. </w:t>
      </w:r>
    </w:p>
    <w:p w14:paraId="1F31D493" w14:textId="27EE5C1F" w:rsidR="00D74FDC" w:rsidRDefault="00D74FDC" w:rsidP="00DD5C06">
      <w:pPr>
        <w:spacing w:line="360" w:lineRule="auto"/>
        <w:rPr>
          <w:lang w:val="en-AU"/>
        </w:rPr>
      </w:pPr>
      <w:r w:rsidRPr="00F07C31">
        <w:rPr>
          <w:lang w:val="en-AU"/>
        </w:rPr>
        <w:t xml:space="preserve">Over 68% of the adults in the assemblage were complete (more than 75%) whereas only 27% of </w:t>
      </w:r>
      <w:r>
        <w:rPr>
          <w:lang w:val="en-AU"/>
        </w:rPr>
        <w:t>sub</w:t>
      </w:r>
      <w:r w:rsidRPr="00F07C31">
        <w:rPr>
          <w:lang w:val="en-AU"/>
        </w:rPr>
        <w:t>adults were complete</w:t>
      </w:r>
      <w:r>
        <w:rPr>
          <w:lang w:val="en-AU"/>
        </w:rPr>
        <w:t xml:space="preserve"> </w:t>
      </w:r>
      <w:r>
        <w:rPr>
          <w:noProof/>
          <w:lang w:val="en-AU"/>
        </w:rPr>
        <w:t xml:space="preserve">(after Buikstra </w:t>
      </w:r>
      <w:r w:rsidR="00AF1908">
        <w:rPr>
          <w:noProof/>
          <w:lang w:val="en-AU"/>
        </w:rPr>
        <w:t>&amp;</w:t>
      </w:r>
      <w:r>
        <w:rPr>
          <w:noProof/>
          <w:lang w:val="en-AU"/>
        </w:rPr>
        <w:t xml:space="preserve"> Ubelaker 1994)</w:t>
      </w:r>
      <w:r>
        <w:rPr>
          <w:lang w:val="en-AU"/>
        </w:rPr>
        <w:t xml:space="preserve">. </w:t>
      </w:r>
      <w:r w:rsidRPr="00F07C31">
        <w:rPr>
          <w:lang w:val="en-AU"/>
        </w:rPr>
        <w:t xml:space="preserve">Forty-five percent of the </w:t>
      </w:r>
      <w:r>
        <w:rPr>
          <w:lang w:val="en-AU"/>
        </w:rPr>
        <w:t>sub</w:t>
      </w:r>
      <w:r w:rsidRPr="00F07C31">
        <w:rPr>
          <w:lang w:val="en-AU"/>
        </w:rPr>
        <w:t>adult assemblage were incomplete or fragmented</w:t>
      </w:r>
      <w:r>
        <w:rPr>
          <w:lang w:val="en-AU"/>
        </w:rPr>
        <w:t>, and epiphyses were poorly preserved</w:t>
      </w:r>
      <w:r w:rsidRPr="00F07C31">
        <w:rPr>
          <w:lang w:val="en-AU"/>
        </w:rPr>
        <w:t>.</w:t>
      </w:r>
      <w:r>
        <w:rPr>
          <w:lang w:val="en-AU"/>
        </w:rPr>
        <w:t xml:space="preserve"> Individuals exhibited grade 1 to 3 surface erosion </w:t>
      </w:r>
      <w:r>
        <w:rPr>
          <w:noProof/>
          <w:lang w:val="en-AU"/>
        </w:rPr>
        <w:t>(after McKinley 2004)</w:t>
      </w:r>
      <w:r>
        <w:rPr>
          <w:lang w:val="en-AU"/>
        </w:rPr>
        <w:t xml:space="preserve">. </w:t>
      </w:r>
    </w:p>
    <w:p w14:paraId="7E50C808" w14:textId="7C16D2A3" w:rsidR="006D6544" w:rsidRDefault="006D6544" w:rsidP="00DD5C06">
      <w:pPr>
        <w:spacing w:line="360" w:lineRule="auto"/>
        <w:rPr>
          <w:lang w:val="en-AU"/>
        </w:rPr>
      </w:pPr>
    </w:p>
    <w:p w14:paraId="128185B6" w14:textId="2D8B86D4" w:rsidR="006D6544" w:rsidRPr="006D6544" w:rsidRDefault="006D6544" w:rsidP="006D6544">
      <w:pPr>
        <w:jc w:val="both"/>
        <w:rPr>
          <w:b/>
          <w:color w:val="000000" w:themeColor="text1"/>
          <w:lang w:val="en-GB"/>
        </w:rPr>
      </w:pPr>
      <w:r w:rsidRPr="006D6544">
        <w:rPr>
          <w:b/>
          <w:color w:val="000000" w:themeColor="text1"/>
          <w:lang w:val="en-GB"/>
        </w:rPr>
        <w:t xml:space="preserve">Table S1: Dietary sources of the Jōmon during summer/ spring and winter/autumn periods </w:t>
      </w:r>
      <w:r w:rsidRPr="006D6544">
        <w:rPr>
          <w:b/>
          <w:noProof/>
          <w:color w:val="000000" w:themeColor="text1"/>
          <w:lang w:val="en-GB"/>
        </w:rPr>
        <w:t>(Habu 2004)</w:t>
      </w:r>
      <w:r w:rsidRPr="006D6544">
        <w:rPr>
          <w:b/>
          <w:color w:val="000000" w:themeColor="text1"/>
          <w:lang w:val="en-GB"/>
        </w:rPr>
        <w:t xml:space="preserve">. (&lt;6.5 to 10mg a day results in Vitamin C deficiency). Vitamin C estimates: </w:t>
      </w:r>
      <w:r w:rsidRPr="006D6544">
        <w:rPr>
          <w:b/>
          <w:noProof/>
          <w:color w:val="000000" w:themeColor="text1"/>
          <w:lang w:val="en-GB"/>
        </w:rPr>
        <w:t>(US Department of Agriculture 2019)</w:t>
      </w:r>
      <w:r w:rsidRPr="006D6544">
        <w:rPr>
          <w:b/>
          <w:color w:val="000000" w:themeColor="text1"/>
          <w:lang w:val="en-GB"/>
        </w:rPr>
        <w:t>.</w:t>
      </w:r>
    </w:p>
    <w:tbl>
      <w:tblPr>
        <w:tblStyle w:val="TableGrid"/>
        <w:tblW w:w="8926" w:type="dxa"/>
        <w:jc w:val="center"/>
        <w:tblLook w:val="04A0" w:firstRow="1" w:lastRow="0" w:firstColumn="1" w:lastColumn="0" w:noHBand="0" w:noVBand="1"/>
      </w:tblPr>
      <w:tblGrid>
        <w:gridCol w:w="2122"/>
        <w:gridCol w:w="2268"/>
        <w:gridCol w:w="2268"/>
        <w:gridCol w:w="2268"/>
      </w:tblGrid>
      <w:tr w:rsidR="006D6544" w:rsidRPr="003C3ED7" w14:paraId="67CE0F3B" w14:textId="77777777" w:rsidTr="00923328">
        <w:trPr>
          <w:trHeight w:val="235"/>
          <w:jc w:val="center"/>
        </w:trPr>
        <w:tc>
          <w:tcPr>
            <w:tcW w:w="4390" w:type="dxa"/>
            <w:gridSpan w:val="2"/>
            <w:tcBorders>
              <w:bottom w:val="single" w:sz="4" w:space="0" w:color="auto"/>
            </w:tcBorders>
            <w:shd w:val="clear" w:color="auto" w:fill="auto"/>
          </w:tcPr>
          <w:p w14:paraId="0DF34B45" w14:textId="77777777" w:rsidR="006D6544" w:rsidRPr="003C3ED7" w:rsidRDefault="006D6544" w:rsidP="00923328">
            <w:pPr>
              <w:rPr>
                <w:rFonts w:cstheme="minorHAnsi"/>
                <w:b/>
                <w:color w:val="000000" w:themeColor="text1"/>
                <w:sz w:val="20"/>
                <w:szCs w:val="20"/>
              </w:rPr>
            </w:pPr>
            <w:r w:rsidRPr="003C3ED7">
              <w:rPr>
                <w:rFonts w:cstheme="minorHAnsi"/>
                <w:b/>
                <w:color w:val="000000" w:themeColor="text1"/>
                <w:sz w:val="20"/>
                <w:szCs w:val="20"/>
              </w:rPr>
              <w:t>Winter/Autumn</w:t>
            </w:r>
          </w:p>
        </w:tc>
        <w:tc>
          <w:tcPr>
            <w:tcW w:w="4536" w:type="dxa"/>
            <w:gridSpan w:val="2"/>
            <w:tcBorders>
              <w:bottom w:val="single" w:sz="4" w:space="0" w:color="auto"/>
            </w:tcBorders>
            <w:shd w:val="clear" w:color="auto" w:fill="auto"/>
          </w:tcPr>
          <w:p w14:paraId="499B59BA" w14:textId="77777777" w:rsidR="006D6544" w:rsidRPr="003C3ED7" w:rsidRDefault="006D6544" w:rsidP="00923328">
            <w:pPr>
              <w:rPr>
                <w:rFonts w:cstheme="minorHAnsi"/>
                <w:b/>
                <w:color w:val="000000" w:themeColor="text1"/>
                <w:sz w:val="20"/>
                <w:szCs w:val="20"/>
              </w:rPr>
            </w:pPr>
            <w:r w:rsidRPr="003C3ED7">
              <w:rPr>
                <w:rFonts w:cstheme="minorHAnsi"/>
                <w:b/>
                <w:color w:val="000000" w:themeColor="text1"/>
                <w:sz w:val="20"/>
                <w:szCs w:val="20"/>
              </w:rPr>
              <w:t>Spring/Summer</w:t>
            </w:r>
          </w:p>
        </w:tc>
      </w:tr>
      <w:tr w:rsidR="006D6544" w:rsidRPr="00B4231A" w14:paraId="5A7753A5" w14:textId="77777777" w:rsidTr="00923328">
        <w:trPr>
          <w:trHeight w:val="245"/>
          <w:jc w:val="center"/>
        </w:trPr>
        <w:tc>
          <w:tcPr>
            <w:tcW w:w="2122" w:type="dxa"/>
            <w:tcBorders>
              <w:top w:val="nil"/>
              <w:bottom w:val="nil"/>
            </w:tcBorders>
          </w:tcPr>
          <w:p w14:paraId="672B4264" w14:textId="77777777" w:rsidR="006D6544" w:rsidRPr="003C3ED7" w:rsidRDefault="006D6544" w:rsidP="00923328">
            <w:pPr>
              <w:rPr>
                <w:rFonts w:cstheme="minorHAnsi"/>
                <w:b/>
                <w:i/>
                <w:color w:val="000000" w:themeColor="text1"/>
                <w:sz w:val="20"/>
                <w:szCs w:val="20"/>
              </w:rPr>
            </w:pPr>
            <w:r w:rsidRPr="003C3ED7">
              <w:rPr>
                <w:rFonts w:cstheme="minorHAnsi"/>
                <w:b/>
                <w:i/>
                <w:color w:val="000000" w:themeColor="text1"/>
                <w:sz w:val="20"/>
                <w:szCs w:val="20"/>
              </w:rPr>
              <w:t>Food Type</w:t>
            </w:r>
          </w:p>
        </w:tc>
        <w:tc>
          <w:tcPr>
            <w:tcW w:w="2268" w:type="dxa"/>
            <w:tcBorders>
              <w:top w:val="nil"/>
              <w:bottom w:val="nil"/>
            </w:tcBorders>
          </w:tcPr>
          <w:p w14:paraId="019EEF1E" w14:textId="77777777" w:rsidR="006D6544" w:rsidRPr="00B4231A" w:rsidRDefault="006D6544" w:rsidP="00923328">
            <w:pPr>
              <w:jc w:val="both"/>
              <w:rPr>
                <w:rFonts w:cstheme="minorHAnsi"/>
                <w:b/>
                <w:i/>
                <w:color w:val="000000" w:themeColor="text1"/>
                <w:sz w:val="20"/>
                <w:szCs w:val="20"/>
                <w:lang w:val="it-IT"/>
              </w:rPr>
            </w:pPr>
            <w:r w:rsidRPr="00B4231A">
              <w:rPr>
                <w:rFonts w:cstheme="minorHAnsi"/>
                <w:b/>
                <w:i/>
                <w:color w:val="000000" w:themeColor="text1"/>
                <w:sz w:val="20"/>
                <w:szCs w:val="20"/>
                <w:lang w:val="it-IT"/>
              </w:rPr>
              <w:t>Vitamin C (mg) per 100g</w:t>
            </w:r>
          </w:p>
        </w:tc>
        <w:tc>
          <w:tcPr>
            <w:tcW w:w="2268" w:type="dxa"/>
            <w:tcBorders>
              <w:top w:val="nil"/>
              <w:bottom w:val="nil"/>
            </w:tcBorders>
          </w:tcPr>
          <w:p w14:paraId="4947FDE2" w14:textId="77777777" w:rsidR="006D6544" w:rsidRPr="003C3ED7" w:rsidRDefault="006D6544" w:rsidP="00923328">
            <w:pPr>
              <w:jc w:val="both"/>
              <w:rPr>
                <w:rFonts w:cstheme="minorHAnsi"/>
                <w:b/>
                <w:color w:val="000000" w:themeColor="text1"/>
                <w:sz w:val="20"/>
                <w:szCs w:val="20"/>
              </w:rPr>
            </w:pPr>
            <w:r w:rsidRPr="003C3ED7">
              <w:rPr>
                <w:rFonts w:cstheme="minorHAnsi"/>
                <w:b/>
                <w:i/>
                <w:color w:val="000000" w:themeColor="text1"/>
                <w:sz w:val="20"/>
                <w:szCs w:val="20"/>
              </w:rPr>
              <w:t>Food Type</w:t>
            </w:r>
          </w:p>
        </w:tc>
        <w:tc>
          <w:tcPr>
            <w:tcW w:w="2268" w:type="dxa"/>
            <w:tcBorders>
              <w:top w:val="nil"/>
              <w:bottom w:val="nil"/>
            </w:tcBorders>
          </w:tcPr>
          <w:p w14:paraId="69E3927A" w14:textId="77777777" w:rsidR="006D6544" w:rsidRPr="00B4231A" w:rsidRDefault="006D6544" w:rsidP="00923328">
            <w:pPr>
              <w:jc w:val="both"/>
              <w:rPr>
                <w:rFonts w:cstheme="minorHAnsi"/>
                <w:color w:val="000000" w:themeColor="text1"/>
                <w:sz w:val="20"/>
                <w:szCs w:val="20"/>
                <w:lang w:val="it-IT"/>
              </w:rPr>
            </w:pPr>
            <w:r w:rsidRPr="00B4231A">
              <w:rPr>
                <w:rFonts w:cstheme="minorHAnsi"/>
                <w:b/>
                <w:i/>
                <w:color w:val="000000" w:themeColor="text1"/>
                <w:sz w:val="20"/>
                <w:szCs w:val="20"/>
                <w:lang w:val="it-IT"/>
              </w:rPr>
              <w:t>Vitamin C (mg) per 100g</w:t>
            </w:r>
          </w:p>
        </w:tc>
      </w:tr>
      <w:tr w:rsidR="006D6544" w:rsidRPr="003C3ED7" w14:paraId="197FAEA9" w14:textId="77777777" w:rsidTr="00923328">
        <w:trPr>
          <w:trHeight w:val="245"/>
          <w:jc w:val="center"/>
        </w:trPr>
        <w:tc>
          <w:tcPr>
            <w:tcW w:w="2122" w:type="dxa"/>
            <w:tcBorders>
              <w:top w:val="nil"/>
              <w:bottom w:val="nil"/>
            </w:tcBorders>
          </w:tcPr>
          <w:p w14:paraId="2ED0CE6A" w14:textId="77777777" w:rsidR="006D6544" w:rsidRPr="003C3ED7" w:rsidRDefault="006D6544" w:rsidP="00923328">
            <w:pPr>
              <w:rPr>
                <w:rFonts w:cstheme="minorHAnsi"/>
                <w:i/>
                <w:color w:val="000000" w:themeColor="text1"/>
                <w:sz w:val="18"/>
                <w:szCs w:val="18"/>
              </w:rPr>
            </w:pPr>
            <w:r w:rsidRPr="003C3ED7">
              <w:rPr>
                <w:rFonts w:cstheme="minorHAnsi"/>
                <w:i/>
                <w:color w:val="000000" w:themeColor="text1"/>
                <w:sz w:val="18"/>
                <w:szCs w:val="18"/>
              </w:rPr>
              <w:t>Acorns</w:t>
            </w:r>
          </w:p>
        </w:tc>
        <w:tc>
          <w:tcPr>
            <w:tcW w:w="2268" w:type="dxa"/>
            <w:tcBorders>
              <w:top w:val="nil"/>
              <w:bottom w:val="nil"/>
            </w:tcBorders>
          </w:tcPr>
          <w:p w14:paraId="1B8B7A72"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0</w:t>
            </w:r>
          </w:p>
        </w:tc>
        <w:tc>
          <w:tcPr>
            <w:tcW w:w="2268" w:type="dxa"/>
            <w:tcBorders>
              <w:top w:val="nil"/>
              <w:bottom w:val="nil"/>
            </w:tcBorders>
          </w:tcPr>
          <w:p w14:paraId="50E53B42"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Mulberry Fruit</w:t>
            </w:r>
          </w:p>
        </w:tc>
        <w:tc>
          <w:tcPr>
            <w:tcW w:w="2268" w:type="dxa"/>
            <w:tcBorders>
              <w:top w:val="nil"/>
              <w:bottom w:val="nil"/>
            </w:tcBorders>
          </w:tcPr>
          <w:p w14:paraId="051F36A3"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36.4</w:t>
            </w:r>
          </w:p>
        </w:tc>
      </w:tr>
      <w:tr w:rsidR="006D6544" w:rsidRPr="003C3ED7" w14:paraId="507B8CE4" w14:textId="77777777" w:rsidTr="00923328">
        <w:trPr>
          <w:trHeight w:val="245"/>
          <w:jc w:val="center"/>
        </w:trPr>
        <w:tc>
          <w:tcPr>
            <w:tcW w:w="2122" w:type="dxa"/>
            <w:tcBorders>
              <w:top w:val="nil"/>
              <w:bottom w:val="nil"/>
            </w:tcBorders>
          </w:tcPr>
          <w:p w14:paraId="525C39A6" w14:textId="77777777" w:rsidR="006D6544" w:rsidRPr="003C3ED7" w:rsidRDefault="006D6544" w:rsidP="00923328">
            <w:pPr>
              <w:rPr>
                <w:rFonts w:cstheme="minorHAnsi"/>
                <w:i/>
                <w:color w:val="000000" w:themeColor="text1"/>
                <w:sz w:val="18"/>
                <w:szCs w:val="18"/>
              </w:rPr>
            </w:pPr>
            <w:r w:rsidRPr="003C3ED7">
              <w:rPr>
                <w:rFonts w:cstheme="minorHAnsi"/>
                <w:i/>
                <w:color w:val="000000" w:themeColor="text1"/>
                <w:sz w:val="18"/>
                <w:szCs w:val="18"/>
              </w:rPr>
              <w:t>Chestnuts</w:t>
            </w:r>
          </w:p>
        </w:tc>
        <w:tc>
          <w:tcPr>
            <w:tcW w:w="2268" w:type="dxa"/>
            <w:tcBorders>
              <w:top w:val="nil"/>
              <w:bottom w:val="nil"/>
            </w:tcBorders>
          </w:tcPr>
          <w:p w14:paraId="371C6E3F"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40.2</w:t>
            </w:r>
          </w:p>
        </w:tc>
        <w:tc>
          <w:tcPr>
            <w:tcW w:w="2268" w:type="dxa"/>
            <w:tcBorders>
              <w:top w:val="nil"/>
              <w:bottom w:val="nil"/>
            </w:tcBorders>
          </w:tcPr>
          <w:p w14:paraId="58BE31AA"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Gourd</w:t>
            </w:r>
          </w:p>
        </w:tc>
        <w:tc>
          <w:tcPr>
            <w:tcW w:w="2268" w:type="dxa"/>
            <w:tcBorders>
              <w:top w:val="nil"/>
              <w:bottom w:val="nil"/>
            </w:tcBorders>
          </w:tcPr>
          <w:p w14:paraId="13842B3D"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8.5</w:t>
            </w:r>
          </w:p>
        </w:tc>
      </w:tr>
      <w:tr w:rsidR="006D6544" w:rsidRPr="003C3ED7" w14:paraId="0F361D20" w14:textId="77777777" w:rsidTr="00923328">
        <w:trPr>
          <w:trHeight w:val="245"/>
          <w:jc w:val="center"/>
        </w:trPr>
        <w:tc>
          <w:tcPr>
            <w:tcW w:w="2122" w:type="dxa"/>
            <w:tcBorders>
              <w:top w:val="nil"/>
              <w:bottom w:val="nil"/>
            </w:tcBorders>
          </w:tcPr>
          <w:p w14:paraId="2ED8D67A" w14:textId="77777777" w:rsidR="006D6544" w:rsidRPr="003C3ED7" w:rsidRDefault="006D6544" w:rsidP="00923328">
            <w:pPr>
              <w:rPr>
                <w:rFonts w:cstheme="minorHAnsi"/>
                <w:i/>
                <w:color w:val="000000" w:themeColor="text1"/>
                <w:sz w:val="18"/>
                <w:szCs w:val="18"/>
              </w:rPr>
            </w:pPr>
            <w:r w:rsidRPr="003C3ED7">
              <w:rPr>
                <w:rFonts w:cstheme="minorHAnsi"/>
                <w:i/>
                <w:color w:val="000000" w:themeColor="text1"/>
                <w:sz w:val="18"/>
                <w:szCs w:val="18"/>
              </w:rPr>
              <w:t>Walnuts</w:t>
            </w:r>
          </w:p>
        </w:tc>
        <w:tc>
          <w:tcPr>
            <w:tcW w:w="2268" w:type="dxa"/>
            <w:tcBorders>
              <w:top w:val="nil"/>
              <w:bottom w:val="nil"/>
            </w:tcBorders>
          </w:tcPr>
          <w:p w14:paraId="4FA8E361"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1.3</w:t>
            </w:r>
          </w:p>
        </w:tc>
        <w:tc>
          <w:tcPr>
            <w:tcW w:w="2268" w:type="dxa"/>
            <w:tcBorders>
              <w:top w:val="nil"/>
              <w:bottom w:val="nil"/>
            </w:tcBorders>
          </w:tcPr>
          <w:p w14:paraId="1D27F102"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Yam</w:t>
            </w:r>
          </w:p>
        </w:tc>
        <w:tc>
          <w:tcPr>
            <w:tcW w:w="2268" w:type="dxa"/>
            <w:tcBorders>
              <w:top w:val="nil"/>
              <w:bottom w:val="nil"/>
            </w:tcBorders>
          </w:tcPr>
          <w:p w14:paraId="20559B5E"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17.1</w:t>
            </w:r>
          </w:p>
        </w:tc>
      </w:tr>
      <w:tr w:rsidR="006D6544" w:rsidRPr="003C3ED7" w14:paraId="013DEF98" w14:textId="77777777" w:rsidTr="00923328">
        <w:trPr>
          <w:trHeight w:val="245"/>
          <w:jc w:val="center"/>
        </w:trPr>
        <w:tc>
          <w:tcPr>
            <w:tcW w:w="2122" w:type="dxa"/>
            <w:tcBorders>
              <w:top w:val="nil"/>
              <w:bottom w:val="nil"/>
            </w:tcBorders>
          </w:tcPr>
          <w:p w14:paraId="2A07FC0A" w14:textId="77777777" w:rsidR="006D6544" w:rsidRPr="003C3ED7" w:rsidRDefault="006D6544" w:rsidP="00923328">
            <w:pPr>
              <w:rPr>
                <w:rFonts w:cstheme="minorHAnsi"/>
                <w:i/>
                <w:color w:val="000000" w:themeColor="text1"/>
                <w:sz w:val="18"/>
                <w:szCs w:val="18"/>
              </w:rPr>
            </w:pPr>
            <w:r w:rsidRPr="003C3ED7">
              <w:rPr>
                <w:rFonts w:cstheme="minorHAnsi"/>
                <w:i/>
                <w:color w:val="000000" w:themeColor="text1"/>
                <w:sz w:val="18"/>
                <w:szCs w:val="18"/>
              </w:rPr>
              <w:t>Boar</w:t>
            </w:r>
          </w:p>
        </w:tc>
        <w:tc>
          <w:tcPr>
            <w:tcW w:w="2268" w:type="dxa"/>
            <w:tcBorders>
              <w:top w:val="nil"/>
              <w:bottom w:val="nil"/>
            </w:tcBorders>
          </w:tcPr>
          <w:p w14:paraId="0F5CD3F1"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0.6</w:t>
            </w:r>
          </w:p>
        </w:tc>
        <w:tc>
          <w:tcPr>
            <w:tcW w:w="2268" w:type="dxa"/>
            <w:tcBorders>
              <w:top w:val="nil"/>
              <w:bottom w:val="nil"/>
            </w:tcBorders>
          </w:tcPr>
          <w:p w14:paraId="773B82E3"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Mussel/ shellfish</w:t>
            </w:r>
          </w:p>
        </w:tc>
        <w:tc>
          <w:tcPr>
            <w:tcW w:w="2268" w:type="dxa"/>
            <w:tcBorders>
              <w:top w:val="nil"/>
              <w:bottom w:val="nil"/>
            </w:tcBorders>
          </w:tcPr>
          <w:p w14:paraId="41194376"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13.6</w:t>
            </w:r>
          </w:p>
        </w:tc>
      </w:tr>
      <w:tr w:rsidR="006D6544" w:rsidRPr="003C3ED7" w14:paraId="52B7AD02" w14:textId="77777777" w:rsidTr="00923328">
        <w:trPr>
          <w:trHeight w:val="245"/>
          <w:jc w:val="center"/>
        </w:trPr>
        <w:tc>
          <w:tcPr>
            <w:tcW w:w="2122" w:type="dxa"/>
            <w:tcBorders>
              <w:top w:val="nil"/>
              <w:bottom w:val="nil"/>
            </w:tcBorders>
          </w:tcPr>
          <w:p w14:paraId="401D5902" w14:textId="77777777" w:rsidR="006D6544" w:rsidRPr="003C3ED7" w:rsidRDefault="006D6544" w:rsidP="00923328">
            <w:pPr>
              <w:rPr>
                <w:rFonts w:cstheme="minorHAnsi"/>
                <w:i/>
                <w:color w:val="000000" w:themeColor="text1"/>
                <w:sz w:val="18"/>
                <w:szCs w:val="18"/>
              </w:rPr>
            </w:pPr>
            <w:r w:rsidRPr="003C3ED7">
              <w:rPr>
                <w:rFonts w:cstheme="minorHAnsi"/>
                <w:i/>
                <w:color w:val="000000" w:themeColor="text1"/>
                <w:sz w:val="18"/>
                <w:szCs w:val="18"/>
              </w:rPr>
              <w:t>Venison</w:t>
            </w:r>
          </w:p>
        </w:tc>
        <w:tc>
          <w:tcPr>
            <w:tcW w:w="2268" w:type="dxa"/>
            <w:tcBorders>
              <w:top w:val="nil"/>
              <w:bottom w:val="nil"/>
            </w:tcBorders>
          </w:tcPr>
          <w:p w14:paraId="40EC83CF"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0</w:t>
            </w:r>
          </w:p>
        </w:tc>
        <w:tc>
          <w:tcPr>
            <w:tcW w:w="2268" w:type="dxa"/>
            <w:tcBorders>
              <w:top w:val="nil"/>
              <w:bottom w:val="nil"/>
            </w:tcBorders>
          </w:tcPr>
          <w:p w14:paraId="4C897896"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Fish</w:t>
            </w:r>
          </w:p>
        </w:tc>
        <w:tc>
          <w:tcPr>
            <w:tcW w:w="2268" w:type="dxa"/>
            <w:tcBorders>
              <w:top w:val="nil"/>
              <w:bottom w:val="nil"/>
            </w:tcBorders>
          </w:tcPr>
          <w:p w14:paraId="50E3EAE8"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3.6</w:t>
            </w:r>
          </w:p>
        </w:tc>
      </w:tr>
      <w:tr w:rsidR="006D6544" w:rsidRPr="003C3ED7" w14:paraId="11FF6A82" w14:textId="77777777" w:rsidTr="00923328">
        <w:trPr>
          <w:trHeight w:val="245"/>
          <w:jc w:val="center"/>
        </w:trPr>
        <w:tc>
          <w:tcPr>
            <w:tcW w:w="2122" w:type="dxa"/>
            <w:tcBorders>
              <w:top w:val="nil"/>
              <w:bottom w:val="nil"/>
            </w:tcBorders>
          </w:tcPr>
          <w:p w14:paraId="6B7500B0" w14:textId="77777777" w:rsidR="006D6544" w:rsidRPr="003C3ED7" w:rsidRDefault="006D6544" w:rsidP="00923328">
            <w:pPr>
              <w:rPr>
                <w:rFonts w:cstheme="minorHAnsi"/>
                <w:i/>
                <w:color w:val="000000" w:themeColor="text1"/>
                <w:sz w:val="18"/>
                <w:szCs w:val="18"/>
              </w:rPr>
            </w:pPr>
            <w:r w:rsidRPr="003C3ED7">
              <w:rPr>
                <w:rFonts w:cstheme="minorHAnsi"/>
                <w:i/>
                <w:color w:val="000000" w:themeColor="text1"/>
                <w:sz w:val="18"/>
                <w:szCs w:val="18"/>
              </w:rPr>
              <w:t>Fish</w:t>
            </w:r>
          </w:p>
        </w:tc>
        <w:tc>
          <w:tcPr>
            <w:tcW w:w="2268" w:type="dxa"/>
            <w:tcBorders>
              <w:top w:val="nil"/>
              <w:bottom w:val="nil"/>
            </w:tcBorders>
          </w:tcPr>
          <w:p w14:paraId="02A84D69"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3.6</w:t>
            </w:r>
          </w:p>
        </w:tc>
        <w:tc>
          <w:tcPr>
            <w:tcW w:w="2268" w:type="dxa"/>
            <w:tcBorders>
              <w:top w:val="nil"/>
              <w:bottom w:val="nil"/>
            </w:tcBorders>
          </w:tcPr>
          <w:p w14:paraId="0DAE7729"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Tuber (Sweet Potato)</w:t>
            </w:r>
          </w:p>
        </w:tc>
        <w:tc>
          <w:tcPr>
            <w:tcW w:w="2268" w:type="dxa"/>
            <w:tcBorders>
              <w:top w:val="nil"/>
              <w:bottom w:val="nil"/>
            </w:tcBorders>
          </w:tcPr>
          <w:p w14:paraId="791E1458"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2.4</w:t>
            </w:r>
          </w:p>
        </w:tc>
      </w:tr>
      <w:tr w:rsidR="006D6544" w:rsidRPr="003C3ED7" w14:paraId="53CCC98C" w14:textId="77777777" w:rsidTr="00923328">
        <w:trPr>
          <w:trHeight w:val="245"/>
          <w:jc w:val="center"/>
        </w:trPr>
        <w:tc>
          <w:tcPr>
            <w:tcW w:w="2122" w:type="dxa"/>
            <w:tcBorders>
              <w:top w:val="nil"/>
              <w:bottom w:val="single" w:sz="4" w:space="0" w:color="auto"/>
            </w:tcBorders>
          </w:tcPr>
          <w:p w14:paraId="0EA5BE7E" w14:textId="77777777" w:rsidR="006D6544" w:rsidRPr="003C3ED7" w:rsidRDefault="006D6544" w:rsidP="00923328">
            <w:pPr>
              <w:rPr>
                <w:rFonts w:cstheme="minorHAnsi"/>
                <w:i/>
                <w:color w:val="000000" w:themeColor="text1"/>
                <w:sz w:val="18"/>
                <w:szCs w:val="18"/>
              </w:rPr>
            </w:pPr>
          </w:p>
        </w:tc>
        <w:tc>
          <w:tcPr>
            <w:tcW w:w="2268" w:type="dxa"/>
            <w:tcBorders>
              <w:top w:val="nil"/>
              <w:bottom w:val="single" w:sz="4" w:space="0" w:color="auto"/>
            </w:tcBorders>
          </w:tcPr>
          <w:p w14:paraId="0789A345" w14:textId="77777777" w:rsidR="006D6544" w:rsidRPr="003C3ED7" w:rsidRDefault="006D6544" w:rsidP="00923328">
            <w:pPr>
              <w:jc w:val="both"/>
              <w:rPr>
                <w:rFonts w:cstheme="minorHAnsi"/>
                <w:color w:val="000000" w:themeColor="text1"/>
                <w:sz w:val="18"/>
                <w:szCs w:val="18"/>
              </w:rPr>
            </w:pPr>
          </w:p>
        </w:tc>
        <w:tc>
          <w:tcPr>
            <w:tcW w:w="2268" w:type="dxa"/>
            <w:tcBorders>
              <w:top w:val="nil"/>
              <w:bottom w:val="single" w:sz="4" w:space="0" w:color="auto"/>
            </w:tcBorders>
          </w:tcPr>
          <w:p w14:paraId="46494A15"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Taro</w:t>
            </w:r>
          </w:p>
        </w:tc>
        <w:tc>
          <w:tcPr>
            <w:tcW w:w="2268" w:type="dxa"/>
            <w:tcBorders>
              <w:top w:val="nil"/>
              <w:bottom w:val="single" w:sz="4" w:space="0" w:color="auto"/>
            </w:tcBorders>
          </w:tcPr>
          <w:p w14:paraId="04ABF46E" w14:textId="77777777" w:rsidR="006D6544" w:rsidRPr="003C3ED7" w:rsidRDefault="006D6544" w:rsidP="00923328">
            <w:pPr>
              <w:jc w:val="both"/>
              <w:rPr>
                <w:rFonts w:cstheme="minorHAnsi"/>
                <w:color w:val="000000" w:themeColor="text1"/>
                <w:sz w:val="18"/>
                <w:szCs w:val="18"/>
              </w:rPr>
            </w:pPr>
            <w:r w:rsidRPr="003C3ED7">
              <w:rPr>
                <w:rFonts w:cstheme="minorHAnsi"/>
                <w:color w:val="000000" w:themeColor="text1"/>
                <w:sz w:val="18"/>
                <w:szCs w:val="18"/>
              </w:rPr>
              <w:t>5</w:t>
            </w:r>
          </w:p>
        </w:tc>
      </w:tr>
    </w:tbl>
    <w:p w14:paraId="725CD26D" w14:textId="77777777" w:rsidR="006D6544" w:rsidRDefault="006D6544" w:rsidP="006D6544">
      <w:pPr>
        <w:spacing w:line="360" w:lineRule="auto"/>
        <w:rPr>
          <w:i/>
          <w:lang w:val="en-GB"/>
        </w:rPr>
      </w:pPr>
    </w:p>
    <w:p w14:paraId="6E01A63E" w14:textId="77777777" w:rsidR="006D6544" w:rsidRDefault="006D6544" w:rsidP="006D6544"/>
    <w:p w14:paraId="056CA708" w14:textId="6B06526C" w:rsidR="00A13FF3" w:rsidRPr="00A13FF3" w:rsidRDefault="00A13FF3" w:rsidP="00DD5C06">
      <w:pPr>
        <w:spacing w:line="360" w:lineRule="auto"/>
        <w:rPr>
          <w:b/>
          <w:bCs/>
          <w:iCs/>
        </w:rPr>
      </w:pPr>
      <w:r w:rsidRPr="00A13FF3">
        <w:rPr>
          <w:b/>
          <w:bCs/>
          <w:iCs/>
        </w:rPr>
        <w:t>Age-at-death and sex estimation</w:t>
      </w:r>
    </w:p>
    <w:p w14:paraId="2DD51BEE" w14:textId="14CA936E" w:rsidR="00A13FF3" w:rsidRPr="00306008" w:rsidRDefault="00A13FF3" w:rsidP="00DD5C06">
      <w:pPr>
        <w:spacing w:line="360" w:lineRule="auto"/>
        <w:rPr>
          <w:i/>
        </w:rPr>
      </w:pPr>
      <w:r w:rsidRPr="00306008">
        <w:rPr>
          <w:i/>
        </w:rPr>
        <w:t>Subadult age</w:t>
      </w:r>
      <w:r>
        <w:rPr>
          <w:i/>
        </w:rPr>
        <w:t>-at-death estimation</w:t>
      </w:r>
    </w:p>
    <w:p w14:paraId="639D340E" w14:textId="352A26A0" w:rsidR="00A13FF3" w:rsidRDefault="00A13FF3" w:rsidP="00DD5C06">
      <w:pPr>
        <w:spacing w:line="360" w:lineRule="auto"/>
        <w:rPr>
          <w:lang w:val="en-AU"/>
        </w:rPr>
      </w:pPr>
      <w:r w:rsidRPr="538C6207">
        <w:rPr>
          <w:lang w:val="en-AU"/>
        </w:rPr>
        <w:t xml:space="preserve">We applied the </w:t>
      </w:r>
      <w:r w:rsidRPr="538C6207">
        <w:rPr>
          <w:noProof/>
          <w:lang w:val="en-AU"/>
        </w:rPr>
        <w:t>Ubelaker (1987)</w:t>
      </w:r>
      <w:r w:rsidRPr="538C6207">
        <w:rPr>
          <w:lang w:val="en-AU"/>
        </w:rPr>
        <w:t xml:space="preserve"> dental eruption standard for subadults with erupted teeth. Where loose teeth were available, the </w:t>
      </w:r>
      <w:r w:rsidRPr="538C6207">
        <w:rPr>
          <w:noProof/>
          <w:lang w:val="en-AU"/>
        </w:rPr>
        <w:t xml:space="preserve">Moorrees </w:t>
      </w:r>
      <w:r w:rsidR="000E5081" w:rsidRPr="000E5081">
        <w:rPr>
          <w:i/>
          <w:noProof/>
          <w:lang w:val="en-AU"/>
        </w:rPr>
        <w:t>et al</w:t>
      </w:r>
      <w:r w:rsidRPr="538C6207">
        <w:rPr>
          <w:noProof/>
          <w:lang w:val="en-AU"/>
        </w:rPr>
        <w:t>. (1963)</w:t>
      </w:r>
      <w:r w:rsidRPr="538C6207">
        <w:rPr>
          <w:lang w:val="en-AU"/>
        </w:rPr>
        <w:t xml:space="preserve"> calcification standards for dental formation were also applied. We compared long bone lengths of individuals with dental eruption or calcification scores to those without dentition to estimate the ages of post-infant subadults without preserved teeth. </w:t>
      </w:r>
      <w:r w:rsidRPr="538C6207">
        <w:rPr>
          <w:color w:val="000000" w:themeColor="text1"/>
          <w:lang w:val="en-AU"/>
        </w:rPr>
        <w:t xml:space="preserve">Timing of epiphyseal fusion served as a primary form of age estimation in individuals over the age of approximately 12 years to early adulthood following </w:t>
      </w:r>
      <w:r w:rsidRPr="538C6207">
        <w:rPr>
          <w:noProof/>
          <w:color w:val="000000" w:themeColor="text1"/>
          <w:lang w:val="en-AU"/>
        </w:rPr>
        <w:t xml:space="preserve">Schaefer </w:t>
      </w:r>
      <w:r w:rsidR="000E5081" w:rsidRPr="000E5081">
        <w:rPr>
          <w:i/>
          <w:noProof/>
          <w:color w:val="000000" w:themeColor="text1"/>
          <w:lang w:val="en-AU"/>
        </w:rPr>
        <w:t>et al</w:t>
      </w:r>
      <w:r w:rsidRPr="538C6207">
        <w:rPr>
          <w:noProof/>
          <w:color w:val="000000" w:themeColor="text1"/>
          <w:lang w:val="en-AU"/>
        </w:rPr>
        <w:t>. (2009)</w:t>
      </w:r>
      <w:r w:rsidRPr="538C6207">
        <w:rPr>
          <w:lang w:val="en-AU"/>
        </w:rPr>
        <w:t>.</w:t>
      </w:r>
    </w:p>
    <w:p w14:paraId="5B961235" w14:textId="77777777" w:rsidR="00A13FF3" w:rsidRPr="00B31557" w:rsidRDefault="00A13FF3" w:rsidP="00DD5C06">
      <w:pPr>
        <w:spacing w:line="360" w:lineRule="auto"/>
        <w:rPr>
          <w:lang w:val="en-AU"/>
        </w:rPr>
      </w:pPr>
    </w:p>
    <w:p w14:paraId="20E2D893" w14:textId="2745608F" w:rsidR="00A13FF3" w:rsidRDefault="00A13FF3" w:rsidP="00DD5C06">
      <w:pPr>
        <w:spacing w:line="360" w:lineRule="auto"/>
      </w:pPr>
      <w:r>
        <w:rPr>
          <w:i/>
        </w:rPr>
        <w:t>Adult age-at-death estimation</w:t>
      </w:r>
    </w:p>
    <w:p w14:paraId="399B50ED" w14:textId="3BCDDFCF" w:rsidR="00A13FF3" w:rsidRPr="00F07C31" w:rsidRDefault="00A13FF3" w:rsidP="00DD5C06">
      <w:pPr>
        <w:spacing w:line="360" w:lineRule="auto"/>
        <w:rPr>
          <w:lang w:val="en-AU"/>
        </w:rPr>
      </w:pPr>
      <w:r>
        <w:rPr>
          <w:lang w:val="en-AU"/>
        </w:rPr>
        <w:t xml:space="preserve">We estimated adult age using standards for the pelvis </w:t>
      </w:r>
      <w:r w:rsidR="005265D3">
        <w:rPr>
          <w:noProof/>
          <w:lang w:val="en-AU"/>
        </w:rPr>
        <w:t xml:space="preserve">(Lovejoy </w:t>
      </w:r>
      <w:r w:rsidR="000E5081" w:rsidRPr="000E5081">
        <w:rPr>
          <w:i/>
          <w:noProof/>
          <w:lang w:val="en-AU"/>
        </w:rPr>
        <w:t>et al</w:t>
      </w:r>
      <w:r w:rsidR="005265D3">
        <w:rPr>
          <w:noProof/>
          <w:lang w:val="en-AU"/>
        </w:rPr>
        <w:t>. 1985</w:t>
      </w:r>
      <w:r w:rsidR="00224471">
        <w:rPr>
          <w:noProof/>
          <w:lang w:val="en-AU"/>
        </w:rPr>
        <w:t>;</w:t>
      </w:r>
      <w:r w:rsidR="005265D3">
        <w:rPr>
          <w:noProof/>
          <w:lang w:val="en-AU"/>
        </w:rPr>
        <w:t xml:space="preserve"> Brooks </w:t>
      </w:r>
      <w:r w:rsidR="00224471">
        <w:rPr>
          <w:noProof/>
          <w:lang w:val="en-AU"/>
        </w:rPr>
        <w:t>&amp;</w:t>
      </w:r>
      <w:r w:rsidR="005265D3">
        <w:rPr>
          <w:noProof/>
          <w:lang w:val="en-AU"/>
        </w:rPr>
        <w:t xml:space="preserve"> Suchey 1990)</w:t>
      </w:r>
      <w:r w:rsidRPr="00F07C31">
        <w:rPr>
          <w:lang w:val="en-AU"/>
        </w:rPr>
        <w:t xml:space="preserve">. </w:t>
      </w:r>
      <w:r>
        <w:rPr>
          <w:lang w:val="en-AU"/>
        </w:rPr>
        <w:t>We recorded S</w:t>
      </w:r>
      <w:r w:rsidRPr="00F07C31">
        <w:rPr>
          <w:lang w:val="en-AU"/>
        </w:rPr>
        <w:t xml:space="preserve">cott’s </w:t>
      </w:r>
      <w:r>
        <w:rPr>
          <w:noProof/>
          <w:lang w:val="en-AU"/>
        </w:rPr>
        <w:t>(1979)</w:t>
      </w:r>
      <w:r w:rsidRPr="00F07C31">
        <w:rPr>
          <w:b/>
          <w:lang w:val="en-AU"/>
        </w:rPr>
        <w:t xml:space="preserve"> </w:t>
      </w:r>
      <w:r w:rsidRPr="00F07C31">
        <w:rPr>
          <w:lang w:val="en-AU"/>
        </w:rPr>
        <w:t>dental attrition</w:t>
      </w:r>
      <w:r w:rsidRPr="00F07C31">
        <w:rPr>
          <w:b/>
          <w:lang w:val="en-AU"/>
        </w:rPr>
        <w:t xml:space="preserve"> </w:t>
      </w:r>
      <w:r w:rsidRPr="00F07C31">
        <w:rPr>
          <w:lang w:val="en-AU"/>
        </w:rPr>
        <w:t xml:space="preserve">scores for all adult individuals with molars present. Individuals within each assemblage were </w:t>
      </w:r>
      <w:proofErr w:type="spellStart"/>
      <w:r w:rsidRPr="00F07C31">
        <w:rPr>
          <w:lang w:val="en-AU"/>
        </w:rPr>
        <w:t>seriated</w:t>
      </w:r>
      <w:proofErr w:type="spellEnd"/>
      <w:r w:rsidRPr="00F07C31">
        <w:rPr>
          <w:lang w:val="en-AU"/>
        </w:rPr>
        <w:t xml:space="preserve"> based on their degree of tooth wear. </w:t>
      </w:r>
      <w:r>
        <w:rPr>
          <w:lang w:val="en-AU"/>
        </w:rPr>
        <w:t xml:space="preserve">We compared relative tooth wear scores between </w:t>
      </w:r>
      <w:r w:rsidRPr="00F07C31">
        <w:rPr>
          <w:lang w:val="en-AU"/>
        </w:rPr>
        <w:t>those with predetermined age categories from the auricular surface and pubic symphysis regions</w:t>
      </w:r>
      <w:r>
        <w:rPr>
          <w:lang w:val="en-AU"/>
        </w:rPr>
        <w:t xml:space="preserve"> to those where the pelvis </w:t>
      </w:r>
      <w:r>
        <w:rPr>
          <w:lang w:val="en-AU"/>
        </w:rPr>
        <w:lastRenderedPageBreak/>
        <w:t>was not preserved</w:t>
      </w:r>
      <w:r w:rsidRPr="00F07C31">
        <w:rPr>
          <w:lang w:val="en-AU"/>
        </w:rPr>
        <w:t>. Tooth wear seriation age estimation was only used where the other age estimation methods were not available.</w:t>
      </w:r>
    </w:p>
    <w:p w14:paraId="00669419" w14:textId="77777777" w:rsidR="00A13FF3" w:rsidRDefault="00A13FF3" w:rsidP="00DD5C06">
      <w:pPr>
        <w:spacing w:line="360" w:lineRule="auto"/>
        <w:rPr>
          <w:i/>
        </w:rPr>
      </w:pPr>
    </w:p>
    <w:p w14:paraId="3C6A7AB1" w14:textId="38145DFD" w:rsidR="00A13FF3" w:rsidRDefault="00A13FF3" w:rsidP="00DD5C06">
      <w:pPr>
        <w:spacing w:line="360" w:lineRule="auto"/>
      </w:pPr>
      <w:r>
        <w:rPr>
          <w:i/>
        </w:rPr>
        <w:t>Sex estimation</w:t>
      </w:r>
    </w:p>
    <w:p w14:paraId="4533400E" w14:textId="69359FBD" w:rsidR="005265D3" w:rsidRDefault="00A13FF3" w:rsidP="00DD5C06">
      <w:pPr>
        <w:spacing w:line="360" w:lineRule="auto"/>
        <w:rPr>
          <w:lang w:val="en-AU"/>
        </w:rPr>
      </w:pPr>
      <w:r>
        <w:t xml:space="preserve">We estimated sex in individuals over the age of 15 years only. </w:t>
      </w:r>
      <w:r w:rsidRPr="538C6207">
        <w:rPr>
          <w:lang w:val="en-AU"/>
        </w:rPr>
        <w:t xml:space="preserve">Both cranial and pelvic morphological assessments were performed, with pelvic estimates given priority to estimation. The </w:t>
      </w:r>
      <w:proofErr w:type="spellStart"/>
      <w:r w:rsidRPr="538C6207">
        <w:rPr>
          <w:lang w:val="en-AU"/>
        </w:rPr>
        <w:t>Phenice</w:t>
      </w:r>
      <w:proofErr w:type="spellEnd"/>
      <w:r w:rsidRPr="538C6207">
        <w:rPr>
          <w:lang w:val="en-AU"/>
        </w:rPr>
        <w:t xml:space="preserve"> method </w:t>
      </w:r>
      <w:r w:rsidRPr="538C6207">
        <w:rPr>
          <w:noProof/>
          <w:lang w:val="en-AU"/>
        </w:rPr>
        <w:t>(1969)</w:t>
      </w:r>
      <w:r w:rsidRPr="538C6207">
        <w:rPr>
          <w:lang w:val="en-AU"/>
        </w:rPr>
        <w:t xml:space="preserve"> was considered the most reliable estimate and took precedence over other methods and w</w:t>
      </w:r>
      <w:r w:rsidR="00B4231A">
        <w:rPr>
          <w:lang w:val="en-AU"/>
        </w:rPr>
        <w:t>as</w:t>
      </w:r>
      <w:r w:rsidRPr="538C6207">
        <w:rPr>
          <w:lang w:val="en-AU"/>
        </w:rPr>
        <w:t xml:space="preserve"> supplemented with scoring of the greater sciatic and pre-auricular sulcus following standards outlined in </w:t>
      </w:r>
      <w:r w:rsidRPr="538C6207">
        <w:rPr>
          <w:noProof/>
          <w:lang w:val="en-AU"/>
        </w:rPr>
        <w:t>Buikstra and Ubelaker (1994)</w:t>
      </w:r>
      <w:r w:rsidRPr="538C6207">
        <w:rPr>
          <w:lang w:val="en-AU"/>
        </w:rPr>
        <w:t>. For cranial estimation, we employed the method</w:t>
      </w:r>
      <w:r w:rsidR="00224471">
        <w:rPr>
          <w:lang w:val="en-AU"/>
        </w:rPr>
        <w:t xml:space="preserve"> of Walrath and colleagues</w:t>
      </w:r>
      <w:r w:rsidRPr="538C6207">
        <w:rPr>
          <w:lang w:val="en-AU"/>
        </w:rPr>
        <w:t xml:space="preserve"> </w:t>
      </w:r>
      <w:r w:rsidRPr="538C6207">
        <w:rPr>
          <w:noProof/>
          <w:lang w:val="en-AU"/>
        </w:rPr>
        <w:t>(2004)</w:t>
      </w:r>
      <w:r w:rsidRPr="538C6207">
        <w:rPr>
          <w:lang w:val="en-AU"/>
        </w:rPr>
        <w:t xml:space="preserve">. </w:t>
      </w:r>
    </w:p>
    <w:p w14:paraId="12585A99" w14:textId="629867F6" w:rsidR="006C394D" w:rsidRDefault="006C394D" w:rsidP="00DD5C06">
      <w:pPr>
        <w:spacing w:line="360" w:lineRule="auto"/>
        <w:rPr>
          <w:lang w:val="en-AU"/>
        </w:rPr>
      </w:pPr>
    </w:p>
    <w:p w14:paraId="0BD9340B" w14:textId="51A44CAE" w:rsidR="006C394D" w:rsidRPr="006C394D" w:rsidRDefault="006C394D" w:rsidP="00DD5C06">
      <w:pPr>
        <w:spacing w:line="360" w:lineRule="auto"/>
        <w:rPr>
          <w:b/>
          <w:bCs/>
          <w:lang w:val="en-AU"/>
        </w:rPr>
      </w:pPr>
      <w:r w:rsidRPr="006C394D">
        <w:rPr>
          <w:b/>
          <w:bCs/>
          <w:lang w:val="en-AU"/>
        </w:rPr>
        <w:t>Section 2: differential diagnosis of lesions</w:t>
      </w:r>
    </w:p>
    <w:p w14:paraId="2CB0783D" w14:textId="2312224F" w:rsidR="006C394D" w:rsidRPr="00266166" w:rsidRDefault="006C394D" w:rsidP="006C394D">
      <w:pPr>
        <w:spacing w:line="360" w:lineRule="auto"/>
        <w:rPr>
          <w:i/>
        </w:rPr>
      </w:pPr>
      <w:r w:rsidRPr="00266166">
        <w:rPr>
          <w:i/>
        </w:rPr>
        <w:t xml:space="preserve">Lesion </w:t>
      </w:r>
      <w:r w:rsidR="00055ECF" w:rsidRPr="00266166">
        <w:rPr>
          <w:i/>
        </w:rPr>
        <w:t>distribution and radiographic observations</w:t>
      </w:r>
    </w:p>
    <w:p w14:paraId="1A4C4D8C" w14:textId="19F92050" w:rsidR="006C394D" w:rsidRPr="00266166" w:rsidRDefault="006C394D" w:rsidP="006C394D">
      <w:pPr>
        <w:spacing w:line="360" w:lineRule="auto"/>
      </w:pPr>
      <w:r w:rsidRPr="00266166">
        <w:t xml:space="preserve">Forty-seven percent (15/32) of the Ōta assemblage, all adults, exhibited subperiosteal new bone (SPNB) deposits. SPNB deposits were present on both </w:t>
      </w:r>
      <w:r w:rsidR="00055ECF">
        <w:t xml:space="preserve">the </w:t>
      </w:r>
      <w:r w:rsidRPr="00266166">
        <w:t xml:space="preserve">crania and </w:t>
      </w:r>
      <w:proofErr w:type="spellStart"/>
      <w:r w:rsidRPr="00266166">
        <w:t>postcrania</w:t>
      </w:r>
      <w:proofErr w:type="spellEnd"/>
      <w:r w:rsidRPr="00266166">
        <w:t>. However, these lesions were predominantly unilateral and present on long bones</w:t>
      </w:r>
      <w:r w:rsidR="00055ECF">
        <w:t>,</w:t>
      </w:r>
      <w:r w:rsidRPr="00266166">
        <w:t xml:space="preserve"> particularly the anterior tibiae. Most lesions</w:t>
      </w:r>
      <w:r w:rsidR="00055ECF">
        <w:t>,</w:t>
      </w:r>
      <w:r w:rsidRPr="00266166">
        <w:t xml:space="preserve"> both cranial and postcranial</w:t>
      </w:r>
      <w:r w:rsidR="00055ECF">
        <w:t>,</w:t>
      </w:r>
      <w:r w:rsidRPr="00266166">
        <w:t xml:space="preserve"> were discrete and remodelled with 20% (3/15) of individuals with SPNB exhibiting diffuse lesions across more than two skeletal elements. These three individuals also exhibited diffuse SPNB deposits across multiple internal and external ribs. Cranial lesions were also commonly symmetrical and accompanied with abnormal cortical porosity.</w:t>
      </w:r>
    </w:p>
    <w:p w14:paraId="7C47C621" w14:textId="4FA3933B" w:rsidR="006C394D" w:rsidRPr="00266166" w:rsidRDefault="006C394D" w:rsidP="006C394D">
      <w:pPr>
        <w:spacing w:line="360" w:lineRule="auto"/>
        <w:rPr>
          <w:b/>
          <w:bCs/>
          <w:i/>
          <w:iCs/>
        </w:rPr>
      </w:pPr>
      <w:r w:rsidRPr="00266166">
        <w:t xml:space="preserve">All Tsukumo individuals, both adults and subadults, exhibited at least one osteoblastic lesion. While some individuals exhibited diffuse deposits of SPNB across the long bones, the lesions were overwhelmingly symmetrical and discrete deposits of SPNB across the crania and </w:t>
      </w:r>
      <w:proofErr w:type="spellStart"/>
      <w:r w:rsidRPr="00266166">
        <w:t>postcrania</w:t>
      </w:r>
      <w:proofErr w:type="spellEnd"/>
      <w:r w:rsidRPr="00266166">
        <w:t xml:space="preserve"> that were often directly associated with abnormal cortical porosity, similar to those</w:t>
      </w:r>
      <w:r w:rsidR="0005272D">
        <w:t xml:space="preserve"> </w:t>
      </w:r>
      <w:r w:rsidRPr="00266166">
        <w:t>at Ōta. Bands of radiolucent metaphyses and radiodense metaphyseal lines were observed in the long bone radiographs of three subadults aged between approximately 2 to 3 years (38% (3/8) of subadults). Generalised osteopenia</w:t>
      </w:r>
      <w:r w:rsidR="00055ECF">
        <w:t>—low bone density—</w:t>
      </w:r>
      <w:r w:rsidRPr="00266166">
        <w:t>was radiographically observed in all subadults.</w:t>
      </w:r>
    </w:p>
    <w:p w14:paraId="6888CAC2" w14:textId="77777777" w:rsidR="006C394D" w:rsidRPr="00266166" w:rsidRDefault="006C394D" w:rsidP="006C394D">
      <w:pPr>
        <w:spacing w:line="360" w:lineRule="auto"/>
        <w:rPr>
          <w:b/>
          <w:bCs/>
          <w:i/>
          <w:iCs/>
        </w:rPr>
      </w:pPr>
    </w:p>
    <w:p w14:paraId="62D76E88" w14:textId="3CDE8C87" w:rsidR="006C394D" w:rsidRPr="00266166" w:rsidRDefault="006C394D" w:rsidP="006C394D">
      <w:pPr>
        <w:spacing w:line="360" w:lineRule="auto"/>
        <w:rPr>
          <w:i/>
          <w:iCs/>
        </w:rPr>
      </w:pPr>
      <w:r w:rsidRPr="00266166">
        <w:rPr>
          <w:i/>
          <w:iCs/>
        </w:rPr>
        <w:t xml:space="preserve">Traditional </w:t>
      </w:r>
      <w:r w:rsidR="00055ECF" w:rsidRPr="00266166">
        <w:rPr>
          <w:i/>
          <w:iCs/>
        </w:rPr>
        <w:t>differential diagnosis</w:t>
      </w:r>
    </w:p>
    <w:p w14:paraId="2367B475" w14:textId="24141182" w:rsidR="006C394D" w:rsidRPr="006D6544" w:rsidRDefault="006C394D" w:rsidP="006C394D">
      <w:pPr>
        <w:spacing w:line="360" w:lineRule="auto"/>
      </w:pPr>
      <w:r w:rsidRPr="00266166">
        <w:t xml:space="preserve">Certain nutritional diseases, congenital disorders, infections and trauma can cause systemic subperiosteal new bone lesions in adults and subadults such as those observed in the Jōmon samples and are therefore considered in the differential diagnosis. Rickets is a </w:t>
      </w:r>
      <w:r w:rsidRPr="00266166">
        <w:lastRenderedPageBreak/>
        <w:t xml:space="preserve">demineralisation disorder of childhood which results from an imbalance of </w:t>
      </w:r>
      <w:r w:rsidR="00055ECF">
        <w:t>v</w:t>
      </w:r>
      <w:r w:rsidRPr="00266166">
        <w:t>itamin D, calcium, phosphorus and parathyroid hormones</w:t>
      </w:r>
      <w:r w:rsidRPr="00266166">
        <w:rPr>
          <w:bCs/>
          <w:iCs/>
        </w:rPr>
        <w:t xml:space="preserve"> </w:t>
      </w:r>
      <w:r w:rsidRPr="00266166">
        <w:rPr>
          <w:noProof/>
        </w:rPr>
        <w:t>(</w:t>
      </w:r>
      <w:r w:rsidR="00055ECF" w:rsidRPr="00266166">
        <w:rPr>
          <w:noProof/>
        </w:rPr>
        <w:t xml:space="preserve">Klein </w:t>
      </w:r>
      <w:r w:rsidR="00055ECF">
        <w:rPr>
          <w:noProof/>
        </w:rPr>
        <w:t>&amp;</w:t>
      </w:r>
      <w:r w:rsidR="00055ECF" w:rsidRPr="00266166">
        <w:rPr>
          <w:noProof/>
        </w:rPr>
        <w:t xml:space="preserve"> Simmons 1993</w:t>
      </w:r>
      <w:r w:rsidR="00055ECF">
        <w:rPr>
          <w:noProof/>
        </w:rPr>
        <w:t xml:space="preserve">; </w:t>
      </w:r>
      <w:r w:rsidRPr="00266166">
        <w:rPr>
          <w:noProof/>
        </w:rPr>
        <w:t xml:space="preserve">Wharton </w:t>
      </w:r>
      <w:r w:rsidR="00055ECF">
        <w:rPr>
          <w:noProof/>
        </w:rPr>
        <w:t>&amp;</w:t>
      </w:r>
      <w:r w:rsidRPr="00266166">
        <w:rPr>
          <w:noProof/>
        </w:rPr>
        <w:t xml:space="preserve"> Bishop 2003)</w:t>
      </w:r>
      <w:r w:rsidRPr="00266166">
        <w:t>. Having a genetic or nutritional basis</w:t>
      </w:r>
      <w:r w:rsidRPr="00266166">
        <w:rPr>
          <w:bCs/>
          <w:iCs/>
        </w:rPr>
        <w:t>,</w:t>
      </w:r>
      <w:r w:rsidRPr="00266166">
        <w:t xml:space="preserve"> the disease can lead to deposition of newly mineralised osteoid deposits on the shafts of the bone during recovery </w:t>
      </w:r>
      <w:r w:rsidRPr="00266166">
        <w:rPr>
          <w:noProof/>
        </w:rPr>
        <w:t xml:space="preserve">(Brickley </w:t>
      </w:r>
      <w:r w:rsidRPr="00055ECF">
        <w:rPr>
          <w:i/>
          <w:iCs/>
          <w:noProof/>
        </w:rPr>
        <w:t>et al</w:t>
      </w:r>
      <w:r w:rsidRPr="00266166">
        <w:rPr>
          <w:noProof/>
        </w:rPr>
        <w:t>. 2020)</w:t>
      </w:r>
      <w:r w:rsidRPr="00266166">
        <w:rPr>
          <w:bCs/>
          <w:iCs/>
        </w:rPr>
        <w:t xml:space="preserve">. </w:t>
      </w:r>
      <w:r w:rsidRPr="00266166">
        <w:t>The disease is most characteristic for causing long bone bending, cupping, fraying, porosity</w:t>
      </w:r>
      <w:r w:rsidR="00055ECF">
        <w:t xml:space="preserve"> and</w:t>
      </w:r>
      <w:r w:rsidRPr="00266166">
        <w:t xml:space="preserve"> flaring and swelling of metaphyseal plates. Only one child, from Tsukumo, exhibited mild</w:t>
      </w:r>
      <w:r w:rsidRPr="00266166">
        <w:rPr>
          <w:bCs/>
          <w:iCs/>
        </w:rPr>
        <w:t xml:space="preserve"> </w:t>
      </w:r>
      <w:r w:rsidRPr="00266166">
        <w:t>cupping of the proximal tibiae. However, this bone change can also occur in scurvy</w:t>
      </w:r>
      <w:r w:rsidRPr="00266166">
        <w:rPr>
          <w:bCs/>
          <w:iCs/>
        </w:rPr>
        <w:t xml:space="preserve"> </w:t>
      </w:r>
      <w:r w:rsidRPr="00266166">
        <w:rPr>
          <w:noProof/>
        </w:rPr>
        <w:t xml:space="preserve">(Brickley </w:t>
      </w:r>
      <w:r w:rsidRPr="00055ECF">
        <w:rPr>
          <w:i/>
          <w:iCs/>
          <w:noProof/>
        </w:rPr>
        <w:t>et al</w:t>
      </w:r>
      <w:r w:rsidRPr="00266166">
        <w:rPr>
          <w:noProof/>
        </w:rPr>
        <w:t>. 2020)</w:t>
      </w:r>
      <w:r w:rsidRPr="00266166">
        <w:rPr>
          <w:bCs/>
          <w:iCs/>
        </w:rPr>
        <w:t xml:space="preserve">. </w:t>
      </w:r>
      <w:r w:rsidRPr="00266166">
        <w:t xml:space="preserve">Therefore, while rickets must be considered wherever childhood nutritional diseases such as scurvy are suspected </w:t>
      </w:r>
      <w:r w:rsidRPr="00266166">
        <w:rPr>
          <w:noProof/>
        </w:rPr>
        <w:t>(Lewis 2017)</w:t>
      </w:r>
      <w:r w:rsidRPr="00266166">
        <w:t xml:space="preserve">, it can be ruled out as a cause for the </w:t>
      </w:r>
      <w:r w:rsidRPr="00266166">
        <w:rPr>
          <w:color w:val="000000" w:themeColor="text1"/>
        </w:rPr>
        <w:t xml:space="preserve">subadult pathology in the Jōmon samples. Infantile cortical hyperostosis (Caffey’s disease), a disease of unknown aetiology which causes systemic new bone production, can be ruled out as all affected subadults were over 1 year of age </w:t>
      </w:r>
      <w:r w:rsidRPr="00266166">
        <w:rPr>
          <w:noProof/>
          <w:color w:val="000000" w:themeColor="text1"/>
        </w:rPr>
        <w:t xml:space="preserve">(Kamoun-Goldrat </w:t>
      </w:r>
      <w:r w:rsidR="00055ECF">
        <w:rPr>
          <w:noProof/>
          <w:color w:val="000000" w:themeColor="text1"/>
        </w:rPr>
        <w:t>&amp;</w:t>
      </w:r>
      <w:r w:rsidRPr="00266166">
        <w:rPr>
          <w:noProof/>
          <w:color w:val="000000" w:themeColor="text1"/>
        </w:rPr>
        <w:t xml:space="preserve"> Le Merrer 2008)</w:t>
      </w:r>
      <w:r w:rsidRPr="00266166">
        <w:rPr>
          <w:color w:val="000000" w:themeColor="text1"/>
        </w:rPr>
        <w:t xml:space="preserve">. Pellagra is </w:t>
      </w:r>
      <w:r w:rsidRPr="00266166">
        <w:t xml:space="preserve">a nutritional disease caused by niacin and tryptophan deficiency causes new bone deposits on long bones. The bone changes of pellagra are not well described in the palaeopathological literature but do not appear to be distinctly discrete and associated with cortical porosity as observed in the Jōmon assemblages </w:t>
      </w:r>
      <w:r w:rsidRPr="00266166">
        <w:rPr>
          <w:noProof/>
        </w:rPr>
        <w:t xml:space="preserve">(Paine </w:t>
      </w:r>
      <w:r w:rsidR="006D6544">
        <w:rPr>
          <w:noProof/>
        </w:rPr>
        <w:t>&amp;</w:t>
      </w:r>
      <w:r w:rsidRPr="00266166">
        <w:rPr>
          <w:noProof/>
        </w:rPr>
        <w:t xml:space="preserve"> Brenton 2006)</w:t>
      </w:r>
      <w:r w:rsidRPr="00266166">
        <w:rPr>
          <w:bCs/>
          <w:iCs/>
        </w:rPr>
        <w:t xml:space="preserve">. </w:t>
      </w:r>
      <w:r w:rsidRPr="00266166">
        <w:t>Infection as a primary cause of the lesions is also unlikely due to the discrete and symmetrical pattern of the new bone, rather than diffuse and non-symmetrical patterning in systemic infection</w:t>
      </w:r>
      <w:r w:rsidRPr="00266166">
        <w:rPr>
          <w:bCs/>
          <w:iCs/>
        </w:rPr>
        <w:t xml:space="preserve"> </w:t>
      </w:r>
      <w:r w:rsidRPr="00266166">
        <w:rPr>
          <w:noProof/>
        </w:rPr>
        <w:t xml:space="preserve">(Vlok </w:t>
      </w:r>
      <w:r w:rsidRPr="006D6544">
        <w:rPr>
          <w:i/>
          <w:iCs/>
          <w:noProof/>
        </w:rPr>
        <w:t>et al</w:t>
      </w:r>
      <w:r w:rsidRPr="00266166">
        <w:rPr>
          <w:noProof/>
        </w:rPr>
        <w:t>. 2020)</w:t>
      </w:r>
      <w:r w:rsidRPr="00266166">
        <w:rPr>
          <w:bCs/>
          <w:iCs/>
        </w:rPr>
        <w:t xml:space="preserve">. </w:t>
      </w:r>
      <w:r w:rsidRPr="00266166">
        <w:t xml:space="preserve">It is possible that many SPNB lesions observed in Ōta are a result of trauma or localised infection, as they are unilateral and isolated suggesting a single event inducing an inflammatory bone response. These lesions are not diagnostic and can only be considered as a consequence of non-specific stress </w:t>
      </w:r>
      <w:r w:rsidRPr="00266166">
        <w:rPr>
          <w:bCs/>
          <w:iCs/>
          <w:noProof/>
        </w:rPr>
        <w:t>(Weston</w:t>
      </w:r>
      <w:r w:rsidR="006D6544">
        <w:rPr>
          <w:bCs/>
          <w:iCs/>
          <w:noProof/>
        </w:rPr>
        <w:t xml:space="preserve"> 2008,</w:t>
      </w:r>
      <w:r w:rsidRPr="00266166">
        <w:rPr>
          <w:bCs/>
          <w:iCs/>
          <w:noProof/>
        </w:rPr>
        <w:t xml:space="preserve"> 2012)</w:t>
      </w:r>
      <w:r w:rsidRPr="00266166">
        <w:t>. However, the multiple symmetrical and discrete deposits of new bone with cortical porosity and vascular impressions, particularly in the crania observed in Ōta and Tsukumo</w:t>
      </w:r>
      <w:r w:rsidR="0005272D">
        <w:t>,</w:t>
      </w:r>
      <w:r w:rsidRPr="00266166">
        <w:t xml:space="preserve"> are not consistent with traumatic injury (e.g. accidental or interpersonal) as multiple episodes of symmetrical microtrauma are necessary for such a lesion pattern to occur</w:t>
      </w:r>
      <w:r w:rsidRPr="00266166">
        <w:rPr>
          <w:bCs/>
          <w:iCs/>
        </w:rPr>
        <w:t xml:space="preserve"> </w:t>
      </w:r>
      <w:r w:rsidRPr="00266166">
        <w:rPr>
          <w:bCs/>
          <w:iCs/>
          <w:noProof/>
        </w:rPr>
        <w:t xml:space="preserve">(Snoddy </w:t>
      </w:r>
      <w:r w:rsidRPr="006D6544">
        <w:rPr>
          <w:bCs/>
          <w:i/>
          <w:noProof/>
        </w:rPr>
        <w:t>et al</w:t>
      </w:r>
      <w:r w:rsidRPr="00266166">
        <w:rPr>
          <w:bCs/>
          <w:iCs/>
          <w:noProof/>
        </w:rPr>
        <w:t>. 2017</w:t>
      </w:r>
      <w:r w:rsidR="006D6544">
        <w:rPr>
          <w:bCs/>
          <w:iCs/>
          <w:noProof/>
        </w:rPr>
        <w:t>;</w:t>
      </w:r>
      <w:r w:rsidRPr="00266166">
        <w:rPr>
          <w:bCs/>
          <w:iCs/>
          <w:noProof/>
        </w:rPr>
        <w:t xml:space="preserve"> Brickley </w:t>
      </w:r>
      <w:r w:rsidRPr="006D6544">
        <w:rPr>
          <w:bCs/>
          <w:i/>
          <w:noProof/>
        </w:rPr>
        <w:t>et al</w:t>
      </w:r>
      <w:r w:rsidRPr="00266166">
        <w:rPr>
          <w:bCs/>
          <w:iCs/>
          <w:noProof/>
        </w:rPr>
        <w:t>. 2020)</w:t>
      </w:r>
      <w:r w:rsidRPr="00266166">
        <w:rPr>
          <w:bCs/>
          <w:iCs/>
        </w:rPr>
        <w:t>.</w:t>
      </w:r>
      <w:r w:rsidRPr="00266166">
        <w:t xml:space="preserve"> The consistent distribution observed in the children with the absence of healed fractures also rules out the likelihood of repeated child abuse </w:t>
      </w:r>
      <w:r w:rsidRPr="00266166">
        <w:rPr>
          <w:bCs/>
          <w:iCs/>
          <w:noProof/>
        </w:rPr>
        <w:t>(</w:t>
      </w:r>
      <w:r w:rsidR="006D6544" w:rsidRPr="00266166">
        <w:rPr>
          <w:bCs/>
          <w:iCs/>
          <w:noProof/>
        </w:rPr>
        <w:t xml:space="preserve">Kemp </w:t>
      </w:r>
      <w:r w:rsidR="006D6544" w:rsidRPr="006D6544">
        <w:rPr>
          <w:bCs/>
          <w:i/>
          <w:noProof/>
        </w:rPr>
        <w:t>et al</w:t>
      </w:r>
      <w:r w:rsidR="006D6544" w:rsidRPr="00266166">
        <w:rPr>
          <w:bCs/>
          <w:iCs/>
          <w:noProof/>
        </w:rPr>
        <w:t>. 2008</w:t>
      </w:r>
      <w:r w:rsidR="006D6544">
        <w:rPr>
          <w:bCs/>
          <w:iCs/>
          <w:noProof/>
        </w:rPr>
        <w:t xml:space="preserve">; </w:t>
      </w:r>
      <w:r w:rsidRPr="00266166">
        <w:rPr>
          <w:bCs/>
          <w:iCs/>
          <w:noProof/>
        </w:rPr>
        <w:t xml:space="preserve">Snoddy </w:t>
      </w:r>
      <w:r w:rsidRPr="006D6544">
        <w:rPr>
          <w:bCs/>
          <w:i/>
          <w:noProof/>
        </w:rPr>
        <w:t>et al</w:t>
      </w:r>
      <w:r w:rsidRPr="00266166">
        <w:rPr>
          <w:bCs/>
          <w:iCs/>
          <w:noProof/>
        </w:rPr>
        <w:t>. 2017)</w:t>
      </w:r>
      <w:r w:rsidRPr="00266166">
        <w:rPr>
          <w:bCs/>
          <w:iCs/>
        </w:rPr>
        <w:t xml:space="preserve">. </w:t>
      </w:r>
    </w:p>
    <w:p w14:paraId="5C82C272" w14:textId="2D86D7FE" w:rsidR="006C394D" w:rsidRPr="00266166" w:rsidRDefault="006C394D" w:rsidP="006C394D">
      <w:pPr>
        <w:spacing w:line="360" w:lineRule="auto"/>
      </w:pPr>
      <w:r w:rsidRPr="00266166">
        <w:t xml:space="preserve">Anaemia can cause marrow hyperplasia and cortical thinning (rarefaction) resulting in deep porosity of the skull (porotic hyperostosis) and the orbits (cribra orbitalia), which may sometimes overlap with lesions observed in scurvy </w:t>
      </w:r>
      <w:r w:rsidRPr="00266166">
        <w:rPr>
          <w:noProof/>
        </w:rPr>
        <w:t>(Klaus 2017)</w:t>
      </w:r>
      <w:r w:rsidRPr="00266166">
        <w:t>. The only sign of anaemia in subadults were mild cribra orbitalia in one adolescent, but anaemia is also a common co-morbidity of scurvy due to internal blood loss and knock-on effects to folate metabolism</w:t>
      </w:r>
      <w:r w:rsidR="00B4231A">
        <w:t>,</w:t>
      </w:r>
      <w:r w:rsidRPr="00266166">
        <w:t xml:space="preserve"> so the presence of cribra orbitalia does not negate a scurvy diagnosis </w:t>
      </w:r>
      <w:r w:rsidRPr="00266166">
        <w:rPr>
          <w:noProof/>
        </w:rPr>
        <w:t xml:space="preserve">(Cox </w:t>
      </w:r>
      <w:r w:rsidRPr="006D6544">
        <w:rPr>
          <w:i/>
          <w:iCs/>
          <w:noProof/>
        </w:rPr>
        <w:t>et al</w:t>
      </w:r>
      <w:r w:rsidRPr="00266166">
        <w:rPr>
          <w:noProof/>
        </w:rPr>
        <w:t>. 1967</w:t>
      </w:r>
      <w:r w:rsidR="006D6544">
        <w:rPr>
          <w:noProof/>
        </w:rPr>
        <w:t>;</w:t>
      </w:r>
      <w:r w:rsidRPr="00266166">
        <w:rPr>
          <w:noProof/>
        </w:rPr>
        <w:t xml:space="preserve"> Khalife </w:t>
      </w:r>
      <w:r w:rsidRPr="006D6544">
        <w:rPr>
          <w:i/>
          <w:iCs/>
          <w:noProof/>
        </w:rPr>
        <w:t xml:space="preserve">et </w:t>
      </w:r>
      <w:r w:rsidRPr="006D6544">
        <w:rPr>
          <w:i/>
          <w:iCs/>
          <w:noProof/>
        </w:rPr>
        <w:lastRenderedPageBreak/>
        <w:t>al</w:t>
      </w:r>
      <w:r w:rsidRPr="00266166">
        <w:rPr>
          <w:noProof/>
        </w:rPr>
        <w:t>. 2019)</w:t>
      </w:r>
      <w:r w:rsidRPr="00266166">
        <w:t xml:space="preserve">. Overall, skeletal expression described above in both of the adults and subadults are most likely due to haemorrhaging as a consequence of muscle movement and multiple episodes of vessel rupture in association with habitually used muscles in scurvy. The Snoddy </w:t>
      </w:r>
      <w:r w:rsidRPr="006D6544">
        <w:rPr>
          <w:i/>
          <w:iCs/>
        </w:rPr>
        <w:t>et al</w:t>
      </w:r>
      <w:r w:rsidRPr="00266166">
        <w:t xml:space="preserve">. (2018) criteria is applied below in consideration of the biological basis of inflammatory lesions, cortical porosity and growth disruptions which occur in scurvy. </w:t>
      </w:r>
    </w:p>
    <w:p w14:paraId="3EB790C7" w14:textId="77777777" w:rsidR="006C394D" w:rsidRPr="00266166" w:rsidRDefault="006C394D" w:rsidP="006C394D">
      <w:pPr>
        <w:spacing w:line="360" w:lineRule="auto"/>
        <w:rPr>
          <w:i/>
          <w:lang w:val="en-GB"/>
        </w:rPr>
      </w:pPr>
    </w:p>
    <w:p w14:paraId="7F209D56" w14:textId="598DE22D" w:rsidR="006C394D" w:rsidRPr="00266166" w:rsidRDefault="006C394D" w:rsidP="006C394D">
      <w:pPr>
        <w:spacing w:line="360" w:lineRule="auto"/>
        <w:rPr>
          <w:i/>
          <w:lang w:val="en-GB"/>
        </w:rPr>
      </w:pPr>
      <w:r w:rsidRPr="00266166">
        <w:rPr>
          <w:i/>
          <w:lang w:val="en-GB"/>
        </w:rPr>
        <w:t xml:space="preserve">Diagnosis following the Snoddy </w:t>
      </w:r>
      <w:r w:rsidRPr="006D6544">
        <w:rPr>
          <w:iCs/>
          <w:lang w:val="en-GB"/>
        </w:rPr>
        <w:t>et al</w:t>
      </w:r>
      <w:r w:rsidRPr="00266166">
        <w:rPr>
          <w:i/>
          <w:lang w:val="en-GB"/>
        </w:rPr>
        <w:t>. (2018) criteria</w:t>
      </w:r>
    </w:p>
    <w:p w14:paraId="7DFBEAF4" w14:textId="71E80FCE" w:rsidR="0064748A" w:rsidRPr="0064748A" w:rsidRDefault="0064748A" w:rsidP="006C394D">
      <w:pPr>
        <w:spacing w:line="360" w:lineRule="auto"/>
      </w:pPr>
      <w:r>
        <w:t xml:space="preserve">The </w:t>
      </w:r>
      <w:proofErr w:type="spellStart"/>
      <w:r>
        <w:t>Snoddy</w:t>
      </w:r>
      <w:proofErr w:type="spellEnd"/>
      <w:r>
        <w:t xml:space="preserve"> </w:t>
      </w:r>
      <w:r>
        <w:rPr>
          <w:i/>
          <w:iCs/>
        </w:rPr>
        <w:t>et al</w:t>
      </w:r>
      <w:r w:rsidR="006E6EBB">
        <w:rPr>
          <w:i/>
          <w:iCs/>
        </w:rPr>
        <w:t>.</w:t>
      </w:r>
      <w:r>
        <w:rPr>
          <w:i/>
          <w:iCs/>
        </w:rPr>
        <w:t xml:space="preserve"> </w:t>
      </w:r>
      <w:r>
        <w:t xml:space="preserve">(2018) criteria requires a case to present with at minimum two or more </w:t>
      </w:r>
      <w:r>
        <w:rPr>
          <w:i/>
          <w:iCs/>
        </w:rPr>
        <w:t xml:space="preserve">diagnostic </w:t>
      </w:r>
      <w:r>
        <w:t xml:space="preserve">lesions to be considered a probable case. A possible case fails to meet this criteria but presents with one </w:t>
      </w:r>
      <w:r w:rsidRPr="006E6EBB">
        <w:rPr>
          <w:i/>
          <w:iCs/>
        </w:rPr>
        <w:t>diagnostic</w:t>
      </w:r>
      <w:r>
        <w:t xml:space="preserve"> lesion and/or two or more </w:t>
      </w:r>
      <w:r w:rsidRPr="006E6EBB">
        <w:rPr>
          <w:i/>
          <w:iCs/>
        </w:rPr>
        <w:t xml:space="preserve">suggestive </w:t>
      </w:r>
      <w:r>
        <w:t xml:space="preserve">lesions. Diagnostic lesions are provided in Snoddy </w:t>
      </w:r>
      <w:r>
        <w:rPr>
          <w:i/>
          <w:iCs/>
        </w:rPr>
        <w:t xml:space="preserve">et al. </w:t>
      </w:r>
      <w:r>
        <w:t xml:space="preserve">(2018), and are lesions that have been well demonstrated in clinical and palaeopathological literature to be associated with cases of scurvy, </w:t>
      </w:r>
      <w:r>
        <w:rPr>
          <w:i/>
          <w:iCs/>
        </w:rPr>
        <w:t>and</w:t>
      </w:r>
      <w:r>
        <w:t xml:space="preserve"> are anatomically intuitive. Suggestive lesions are lesions that have been associated with scurvy cases, but are yet to be intensively researched to support the claims they are associated with scurvy specifically.</w:t>
      </w:r>
    </w:p>
    <w:p w14:paraId="07C600DB" w14:textId="77777777" w:rsidR="0064748A" w:rsidRDefault="0064748A" w:rsidP="006C394D">
      <w:pPr>
        <w:spacing w:line="360" w:lineRule="auto"/>
      </w:pPr>
    </w:p>
    <w:p w14:paraId="2140DECF" w14:textId="508B36E6" w:rsidR="006C394D" w:rsidRPr="00266166" w:rsidRDefault="006D6544" w:rsidP="006C394D">
      <w:pPr>
        <w:spacing w:line="360" w:lineRule="auto"/>
        <w:rPr>
          <w:iCs/>
          <w:lang w:val="en-GB"/>
        </w:rPr>
      </w:pPr>
      <w:r w:rsidRPr="00266166">
        <w:t>Ō</w:t>
      </w:r>
      <w:r w:rsidR="006C394D" w:rsidRPr="00266166">
        <w:rPr>
          <w:iCs/>
          <w:lang w:val="en-GB"/>
        </w:rPr>
        <w:t xml:space="preserve">ta </w:t>
      </w:r>
      <w:r>
        <w:rPr>
          <w:iCs/>
          <w:lang w:val="en-GB"/>
        </w:rPr>
        <w:t>a</w:t>
      </w:r>
      <w:r w:rsidR="006C394D" w:rsidRPr="00266166">
        <w:rPr>
          <w:iCs/>
          <w:lang w:val="en-GB"/>
        </w:rPr>
        <w:t>dults</w:t>
      </w:r>
    </w:p>
    <w:p w14:paraId="50B07AB3" w14:textId="0AC0F7C8" w:rsidR="006C394D" w:rsidRPr="00266166" w:rsidRDefault="006C394D" w:rsidP="006C394D">
      <w:pPr>
        <w:spacing w:line="360" w:lineRule="auto"/>
        <w:rPr>
          <w:lang w:val="en-GB"/>
        </w:rPr>
      </w:pPr>
      <w:r w:rsidRPr="00266166">
        <w:rPr>
          <w:lang w:val="en-GB"/>
        </w:rPr>
        <w:t>Discrete symmetrical SPNB and abnormal porosity on the cranium were the most common diagnostic lesions exhibited. These lesions presented symmetrically on the orbital roofs, anterior and posterior zygomatic bones, anterior and posterior maxillae, lateral greater wings and pterygoid processes of the sphenoid bones, and the medial coronoid processes and mylohyoid lines of the mandibles (Figure 3; Table S</w:t>
      </w:r>
      <w:r w:rsidR="006D6544">
        <w:rPr>
          <w:lang w:val="en-GB"/>
        </w:rPr>
        <w:t>2</w:t>
      </w:r>
      <w:r w:rsidRPr="00266166">
        <w:rPr>
          <w:lang w:val="en-GB"/>
        </w:rPr>
        <w:t xml:space="preserve">). Vascular impressions were infrequently observed in association with these lesions. Possible and probable cases of scurvy were identified predominantly in adults between 30 and 50 years of age (Table 1). Two individuals exhibited abnormal cortical porosity without SPNB deposits. </w:t>
      </w:r>
    </w:p>
    <w:p w14:paraId="1D5FF427" w14:textId="77777777" w:rsidR="006C394D" w:rsidRPr="00266166" w:rsidRDefault="006C394D" w:rsidP="006C394D">
      <w:pPr>
        <w:spacing w:line="360" w:lineRule="auto"/>
        <w:rPr>
          <w:i/>
          <w:lang w:val="en-GB"/>
        </w:rPr>
      </w:pPr>
    </w:p>
    <w:p w14:paraId="05264ED1" w14:textId="60195F31" w:rsidR="006C394D" w:rsidRPr="00266166" w:rsidRDefault="006C394D" w:rsidP="006C394D">
      <w:pPr>
        <w:spacing w:line="360" w:lineRule="auto"/>
        <w:rPr>
          <w:iCs/>
          <w:lang w:val="en-GB"/>
        </w:rPr>
      </w:pPr>
      <w:r w:rsidRPr="00266166">
        <w:rPr>
          <w:iCs/>
          <w:lang w:val="en-GB"/>
        </w:rPr>
        <w:t xml:space="preserve">Tsukumo </w:t>
      </w:r>
      <w:r w:rsidR="006D6544">
        <w:rPr>
          <w:iCs/>
          <w:lang w:val="en-GB"/>
        </w:rPr>
        <w:t>s</w:t>
      </w:r>
      <w:r w:rsidRPr="00266166">
        <w:rPr>
          <w:iCs/>
          <w:lang w:val="en-GB"/>
        </w:rPr>
        <w:t>ubadults</w:t>
      </w:r>
    </w:p>
    <w:p w14:paraId="29AA68D1" w14:textId="25DDE6E1" w:rsidR="006C394D" w:rsidRPr="00266166" w:rsidRDefault="006C394D" w:rsidP="006C394D">
      <w:pPr>
        <w:spacing w:line="360" w:lineRule="auto"/>
        <w:rPr>
          <w:i/>
          <w:lang w:val="en-GB"/>
        </w:rPr>
      </w:pPr>
      <w:r w:rsidRPr="00266166">
        <w:rPr>
          <w:lang w:val="en-GB"/>
        </w:rPr>
        <w:t>Macroscopic lesions diagnostic for scurvy consisted of bilateral and symmetrical SPNB deposits associated with abnormal cortical porosity and sometimes vascular impressions on the sphenoid bones, temporal bones, maxillae, zygomatic bones, mandibles, and superior orbits (Table S</w:t>
      </w:r>
      <w:r w:rsidR="006D6544">
        <w:rPr>
          <w:lang w:val="en-GB"/>
        </w:rPr>
        <w:t>2</w:t>
      </w:r>
      <w:r w:rsidRPr="00266166">
        <w:rPr>
          <w:lang w:val="en-GB"/>
        </w:rPr>
        <w:t>). Abnormal endochondral porosity exceeding 10mm from the metaphyseal plates of long bones was present in these six individuals supporting a diagnosis of probable scurvy. The radiographic signs observed are consistent with white lines of Fraenkel in combination with Trümmerfeld zones (Figure 2).</w:t>
      </w:r>
    </w:p>
    <w:p w14:paraId="0983D8F2" w14:textId="77777777" w:rsidR="006C394D" w:rsidRPr="00266166" w:rsidRDefault="006C394D" w:rsidP="006C394D">
      <w:pPr>
        <w:spacing w:line="360" w:lineRule="auto"/>
        <w:rPr>
          <w:i/>
          <w:lang w:val="en-GB"/>
        </w:rPr>
      </w:pPr>
    </w:p>
    <w:p w14:paraId="2226662D" w14:textId="381837EA" w:rsidR="006C394D" w:rsidRPr="00266166" w:rsidRDefault="006C394D" w:rsidP="006C394D">
      <w:pPr>
        <w:spacing w:line="360" w:lineRule="auto"/>
        <w:rPr>
          <w:iCs/>
          <w:lang w:val="en-GB"/>
        </w:rPr>
      </w:pPr>
      <w:r w:rsidRPr="00266166">
        <w:rPr>
          <w:iCs/>
          <w:lang w:val="en-GB"/>
        </w:rPr>
        <w:t xml:space="preserve">Tsukumo </w:t>
      </w:r>
      <w:r w:rsidR="006D6544">
        <w:rPr>
          <w:iCs/>
          <w:lang w:val="en-GB"/>
        </w:rPr>
        <w:t>a</w:t>
      </w:r>
      <w:r w:rsidRPr="00266166">
        <w:rPr>
          <w:iCs/>
          <w:lang w:val="en-GB"/>
        </w:rPr>
        <w:t>dults</w:t>
      </w:r>
    </w:p>
    <w:p w14:paraId="362A90E8" w14:textId="36806264" w:rsidR="006C394D" w:rsidRDefault="006C394D" w:rsidP="006C394D">
      <w:pPr>
        <w:spacing w:line="360" w:lineRule="auto"/>
        <w:rPr>
          <w:lang w:val="en-GB"/>
        </w:rPr>
      </w:pPr>
      <w:r w:rsidRPr="00266166">
        <w:rPr>
          <w:lang w:val="en-GB"/>
        </w:rPr>
        <w:t xml:space="preserve">Discrete bilateral and symmetrical SPNB were present on both the crania and postcrania. </w:t>
      </w:r>
      <w:r w:rsidR="00B4231A">
        <w:rPr>
          <w:lang w:val="en-GB"/>
        </w:rPr>
        <w:t>A</w:t>
      </w:r>
      <w:r w:rsidRPr="00266166">
        <w:rPr>
          <w:lang w:val="en-GB"/>
        </w:rPr>
        <w:t xml:space="preserve">s with </w:t>
      </w:r>
      <w:proofErr w:type="spellStart"/>
      <w:r w:rsidRPr="00266166">
        <w:rPr>
          <w:lang w:val="en-GB"/>
        </w:rPr>
        <w:t>Tsukumo</w:t>
      </w:r>
      <w:proofErr w:type="spellEnd"/>
      <w:r w:rsidRPr="00266166">
        <w:rPr>
          <w:lang w:val="en-GB"/>
        </w:rPr>
        <w:t xml:space="preserve"> subadults, SPNB deposits and/or abnormal cortical porosity was present symmetrically on the sphenoid bones, temporal bones, maxillae and mandibles of adults (Figure 3; Table S</w:t>
      </w:r>
      <w:r w:rsidR="006D6544">
        <w:rPr>
          <w:lang w:val="en-GB"/>
        </w:rPr>
        <w:t>2</w:t>
      </w:r>
      <w:r w:rsidRPr="00266166">
        <w:rPr>
          <w:lang w:val="en-GB"/>
        </w:rPr>
        <w:t>).</w:t>
      </w:r>
    </w:p>
    <w:p w14:paraId="7CC2CA35" w14:textId="57D45D6C" w:rsidR="006D6544" w:rsidRDefault="006D6544" w:rsidP="006C394D">
      <w:pPr>
        <w:spacing w:line="360" w:lineRule="auto"/>
        <w:rPr>
          <w:lang w:val="en-GB"/>
        </w:rPr>
      </w:pPr>
    </w:p>
    <w:p w14:paraId="0910CFFB" w14:textId="124A5D3C" w:rsidR="006D6544" w:rsidRDefault="007034F8" w:rsidP="006C394D">
      <w:pPr>
        <w:spacing w:line="360" w:lineRule="auto"/>
        <w:rPr>
          <w:b/>
          <w:bCs/>
        </w:rPr>
      </w:pPr>
      <w:r w:rsidRPr="007034F8">
        <w:rPr>
          <w:b/>
          <w:bCs/>
        </w:rPr>
        <w:t>Section 3: statistical methods and analyses</w:t>
      </w:r>
    </w:p>
    <w:p w14:paraId="68DB2AF2" w14:textId="77777777" w:rsidR="007034F8" w:rsidRPr="007034F8" w:rsidRDefault="007034F8" w:rsidP="007034F8">
      <w:pPr>
        <w:spacing w:line="360" w:lineRule="auto"/>
      </w:pPr>
      <w:r w:rsidRPr="007034F8">
        <w:t xml:space="preserve">Parameters for logistic regression in </w:t>
      </w:r>
      <w:proofErr w:type="spellStart"/>
      <w:r w:rsidRPr="007034F8">
        <w:t>StatsDirect</w:t>
      </w:r>
      <w:proofErr w:type="spellEnd"/>
      <w:r w:rsidRPr="007034F8">
        <w:t xml:space="preserve"> v3.0</w:t>
      </w:r>
    </w:p>
    <w:p w14:paraId="3B0B86A4" w14:textId="77777777" w:rsidR="007034F8" w:rsidRPr="007034F8" w:rsidRDefault="007034F8" w:rsidP="007034F8">
      <w:pPr>
        <w:spacing w:line="360" w:lineRule="auto"/>
      </w:pPr>
      <w:r w:rsidRPr="007034F8">
        <w:t>Response data: individual</w:t>
      </w:r>
    </w:p>
    <w:p w14:paraId="44391DAA" w14:textId="77777777" w:rsidR="007034F8" w:rsidRPr="007034F8" w:rsidRDefault="007034F8" w:rsidP="007034F8">
      <w:pPr>
        <w:spacing w:line="360" w:lineRule="auto"/>
      </w:pPr>
      <w:r w:rsidRPr="007034F8">
        <w:t>Precision of estimates: 0.0000001</w:t>
      </w:r>
    </w:p>
    <w:p w14:paraId="5E33E5A9" w14:textId="77777777" w:rsidR="007034F8" w:rsidRPr="007034F8" w:rsidRDefault="007034F8" w:rsidP="007034F8">
      <w:pPr>
        <w:spacing w:line="360" w:lineRule="auto"/>
      </w:pPr>
      <w:r w:rsidRPr="007034F8">
        <w:t>Calculate intercepts: yes</w:t>
      </w:r>
    </w:p>
    <w:p w14:paraId="07FE7B9C" w14:textId="77777777" w:rsidR="007034F8" w:rsidRPr="007034F8" w:rsidRDefault="007034F8" w:rsidP="007034F8">
      <w:pPr>
        <w:spacing w:line="360" w:lineRule="auto"/>
      </w:pPr>
    </w:p>
    <w:p w14:paraId="48D8C2C6" w14:textId="77777777" w:rsidR="007034F8" w:rsidRPr="007034F8" w:rsidRDefault="007034F8" w:rsidP="007034F8">
      <w:pPr>
        <w:spacing w:line="360" w:lineRule="auto"/>
      </w:pPr>
      <w:r w:rsidRPr="007034F8">
        <w:t xml:space="preserve">Parameters for sample size analysis in </w:t>
      </w:r>
      <w:proofErr w:type="spellStart"/>
      <w:r w:rsidRPr="007034F8">
        <w:t>StatsDirect</w:t>
      </w:r>
      <w:proofErr w:type="spellEnd"/>
      <w:r w:rsidRPr="007034F8">
        <w:t xml:space="preserve"> v3.0</w:t>
      </w:r>
    </w:p>
    <w:p w14:paraId="3EB4FB20" w14:textId="77777777" w:rsidR="007034F8" w:rsidRPr="007034F8" w:rsidRDefault="007034F8" w:rsidP="007034F8">
      <w:pPr>
        <w:spacing w:line="360" w:lineRule="auto"/>
      </w:pPr>
      <w:r w:rsidRPr="007034F8">
        <w:t>Correlation coefficient under null hypothesis: 0</w:t>
      </w:r>
    </w:p>
    <w:p w14:paraId="4012C242" w14:textId="77777777" w:rsidR="007034F8" w:rsidRPr="007034F8" w:rsidRDefault="007034F8" w:rsidP="007034F8">
      <w:pPr>
        <w:spacing w:line="360" w:lineRule="auto"/>
      </w:pPr>
      <w:r w:rsidRPr="007034F8">
        <w:t>Correlation coefficient under alternative hypothesis: 0.5</w:t>
      </w:r>
    </w:p>
    <w:p w14:paraId="2AB32A55" w14:textId="77777777" w:rsidR="007034F8" w:rsidRPr="007034F8" w:rsidRDefault="007034F8" w:rsidP="007034F8">
      <w:pPr>
        <w:spacing w:line="360" w:lineRule="auto"/>
      </w:pPr>
      <w:r w:rsidRPr="007034F8">
        <w:t>Power: 90%</w:t>
      </w:r>
    </w:p>
    <w:p w14:paraId="366BB5E1" w14:textId="77777777" w:rsidR="007034F8" w:rsidRPr="007034F8" w:rsidRDefault="007034F8" w:rsidP="007034F8">
      <w:pPr>
        <w:spacing w:line="360" w:lineRule="auto"/>
      </w:pPr>
      <w:r w:rsidRPr="007034F8">
        <w:t>Alpha: 5%</w:t>
      </w:r>
    </w:p>
    <w:p w14:paraId="5D2D38A7" w14:textId="77777777" w:rsidR="007034F8" w:rsidRPr="007034F8" w:rsidRDefault="007034F8" w:rsidP="007034F8">
      <w:pPr>
        <w:spacing w:line="360" w:lineRule="auto"/>
        <w:rPr>
          <w:b/>
          <w:bCs/>
        </w:rPr>
      </w:pPr>
    </w:p>
    <w:p w14:paraId="2AE33630" w14:textId="692C116D" w:rsidR="007034F8" w:rsidRPr="007034F8" w:rsidRDefault="007034F8" w:rsidP="007034F8">
      <w:pPr>
        <w:spacing w:line="360" w:lineRule="auto"/>
        <w:rPr>
          <w:b/>
          <w:bCs/>
          <w:lang w:val="en-GB"/>
        </w:rPr>
      </w:pPr>
      <w:r w:rsidRPr="007034F8">
        <w:rPr>
          <w:b/>
          <w:bCs/>
          <w:lang w:val="en-GB"/>
        </w:rPr>
        <w:t>Table S</w:t>
      </w:r>
      <w:r w:rsidR="00F84848">
        <w:rPr>
          <w:b/>
          <w:bCs/>
          <w:lang w:val="en-GB"/>
        </w:rPr>
        <w:t>3</w:t>
      </w:r>
      <w:r w:rsidRPr="007034F8">
        <w:rPr>
          <w:b/>
          <w:bCs/>
          <w:lang w:val="en-GB"/>
        </w:rPr>
        <w:t>. Odds ratios (ORs) of scurvy across sites (adults only)</w:t>
      </w:r>
    </w:p>
    <w:tbl>
      <w:tblPr>
        <w:tblStyle w:val="PlainTable2"/>
        <w:tblW w:w="6618" w:type="dxa"/>
        <w:tblBorders>
          <w:top w:val="single" w:sz="4" w:space="0" w:color="auto"/>
          <w:left w:val="single" w:sz="4" w:space="0" w:color="auto"/>
          <w:bottom w:val="single" w:sz="4" w:space="0" w:color="auto"/>
          <w:right w:val="single" w:sz="4" w:space="0" w:color="auto"/>
          <w:insideH w:val="single" w:sz="4" w:space="0" w:color="7F7F7F" w:themeColor="text1" w:themeTint="80"/>
        </w:tblBorders>
        <w:tblLayout w:type="fixed"/>
        <w:tblLook w:val="04A0" w:firstRow="1" w:lastRow="0" w:firstColumn="1" w:lastColumn="0" w:noHBand="0" w:noVBand="1"/>
      </w:tblPr>
      <w:tblGrid>
        <w:gridCol w:w="2765"/>
        <w:gridCol w:w="1066"/>
        <w:gridCol w:w="1197"/>
        <w:gridCol w:w="1590"/>
      </w:tblGrid>
      <w:tr w:rsidR="007034F8" w:rsidRPr="007034F8" w14:paraId="0E912A74" w14:textId="77777777" w:rsidTr="00923328">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765" w:type="dxa"/>
            <w:vMerge w:val="restart"/>
            <w:tcBorders>
              <w:top w:val="single" w:sz="4" w:space="0" w:color="auto"/>
              <w:left w:val="single" w:sz="4" w:space="0" w:color="auto"/>
              <w:bottom w:val="single" w:sz="4" w:space="0" w:color="auto"/>
              <w:right w:val="nil"/>
            </w:tcBorders>
            <w:hideMark/>
          </w:tcPr>
          <w:p w14:paraId="69A288E8" w14:textId="77777777" w:rsidR="007034F8" w:rsidRPr="007034F8" w:rsidRDefault="007034F8" w:rsidP="007034F8">
            <w:pPr>
              <w:spacing w:line="360" w:lineRule="auto"/>
              <w:rPr>
                <w:lang w:val="en-GB"/>
              </w:rPr>
            </w:pPr>
            <w:r w:rsidRPr="007034F8">
              <w:rPr>
                <w:lang w:val="en-GB"/>
              </w:rPr>
              <w:t>Sample</w:t>
            </w:r>
          </w:p>
          <w:p w14:paraId="1B6B1256" w14:textId="77777777" w:rsidR="007034F8" w:rsidRPr="007034F8" w:rsidRDefault="007034F8" w:rsidP="007034F8">
            <w:pPr>
              <w:spacing w:line="360" w:lineRule="auto"/>
              <w:rPr>
                <w:lang w:val="en-GB"/>
              </w:rPr>
            </w:pPr>
            <w:r w:rsidRPr="007034F8">
              <w:rPr>
                <w:lang w:val="en-GB"/>
              </w:rPr>
              <w:t>Exposed group: Tsukumo (≥15 years)</w:t>
            </w:r>
          </w:p>
          <w:p w14:paraId="75AB2FDA" w14:textId="77777777" w:rsidR="007034F8" w:rsidRPr="007034F8" w:rsidRDefault="007034F8" w:rsidP="007034F8">
            <w:pPr>
              <w:spacing w:line="360" w:lineRule="auto"/>
              <w:rPr>
                <w:lang w:val="en-GB"/>
              </w:rPr>
            </w:pPr>
            <w:r w:rsidRPr="007034F8">
              <w:rPr>
                <w:lang w:val="en-GB"/>
              </w:rPr>
              <w:t>Control group: Ota (≥15 years)</w:t>
            </w:r>
          </w:p>
        </w:tc>
        <w:tc>
          <w:tcPr>
            <w:tcW w:w="1066" w:type="dxa"/>
            <w:vMerge w:val="restart"/>
            <w:tcBorders>
              <w:top w:val="single" w:sz="4" w:space="0" w:color="auto"/>
              <w:left w:val="nil"/>
              <w:right w:val="nil"/>
            </w:tcBorders>
          </w:tcPr>
          <w:p w14:paraId="4357AA64" w14:textId="77777777" w:rsidR="007034F8" w:rsidRPr="007034F8" w:rsidRDefault="007034F8" w:rsidP="007034F8">
            <w:pPr>
              <w:spacing w:line="360" w:lineRule="auto"/>
              <w:cnfStyle w:val="100000000000" w:firstRow="1" w:lastRow="0" w:firstColumn="0" w:lastColumn="0" w:oddVBand="0" w:evenVBand="0" w:oddHBand="0" w:evenHBand="0" w:firstRowFirstColumn="0" w:firstRowLastColumn="0" w:lastRowFirstColumn="0" w:lastRowLastColumn="0"/>
              <w:rPr>
                <w:lang w:val="en-GB"/>
              </w:rPr>
            </w:pPr>
            <w:r w:rsidRPr="007034F8">
              <w:rPr>
                <w:lang w:val="en-GB"/>
              </w:rPr>
              <w:t>OR</w:t>
            </w:r>
          </w:p>
          <w:p w14:paraId="1530A342" w14:textId="77777777" w:rsidR="007034F8" w:rsidRPr="007034F8" w:rsidRDefault="007034F8" w:rsidP="007034F8">
            <w:pPr>
              <w:spacing w:line="360" w:lineRule="auto"/>
              <w:cnfStyle w:val="100000000000" w:firstRow="1" w:lastRow="0" w:firstColumn="0" w:lastColumn="0" w:oddVBand="0" w:evenVBand="0" w:oddHBand="0" w:evenHBand="0" w:firstRowFirstColumn="0" w:firstRowLastColumn="0" w:lastRowFirstColumn="0" w:lastRowLastColumn="0"/>
              <w:rPr>
                <w:lang w:val="en-GB"/>
              </w:rPr>
            </w:pPr>
          </w:p>
        </w:tc>
        <w:tc>
          <w:tcPr>
            <w:tcW w:w="1197" w:type="dxa"/>
            <w:vMerge w:val="restart"/>
            <w:tcBorders>
              <w:top w:val="single" w:sz="4" w:space="0" w:color="auto"/>
              <w:left w:val="nil"/>
              <w:right w:val="nil"/>
            </w:tcBorders>
            <w:hideMark/>
          </w:tcPr>
          <w:p w14:paraId="05F3E828" w14:textId="77777777" w:rsidR="007034F8" w:rsidRPr="007034F8" w:rsidRDefault="007034F8" w:rsidP="007034F8">
            <w:pPr>
              <w:spacing w:line="360" w:lineRule="auto"/>
              <w:cnfStyle w:val="100000000000" w:firstRow="1" w:lastRow="0" w:firstColumn="0" w:lastColumn="0" w:oddVBand="0" w:evenVBand="0" w:oddHBand="0" w:evenHBand="0" w:firstRowFirstColumn="0" w:firstRowLastColumn="0" w:lastRowFirstColumn="0" w:lastRowLastColumn="0"/>
              <w:rPr>
                <w:lang w:val="en-GB"/>
              </w:rPr>
            </w:pPr>
            <w:r w:rsidRPr="007034F8">
              <w:rPr>
                <w:lang w:val="en-GB"/>
              </w:rPr>
              <w:t>P-value</w:t>
            </w:r>
          </w:p>
        </w:tc>
        <w:tc>
          <w:tcPr>
            <w:tcW w:w="1590" w:type="dxa"/>
            <w:vMerge w:val="restart"/>
            <w:tcBorders>
              <w:top w:val="single" w:sz="4" w:space="0" w:color="auto"/>
              <w:left w:val="nil"/>
              <w:right w:val="single" w:sz="4" w:space="0" w:color="auto"/>
            </w:tcBorders>
            <w:hideMark/>
          </w:tcPr>
          <w:p w14:paraId="791DFD73" w14:textId="77777777" w:rsidR="007034F8" w:rsidRPr="007034F8" w:rsidRDefault="007034F8" w:rsidP="007034F8">
            <w:pPr>
              <w:spacing w:line="360" w:lineRule="auto"/>
              <w:cnfStyle w:val="100000000000" w:firstRow="1" w:lastRow="0" w:firstColumn="0" w:lastColumn="0" w:oddVBand="0" w:evenVBand="0" w:oddHBand="0" w:evenHBand="0" w:firstRowFirstColumn="0" w:firstRowLastColumn="0" w:lastRowFirstColumn="0" w:lastRowLastColumn="0"/>
              <w:rPr>
                <w:lang w:val="en-GB"/>
              </w:rPr>
            </w:pPr>
            <w:r w:rsidRPr="007034F8">
              <w:rPr>
                <w:lang w:val="en-GB"/>
              </w:rPr>
              <w:t>95%CI</w:t>
            </w:r>
          </w:p>
        </w:tc>
      </w:tr>
      <w:tr w:rsidR="007034F8" w:rsidRPr="007034F8" w14:paraId="50336D54" w14:textId="77777777" w:rsidTr="0092332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765" w:type="dxa"/>
            <w:vMerge/>
            <w:tcBorders>
              <w:top w:val="single" w:sz="4" w:space="0" w:color="auto"/>
              <w:left w:val="single" w:sz="4" w:space="0" w:color="auto"/>
              <w:bottom w:val="single" w:sz="4" w:space="0" w:color="auto"/>
              <w:right w:val="nil"/>
            </w:tcBorders>
            <w:vAlign w:val="center"/>
            <w:hideMark/>
          </w:tcPr>
          <w:p w14:paraId="72165969" w14:textId="77777777" w:rsidR="007034F8" w:rsidRPr="007034F8" w:rsidRDefault="007034F8" w:rsidP="007034F8">
            <w:pPr>
              <w:spacing w:line="360" w:lineRule="auto"/>
              <w:rPr>
                <w:lang w:val="en-GB"/>
              </w:rPr>
            </w:pPr>
          </w:p>
        </w:tc>
        <w:tc>
          <w:tcPr>
            <w:tcW w:w="1066" w:type="dxa"/>
            <w:vMerge/>
            <w:tcBorders>
              <w:top w:val="single" w:sz="4" w:space="0" w:color="auto"/>
              <w:left w:val="nil"/>
              <w:right w:val="nil"/>
            </w:tcBorders>
            <w:vAlign w:val="center"/>
            <w:hideMark/>
          </w:tcPr>
          <w:p w14:paraId="5E7116F7" w14:textId="77777777" w:rsidR="007034F8" w:rsidRPr="007034F8" w:rsidRDefault="007034F8" w:rsidP="007034F8">
            <w:pPr>
              <w:spacing w:line="360" w:lineRule="auto"/>
              <w:cnfStyle w:val="000000100000" w:firstRow="0" w:lastRow="0" w:firstColumn="0" w:lastColumn="0" w:oddVBand="0" w:evenVBand="0" w:oddHBand="1" w:evenHBand="0" w:firstRowFirstColumn="0" w:firstRowLastColumn="0" w:lastRowFirstColumn="0" w:lastRowLastColumn="0"/>
              <w:rPr>
                <w:b/>
                <w:bCs/>
                <w:lang w:val="en-GB"/>
              </w:rPr>
            </w:pPr>
          </w:p>
        </w:tc>
        <w:tc>
          <w:tcPr>
            <w:tcW w:w="1197" w:type="dxa"/>
            <w:vMerge/>
            <w:tcBorders>
              <w:top w:val="single" w:sz="4" w:space="0" w:color="auto"/>
              <w:left w:val="nil"/>
              <w:right w:val="nil"/>
            </w:tcBorders>
            <w:vAlign w:val="center"/>
            <w:hideMark/>
          </w:tcPr>
          <w:p w14:paraId="338AEB75" w14:textId="77777777" w:rsidR="007034F8" w:rsidRPr="007034F8" w:rsidRDefault="007034F8" w:rsidP="007034F8">
            <w:pPr>
              <w:spacing w:line="360" w:lineRule="auto"/>
              <w:cnfStyle w:val="000000100000" w:firstRow="0" w:lastRow="0" w:firstColumn="0" w:lastColumn="0" w:oddVBand="0" w:evenVBand="0" w:oddHBand="1" w:evenHBand="0" w:firstRowFirstColumn="0" w:firstRowLastColumn="0" w:lastRowFirstColumn="0" w:lastRowLastColumn="0"/>
              <w:rPr>
                <w:b/>
                <w:bCs/>
                <w:lang w:val="en-GB"/>
              </w:rPr>
            </w:pPr>
          </w:p>
        </w:tc>
        <w:tc>
          <w:tcPr>
            <w:tcW w:w="1590" w:type="dxa"/>
            <w:vMerge/>
            <w:tcBorders>
              <w:top w:val="single" w:sz="4" w:space="0" w:color="auto"/>
              <w:left w:val="nil"/>
              <w:right w:val="single" w:sz="4" w:space="0" w:color="auto"/>
            </w:tcBorders>
            <w:vAlign w:val="center"/>
            <w:hideMark/>
          </w:tcPr>
          <w:p w14:paraId="7377A64A" w14:textId="77777777" w:rsidR="007034F8" w:rsidRPr="007034F8" w:rsidRDefault="007034F8" w:rsidP="007034F8">
            <w:pPr>
              <w:spacing w:line="360" w:lineRule="auto"/>
              <w:cnfStyle w:val="000000100000" w:firstRow="0" w:lastRow="0" w:firstColumn="0" w:lastColumn="0" w:oddVBand="0" w:evenVBand="0" w:oddHBand="1" w:evenHBand="0" w:firstRowFirstColumn="0" w:firstRowLastColumn="0" w:lastRowFirstColumn="0" w:lastRowLastColumn="0"/>
              <w:rPr>
                <w:b/>
                <w:bCs/>
                <w:lang w:val="en-GB"/>
              </w:rPr>
            </w:pPr>
          </w:p>
        </w:tc>
      </w:tr>
      <w:tr w:rsidR="007034F8" w:rsidRPr="007034F8" w14:paraId="48B52952" w14:textId="77777777" w:rsidTr="00923328">
        <w:trPr>
          <w:trHeight w:val="264"/>
        </w:trPr>
        <w:tc>
          <w:tcPr>
            <w:cnfStyle w:val="001000000000" w:firstRow="0" w:lastRow="0" w:firstColumn="1" w:lastColumn="0" w:oddVBand="0" w:evenVBand="0" w:oddHBand="0" w:evenHBand="0" w:firstRowFirstColumn="0" w:firstRowLastColumn="0" w:lastRowFirstColumn="0" w:lastRowLastColumn="0"/>
            <w:tcW w:w="2765" w:type="dxa"/>
            <w:tcBorders>
              <w:top w:val="nil"/>
              <w:left w:val="single" w:sz="4" w:space="0" w:color="auto"/>
              <w:bottom w:val="nil"/>
              <w:right w:val="nil"/>
            </w:tcBorders>
          </w:tcPr>
          <w:p w14:paraId="5FF60083" w14:textId="77777777" w:rsidR="007034F8" w:rsidRPr="007034F8" w:rsidRDefault="007034F8" w:rsidP="007034F8">
            <w:pPr>
              <w:spacing w:line="360" w:lineRule="auto"/>
              <w:rPr>
                <w:i/>
                <w:lang w:val="en-GB"/>
              </w:rPr>
            </w:pPr>
          </w:p>
        </w:tc>
        <w:tc>
          <w:tcPr>
            <w:tcW w:w="1066" w:type="dxa"/>
            <w:tcBorders>
              <w:top w:val="nil"/>
              <w:left w:val="nil"/>
              <w:bottom w:val="nil"/>
              <w:right w:val="nil"/>
            </w:tcBorders>
          </w:tcPr>
          <w:p w14:paraId="7B7E88FD" w14:textId="77777777" w:rsidR="007034F8" w:rsidRPr="007034F8" w:rsidRDefault="007034F8" w:rsidP="007034F8">
            <w:pPr>
              <w:spacing w:line="360" w:lineRule="auto"/>
              <w:cnfStyle w:val="000000000000" w:firstRow="0" w:lastRow="0" w:firstColumn="0" w:lastColumn="0" w:oddVBand="0" w:evenVBand="0" w:oddHBand="0" w:evenHBand="0" w:firstRowFirstColumn="0" w:firstRowLastColumn="0" w:lastRowFirstColumn="0" w:lastRowLastColumn="0"/>
              <w:rPr>
                <w:b/>
                <w:bCs/>
                <w:lang w:val="en-GB"/>
              </w:rPr>
            </w:pPr>
          </w:p>
        </w:tc>
        <w:tc>
          <w:tcPr>
            <w:tcW w:w="1197" w:type="dxa"/>
            <w:tcBorders>
              <w:top w:val="nil"/>
              <w:left w:val="nil"/>
              <w:bottom w:val="nil"/>
              <w:right w:val="nil"/>
            </w:tcBorders>
          </w:tcPr>
          <w:p w14:paraId="405A453A" w14:textId="77777777" w:rsidR="007034F8" w:rsidRPr="007034F8" w:rsidRDefault="007034F8" w:rsidP="007034F8">
            <w:pPr>
              <w:spacing w:line="360" w:lineRule="auto"/>
              <w:cnfStyle w:val="000000000000" w:firstRow="0" w:lastRow="0" w:firstColumn="0" w:lastColumn="0" w:oddVBand="0" w:evenVBand="0" w:oddHBand="0" w:evenHBand="0" w:firstRowFirstColumn="0" w:firstRowLastColumn="0" w:lastRowFirstColumn="0" w:lastRowLastColumn="0"/>
              <w:rPr>
                <w:b/>
                <w:bCs/>
                <w:lang w:val="en-GB"/>
              </w:rPr>
            </w:pPr>
          </w:p>
        </w:tc>
        <w:tc>
          <w:tcPr>
            <w:tcW w:w="1590" w:type="dxa"/>
            <w:tcBorders>
              <w:top w:val="nil"/>
              <w:left w:val="nil"/>
              <w:bottom w:val="nil"/>
              <w:right w:val="single" w:sz="4" w:space="0" w:color="auto"/>
            </w:tcBorders>
          </w:tcPr>
          <w:p w14:paraId="621E8A86" w14:textId="77777777" w:rsidR="007034F8" w:rsidRPr="007034F8" w:rsidRDefault="007034F8" w:rsidP="007034F8">
            <w:pPr>
              <w:spacing w:line="360" w:lineRule="auto"/>
              <w:cnfStyle w:val="000000000000" w:firstRow="0" w:lastRow="0" w:firstColumn="0" w:lastColumn="0" w:oddVBand="0" w:evenVBand="0" w:oddHBand="0" w:evenHBand="0" w:firstRowFirstColumn="0" w:firstRowLastColumn="0" w:lastRowFirstColumn="0" w:lastRowLastColumn="0"/>
              <w:rPr>
                <w:b/>
                <w:bCs/>
                <w:lang w:val="en-GB"/>
              </w:rPr>
            </w:pPr>
          </w:p>
        </w:tc>
      </w:tr>
      <w:tr w:rsidR="007034F8" w:rsidRPr="007034F8" w14:paraId="40BC6E2A" w14:textId="77777777" w:rsidTr="0092332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65" w:type="dxa"/>
            <w:tcBorders>
              <w:top w:val="nil"/>
              <w:left w:val="single" w:sz="4" w:space="0" w:color="auto"/>
              <w:bottom w:val="single" w:sz="4" w:space="0" w:color="auto"/>
              <w:right w:val="nil"/>
            </w:tcBorders>
            <w:hideMark/>
          </w:tcPr>
          <w:p w14:paraId="68FF052E" w14:textId="77777777" w:rsidR="007034F8" w:rsidRPr="007034F8" w:rsidRDefault="007034F8" w:rsidP="007034F8">
            <w:pPr>
              <w:spacing w:line="360" w:lineRule="auto"/>
              <w:rPr>
                <w:i/>
                <w:lang w:val="en-GB"/>
              </w:rPr>
            </w:pPr>
            <w:r w:rsidRPr="007034F8">
              <w:rPr>
                <w:i/>
                <w:lang w:val="en-GB"/>
              </w:rPr>
              <w:t>Probable only</w:t>
            </w:r>
          </w:p>
        </w:tc>
        <w:tc>
          <w:tcPr>
            <w:tcW w:w="1066" w:type="dxa"/>
            <w:tcBorders>
              <w:top w:val="nil"/>
              <w:left w:val="nil"/>
              <w:bottom w:val="single" w:sz="4" w:space="0" w:color="auto"/>
              <w:right w:val="nil"/>
            </w:tcBorders>
            <w:hideMark/>
          </w:tcPr>
          <w:p w14:paraId="1A76A01D" w14:textId="77777777" w:rsidR="007034F8" w:rsidRPr="007034F8" w:rsidRDefault="007034F8" w:rsidP="007034F8">
            <w:pPr>
              <w:spacing w:line="360" w:lineRule="auto"/>
              <w:cnfStyle w:val="000000100000" w:firstRow="0" w:lastRow="0" w:firstColumn="0" w:lastColumn="0" w:oddVBand="0" w:evenVBand="0" w:oddHBand="1" w:evenHBand="0" w:firstRowFirstColumn="0" w:firstRowLastColumn="0" w:lastRowFirstColumn="0" w:lastRowLastColumn="0"/>
              <w:rPr>
                <w:b/>
                <w:bCs/>
                <w:lang w:val="en-GB"/>
              </w:rPr>
            </w:pPr>
            <w:r w:rsidRPr="007034F8">
              <w:rPr>
                <w:b/>
                <w:bCs/>
                <w:lang w:val="en-GB"/>
              </w:rPr>
              <w:t>10.67</w:t>
            </w:r>
          </w:p>
        </w:tc>
        <w:tc>
          <w:tcPr>
            <w:tcW w:w="1197" w:type="dxa"/>
            <w:tcBorders>
              <w:top w:val="nil"/>
              <w:left w:val="nil"/>
              <w:bottom w:val="single" w:sz="4" w:space="0" w:color="auto"/>
              <w:right w:val="nil"/>
            </w:tcBorders>
            <w:hideMark/>
          </w:tcPr>
          <w:p w14:paraId="53E92950" w14:textId="77777777" w:rsidR="007034F8" w:rsidRPr="007034F8" w:rsidRDefault="007034F8" w:rsidP="007034F8">
            <w:pPr>
              <w:spacing w:line="360" w:lineRule="auto"/>
              <w:cnfStyle w:val="000000100000" w:firstRow="0" w:lastRow="0" w:firstColumn="0" w:lastColumn="0" w:oddVBand="0" w:evenVBand="0" w:oddHBand="1" w:evenHBand="0" w:firstRowFirstColumn="0" w:firstRowLastColumn="0" w:lastRowFirstColumn="0" w:lastRowLastColumn="0"/>
              <w:rPr>
                <w:b/>
                <w:bCs/>
                <w:lang w:val="en-GB"/>
              </w:rPr>
            </w:pPr>
            <w:r w:rsidRPr="007034F8">
              <w:rPr>
                <w:b/>
                <w:bCs/>
                <w:lang w:val="en-GB"/>
              </w:rPr>
              <w:t>0.0006</w:t>
            </w:r>
          </w:p>
        </w:tc>
        <w:tc>
          <w:tcPr>
            <w:tcW w:w="1590" w:type="dxa"/>
            <w:tcBorders>
              <w:top w:val="nil"/>
              <w:left w:val="nil"/>
              <w:bottom w:val="single" w:sz="4" w:space="0" w:color="auto"/>
              <w:right w:val="single" w:sz="4" w:space="0" w:color="auto"/>
            </w:tcBorders>
            <w:hideMark/>
          </w:tcPr>
          <w:p w14:paraId="32E2C56B" w14:textId="77777777" w:rsidR="007034F8" w:rsidRPr="007034F8" w:rsidRDefault="007034F8" w:rsidP="007034F8">
            <w:pPr>
              <w:spacing w:line="360" w:lineRule="auto"/>
              <w:cnfStyle w:val="000000100000" w:firstRow="0" w:lastRow="0" w:firstColumn="0" w:lastColumn="0" w:oddVBand="0" w:evenVBand="0" w:oddHBand="1" w:evenHBand="0" w:firstRowFirstColumn="0" w:firstRowLastColumn="0" w:lastRowFirstColumn="0" w:lastRowLastColumn="0"/>
              <w:rPr>
                <w:b/>
                <w:bCs/>
                <w:lang w:val="en-GB"/>
              </w:rPr>
            </w:pPr>
            <w:r w:rsidRPr="007034F8">
              <w:rPr>
                <w:b/>
                <w:bCs/>
                <w:lang w:val="en-GB"/>
              </w:rPr>
              <w:t>2.75 – 41.43</w:t>
            </w:r>
          </w:p>
        </w:tc>
      </w:tr>
    </w:tbl>
    <w:p w14:paraId="17DB285D" w14:textId="77777777" w:rsidR="007034F8" w:rsidRPr="007034F8" w:rsidRDefault="007034F8" w:rsidP="007034F8">
      <w:pPr>
        <w:spacing w:line="360" w:lineRule="auto"/>
        <w:rPr>
          <w:b/>
          <w:bCs/>
          <w:u w:val="single"/>
        </w:rPr>
      </w:pPr>
    </w:p>
    <w:p w14:paraId="4DA828DD" w14:textId="77777777" w:rsidR="007034F8" w:rsidRPr="007034F8" w:rsidRDefault="007034F8" w:rsidP="007034F8">
      <w:pPr>
        <w:spacing w:line="360" w:lineRule="auto"/>
        <w:rPr>
          <w:b/>
          <w:bCs/>
          <w:u w:val="single"/>
        </w:rPr>
      </w:pPr>
    </w:p>
    <w:p w14:paraId="43FEBEFA" w14:textId="196CD199" w:rsidR="007034F8" w:rsidRPr="007034F8" w:rsidRDefault="007034F8" w:rsidP="007034F8">
      <w:pPr>
        <w:spacing w:line="360" w:lineRule="auto"/>
        <w:rPr>
          <w:b/>
          <w:bCs/>
        </w:rPr>
      </w:pPr>
      <w:r w:rsidRPr="007034F8">
        <w:rPr>
          <w:b/>
          <w:bCs/>
        </w:rPr>
        <w:t>Table S</w:t>
      </w:r>
      <w:r w:rsidR="00F84848">
        <w:rPr>
          <w:b/>
          <w:bCs/>
        </w:rPr>
        <w:t>4</w:t>
      </w:r>
      <w:r w:rsidRPr="007034F8">
        <w:rPr>
          <w:b/>
          <w:bCs/>
        </w:rPr>
        <w:t xml:space="preserve">. </w:t>
      </w:r>
      <w:r w:rsidRPr="007034F8">
        <w:rPr>
          <w:b/>
          <w:bCs/>
          <w:vanish/>
        </w:rPr>
        <w:t xml:space="preserve">!!help!-&gt; 1043 &lt;-!help!! !!redo!-&gt; "UnivariateSummary" 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 &lt;-!redo!! </w:t>
      </w:r>
      <w:r w:rsidRPr="007034F8">
        <w:rPr>
          <w:b/>
          <w:bCs/>
        </w:rPr>
        <w:t>Descriptive statistics for Ota</w:t>
      </w:r>
    </w:p>
    <w:tbl>
      <w:tblPr>
        <w:tblW w:w="0" w:type="auto"/>
        <w:tblInd w:w="135" w:type="dxa"/>
        <w:tblBorders>
          <w:top w:val="single" w:sz="4" w:space="0" w:color="auto"/>
          <w:left w:val="single" w:sz="4" w:space="0" w:color="auto"/>
          <w:bottom w:val="single" w:sz="4" w:space="0" w:color="auto"/>
          <w:right w:val="single" w:sz="4" w:space="0" w:color="auto"/>
        </w:tblBorders>
        <w:tblCellMar>
          <w:left w:w="135" w:type="dxa"/>
          <w:right w:w="135" w:type="dxa"/>
        </w:tblCellMar>
        <w:tblLook w:val="04A0" w:firstRow="1" w:lastRow="0" w:firstColumn="1" w:lastColumn="0" w:noHBand="0" w:noVBand="1"/>
      </w:tblPr>
      <w:tblGrid>
        <w:gridCol w:w="2630"/>
        <w:gridCol w:w="1564"/>
        <w:gridCol w:w="1944"/>
      </w:tblGrid>
      <w:tr w:rsidR="007034F8" w:rsidRPr="007034F8" w14:paraId="5F9CACD8" w14:textId="77777777" w:rsidTr="00923328">
        <w:tc>
          <w:tcPr>
            <w:tcW w:w="0" w:type="auto"/>
            <w:tcBorders>
              <w:top w:val="single" w:sz="4" w:space="0" w:color="auto"/>
              <w:left w:val="single" w:sz="4" w:space="0" w:color="auto"/>
              <w:bottom w:val="single" w:sz="4" w:space="0" w:color="auto"/>
              <w:right w:val="nil"/>
            </w:tcBorders>
            <w:hideMark/>
          </w:tcPr>
          <w:p w14:paraId="1EF1656C" w14:textId="77777777" w:rsidR="007034F8" w:rsidRPr="007034F8" w:rsidRDefault="007034F8" w:rsidP="007034F8">
            <w:pPr>
              <w:spacing w:line="360" w:lineRule="auto"/>
              <w:rPr>
                <w:b/>
                <w:bCs/>
              </w:rPr>
            </w:pPr>
            <w:r w:rsidRPr="007034F8">
              <w:rPr>
                <w:b/>
                <w:bCs/>
              </w:rPr>
              <w:t>Variables</w:t>
            </w:r>
          </w:p>
        </w:tc>
        <w:tc>
          <w:tcPr>
            <w:tcW w:w="0" w:type="auto"/>
            <w:tcBorders>
              <w:top w:val="single" w:sz="4" w:space="0" w:color="auto"/>
              <w:left w:val="nil"/>
              <w:bottom w:val="single" w:sz="4" w:space="0" w:color="auto"/>
              <w:right w:val="nil"/>
            </w:tcBorders>
            <w:hideMark/>
          </w:tcPr>
          <w:p w14:paraId="2DCCA997" w14:textId="6AF551D5" w:rsidR="007034F8" w:rsidRPr="007034F8" w:rsidRDefault="007034F8" w:rsidP="007034F8">
            <w:pPr>
              <w:spacing w:line="360" w:lineRule="auto"/>
              <w:rPr>
                <w:b/>
                <w:bCs/>
              </w:rPr>
            </w:pPr>
            <w:r w:rsidRPr="007034F8">
              <w:rPr>
                <w:b/>
                <w:bCs/>
              </w:rPr>
              <w:t>Age</w:t>
            </w:r>
            <w:r w:rsidR="00B443E1">
              <w:rPr>
                <w:b/>
                <w:bCs/>
              </w:rPr>
              <w:t xml:space="preserve"> </w:t>
            </w:r>
            <w:r w:rsidRPr="007034F8">
              <w:rPr>
                <w:b/>
                <w:bCs/>
              </w:rPr>
              <w:t>at</w:t>
            </w:r>
            <w:r w:rsidR="00B443E1">
              <w:rPr>
                <w:b/>
                <w:bCs/>
              </w:rPr>
              <w:t xml:space="preserve"> </w:t>
            </w:r>
            <w:r>
              <w:rPr>
                <w:b/>
                <w:bCs/>
              </w:rPr>
              <w:t>d</w:t>
            </w:r>
            <w:r w:rsidRPr="007034F8">
              <w:rPr>
                <w:b/>
                <w:bCs/>
              </w:rPr>
              <w:t>eath</w:t>
            </w:r>
          </w:p>
        </w:tc>
        <w:tc>
          <w:tcPr>
            <w:tcW w:w="0" w:type="auto"/>
            <w:tcBorders>
              <w:top w:val="single" w:sz="4" w:space="0" w:color="auto"/>
              <w:left w:val="nil"/>
              <w:bottom w:val="single" w:sz="4" w:space="0" w:color="auto"/>
              <w:right w:val="single" w:sz="4" w:space="0" w:color="auto"/>
            </w:tcBorders>
            <w:hideMark/>
          </w:tcPr>
          <w:p w14:paraId="1F92D907" w14:textId="58843621" w:rsidR="007034F8" w:rsidRPr="007034F8" w:rsidRDefault="007034F8" w:rsidP="007034F8">
            <w:pPr>
              <w:spacing w:line="360" w:lineRule="auto"/>
              <w:rPr>
                <w:b/>
                <w:bCs/>
              </w:rPr>
            </w:pPr>
            <w:r w:rsidRPr="007034F8">
              <w:rPr>
                <w:b/>
                <w:bCs/>
              </w:rPr>
              <w:t xml:space="preserve">Probable </w:t>
            </w:r>
            <w:r>
              <w:rPr>
                <w:b/>
                <w:bCs/>
              </w:rPr>
              <w:t>s</w:t>
            </w:r>
            <w:r w:rsidRPr="007034F8">
              <w:rPr>
                <w:b/>
                <w:bCs/>
              </w:rPr>
              <w:t>curvy</w:t>
            </w:r>
          </w:p>
        </w:tc>
      </w:tr>
      <w:tr w:rsidR="007034F8" w:rsidRPr="007034F8" w14:paraId="060A8220" w14:textId="77777777" w:rsidTr="00923328">
        <w:tc>
          <w:tcPr>
            <w:tcW w:w="0" w:type="auto"/>
            <w:tcBorders>
              <w:top w:val="single" w:sz="4" w:space="0" w:color="auto"/>
              <w:left w:val="single" w:sz="4" w:space="0" w:color="auto"/>
              <w:bottom w:val="nil"/>
              <w:right w:val="nil"/>
            </w:tcBorders>
            <w:hideMark/>
          </w:tcPr>
          <w:p w14:paraId="189FC95E" w14:textId="77777777" w:rsidR="007034F8" w:rsidRPr="007034F8" w:rsidRDefault="007034F8" w:rsidP="007034F8">
            <w:pPr>
              <w:spacing w:line="360" w:lineRule="auto"/>
              <w:rPr>
                <w:b/>
                <w:bCs/>
                <w:i/>
                <w:iCs/>
              </w:rPr>
            </w:pPr>
            <w:r w:rsidRPr="007034F8">
              <w:rPr>
                <w:b/>
                <w:bCs/>
                <w:i/>
                <w:iCs/>
              </w:rPr>
              <w:t>Valid data</w:t>
            </w:r>
          </w:p>
        </w:tc>
        <w:tc>
          <w:tcPr>
            <w:tcW w:w="0" w:type="auto"/>
            <w:tcBorders>
              <w:top w:val="single" w:sz="4" w:space="0" w:color="auto"/>
              <w:left w:val="nil"/>
              <w:bottom w:val="nil"/>
              <w:right w:val="nil"/>
            </w:tcBorders>
            <w:hideMark/>
          </w:tcPr>
          <w:p w14:paraId="44FCC808" w14:textId="77777777" w:rsidR="007034F8" w:rsidRPr="007034F8" w:rsidRDefault="007034F8" w:rsidP="007034F8">
            <w:pPr>
              <w:spacing w:line="360" w:lineRule="auto"/>
              <w:rPr>
                <w:b/>
                <w:bCs/>
              </w:rPr>
            </w:pPr>
            <w:r w:rsidRPr="007034F8">
              <w:rPr>
                <w:b/>
                <w:bCs/>
              </w:rPr>
              <w:t>25</w:t>
            </w:r>
          </w:p>
        </w:tc>
        <w:tc>
          <w:tcPr>
            <w:tcW w:w="0" w:type="auto"/>
            <w:tcBorders>
              <w:top w:val="single" w:sz="4" w:space="0" w:color="auto"/>
              <w:left w:val="nil"/>
              <w:bottom w:val="nil"/>
              <w:right w:val="single" w:sz="4" w:space="0" w:color="auto"/>
            </w:tcBorders>
            <w:hideMark/>
          </w:tcPr>
          <w:p w14:paraId="3092AD2E" w14:textId="77777777" w:rsidR="007034F8" w:rsidRPr="007034F8" w:rsidRDefault="007034F8" w:rsidP="007034F8">
            <w:pPr>
              <w:spacing w:line="360" w:lineRule="auto"/>
              <w:rPr>
                <w:b/>
                <w:bCs/>
              </w:rPr>
            </w:pPr>
            <w:r w:rsidRPr="007034F8">
              <w:rPr>
                <w:b/>
                <w:bCs/>
              </w:rPr>
              <w:t>25</w:t>
            </w:r>
          </w:p>
        </w:tc>
      </w:tr>
      <w:tr w:rsidR="007034F8" w:rsidRPr="007034F8" w14:paraId="5A632847" w14:textId="77777777" w:rsidTr="00923328">
        <w:tc>
          <w:tcPr>
            <w:tcW w:w="0" w:type="auto"/>
            <w:tcBorders>
              <w:top w:val="nil"/>
              <w:left w:val="single" w:sz="4" w:space="0" w:color="auto"/>
              <w:bottom w:val="nil"/>
              <w:right w:val="nil"/>
            </w:tcBorders>
            <w:hideMark/>
          </w:tcPr>
          <w:p w14:paraId="5C2EB2E1" w14:textId="77777777" w:rsidR="007034F8" w:rsidRPr="007034F8" w:rsidRDefault="007034F8" w:rsidP="007034F8">
            <w:pPr>
              <w:spacing w:line="360" w:lineRule="auto"/>
              <w:rPr>
                <w:b/>
                <w:bCs/>
                <w:i/>
                <w:iCs/>
              </w:rPr>
            </w:pPr>
            <w:r w:rsidRPr="007034F8">
              <w:rPr>
                <w:b/>
                <w:bCs/>
                <w:i/>
                <w:iCs/>
              </w:rPr>
              <w:t>Missing data</w:t>
            </w:r>
          </w:p>
        </w:tc>
        <w:tc>
          <w:tcPr>
            <w:tcW w:w="0" w:type="auto"/>
            <w:tcBorders>
              <w:top w:val="nil"/>
              <w:left w:val="nil"/>
              <w:bottom w:val="nil"/>
              <w:right w:val="nil"/>
            </w:tcBorders>
            <w:hideMark/>
          </w:tcPr>
          <w:p w14:paraId="069156DB" w14:textId="77777777" w:rsidR="007034F8" w:rsidRPr="007034F8" w:rsidRDefault="007034F8" w:rsidP="007034F8">
            <w:pPr>
              <w:spacing w:line="360" w:lineRule="auto"/>
              <w:rPr>
                <w:b/>
                <w:bCs/>
              </w:rPr>
            </w:pPr>
            <w:r w:rsidRPr="007034F8">
              <w:rPr>
                <w:b/>
                <w:bCs/>
              </w:rPr>
              <w:t>0</w:t>
            </w:r>
          </w:p>
        </w:tc>
        <w:tc>
          <w:tcPr>
            <w:tcW w:w="0" w:type="auto"/>
            <w:tcBorders>
              <w:top w:val="nil"/>
              <w:left w:val="nil"/>
              <w:bottom w:val="nil"/>
              <w:right w:val="single" w:sz="4" w:space="0" w:color="auto"/>
            </w:tcBorders>
            <w:hideMark/>
          </w:tcPr>
          <w:p w14:paraId="10BDBF5E" w14:textId="77777777" w:rsidR="007034F8" w:rsidRPr="007034F8" w:rsidRDefault="007034F8" w:rsidP="007034F8">
            <w:pPr>
              <w:spacing w:line="360" w:lineRule="auto"/>
              <w:rPr>
                <w:b/>
                <w:bCs/>
              </w:rPr>
            </w:pPr>
            <w:r w:rsidRPr="007034F8">
              <w:rPr>
                <w:b/>
                <w:bCs/>
              </w:rPr>
              <w:t>0</w:t>
            </w:r>
          </w:p>
        </w:tc>
      </w:tr>
      <w:tr w:rsidR="007034F8" w:rsidRPr="007034F8" w14:paraId="35CF5212" w14:textId="77777777" w:rsidTr="00923328">
        <w:tc>
          <w:tcPr>
            <w:tcW w:w="0" w:type="auto"/>
            <w:tcBorders>
              <w:top w:val="nil"/>
              <w:left w:val="single" w:sz="4" w:space="0" w:color="auto"/>
              <w:bottom w:val="nil"/>
              <w:right w:val="nil"/>
            </w:tcBorders>
            <w:hideMark/>
          </w:tcPr>
          <w:p w14:paraId="290D0F4D" w14:textId="77777777" w:rsidR="007034F8" w:rsidRPr="007034F8" w:rsidRDefault="007034F8" w:rsidP="007034F8">
            <w:pPr>
              <w:spacing w:line="360" w:lineRule="auto"/>
              <w:rPr>
                <w:b/>
                <w:bCs/>
                <w:i/>
                <w:iCs/>
              </w:rPr>
            </w:pPr>
            <w:r w:rsidRPr="007034F8">
              <w:rPr>
                <w:b/>
                <w:bCs/>
                <w:i/>
                <w:iCs/>
              </w:rPr>
              <w:lastRenderedPageBreak/>
              <w:t>Sum</w:t>
            </w:r>
          </w:p>
        </w:tc>
        <w:tc>
          <w:tcPr>
            <w:tcW w:w="0" w:type="auto"/>
            <w:tcBorders>
              <w:top w:val="nil"/>
              <w:left w:val="nil"/>
              <w:bottom w:val="nil"/>
              <w:right w:val="nil"/>
            </w:tcBorders>
            <w:hideMark/>
          </w:tcPr>
          <w:p w14:paraId="7510B8D6" w14:textId="77777777" w:rsidR="007034F8" w:rsidRPr="007034F8" w:rsidRDefault="007034F8" w:rsidP="007034F8">
            <w:pPr>
              <w:spacing w:line="360" w:lineRule="auto"/>
              <w:rPr>
                <w:b/>
                <w:bCs/>
              </w:rPr>
            </w:pPr>
            <w:r w:rsidRPr="007034F8">
              <w:rPr>
                <w:b/>
                <w:bCs/>
              </w:rPr>
              <w:t>916</w:t>
            </w:r>
          </w:p>
        </w:tc>
        <w:tc>
          <w:tcPr>
            <w:tcW w:w="0" w:type="auto"/>
            <w:tcBorders>
              <w:top w:val="nil"/>
              <w:left w:val="nil"/>
              <w:bottom w:val="nil"/>
              <w:right w:val="single" w:sz="4" w:space="0" w:color="auto"/>
            </w:tcBorders>
            <w:hideMark/>
          </w:tcPr>
          <w:p w14:paraId="1D8FEEF8" w14:textId="77777777" w:rsidR="007034F8" w:rsidRPr="007034F8" w:rsidRDefault="007034F8" w:rsidP="007034F8">
            <w:pPr>
              <w:spacing w:line="360" w:lineRule="auto"/>
              <w:rPr>
                <w:b/>
                <w:bCs/>
              </w:rPr>
            </w:pPr>
            <w:r w:rsidRPr="007034F8">
              <w:rPr>
                <w:b/>
                <w:bCs/>
              </w:rPr>
              <w:t>5</w:t>
            </w:r>
          </w:p>
        </w:tc>
      </w:tr>
      <w:tr w:rsidR="007034F8" w:rsidRPr="007034F8" w14:paraId="5FE95362" w14:textId="77777777" w:rsidTr="00923328">
        <w:tc>
          <w:tcPr>
            <w:tcW w:w="0" w:type="auto"/>
            <w:tcBorders>
              <w:top w:val="nil"/>
              <w:left w:val="single" w:sz="4" w:space="0" w:color="auto"/>
              <w:bottom w:val="nil"/>
              <w:right w:val="nil"/>
            </w:tcBorders>
            <w:hideMark/>
          </w:tcPr>
          <w:p w14:paraId="6D8C5C4C" w14:textId="77777777" w:rsidR="007034F8" w:rsidRPr="007034F8" w:rsidRDefault="007034F8" w:rsidP="007034F8">
            <w:pPr>
              <w:spacing w:line="360" w:lineRule="auto"/>
              <w:rPr>
                <w:b/>
                <w:bCs/>
                <w:i/>
                <w:iCs/>
              </w:rPr>
            </w:pPr>
            <w:r w:rsidRPr="007034F8">
              <w:rPr>
                <w:b/>
                <w:bCs/>
                <w:i/>
                <w:iCs/>
              </w:rPr>
              <w:t>Mean</w:t>
            </w:r>
          </w:p>
        </w:tc>
        <w:tc>
          <w:tcPr>
            <w:tcW w:w="0" w:type="auto"/>
            <w:tcBorders>
              <w:top w:val="nil"/>
              <w:left w:val="nil"/>
              <w:bottom w:val="nil"/>
              <w:right w:val="nil"/>
            </w:tcBorders>
            <w:hideMark/>
          </w:tcPr>
          <w:p w14:paraId="3CBDAEB2" w14:textId="77777777" w:rsidR="007034F8" w:rsidRPr="007034F8" w:rsidRDefault="007034F8" w:rsidP="007034F8">
            <w:pPr>
              <w:spacing w:line="360" w:lineRule="auto"/>
              <w:rPr>
                <w:b/>
                <w:bCs/>
              </w:rPr>
            </w:pPr>
            <w:r w:rsidRPr="007034F8">
              <w:rPr>
                <w:b/>
                <w:bCs/>
              </w:rPr>
              <w:t>36.64</w:t>
            </w:r>
          </w:p>
        </w:tc>
        <w:tc>
          <w:tcPr>
            <w:tcW w:w="0" w:type="auto"/>
            <w:tcBorders>
              <w:top w:val="nil"/>
              <w:left w:val="nil"/>
              <w:bottom w:val="nil"/>
              <w:right w:val="single" w:sz="4" w:space="0" w:color="auto"/>
            </w:tcBorders>
            <w:hideMark/>
          </w:tcPr>
          <w:p w14:paraId="53E3A978" w14:textId="77777777" w:rsidR="007034F8" w:rsidRPr="007034F8" w:rsidRDefault="007034F8" w:rsidP="007034F8">
            <w:pPr>
              <w:spacing w:line="360" w:lineRule="auto"/>
              <w:rPr>
                <w:b/>
                <w:bCs/>
              </w:rPr>
            </w:pPr>
            <w:r w:rsidRPr="007034F8">
              <w:rPr>
                <w:b/>
                <w:bCs/>
              </w:rPr>
              <w:t>0.2</w:t>
            </w:r>
          </w:p>
        </w:tc>
      </w:tr>
      <w:tr w:rsidR="007034F8" w:rsidRPr="007034F8" w14:paraId="50D7D232" w14:textId="77777777" w:rsidTr="00923328">
        <w:tc>
          <w:tcPr>
            <w:tcW w:w="0" w:type="auto"/>
            <w:tcBorders>
              <w:top w:val="nil"/>
              <w:left w:val="single" w:sz="4" w:space="0" w:color="auto"/>
              <w:bottom w:val="nil"/>
              <w:right w:val="nil"/>
            </w:tcBorders>
            <w:hideMark/>
          </w:tcPr>
          <w:p w14:paraId="1530BAEF" w14:textId="77777777" w:rsidR="007034F8" w:rsidRPr="007034F8" w:rsidRDefault="007034F8" w:rsidP="007034F8">
            <w:pPr>
              <w:spacing w:line="360" w:lineRule="auto"/>
              <w:rPr>
                <w:b/>
                <w:bCs/>
                <w:i/>
                <w:iCs/>
              </w:rPr>
            </w:pPr>
            <w:r w:rsidRPr="007034F8">
              <w:rPr>
                <w:b/>
                <w:bCs/>
                <w:i/>
                <w:iCs/>
              </w:rPr>
              <w:t>Variance</w:t>
            </w:r>
          </w:p>
        </w:tc>
        <w:tc>
          <w:tcPr>
            <w:tcW w:w="0" w:type="auto"/>
            <w:tcBorders>
              <w:top w:val="nil"/>
              <w:left w:val="nil"/>
              <w:bottom w:val="nil"/>
              <w:right w:val="nil"/>
            </w:tcBorders>
            <w:hideMark/>
          </w:tcPr>
          <w:p w14:paraId="09801E9F" w14:textId="77777777" w:rsidR="007034F8" w:rsidRPr="007034F8" w:rsidRDefault="007034F8" w:rsidP="007034F8">
            <w:pPr>
              <w:spacing w:line="360" w:lineRule="auto"/>
              <w:rPr>
                <w:b/>
                <w:bCs/>
              </w:rPr>
            </w:pPr>
            <w:r w:rsidRPr="007034F8">
              <w:rPr>
                <w:b/>
                <w:bCs/>
              </w:rPr>
              <w:t>91.656667</w:t>
            </w:r>
          </w:p>
        </w:tc>
        <w:tc>
          <w:tcPr>
            <w:tcW w:w="0" w:type="auto"/>
            <w:tcBorders>
              <w:top w:val="nil"/>
              <w:left w:val="nil"/>
              <w:bottom w:val="nil"/>
              <w:right w:val="single" w:sz="4" w:space="0" w:color="auto"/>
            </w:tcBorders>
            <w:hideMark/>
          </w:tcPr>
          <w:p w14:paraId="13236B4B" w14:textId="77777777" w:rsidR="007034F8" w:rsidRPr="007034F8" w:rsidRDefault="007034F8" w:rsidP="007034F8">
            <w:pPr>
              <w:spacing w:line="360" w:lineRule="auto"/>
              <w:rPr>
                <w:b/>
                <w:bCs/>
              </w:rPr>
            </w:pPr>
            <w:r w:rsidRPr="007034F8">
              <w:rPr>
                <w:b/>
                <w:bCs/>
              </w:rPr>
              <w:t>0.166667</w:t>
            </w:r>
          </w:p>
        </w:tc>
      </w:tr>
      <w:tr w:rsidR="007034F8" w:rsidRPr="007034F8" w14:paraId="7B742DE9" w14:textId="77777777" w:rsidTr="00923328">
        <w:tc>
          <w:tcPr>
            <w:tcW w:w="0" w:type="auto"/>
            <w:tcBorders>
              <w:top w:val="nil"/>
              <w:left w:val="single" w:sz="4" w:space="0" w:color="auto"/>
              <w:bottom w:val="nil"/>
              <w:right w:val="nil"/>
            </w:tcBorders>
            <w:hideMark/>
          </w:tcPr>
          <w:p w14:paraId="02A7999D" w14:textId="77777777" w:rsidR="007034F8" w:rsidRPr="007034F8" w:rsidRDefault="007034F8" w:rsidP="007034F8">
            <w:pPr>
              <w:spacing w:line="360" w:lineRule="auto"/>
              <w:rPr>
                <w:b/>
                <w:bCs/>
                <w:i/>
                <w:iCs/>
              </w:rPr>
            </w:pPr>
            <w:r w:rsidRPr="007034F8">
              <w:rPr>
                <w:b/>
                <w:bCs/>
                <w:i/>
                <w:iCs/>
              </w:rPr>
              <w:t>Standard deviation</w:t>
            </w:r>
          </w:p>
        </w:tc>
        <w:tc>
          <w:tcPr>
            <w:tcW w:w="0" w:type="auto"/>
            <w:tcBorders>
              <w:top w:val="nil"/>
              <w:left w:val="nil"/>
              <w:bottom w:val="nil"/>
              <w:right w:val="nil"/>
            </w:tcBorders>
            <w:hideMark/>
          </w:tcPr>
          <w:p w14:paraId="72BCE084" w14:textId="77777777" w:rsidR="007034F8" w:rsidRPr="007034F8" w:rsidRDefault="007034F8" w:rsidP="007034F8">
            <w:pPr>
              <w:spacing w:line="360" w:lineRule="auto"/>
              <w:rPr>
                <w:b/>
                <w:bCs/>
              </w:rPr>
            </w:pPr>
            <w:r w:rsidRPr="007034F8">
              <w:rPr>
                <w:b/>
                <w:bCs/>
              </w:rPr>
              <w:t>9.573749</w:t>
            </w:r>
          </w:p>
        </w:tc>
        <w:tc>
          <w:tcPr>
            <w:tcW w:w="0" w:type="auto"/>
            <w:tcBorders>
              <w:top w:val="nil"/>
              <w:left w:val="nil"/>
              <w:bottom w:val="nil"/>
              <w:right w:val="single" w:sz="4" w:space="0" w:color="auto"/>
            </w:tcBorders>
            <w:hideMark/>
          </w:tcPr>
          <w:p w14:paraId="52FE28E8" w14:textId="77777777" w:rsidR="007034F8" w:rsidRPr="007034F8" w:rsidRDefault="007034F8" w:rsidP="007034F8">
            <w:pPr>
              <w:spacing w:line="360" w:lineRule="auto"/>
              <w:rPr>
                <w:b/>
                <w:bCs/>
              </w:rPr>
            </w:pPr>
            <w:r w:rsidRPr="007034F8">
              <w:rPr>
                <w:b/>
                <w:bCs/>
              </w:rPr>
              <w:t>0.408248</w:t>
            </w:r>
          </w:p>
        </w:tc>
      </w:tr>
      <w:tr w:rsidR="007034F8" w:rsidRPr="007034F8" w14:paraId="6EC23929" w14:textId="77777777" w:rsidTr="00923328">
        <w:tc>
          <w:tcPr>
            <w:tcW w:w="0" w:type="auto"/>
            <w:tcBorders>
              <w:top w:val="nil"/>
              <w:left w:val="single" w:sz="4" w:space="0" w:color="auto"/>
              <w:bottom w:val="nil"/>
              <w:right w:val="nil"/>
            </w:tcBorders>
            <w:hideMark/>
          </w:tcPr>
          <w:p w14:paraId="3312377C" w14:textId="77777777" w:rsidR="007034F8" w:rsidRPr="007034F8" w:rsidRDefault="007034F8" w:rsidP="007034F8">
            <w:pPr>
              <w:spacing w:line="360" w:lineRule="auto"/>
              <w:rPr>
                <w:b/>
                <w:bCs/>
                <w:i/>
                <w:iCs/>
              </w:rPr>
            </w:pPr>
            <w:r w:rsidRPr="007034F8">
              <w:rPr>
                <w:b/>
                <w:bCs/>
                <w:i/>
                <w:iCs/>
              </w:rPr>
              <w:t>Variance coefficient</w:t>
            </w:r>
          </w:p>
        </w:tc>
        <w:tc>
          <w:tcPr>
            <w:tcW w:w="0" w:type="auto"/>
            <w:tcBorders>
              <w:top w:val="nil"/>
              <w:left w:val="nil"/>
              <w:bottom w:val="nil"/>
              <w:right w:val="nil"/>
            </w:tcBorders>
            <w:hideMark/>
          </w:tcPr>
          <w:p w14:paraId="5CE762FE" w14:textId="77777777" w:rsidR="007034F8" w:rsidRPr="007034F8" w:rsidRDefault="007034F8" w:rsidP="007034F8">
            <w:pPr>
              <w:spacing w:line="360" w:lineRule="auto"/>
              <w:rPr>
                <w:b/>
                <w:bCs/>
              </w:rPr>
            </w:pPr>
            <w:r w:rsidRPr="007034F8">
              <w:rPr>
                <w:b/>
                <w:bCs/>
              </w:rPr>
              <w:t>0.261292</w:t>
            </w:r>
          </w:p>
        </w:tc>
        <w:tc>
          <w:tcPr>
            <w:tcW w:w="0" w:type="auto"/>
            <w:tcBorders>
              <w:top w:val="nil"/>
              <w:left w:val="nil"/>
              <w:bottom w:val="nil"/>
              <w:right w:val="single" w:sz="4" w:space="0" w:color="auto"/>
            </w:tcBorders>
            <w:hideMark/>
          </w:tcPr>
          <w:p w14:paraId="33CD8709" w14:textId="77777777" w:rsidR="007034F8" w:rsidRPr="007034F8" w:rsidRDefault="007034F8" w:rsidP="007034F8">
            <w:pPr>
              <w:spacing w:line="360" w:lineRule="auto"/>
              <w:rPr>
                <w:b/>
                <w:bCs/>
              </w:rPr>
            </w:pPr>
            <w:r w:rsidRPr="007034F8">
              <w:rPr>
                <w:b/>
                <w:bCs/>
              </w:rPr>
              <w:t>2.041241</w:t>
            </w:r>
          </w:p>
        </w:tc>
      </w:tr>
      <w:tr w:rsidR="007034F8" w:rsidRPr="007034F8" w14:paraId="6FEEC133" w14:textId="77777777" w:rsidTr="00923328">
        <w:tc>
          <w:tcPr>
            <w:tcW w:w="0" w:type="auto"/>
            <w:tcBorders>
              <w:top w:val="nil"/>
              <w:left w:val="single" w:sz="4" w:space="0" w:color="auto"/>
              <w:bottom w:val="nil"/>
              <w:right w:val="nil"/>
            </w:tcBorders>
            <w:hideMark/>
          </w:tcPr>
          <w:p w14:paraId="2C17D261" w14:textId="77777777" w:rsidR="007034F8" w:rsidRPr="007034F8" w:rsidRDefault="007034F8" w:rsidP="007034F8">
            <w:pPr>
              <w:spacing w:line="360" w:lineRule="auto"/>
              <w:rPr>
                <w:b/>
                <w:bCs/>
                <w:i/>
                <w:iCs/>
              </w:rPr>
            </w:pPr>
            <w:r w:rsidRPr="007034F8">
              <w:rPr>
                <w:b/>
                <w:bCs/>
                <w:i/>
                <w:iCs/>
              </w:rPr>
              <w:t>Standard error of mean</w:t>
            </w:r>
          </w:p>
        </w:tc>
        <w:tc>
          <w:tcPr>
            <w:tcW w:w="0" w:type="auto"/>
            <w:tcBorders>
              <w:top w:val="nil"/>
              <w:left w:val="nil"/>
              <w:bottom w:val="nil"/>
              <w:right w:val="nil"/>
            </w:tcBorders>
            <w:hideMark/>
          </w:tcPr>
          <w:p w14:paraId="28EEB013" w14:textId="77777777" w:rsidR="007034F8" w:rsidRPr="007034F8" w:rsidRDefault="007034F8" w:rsidP="007034F8">
            <w:pPr>
              <w:spacing w:line="360" w:lineRule="auto"/>
              <w:rPr>
                <w:b/>
                <w:bCs/>
              </w:rPr>
            </w:pPr>
            <w:r w:rsidRPr="007034F8">
              <w:rPr>
                <w:b/>
                <w:bCs/>
              </w:rPr>
              <w:t>1.91475</w:t>
            </w:r>
          </w:p>
        </w:tc>
        <w:tc>
          <w:tcPr>
            <w:tcW w:w="0" w:type="auto"/>
            <w:tcBorders>
              <w:top w:val="nil"/>
              <w:left w:val="nil"/>
              <w:bottom w:val="nil"/>
              <w:right w:val="single" w:sz="4" w:space="0" w:color="auto"/>
            </w:tcBorders>
            <w:hideMark/>
          </w:tcPr>
          <w:p w14:paraId="67E5A4C3" w14:textId="77777777" w:rsidR="007034F8" w:rsidRPr="007034F8" w:rsidRDefault="007034F8" w:rsidP="007034F8">
            <w:pPr>
              <w:spacing w:line="360" w:lineRule="auto"/>
              <w:rPr>
                <w:b/>
                <w:bCs/>
              </w:rPr>
            </w:pPr>
            <w:r w:rsidRPr="007034F8">
              <w:rPr>
                <w:b/>
                <w:bCs/>
              </w:rPr>
              <w:t>0.08165</w:t>
            </w:r>
          </w:p>
        </w:tc>
      </w:tr>
      <w:tr w:rsidR="007034F8" w:rsidRPr="007034F8" w14:paraId="2E643561" w14:textId="77777777" w:rsidTr="00923328">
        <w:tc>
          <w:tcPr>
            <w:tcW w:w="0" w:type="auto"/>
            <w:tcBorders>
              <w:top w:val="nil"/>
              <w:left w:val="single" w:sz="4" w:space="0" w:color="auto"/>
              <w:bottom w:val="nil"/>
              <w:right w:val="nil"/>
            </w:tcBorders>
            <w:hideMark/>
          </w:tcPr>
          <w:p w14:paraId="3576C51A" w14:textId="77777777" w:rsidR="007034F8" w:rsidRPr="007034F8" w:rsidRDefault="007034F8" w:rsidP="007034F8">
            <w:pPr>
              <w:spacing w:line="360" w:lineRule="auto"/>
              <w:rPr>
                <w:b/>
                <w:bCs/>
                <w:i/>
                <w:iCs/>
              </w:rPr>
            </w:pPr>
            <w:r w:rsidRPr="007034F8">
              <w:rPr>
                <w:b/>
                <w:bCs/>
                <w:i/>
                <w:iCs/>
              </w:rPr>
              <w:t>Upper 95% CL of mean</w:t>
            </w:r>
          </w:p>
        </w:tc>
        <w:tc>
          <w:tcPr>
            <w:tcW w:w="0" w:type="auto"/>
            <w:tcBorders>
              <w:top w:val="nil"/>
              <w:left w:val="nil"/>
              <w:bottom w:val="nil"/>
              <w:right w:val="nil"/>
            </w:tcBorders>
            <w:hideMark/>
          </w:tcPr>
          <w:p w14:paraId="28744ECA" w14:textId="77777777" w:rsidR="007034F8" w:rsidRPr="007034F8" w:rsidRDefault="007034F8" w:rsidP="007034F8">
            <w:pPr>
              <w:spacing w:line="360" w:lineRule="auto"/>
              <w:rPr>
                <w:b/>
                <w:bCs/>
              </w:rPr>
            </w:pPr>
            <w:r w:rsidRPr="007034F8">
              <w:rPr>
                <w:b/>
                <w:bCs/>
              </w:rPr>
              <w:t>40.591849</w:t>
            </w:r>
          </w:p>
        </w:tc>
        <w:tc>
          <w:tcPr>
            <w:tcW w:w="0" w:type="auto"/>
            <w:tcBorders>
              <w:top w:val="nil"/>
              <w:left w:val="nil"/>
              <w:bottom w:val="nil"/>
              <w:right w:val="single" w:sz="4" w:space="0" w:color="auto"/>
            </w:tcBorders>
            <w:hideMark/>
          </w:tcPr>
          <w:p w14:paraId="10FF54C8" w14:textId="77777777" w:rsidR="007034F8" w:rsidRPr="007034F8" w:rsidRDefault="007034F8" w:rsidP="007034F8">
            <w:pPr>
              <w:spacing w:line="360" w:lineRule="auto"/>
              <w:rPr>
                <w:b/>
                <w:bCs/>
              </w:rPr>
            </w:pPr>
            <w:r w:rsidRPr="007034F8">
              <w:rPr>
                <w:b/>
                <w:bCs/>
              </w:rPr>
              <w:t>0.368517</w:t>
            </w:r>
          </w:p>
        </w:tc>
      </w:tr>
      <w:tr w:rsidR="007034F8" w:rsidRPr="007034F8" w14:paraId="64B82C6F" w14:textId="77777777" w:rsidTr="00923328">
        <w:tc>
          <w:tcPr>
            <w:tcW w:w="0" w:type="auto"/>
            <w:tcBorders>
              <w:top w:val="nil"/>
              <w:left w:val="single" w:sz="4" w:space="0" w:color="auto"/>
              <w:bottom w:val="nil"/>
              <w:right w:val="nil"/>
            </w:tcBorders>
            <w:hideMark/>
          </w:tcPr>
          <w:p w14:paraId="556090F8" w14:textId="77777777" w:rsidR="007034F8" w:rsidRPr="007034F8" w:rsidRDefault="007034F8" w:rsidP="007034F8">
            <w:pPr>
              <w:spacing w:line="360" w:lineRule="auto"/>
              <w:rPr>
                <w:b/>
                <w:bCs/>
                <w:i/>
                <w:iCs/>
              </w:rPr>
            </w:pPr>
            <w:r w:rsidRPr="007034F8">
              <w:rPr>
                <w:b/>
                <w:bCs/>
                <w:i/>
                <w:iCs/>
              </w:rPr>
              <w:t>Lower 95% CL of mean</w:t>
            </w:r>
          </w:p>
        </w:tc>
        <w:tc>
          <w:tcPr>
            <w:tcW w:w="0" w:type="auto"/>
            <w:tcBorders>
              <w:top w:val="nil"/>
              <w:left w:val="nil"/>
              <w:bottom w:val="nil"/>
              <w:right w:val="nil"/>
            </w:tcBorders>
            <w:hideMark/>
          </w:tcPr>
          <w:p w14:paraId="74A665EA" w14:textId="77777777" w:rsidR="007034F8" w:rsidRPr="007034F8" w:rsidRDefault="007034F8" w:rsidP="007034F8">
            <w:pPr>
              <w:spacing w:line="360" w:lineRule="auto"/>
              <w:rPr>
                <w:b/>
                <w:bCs/>
              </w:rPr>
            </w:pPr>
            <w:r w:rsidRPr="007034F8">
              <w:rPr>
                <w:b/>
                <w:bCs/>
              </w:rPr>
              <w:t>32.688151</w:t>
            </w:r>
          </w:p>
        </w:tc>
        <w:tc>
          <w:tcPr>
            <w:tcW w:w="0" w:type="auto"/>
            <w:tcBorders>
              <w:top w:val="nil"/>
              <w:left w:val="nil"/>
              <w:bottom w:val="nil"/>
              <w:right w:val="single" w:sz="4" w:space="0" w:color="auto"/>
            </w:tcBorders>
            <w:hideMark/>
          </w:tcPr>
          <w:p w14:paraId="2EA0AA76" w14:textId="77777777" w:rsidR="007034F8" w:rsidRPr="007034F8" w:rsidRDefault="007034F8" w:rsidP="007034F8">
            <w:pPr>
              <w:spacing w:line="360" w:lineRule="auto"/>
              <w:rPr>
                <w:b/>
                <w:bCs/>
              </w:rPr>
            </w:pPr>
            <w:r w:rsidRPr="007034F8">
              <w:rPr>
                <w:b/>
                <w:bCs/>
              </w:rPr>
              <w:t>0.031483</w:t>
            </w:r>
          </w:p>
        </w:tc>
      </w:tr>
      <w:tr w:rsidR="007034F8" w:rsidRPr="007034F8" w14:paraId="34243E65" w14:textId="77777777" w:rsidTr="00923328">
        <w:tc>
          <w:tcPr>
            <w:tcW w:w="0" w:type="auto"/>
            <w:tcBorders>
              <w:top w:val="nil"/>
              <w:left w:val="single" w:sz="4" w:space="0" w:color="auto"/>
              <w:bottom w:val="nil"/>
              <w:right w:val="nil"/>
            </w:tcBorders>
            <w:hideMark/>
          </w:tcPr>
          <w:p w14:paraId="088D87AD" w14:textId="77777777" w:rsidR="007034F8" w:rsidRPr="007034F8" w:rsidRDefault="007034F8" w:rsidP="007034F8">
            <w:pPr>
              <w:spacing w:line="360" w:lineRule="auto"/>
              <w:rPr>
                <w:b/>
                <w:bCs/>
                <w:i/>
                <w:iCs/>
              </w:rPr>
            </w:pPr>
            <w:r w:rsidRPr="007034F8">
              <w:rPr>
                <w:b/>
                <w:bCs/>
                <w:i/>
                <w:iCs/>
              </w:rPr>
              <w:t>Geometric mean</w:t>
            </w:r>
          </w:p>
        </w:tc>
        <w:tc>
          <w:tcPr>
            <w:tcW w:w="0" w:type="auto"/>
            <w:tcBorders>
              <w:top w:val="nil"/>
              <w:left w:val="nil"/>
              <w:bottom w:val="nil"/>
              <w:right w:val="nil"/>
            </w:tcBorders>
            <w:hideMark/>
          </w:tcPr>
          <w:p w14:paraId="389ABA29" w14:textId="77777777" w:rsidR="007034F8" w:rsidRPr="007034F8" w:rsidRDefault="007034F8" w:rsidP="007034F8">
            <w:pPr>
              <w:spacing w:line="360" w:lineRule="auto"/>
              <w:rPr>
                <w:b/>
                <w:bCs/>
              </w:rPr>
            </w:pPr>
            <w:r w:rsidRPr="007034F8">
              <w:rPr>
                <w:b/>
                <w:bCs/>
              </w:rPr>
              <w:t>35.390281</w:t>
            </w:r>
          </w:p>
        </w:tc>
        <w:tc>
          <w:tcPr>
            <w:tcW w:w="0" w:type="auto"/>
            <w:tcBorders>
              <w:top w:val="nil"/>
              <w:left w:val="nil"/>
              <w:bottom w:val="nil"/>
              <w:right w:val="single" w:sz="4" w:space="0" w:color="auto"/>
            </w:tcBorders>
            <w:hideMark/>
          </w:tcPr>
          <w:p w14:paraId="22E48738" w14:textId="77777777" w:rsidR="007034F8" w:rsidRPr="007034F8" w:rsidRDefault="007034F8" w:rsidP="007034F8">
            <w:pPr>
              <w:spacing w:line="360" w:lineRule="auto"/>
              <w:rPr>
                <w:b/>
                <w:bCs/>
              </w:rPr>
            </w:pPr>
            <w:r w:rsidRPr="007034F8">
              <w:rPr>
                <w:b/>
                <w:bCs/>
              </w:rPr>
              <w:t>*</w:t>
            </w:r>
          </w:p>
        </w:tc>
      </w:tr>
      <w:tr w:rsidR="007034F8" w:rsidRPr="007034F8" w14:paraId="364FB1CE" w14:textId="77777777" w:rsidTr="00923328">
        <w:tc>
          <w:tcPr>
            <w:tcW w:w="0" w:type="auto"/>
            <w:tcBorders>
              <w:top w:val="nil"/>
              <w:left w:val="single" w:sz="4" w:space="0" w:color="auto"/>
              <w:bottom w:val="nil"/>
              <w:right w:val="nil"/>
            </w:tcBorders>
            <w:hideMark/>
          </w:tcPr>
          <w:p w14:paraId="6D7A745E" w14:textId="77777777" w:rsidR="007034F8" w:rsidRPr="007034F8" w:rsidRDefault="007034F8" w:rsidP="007034F8">
            <w:pPr>
              <w:spacing w:line="360" w:lineRule="auto"/>
              <w:rPr>
                <w:b/>
                <w:bCs/>
                <w:i/>
                <w:iCs/>
              </w:rPr>
            </w:pPr>
            <w:r w:rsidRPr="007034F8">
              <w:rPr>
                <w:b/>
                <w:bCs/>
                <w:i/>
                <w:iCs/>
              </w:rPr>
              <w:t>Skewness</w:t>
            </w:r>
          </w:p>
        </w:tc>
        <w:tc>
          <w:tcPr>
            <w:tcW w:w="0" w:type="auto"/>
            <w:tcBorders>
              <w:top w:val="nil"/>
              <w:left w:val="nil"/>
              <w:bottom w:val="nil"/>
              <w:right w:val="nil"/>
            </w:tcBorders>
            <w:hideMark/>
          </w:tcPr>
          <w:p w14:paraId="0DCF2586" w14:textId="77777777" w:rsidR="007034F8" w:rsidRPr="007034F8" w:rsidRDefault="007034F8" w:rsidP="007034F8">
            <w:pPr>
              <w:spacing w:line="360" w:lineRule="auto"/>
              <w:rPr>
                <w:b/>
                <w:bCs/>
              </w:rPr>
            </w:pPr>
            <w:r w:rsidRPr="007034F8">
              <w:rPr>
                <w:b/>
                <w:bCs/>
              </w:rPr>
              <w:t>0.167967</w:t>
            </w:r>
          </w:p>
        </w:tc>
        <w:tc>
          <w:tcPr>
            <w:tcW w:w="0" w:type="auto"/>
            <w:tcBorders>
              <w:top w:val="nil"/>
              <w:left w:val="nil"/>
              <w:bottom w:val="nil"/>
              <w:right w:val="single" w:sz="4" w:space="0" w:color="auto"/>
            </w:tcBorders>
            <w:hideMark/>
          </w:tcPr>
          <w:p w14:paraId="5EDF4465" w14:textId="77777777" w:rsidR="007034F8" w:rsidRPr="007034F8" w:rsidRDefault="007034F8" w:rsidP="007034F8">
            <w:pPr>
              <w:spacing w:line="360" w:lineRule="auto"/>
              <w:rPr>
                <w:b/>
                <w:bCs/>
              </w:rPr>
            </w:pPr>
            <w:r w:rsidRPr="007034F8">
              <w:rPr>
                <w:b/>
                <w:bCs/>
              </w:rPr>
              <w:t>1.5</w:t>
            </w:r>
          </w:p>
        </w:tc>
      </w:tr>
      <w:tr w:rsidR="007034F8" w:rsidRPr="007034F8" w14:paraId="0D187315" w14:textId="77777777" w:rsidTr="00923328">
        <w:tc>
          <w:tcPr>
            <w:tcW w:w="0" w:type="auto"/>
            <w:tcBorders>
              <w:top w:val="nil"/>
              <w:left w:val="single" w:sz="4" w:space="0" w:color="auto"/>
              <w:bottom w:val="single" w:sz="4" w:space="0" w:color="auto"/>
              <w:right w:val="nil"/>
            </w:tcBorders>
            <w:hideMark/>
          </w:tcPr>
          <w:p w14:paraId="2A6500E2" w14:textId="77777777" w:rsidR="007034F8" w:rsidRPr="007034F8" w:rsidRDefault="007034F8" w:rsidP="007034F8">
            <w:pPr>
              <w:spacing w:line="360" w:lineRule="auto"/>
              <w:rPr>
                <w:b/>
                <w:bCs/>
                <w:i/>
                <w:iCs/>
              </w:rPr>
            </w:pPr>
            <w:r w:rsidRPr="007034F8">
              <w:rPr>
                <w:b/>
                <w:bCs/>
                <w:i/>
                <w:iCs/>
              </w:rPr>
              <w:t>Kurtosis</w:t>
            </w:r>
          </w:p>
        </w:tc>
        <w:tc>
          <w:tcPr>
            <w:tcW w:w="0" w:type="auto"/>
            <w:tcBorders>
              <w:top w:val="nil"/>
              <w:left w:val="nil"/>
              <w:bottom w:val="single" w:sz="4" w:space="0" w:color="auto"/>
              <w:right w:val="nil"/>
            </w:tcBorders>
            <w:hideMark/>
          </w:tcPr>
          <w:p w14:paraId="7FDF97CB" w14:textId="77777777" w:rsidR="007034F8" w:rsidRPr="007034F8" w:rsidRDefault="007034F8" w:rsidP="007034F8">
            <w:pPr>
              <w:spacing w:line="360" w:lineRule="auto"/>
              <w:rPr>
                <w:b/>
                <w:bCs/>
              </w:rPr>
            </w:pPr>
            <w:r w:rsidRPr="007034F8">
              <w:rPr>
                <w:b/>
                <w:bCs/>
              </w:rPr>
              <w:t>2.451232</w:t>
            </w:r>
          </w:p>
        </w:tc>
        <w:tc>
          <w:tcPr>
            <w:tcW w:w="0" w:type="auto"/>
            <w:tcBorders>
              <w:top w:val="nil"/>
              <w:left w:val="nil"/>
              <w:bottom w:val="single" w:sz="4" w:space="0" w:color="auto"/>
              <w:right w:val="single" w:sz="4" w:space="0" w:color="auto"/>
            </w:tcBorders>
            <w:hideMark/>
          </w:tcPr>
          <w:p w14:paraId="3FCF41B4" w14:textId="77777777" w:rsidR="007034F8" w:rsidRPr="007034F8" w:rsidRDefault="007034F8" w:rsidP="007034F8">
            <w:pPr>
              <w:spacing w:line="360" w:lineRule="auto"/>
              <w:rPr>
                <w:b/>
                <w:bCs/>
              </w:rPr>
            </w:pPr>
            <w:r w:rsidRPr="007034F8">
              <w:rPr>
                <w:b/>
                <w:bCs/>
              </w:rPr>
              <w:t>3.25</w:t>
            </w:r>
          </w:p>
        </w:tc>
      </w:tr>
    </w:tbl>
    <w:p w14:paraId="7E039430" w14:textId="77777777" w:rsidR="007034F8" w:rsidRPr="007034F8" w:rsidRDefault="007034F8" w:rsidP="007034F8">
      <w:pPr>
        <w:spacing w:line="360" w:lineRule="auto"/>
        <w:rPr>
          <w:b/>
          <w:bCs/>
        </w:rPr>
      </w:pPr>
    </w:p>
    <w:p w14:paraId="714A6C88" w14:textId="7D8F5C83" w:rsidR="007034F8" w:rsidRPr="007034F8" w:rsidRDefault="007034F8" w:rsidP="007034F8">
      <w:pPr>
        <w:spacing w:line="360" w:lineRule="auto"/>
        <w:rPr>
          <w:b/>
          <w:bCs/>
        </w:rPr>
      </w:pPr>
      <w:r w:rsidRPr="007034F8">
        <w:rPr>
          <w:b/>
          <w:bCs/>
        </w:rPr>
        <w:t>Table S</w:t>
      </w:r>
      <w:r w:rsidR="00F84848">
        <w:rPr>
          <w:b/>
          <w:bCs/>
        </w:rPr>
        <w:t>5</w:t>
      </w:r>
      <w:r w:rsidRPr="007034F8">
        <w:rPr>
          <w:b/>
          <w:bCs/>
        </w:rPr>
        <w:t>. Descriptive statistics for Tsukumo</w:t>
      </w:r>
    </w:p>
    <w:tbl>
      <w:tblPr>
        <w:tblW w:w="0" w:type="auto"/>
        <w:tblInd w:w="13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630"/>
        <w:gridCol w:w="1564"/>
        <w:gridCol w:w="1944"/>
      </w:tblGrid>
      <w:tr w:rsidR="007034F8" w:rsidRPr="007034F8" w14:paraId="0F94ED7A" w14:textId="77777777" w:rsidTr="00923328">
        <w:tc>
          <w:tcPr>
            <w:tcW w:w="0" w:type="auto"/>
            <w:tcBorders>
              <w:top w:val="single" w:sz="4" w:space="0" w:color="auto"/>
              <w:left w:val="single" w:sz="4" w:space="0" w:color="auto"/>
              <w:bottom w:val="single" w:sz="4" w:space="0" w:color="auto"/>
              <w:right w:val="nil"/>
            </w:tcBorders>
            <w:tcMar>
              <w:top w:w="0" w:type="dxa"/>
              <w:left w:w="135" w:type="dxa"/>
              <w:bottom w:w="0" w:type="dxa"/>
              <w:right w:w="135" w:type="dxa"/>
            </w:tcMar>
            <w:hideMark/>
          </w:tcPr>
          <w:p w14:paraId="4F3283C2" w14:textId="77777777" w:rsidR="007034F8" w:rsidRPr="007034F8" w:rsidRDefault="007034F8" w:rsidP="007034F8">
            <w:pPr>
              <w:spacing w:line="360" w:lineRule="auto"/>
              <w:rPr>
                <w:b/>
                <w:bCs/>
              </w:rPr>
            </w:pPr>
            <w:r w:rsidRPr="007034F8">
              <w:rPr>
                <w:b/>
                <w:bCs/>
              </w:rPr>
              <w:t>Variables</w:t>
            </w:r>
          </w:p>
        </w:tc>
        <w:tc>
          <w:tcPr>
            <w:tcW w:w="0" w:type="auto"/>
            <w:tcBorders>
              <w:top w:val="single" w:sz="4" w:space="0" w:color="auto"/>
              <w:left w:val="nil"/>
              <w:bottom w:val="single" w:sz="4" w:space="0" w:color="auto"/>
              <w:right w:val="nil"/>
            </w:tcBorders>
            <w:tcMar>
              <w:top w:w="0" w:type="dxa"/>
              <w:left w:w="135" w:type="dxa"/>
              <w:bottom w:w="0" w:type="dxa"/>
              <w:right w:w="135" w:type="dxa"/>
            </w:tcMar>
            <w:hideMark/>
          </w:tcPr>
          <w:p w14:paraId="5FF5881C" w14:textId="5720B762" w:rsidR="007034F8" w:rsidRPr="007034F8" w:rsidRDefault="007034F8" w:rsidP="007034F8">
            <w:pPr>
              <w:spacing w:line="360" w:lineRule="auto"/>
              <w:rPr>
                <w:b/>
                <w:bCs/>
              </w:rPr>
            </w:pPr>
            <w:r w:rsidRPr="007034F8">
              <w:rPr>
                <w:b/>
                <w:bCs/>
              </w:rPr>
              <w:t>Age</w:t>
            </w:r>
            <w:r w:rsidR="00B443E1">
              <w:rPr>
                <w:b/>
                <w:bCs/>
              </w:rPr>
              <w:t xml:space="preserve"> </w:t>
            </w:r>
            <w:r w:rsidRPr="007034F8">
              <w:rPr>
                <w:b/>
                <w:bCs/>
              </w:rPr>
              <w:t>at</w:t>
            </w:r>
            <w:r w:rsidR="00B443E1">
              <w:rPr>
                <w:b/>
                <w:bCs/>
              </w:rPr>
              <w:t xml:space="preserve"> </w:t>
            </w:r>
            <w:r>
              <w:rPr>
                <w:b/>
                <w:bCs/>
              </w:rPr>
              <w:t>d</w:t>
            </w:r>
            <w:r w:rsidRPr="007034F8">
              <w:rPr>
                <w:b/>
                <w:bCs/>
              </w:rPr>
              <w:t>eath</w:t>
            </w:r>
          </w:p>
        </w:tc>
        <w:tc>
          <w:tcPr>
            <w:tcW w:w="0" w:type="auto"/>
            <w:tcBorders>
              <w:top w:val="single" w:sz="4" w:space="0" w:color="auto"/>
              <w:left w:val="nil"/>
              <w:bottom w:val="single" w:sz="4" w:space="0" w:color="auto"/>
              <w:right w:val="single" w:sz="4" w:space="0" w:color="auto"/>
            </w:tcBorders>
            <w:tcMar>
              <w:top w:w="0" w:type="dxa"/>
              <w:left w:w="135" w:type="dxa"/>
              <w:bottom w:w="0" w:type="dxa"/>
              <w:right w:w="135" w:type="dxa"/>
            </w:tcMar>
            <w:hideMark/>
          </w:tcPr>
          <w:p w14:paraId="697383D2" w14:textId="2D4B3A64" w:rsidR="007034F8" w:rsidRPr="007034F8" w:rsidRDefault="007034F8" w:rsidP="007034F8">
            <w:pPr>
              <w:spacing w:line="360" w:lineRule="auto"/>
              <w:rPr>
                <w:b/>
                <w:bCs/>
              </w:rPr>
            </w:pPr>
            <w:r w:rsidRPr="007034F8">
              <w:rPr>
                <w:b/>
                <w:bCs/>
              </w:rPr>
              <w:t xml:space="preserve">Probable </w:t>
            </w:r>
            <w:r>
              <w:rPr>
                <w:b/>
                <w:bCs/>
              </w:rPr>
              <w:t>s</w:t>
            </w:r>
            <w:r w:rsidRPr="007034F8">
              <w:rPr>
                <w:b/>
                <w:bCs/>
              </w:rPr>
              <w:t>curvy</w:t>
            </w:r>
          </w:p>
        </w:tc>
      </w:tr>
      <w:tr w:rsidR="007034F8" w:rsidRPr="007034F8" w14:paraId="0FC3B50B" w14:textId="77777777" w:rsidTr="00923328">
        <w:tc>
          <w:tcPr>
            <w:tcW w:w="0" w:type="auto"/>
            <w:tcBorders>
              <w:top w:val="single" w:sz="4" w:space="0" w:color="auto"/>
              <w:left w:val="single" w:sz="4" w:space="0" w:color="auto"/>
              <w:bottom w:val="nil"/>
              <w:right w:val="nil"/>
            </w:tcBorders>
            <w:tcMar>
              <w:top w:w="0" w:type="dxa"/>
              <w:left w:w="135" w:type="dxa"/>
              <w:bottom w:w="0" w:type="dxa"/>
              <w:right w:w="135" w:type="dxa"/>
            </w:tcMar>
            <w:hideMark/>
          </w:tcPr>
          <w:p w14:paraId="5F672128" w14:textId="77777777" w:rsidR="007034F8" w:rsidRPr="007034F8" w:rsidRDefault="007034F8" w:rsidP="007034F8">
            <w:pPr>
              <w:spacing w:line="360" w:lineRule="auto"/>
              <w:rPr>
                <w:b/>
                <w:bCs/>
                <w:i/>
                <w:iCs/>
              </w:rPr>
            </w:pPr>
            <w:r w:rsidRPr="007034F8">
              <w:rPr>
                <w:b/>
                <w:bCs/>
                <w:i/>
                <w:iCs/>
              </w:rPr>
              <w:t>Valid data</w:t>
            </w:r>
          </w:p>
        </w:tc>
        <w:tc>
          <w:tcPr>
            <w:tcW w:w="0" w:type="auto"/>
            <w:tcBorders>
              <w:top w:val="single" w:sz="4" w:space="0" w:color="auto"/>
              <w:left w:val="nil"/>
              <w:bottom w:val="nil"/>
              <w:right w:val="nil"/>
            </w:tcBorders>
            <w:tcMar>
              <w:top w:w="0" w:type="dxa"/>
              <w:left w:w="135" w:type="dxa"/>
              <w:bottom w:w="0" w:type="dxa"/>
              <w:right w:w="135" w:type="dxa"/>
            </w:tcMar>
            <w:hideMark/>
          </w:tcPr>
          <w:p w14:paraId="126FF272" w14:textId="77777777" w:rsidR="007034F8" w:rsidRPr="007034F8" w:rsidRDefault="007034F8" w:rsidP="007034F8">
            <w:pPr>
              <w:spacing w:line="360" w:lineRule="auto"/>
              <w:rPr>
                <w:b/>
                <w:bCs/>
              </w:rPr>
            </w:pPr>
            <w:r w:rsidRPr="007034F8">
              <w:rPr>
                <w:b/>
                <w:bCs/>
              </w:rPr>
              <w:t>22</w:t>
            </w:r>
          </w:p>
        </w:tc>
        <w:tc>
          <w:tcPr>
            <w:tcW w:w="0" w:type="auto"/>
            <w:tcBorders>
              <w:top w:val="single" w:sz="4" w:space="0" w:color="auto"/>
              <w:left w:val="nil"/>
              <w:bottom w:val="nil"/>
              <w:right w:val="single" w:sz="4" w:space="0" w:color="auto"/>
            </w:tcBorders>
            <w:tcMar>
              <w:top w:w="0" w:type="dxa"/>
              <w:left w:w="135" w:type="dxa"/>
              <w:bottom w:w="0" w:type="dxa"/>
              <w:right w:w="135" w:type="dxa"/>
            </w:tcMar>
            <w:hideMark/>
          </w:tcPr>
          <w:p w14:paraId="6BB4BD01" w14:textId="77777777" w:rsidR="007034F8" w:rsidRPr="007034F8" w:rsidRDefault="007034F8" w:rsidP="007034F8">
            <w:pPr>
              <w:spacing w:line="360" w:lineRule="auto"/>
              <w:rPr>
                <w:b/>
                <w:bCs/>
              </w:rPr>
            </w:pPr>
            <w:r w:rsidRPr="007034F8">
              <w:rPr>
                <w:b/>
                <w:bCs/>
              </w:rPr>
              <w:t>22</w:t>
            </w:r>
          </w:p>
        </w:tc>
      </w:tr>
      <w:tr w:rsidR="007034F8" w:rsidRPr="007034F8" w14:paraId="73369ABA"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62052D34" w14:textId="77777777" w:rsidR="007034F8" w:rsidRPr="007034F8" w:rsidRDefault="007034F8" w:rsidP="007034F8">
            <w:pPr>
              <w:spacing w:line="360" w:lineRule="auto"/>
              <w:rPr>
                <w:b/>
                <w:bCs/>
                <w:i/>
                <w:iCs/>
              </w:rPr>
            </w:pPr>
            <w:r w:rsidRPr="007034F8">
              <w:rPr>
                <w:b/>
                <w:bCs/>
                <w:i/>
                <w:iCs/>
              </w:rPr>
              <w:t>Missing data</w:t>
            </w:r>
          </w:p>
        </w:tc>
        <w:tc>
          <w:tcPr>
            <w:tcW w:w="0" w:type="auto"/>
            <w:tcBorders>
              <w:top w:val="nil"/>
              <w:left w:val="nil"/>
              <w:bottom w:val="nil"/>
              <w:right w:val="nil"/>
            </w:tcBorders>
            <w:tcMar>
              <w:top w:w="0" w:type="dxa"/>
              <w:left w:w="135" w:type="dxa"/>
              <w:bottom w:w="0" w:type="dxa"/>
              <w:right w:w="135" w:type="dxa"/>
            </w:tcMar>
            <w:hideMark/>
          </w:tcPr>
          <w:p w14:paraId="7BA4054B" w14:textId="77777777" w:rsidR="007034F8" w:rsidRPr="007034F8" w:rsidRDefault="007034F8" w:rsidP="007034F8">
            <w:pPr>
              <w:spacing w:line="360" w:lineRule="auto"/>
              <w:rPr>
                <w:b/>
                <w:bCs/>
              </w:rPr>
            </w:pPr>
            <w:r w:rsidRPr="007034F8">
              <w:rPr>
                <w:b/>
                <w:bCs/>
              </w:rPr>
              <w:t>0</w:t>
            </w:r>
          </w:p>
        </w:tc>
        <w:tc>
          <w:tcPr>
            <w:tcW w:w="0" w:type="auto"/>
            <w:tcBorders>
              <w:top w:val="nil"/>
              <w:left w:val="nil"/>
              <w:bottom w:val="nil"/>
              <w:right w:val="single" w:sz="4" w:space="0" w:color="auto"/>
            </w:tcBorders>
            <w:tcMar>
              <w:top w:w="0" w:type="dxa"/>
              <w:left w:w="135" w:type="dxa"/>
              <w:bottom w:w="0" w:type="dxa"/>
              <w:right w:w="135" w:type="dxa"/>
            </w:tcMar>
            <w:hideMark/>
          </w:tcPr>
          <w:p w14:paraId="5E6C138B" w14:textId="77777777" w:rsidR="007034F8" w:rsidRPr="007034F8" w:rsidRDefault="007034F8" w:rsidP="007034F8">
            <w:pPr>
              <w:spacing w:line="360" w:lineRule="auto"/>
              <w:rPr>
                <w:b/>
                <w:bCs/>
              </w:rPr>
            </w:pPr>
            <w:r w:rsidRPr="007034F8">
              <w:rPr>
                <w:b/>
                <w:bCs/>
              </w:rPr>
              <w:t>0</w:t>
            </w:r>
          </w:p>
        </w:tc>
      </w:tr>
      <w:tr w:rsidR="007034F8" w:rsidRPr="007034F8" w14:paraId="45833A42"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10DACC9B" w14:textId="77777777" w:rsidR="007034F8" w:rsidRPr="007034F8" w:rsidRDefault="007034F8" w:rsidP="007034F8">
            <w:pPr>
              <w:spacing w:line="360" w:lineRule="auto"/>
              <w:rPr>
                <w:b/>
                <w:bCs/>
                <w:i/>
                <w:iCs/>
              </w:rPr>
            </w:pPr>
            <w:r w:rsidRPr="007034F8">
              <w:rPr>
                <w:b/>
                <w:bCs/>
                <w:i/>
                <w:iCs/>
              </w:rPr>
              <w:t>Sum</w:t>
            </w:r>
          </w:p>
        </w:tc>
        <w:tc>
          <w:tcPr>
            <w:tcW w:w="0" w:type="auto"/>
            <w:tcBorders>
              <w:top w:val="nil"/>
              <w:left w:val="nil"/>
              <w:bottom w:val="nil"/>
              <w:right w:val="nil"/>
            </w:tcBorders>
            <w:tcMar>
              <w:top w:w="0" w:type="dxa"/>
              <w:left w:w="135" w:type="dxa"/>
              <w:bottom w:w="0" w:type="dxa"/>
              <w:right w:w="135" w:type="dxa"/>
            </w:tcMar>
            <w:hideMark/>
          </w:tcPr>
          <w:p w14:paraId="34E813AD" w14:textId="77777777" w:rsidR="007034F8" w:rsidRPr="007034F8" w:rsidRDefault="007034F8" w:rsidP="007034F8">
            <w:pPr>
              <w:spacing w:line="360" w:lineRule="auto"/>
              <w:rPr>
                <w:b/>
                <w:bCs/>
              </w:rPr>
            </w:pPr>
            <w:r w:rsidRPr="007034F8">
              <w:rPr>
                <w:b/>
                <w:bCs/>
              </w:rPr>
              <w:t>634</w:t>
            </w:r>
          </w:p>
        </w:tc>
        <w:tc>
          <w:tcPr>
            <w:tcW w:w="0" w:type="auto"/>
            <w:tcBorders>
              <w:top w:val="nil"/>
              <w:left w:val="nil"/>
              <w:bottom w:val="nil"/>
              <w:right w:val="single" w:sz="4" w:space="0" w:color="auto"/>
            </w:tcBorders>
            <w:tcMar>
              <w:top w:w="0" w:type="dxa"/>
              <w:left w:w="135" w:type="dxa"/>
              <w:bottom w:w="0" w:type="dxa"/>
              <w:right w:w="135" w:type="dxa"/>
            </w:tcMar>
            <w:hideMark/>
          </w:tcPr>
          <w:p w14:paraId="4647A49F" w14:textId="77777777" w:rsidR="007034F8" w:rsidRPr="007034F8" w:rsidRDefault="007034F8" w:rsidP="007034F8">
            <w:pPr>
              <w:spacing w:line="360" w:lineRule="auto"/>
              <w:rPr>
                <w:b/>
                <w:bCs/>
              </w:rPr>
            </w:pPr>
            <w:r w:rsidRPr="007034F8">
              <w:rPr>
                <w:b/>
                <w:bCs/>
              </w:rPr>
              <w:t>16</w:t>
            </w:r>
          </w:p>
        </w:tc>
      </w:tr>
      <w:tr w:rsidR="007034F8" w:rsidRPr="007034F8" w14:paraId="168F6144"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565ECF4A" w14:textId="77777777" w:rsidR="007034F8" w:rsidRPr="007034F8" w:rsidRDefault="007034F8" w:rsidP="007034F8">
            <w:pPr>
              <w:spacing w:line="360" w:lineRule="auto"/>
              <w:rPr>
                <w:b/>
                <w:bCs/>
                <w:i/>
                <w:iCs/>
              </w:rPr>
            </w:pPr>
            <w:r w:rsidRPr="007034F8">
              <w:rPr>
                <w:b/>
                <w:bCs/>
                <w:i/>
                <w:iCs/>
              </w:rPr>
              <w:t>Mean</w:t>
            </w:r>
          </w:p>
        </w:tc>
        <w:tc>
          <w:tcPr>
            <w:tcW w:w="0" w:type="auto"/>
            <w:tcBorders>
              <w:top w:val="nil"/>
              <w:left w:val="nil"/>
              <w:bottom w:val="nil"/>
              <w:right w:val="nil"/>
            </w:tcBorders>
            <w:tcMar>
              <w:top w:w="0" w:type="dxa"/>
              <w:left w:w="135" w:type="dxa"/>
              <w:bottom w:w="0" w:type="dxa"/>
              <w:right w:w="135" w:type="dxa"/>
            </w:tcMar>
            <w:hideMark/>
          </w:tcPr>
          <w:p w14:paraId="0E433782" w14:textId="77777777" w:rsidR="007034F8" w:rsidRPr="007034F8" w:rsidRDefault="007034F8" w:rsidP="007034F8">
            <w:pPr>
              <w:spacing w:line="360" w:lineRule="auto"/>
              <w:rPr>
                <w:b/>
                <w:bCs/>
              </w:rPr>
            </w:pPr>
            <w:r w:rsidRPr="007034F8">
              <w:rPr>
                <w:b/>
                <w:bCs/>
              </w:rPr>
              <w:t>28.818182</w:t>
            </w:r>
          </w:p>
        </w:tc>
        <w:tc>
          <w:tcPr>
            <w:tcW w:w="0" w:type="auto"/>
            <w:tcBorders>
              <w:top w:val="nil"/>
              <w:left w:val="nil"/>
              <w:bottom w:val="nil"/>
              <w:right w:val="single" w:sz="4" w:space="0" w:color="auto"/>
            </w:tcBorders>
            <w:tcMar>
              <w:top w:w="0" w:type="dxa"/>
              <w:left w:w="135" w:type="dxa"/>
              <w:bottom w:w="0" w:type="dxa"/>
              <w:right w:w="135" w:type="dxa"/>
            </w:tcMar>
            <w:hideMark/>
          </w:tcPr>
          <w:p w14:paraId="43B51FBD" w14:textId="77777777" w:rsidR="007034F8" w:rsidRPr="007034F8" w:rsidRDefault="007034F8" w:rsidP="007034F8">
            <w:pPr>
              <w:spacing w:line="360" w:lineRule="auto"/>
              <w:rPr>
                <w:b/>
                <w:bCs/>
              </w:rPr>
            </w:pPr>
            <w:r w:rsidRPr="007034F8">
              <w:rPr>
                <w:b/>
                <w:bCs/>
              </w:rPr>
              <w:t>0.727273</w:t>
            </w:r>
          </w:p>
        </w:tc>
      </w:tr>
      <w:tr w:rsidR="007034F8" w:rsidRPr="007034F8" w14:paraId="05EAFE18"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15932BBF" w14:textId="77777777" w:rsidR="007034F8" w:rsidRPr="007034F8" w:rsidRDefault="007034F8" w:rsidP="007034F8">
            <w:pPr>
              <w:spacing w:line="360" w:lineRule="auto"/>
              <w:rPr>
                <w:b/>
                <w:bCs/>
                <w:i/>
                <w:iCs/>
              </w:rPr>
            </w:pPr>
            <w:r w:rsidRPr="007034F8">
              <w:rPr>
                <w:b/>
                <w:bCs/>
                <w:i/>
                <w:iCs/>
              </w:rPr>
              <w:t>Variance</w:t>
            </w:r>
          </w:p>
        </w:tc>
        <w:tc>
          <w:tcPr>
            <w:tcW w:w="0" w:type="auto"/>
            <w:tcBorders>
              <w:top w:val="nil"/>
              <w:left w:val="nil"/>
              <w:bottom w:val="nil"/>
              <w:right w:val="nil"/>
            </w:tcBorders>
            <w:tcMar>
              <w:top w:w="0" w:type="dxa"/>
              <w:left w:w="135" w:type="dxa"/>
              <w:bottom w:w="0" w:type="dxa"/>
              <w:right w:w="135" w:type="dxa"/>
            </w:tcMar>
            <w:hideMark/>
          </w:tcPr>
          <w:p w14:paraId="4A020126" w14:textId="77777777" w:rsidR="007034F8" w:rsidRPr="007034F8" w:rsidRDefault="007034F8" w:rsidP="007034F8">
            <w:pPr>
              <w:spacing w:line="360" w:lineRule="auto"/>
              <w:rPr>
                <w:b/>
                <w:bCs/>
              </w:rPr>
            </w:pPr>
            <w:r w:rsidRPr="007034F8">
              <w:rPr>
                <w:b/>
                <w:bCs/>
              </w:rPr>
              <w:t>100.251082</w:t>
            </w:r>
          </w:p>
        </w:tc>
        <w:tc>
          <w:tcPr>
            <w:tcW w:w="0" w:type="auto"/>
            <w:tcBorders>
              <w:top w:val="nil"/>
              <w:left w:val="nil"/>
              <w:bottom w:val="nil"/>
              <w:right w:val="single" w:sz="4" w:space="0" w:color="auto"/>
            </w:tcBorders>
            <w:tcMar>
              <w:top w:w="0" w:type="dxa"/>
              <w:left w:w="135" w:type="dxa"/>
              <w:bottom w:w="0" w:type="dxa"/>
              <w:right w:w="135" w:type="dxa"/>
            </w:tcMar>
            <w:hideMark/>
          </w:tcPr>
          <w:p w14:paraId="49F2E293" w14:textId="77777777" w:rsidR="007034F8" w:rsidRPr="007034F8" w:rsidRDefault="007034F8" w:rsidP="007034F8">
            <w:pPr>
              <w:spacing w:line="360" w:lineRule="auto"/>
              <w:rPr>
                <w:b/>
                <w:bCs/>
              </w:rPr>
            </w:pPr>
            <w:r w:rsidRPr="007034F8">
              <w:rPr>
                <w:b/>
                <w:bCs/>
              </w:rPr>
              <w:t>0.207792</w:t>
            </w:r>
          </w:p>
        </w:tc>
      </w:tr>
      <w:tr w:rsidR="007034F8" w:rsidRPr="007034F8" w14:paraId="52E1567C"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23228648" w14:textId="77777777" w:rsidR="007034F8" w:rsidRPr="007034F8" w:rsidRDefault="007034F8" w:rsidP="007034F8">
            <w:pPr>
              <w:spacing w:line="360" w:lineRule="auto"/>
              <w:rPr>
                <w:b/>
                <w:bCs/>
                <w:i/>
                <w:iCs/>
              </w:rPr>
            </w:pPr>
            <w:r w:rsidRPr="007034F8">
              <w:rPr>
                <w:b/>
                <w:bCs/>
                <w:i/>
                <w:iCs/>
              </w:rPr>
              <w:t>Standard deviation</w:t>
            </w:r>
          </w:p>
        </w:tc>
        <w:tc>
          <w:tcPr>
            <w:tcW w:w="0" w:type="auto"/>
            <w:tcBorders>
              <w:top w:val="nil"/>
              <w:left w:val="nil"/>
              <w:bottom w:val="nil"/>
              <w:right w:val="nil"/>
            </w:tcBorders>
            <w:tcMar>
              <w:top w:w="0" w:type="dxa"/>
              <w:left w:w="135" w:type="dxa"/>
              <w:bottom w:w="0" w:type="dxa"/>
              <w:right w:w="135" w:type="dxa"/>
            </w:tcMar>
            <w:hideMark/>
          </w:tcPr>
          <w:p w14:paraId="7E864E65" w14:textId="77777777" w:rsidR="007034F8" w:rsidRPr="007034F8" w:rsidRDefault="007034F8" w:rsidP="007034F8">
            <w:pPr>
              <w:spacing w:line="360" w:lineRule="auto"/>
              <w:rPr>
                <w:b/>
                <w:bCs/>
              </w:rPr>
            </w:pPr>
            <w:r w:rsidRPr="007034F8">
              <w:rPr>
                <w:b/>
                <w:bCs/>
              </w:rPr>
              <w:t>10.012546</w:t>
            </w:r>
          </w:p>
        </w:tc>
        <w:tc>
          <w:tcPr>
            <w:tcW w:w="0" w:type="auto"/>
            <w:tcBorders>
              <w:top w:val="nil"/>
              <w:left w:val="nil"/>
              <w:bottom w:val="nil"/>
              <w:right w:val="single" w:sz="4" w:space="0" w:color="auto"/>
            </w:tcBorders>
            <w:tcMar>
              <w:top w:w="0" w:type="dxa"/>
              <w:left w:w="135" w:type="dxa"/>
              <w:bottom w:w="0" w:type="dxa"/>
              <w:right w:w="135" w:type="dxa"/>
            </w:tcMar>
            <w:hideMark/>
          </w:tcPr>
          <w:p w14:paraId="017A7B85" w14:textId="77777777" w:rsidR="007034F8" w:rsidRPr="007034F8" w:rsidRDefault="007034F8" w:rsidP="007034F8">
            <w:pPr>
              <w:spacing w:line="360" w:lineRule="auto"/>
              <w:rPr>
                <w:b/>
                <w:bCs/>
              </w:rPr>
            </w:pPr>
            <w:r w:rsidRPr="007034F8">
              <w:rPr>
                <w:b/>
                <w:bCs/>
              </w:rPr>
              <w:t>0.455842</w:t>
            </w:r>
          </w:p>
        </w:tc>
      </w:tr>
      <w:tr w:rsidR="007034F8" w:rsidRPr="007034F8" w14:paraId="587E2ABE"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29BFC398" w14:textId="77777777" w:rsidR="007034F8" w:rsidRPr="007034F8" w:rsidRDefault="007034F8" w:rsidP="007034F8">
            <w:pPr>
              <w:spacing w:line="360" w:lineRule="auto"/>
              <w:rPr>
                <w:b/>
                <w:bCs/>
                <w:i/>
                <w:iCs/>
              </w:rPr>
            </w:pPr>
            <w:r w:rsidRPr="007034F8">
              <w:rPr>
                <w:b/>
                <w:bCs/>
                <w:i/>
                <w:iCs/>
              </w:rPr>
              <w:t>Variance coefficient</w:t>
            </w:r>
          </w:p>
        </w:tc>
        <w:tc>
          <w:tcPr>
            <w:tcW w:w="0" w:type="auto"/>
            <w:tcBorders>
              <w:top w:val="nil"/>
              <w:left w:val="nil"/>
              <w:bottom w:val="nil"/>
              <w:right w:val="nil"/>
            </w:tcBorders>
            <w:tcMar>
              <w:top w:w="0" w:type="dxa"/>
              <w:left w:w="135" w:type="dxa"/>
              <w:bottom w:w="0" w:type="dxa"/>
              <w:right w:w="135" w:type="dxa"/>
            </w:tcMar>
            <w:hideMark/>
          </w:tcPr>
          <w:p w14:paraId="3CBF566A" w14:textId="77777777" w:rsidR="007034F8" w:rsidRPr="007034F8" w:rsidRDefault="007034F8" w:rsidP="007034F8">
            <w:pPr>
              <w:spacing w:line="360" w:lineRule="auto"/>
              <w:rPr>
                <w:b/>
                <w:bCs/>
              </w:rPr>
            </w:pPr>
            <w:r w:rsidRPr="007034F8">
              <w:rPr>
                <w:b/>
                <w:bCs/>
              </w:rPr>
              <w:t>0.347439</w:t>
            </w:r>
          </w:p>
        </w:tc>
        <w:tc>
          <w:tcPr>
            <w:tcW w:w="0" w:type="auto"/>
            <w:tcBorders>
              <w:top w:val="nil"/>
              <w:left w:val="nil"/>
              <w:bottom w:val="nil"/>
              <w:right w:val="single" w:sz="4" w:space="0" w:color="auto"/>
            </w:tcBorders>
            <w:tcMar>
              <w:top w:w="0" w:type="dxa"/>
              <w:left w:w="135" w:type="dxa"/>
              <w:bottom w:w="0" w:type="dxa"/>
              <w:right w:w="135" w:type="dxa"/>
            </w:tcMar>
            <w:hideMark/>
          </w:tcPr>
          <w:p w14:paraId="13630331" w14:textId="77777777" w:rsidR="007034F8" w:rsidRPr="007034F8" w:rsidRDefault="007034F8" w:rsidP="007034F8">
            <w:pPr>
              <w:spacing w:line="360" w:lineRule="auto"/>
              <w:rPr>
                <w:b/>
                <w:bCs/>
              </w:rPr>
            </w:pPr>
            <w:r w:rsidRPr="007034F8">
              <w:rPr>
                <w:b/>
                <w:bCs/>
              </w:rPr>
              <w:t>0.626783</w:t>
            </w:r>
          </w:p>
        </w:tc>
      </w:tr>
      <w:tr w:rsidR="007034F8" w:rsidRPr="007034F8" w14:paraId="207DAC1A"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7B3AA0D9" w14:textId="77777777" w:rsidR="007034F8" w:rsidRPr="007034F8" w:rsidRDefault="007034F8" w:rsidP="007034F8">
            <w:pPr>
              <w:spacing w:line="360" w:lineRule="auto"/>
              <w:rPr>
                <w:b/>
                <w:bCs/>
                <w:i/>
                <w:iCs/>
              </w:rPr>
            </w:pPr>
            <w:r w:rsidRPr="007034F8">
              <w:rPr>
                <w:b/>
                <w:bCs/>
                <w:i/>
                <w:iCs/>
              </w:rPr>
              <w:t>Standard error of mean</w:t>
            </w:r>
          </w:p>
        </w:tc>
        <w:tc>
          <w:tcPr>
            <w:tcW w:w="0" w:type="auto"/>
            <w:tcBorders>
              <w:top w:val="nil"/>
              <w:left w:val="nil"/>
              <w:bottom w:val="nil"/>
              <w:right w:val="nil"/>
            </w:tcBorders>
            <w:tcMar>
              <w:top w:w="0" w:type="dxa"/>
              <w:left w:w="135" w:type="dxa"/>
              <w:bottom w:w="0" w:type="dxa"/>
              <w:right w:w="135" w:type="dxa"/>
            </w:tcMar>
            <w:hideMark/>
          </w:tcPr>
          <w:p w14:paraId="13399F45" w14:textId="77777777" w:rsidR="007034F8" w:rsidRPr="007034F8" w:rsidRDefault="007034F8" w:rsidP="007034F8">
            <w:pPr>
              <w:spacing w:line="360" w:lineRule="auto"/>
              <w:rPr>
                <w:b/>
                <w:bCs/>
              </w:rPr>
            </w:pPr>
            <w:r w:rsidRPr="007034F8">
              <w:rPr>
                <w:b/>
                <w:bCs/>
              </w:rPr>
              <w:t>2.134682</w:t>
            </w:r>
          </w:p>
        </w:tc>
        <w:tc>
          <w:tcPr>
            <w:tcW w:w="0" w:type="auto"/>
            <w:tcBorders>
              <w:top w:val="nil"/>
              <w:left w:val="nil"/>
              <w:bottom w:val="nil"/>
              <w:right w:val="single" w:sz="4" w:space="0" w:color="auto"/>
            </w:tcBorders>
            <w:tcMar>
              <w:top w:w="0" w:type="dxa"/>
              <w:left w:w="135" w:type="dxa"/>
              <w:bottom w:w="0" w:type="dxa"/>
              <w:right w:w="135" w:type="dxa"/>
            </w:tcMar>
            <w:hideMark/>
          </w:tcPr>
          <w:p w14:paraId="249FC60D" w14:textId="77777777" w:rsidR="007034F8" w:rsidRPr="007034F8" w:rsidRDefault="007034F8" w:rsidP="007034F8">
            <w:pPr>
              <w:spacing w:line="360" w:lineRule="auto"/>
              <w:rPr>
                <w:b/>
                <w:bCs/>
              </w:rPr>
            </w:pPr>
            <w:r w:rsidRPr="007034F8">
              <w:rPr>
                <w:b/>
                <w:bCs/>
              </w:rPr>
              <w:t>0.097186</w:t>
            </w:r>
          </w:p>
        </w:tc>
      </w:tr>
      <w:tr w:rsidR="007034F8" w:rsidRPr="007034F8" w14:paraId="57C7300B"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104030F3" w14:textId="77777777" w:rsidR="007034F8" w:rsidRPr="007034F8" w:rsidRDefault="007034F8" w:rsidP="007034F8">
            <w:pPr>
              <w:spacing w:line="360" w:lineRule="auto"/>
              <w:rPr>
                <w:b/>
                <w:bCs/>
                <w:i/>
                <w:iCs/>
              </w:rPr>
            </w:pPr>
            <w:r w:rsidRPr="007034F8">
              <w:rPr>
                <w:b/>
                <w:bCs/>
                <w:i/>
                <w:iCs/>
              </w:rPr>
              <w:t>Upper 95% CL of mean</w:t>
            </w:r>
          </w:p>
        </w:tc>
        <w:tc>
          <w:tcPr>
            <w:tcW w:w="0" w:type="auto"/>
            <w:tcBorders>
              <w:top w:val="nil"/>
              <w:left w:val="nil"/>
              <w:bottom w:val="nil"/>
              <w:right w:val="nil"/>
            </w:tcBorders>
            <w:tcMar>
              <w:top w:w="0" w:type="dxa"/>
              <w:left w:w="135" w:type="dxa"/>
              <w:bottom w:w="0" w:type="dxa"/>
              <w:right w:w="135" w:type="dxa"/>
            </w:tcMar>
            <w:hideMark/>
          </w:tcPr>
          <w:p w14:paraId="09A2830B" w14:textId="77777777" w:rsidR="007034F8" w:rsidRPr="007034F8" w:rsidRDefault="007034F8" w:rsidP="007034F8">
            <w:pPr>
              <w:spacing w:line="360" w:lineRule="auto"/>
              <w:rPr>
                <w:b/>
                <w:bCs/>
              </w:rPr>
            </w:pPr>
            <w:r w:rsidRPr="007034F8">
              <w:rPr>
                <w:b/>
                <w:bCs/>
              </w:rPr>
              <w:t>33.257496</w:t>
            </w:r>
          </w:p>
        </w:tc>
        <w:tc>
          <w:tcPr>
            <w:tcW w:w="0" w:type="auto"/>
            <w:tcBorders>
              <w:top w:val="nil"/>
              <w:left w:val="nil"/>
              <w:bottom w:val="nil"/>
              <w:right w:val="single" w:sz="4" w:space="0" w:color="auto"/>
            </w:tcBorders>
            <w:tcMar>
              <w:top w:w="0" w:type="dxa"/>
              <w:left w:w="135" w:type="dxa"/>
              <w:bottom w:w="0" w:type="dxa"/>
              <w:right w:w="135" w:type="dxa"/>
            </w:tcMar>
            <w:hideMark/>
          </w:tcPr>
          <w:p w14:paraId="3A89E948" w14:textId="77777777" w:rsidR="007034F8" w:rsidRPr="007034F8" w:rsidRDefault="007034F8" w:rsidP="007034F8">
            <w:pPr>
              <w:spacing w:line="360" w:lineRule="auto"/>
              <w:rPr>
                <w:b/>
                <w:bCs/>
              </w:rPr>
            </w:pPr>
            <w:r w:rsidRPr="007034F8">
              <w:rPr>
                <w:b/>
                <w:bCs/>
              </w:rPr>
              <w:t>0.929382</w:t>
            </w:r>
          </w:p>
        </w:tc>
      </w:tr>
      <w:tr w:rsidR="007034F8" w:rsidRPr="007034F8" w14:paraId="608D5A01"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0F8AFB61" w14:textId="77777777" w:rsidR="007034F8" w:rsidRPr="007034F8" w:rsidRDefault="007034F8" w:rsidP="007034F8">
            <w:pPr>
              <w:spacing w:line="360" w:lineRule="auto"/>
              <w:rPr>
                <w:b/>
                <w:bCs/>
                <w:i/>
                <w:iCs/>
              </w:rPr>
            </w:pPr>
            <w:r w:rsidRPr="007034F8">
              <w:rPr>
                <w:b/>
                <w:bCs/>
                <w:i/>
                <w:iCs/>
              </w:rPr>
              <w:t>Lower 95% CL of mean</w:t>
            </w:r>
          </w:p>
        </w:tc>
        <w:tc>
          <w:tcPr>
            <w:tcW w:w="0" w:type="auto"/>
            <w:tcBorders>
              <w:top w:val="nil"/>
              <w:left w:val="nil"/>
              <w:bottom w:val="nil"/>
              <w:right w:val="nil"/>
            </w:tcBorders>
            <w:tcMar>
              <w:top w:w="0" w:type="dxa"/>
              <w:left w:w="135" w:type="dxa"/>
              <w:bottom w:w="0" w:type="dxa"/>
              <w:right w:w="135" w:type="dxa"/>
            </w:tcMar>
            <w:hideMark/>
          </w:tcPr>
          <w:p w14:paraId="61DA627F" w14:textId="77777777" w:rsidR="007034F8" w:rsidRPr="007034F8" w:rsidRDefault="007034F8" w:rsidP="007034F8">
            <w:pPr>
              <w:spacing w:line="360" w:lineRule="auto"/>
              <w:rPr>
                <w:b/>
                <w:bCs/>
              </w:rPr>
            </w:pPr>
            <w:r w:rsidRPr="007034F8">
              <w:rPr>
                <w:b/>
                <w:bCs/>
              </w:rPr>
              <w:t>24.378868</w:t>
            </w:r>
          </w:p>
        </w:tc>
        <w:tc>
          <w:tcPr>
            <w:tcW w:w="0" w:type="auto"/>
            <w:tcBorders>
              <w:top w:val="nil"/>
              <w:left w:val="nil"/>
              <w:bottom w:val="nil"/>
              <w:right w:val="single" w:sz="4" w:space="0" w:color="auto"/>
            </w:tcBorders>
            <w:tcMar>
              <w:top w:w="0" w:type="dxa"/>
              <w:left w:w="135" w:type="dxa"/>
              <w:bottom w:w="0" w:type="dxa"/>
              <w:right w:w="135" w:type="dxa"/>
            </w:tcMar>
            <w:hideMark/>
          </w:tcPr>
          <w:p w14:paraId="12018D10" w14:textId="77777777" w:rsidR="007034F8" w:rsidRPr="007034F8" w:rsidRDefault="007034F8" w:rsidP="007034F8">
            <w:pPr>
              <w:spacing w:line="360" w:lineRule="auto"/>
              <w:rPr>
                <w:b/>
                <w:bCs/>
              </w:rPr>
            </w:pPr>
            <w:r w:rsidRPr="007034F8">
              <w:rPr>
                <w:b/>
                <w:bCs/>
              </w:rPr>
              <w:t>0.525164</w:t>
            </w:r>
          </w:p>
        </w:tc>
      </w:tr>
      <w:tr w:rsidR="007034F8" w:rsidRPr="007034F8" w14:paraId="58C6EA1E"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29C2C53C" w14:textId="77777777" w:rsidR="007034F8" w:rsidRPr="007034F8" w:rsidRDefault="007034F8" w:rsidP="007034F8">
            <w:pPr>
              <w:spacing w:line="360" w:lineRule="auto"/>
              <w:rPr>
                <w:b/>
                <w:bCs/>
                <w:i/>
                <w:iCs/>
              </w:rPr>
            </w:pPr>
            <w:r w:rsidRPr="007034F8">
              <w:rPr>
                <w:b/>
                <w:bCs/>
                <w:i/>
                <w:iCs/>
              </w:rPr>
              <w:t>Geometric mean</w:t>
            </w:r>
          </w:p>
        </w:tc>
        <w:tc>
          <w:tcPr>
            <w:tcW w:w="0" w:type="auto"/>
            <w:tcBorders>
              <w:top w:val="nil"/>
              <w:left w:val="nil"/>
              <w:bottom w:val="nil"/>
              <w:right w:val="nil"/>
            </w:tcBorders>
            <w:tcMar>
              <w:top w:w="0" w:type="dxa"/>
              <w:left w:w="135" w:type="dxa"/>
              <w:bottom w:w="0" w:type="dxa"/>
              <w:right w:w="135" w:type="dxa"/>
            </w:tcMar>
            <w:hideMark/>
          </w:tcPr>
          <w:p w14:paraId="301565B7" w14:textId="77777777" w:rsidR="007034F8" w:rsidRPr="007034F8" w:rsidRDefault="007034F8" w:rsidP="007034F8">
            <w:pPr>
              <w:spacing w:line="360" w:lineRule="auto"/>
              <w:rPr>
                <w:b/>
                <w:bCs/>
              </w:rPr>
            </w:pPr>
            <w:r w:rsidRPr="007034F8">
              <w:rPr>
                <w:b/>
                <w:bCs/>
              </w:rPr>
              <w:t>27.217171</w:t>
            </w:r>
          </w:p>
        </w:tc>
        <w:tc>
          <w:tcPr>
            <w:tcW w:w="0" w:type="auto"/>
            <w:tcBorders>
              <w:top w:val="nil"/>
              <w:left w:val="nil"/>
              <w:bottom w:val="nil"/>
              <w:right w:val="single" w:sz="4" w:space="0" w:color="auto"/>
            </w:tcBorders>
            <w:tcMar>
              <w:top w:w="0" w:type="dxa"/>
              <w:left w:w="135" w:type="dxa"/>
              <w:bottom w:w="0" w:type="dxa"/>
              <w:right w:w="135" w:type="dxa"/>
            </w:tcMar>
            <w:hideMark/>
          </w:tcPr>
          <w:p w14:paraId="3FEBEBEE" w14:textId="77777777" w:rsidR="007034F8" w:rsidRPr="007034F8" w:rsidRDefault="007034F8" w:rsidP="007034F8">
            <w:pPr>
              <w:spacing w:line="360" w:lineRule="auto"/>
              <w:rPr>
                <w:b/>
                <w:bCs/>
              </w:rPr>
            </w:pPr>
            <w:r w:rsidRPr="007034F8">
              <w:rPr>
                <w:b/>
                <w:bCs/>
              </w:rPr>
              <w:t>*</w:t>
            </w:r>
          </w:p>
        </w:tc>
      </w:tr>
      <w:tr w:rsidR="007034F8" w:rsidRPr="007034F8" w14:paraId="43746A24"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621066E0" w14:textId="77777777" w:rsidR="007034F8" w:rsidRPr="007034F8" w:rsidRDefault="007034F8" w:rsidP="007034F8">
            <w:pPr>
              <w:spacing w:line="360" w:lineRule="auto"/>
              <w:rPr>
                <w:b/>
                <w:bCs/>
                <w:i/>
                <w:iCs/>
              </w:rPr>
            </w:pPr>
            <w:r w:rsidRPr="007034F8">
              <w:rPr>
                <w:b/>
                <w:bCs/>
                <w:i/>
                <w:iCs/>
              </w:rPr>
              <w:t>Skewness</w:t>
            </w:r>
          </w:p>
        </w:tc>
        <w:tc>
          <w:tcPr>
            <w:tcW w:w="0" w:type="auto"/>
            <w:tcBorders>
              <w:top w:val="nil"/>
              <w:left w:val="nil"/>
              <w:bottom w:val="nil"/>
              <w:right w:val="nil"/>
            </w:tcBorders>
            <w:tcMar>
              <w:top w:w="0" w:type="dxa"/>
              <w:left w:w="135" w:type="dxa"/>
              <w:bottom w:w="0" w:type="dxa"/>
              <w:right w:w="135" w:type="dxa"/>
            </w:tcMar>
            <w:hideMark/>
          </w:tcPr>
          <w:p w14:paraId="2A478162" w14:textId="77777777" w:rsidR="007034F8" w:rsidRPr="007034F8" w:rsidRDefault="007034F8" w:rsidP="007034F8">
            <w:pPr>
              <w:spacing w:line="360" w:lineRule="auto"/>
              <w:rPr>
                <w:b/>
                <w:bCs/>
              </w:rPr>
            </w:pPr>
            <w:r w:rsidRPr="007034F8">
              <w:rPr>
                <w:b/>
                <w:bCs/>
              </w:rPr>
              <w:t>0.591345</w:t>
            </w:r>
          </w:p>
        </w:tc>
        <w:tc>
          <w:tcPr>
            <w:tcW w:w="0" w:type="auto"/>
            <w:tcBorders>
              <w:top w:val="nil"/>
              <w:left w:val="nil"/>
              <w:bottom w:val="nil"/>
              <w:right w:val="single" w:sz="4" w:space="0" w:color="auto"/>
            </w:tcBorders>
            <w:tcMar>
              <w:top w:w="0" w:type="dxa"/>
              <w:left w:w="135" w:type="dxa"/>
              <w:bottom w:w="0" w:type="dxa"/>
              <w:right w:w="135" w:type="dxa"/>
            </w:tcMar>
            <w:hideMark/>
          </w:tcPr>
          <w:p w14:paraId="143B568F" w14:textId="77777777" w:rsidR="007034F8" w:rsidRPr="007034F8" w:rsidRDefault="007034F8" w:rsidP="007034F8">
            <w:pPr>
              <w:spacing w:line="360" w:lineRule="auto"/>
              <w:rPr>
                <w:b/>
                <w:bCs/>
              </w:rPr>
            </w:pPr>
            <w:r w:rsidRPr="007034F8">
              <w:rPr>
                <w:b/>
                <w:bCs/>
              </w:rPr>
              <w:t>-1.020621</w:t>
            </w:r>
          </w:p>
        </w:tc>
      </w:tr>
      <w:tr w:rsidR="007034F8" w:rsidRPr="007034F8" w14:paraId="14B35F75" w14:textId="77777777" w:rsidTr="00923328">
        <w:tc>
          <w:tcPr>
            <w:tcW w:w="0" w:type="auto"/>
            <w:tcBorders>
              <w:top w:val="nil"/>
              <w:left w:val="single" w:sz="4" w:space="0" w:color="auto"/>
              <w:bottom w:val="single" w:sz="4" w:space="0" w:color="auto"/>
              <w:right w:val="nil"/>
            </w:tcBorders>
            <w:tcMar>
              <w:top w:w="0" w:type="dxa"/>
              <w:left w:w="135" w:type="dxa"/>
              <w:bottom w:w="0" w:type="dxa"/>
              <w:right w:w="135" w:type="dxa"/>
            </w:tcMar>
            <w:hideMark/>
          </w:tcPr>
          <w:p w14:paraId="6418B7C6" w14:textId="77777777" w:rsidR="007034F8" w:rsidRPr="007034F8" w:rsidRDefault="007034F8" w:rsidP="007034F8">
            <w:pPr>
              <w:spacing w:line="360" w:lineRule="auto"/>
              <w:rPr>
                <w:b/>
                <w:bCs/>
                <w:i/>
                <w:iCs/>
              </w:rPr>
            </w:pPr>
            <w:r w:rsidRPr="007034F8">
              <w:rPr>
                <w:b/>
                <w:bCs/>
                <w:i/>
                <w:iCs/>
              </w:rPr>
              <w:t>Kurtosis</w:t>
            </w:r>
          </w:p>
        </w:tc>
        <w:tc>
          <w:tcPr>
            <w:tcW w:w="0" w:type="auto"/>
            <w:tcBorders>
              <w:top w:val="nil"/>
              <w:left w:val="nil"/>
              <w:bottom w:val="single" w:sz="4" w:space="0" w:color="auto"/>
              <w:right w:val="nil"/>
            </w:tcBorders>
            <w:tcMar>
              <w:top w:w="0" w:type="dxa"/>
              <w:left w:w="135" w:type="dxa"/>
              <w:bottom w:w="0" w:type="dxa"/>
              <w:right w:w="135" w:type="dxa"/>
            </w:tcMar>
            <w:hideMark/>
          </w:tcPr>
          <w:p w14:paraId="234F18D3" w14:textId="77777777" w:rsidR="007034F8" w:rsidRPr="007034F8" w:rsidRDefault="007034F8" w:rsidP="007034F8">
            <w:pPr>
              <w:spacing w:line="360" w:lineRule="auto"/>
              <w:rPr>
                <w:b/>
                <w:bCs/>
              </w:rPr>
            </w:pPr>
            <w:r w:rsidRPr="007034F8">
              <w:rPr>
                <w:b/>
                <w:bCs/>
              </w:rPr>
              <w:t>2.511344</w:t>
            </w:r>
          </w:p>
        </w:tc>
        <w:tc>
          <w:tcPr>
            <w:tcW w:w="0" w:type="auto"/>
            <w:tcBorders>
              <w:top w:val="nil"/>
              <w:left w:val="nil"/>
              <w:bottom w:val="single" w:sz="4" w:space="0" w:color="auto"/>
              <w:right w:val="single" w:sz="4" w:space="0" w:color="auto"/>
            </w:tcBorders>
            <w:tcMar>
              <w:top w:w="0" w:type="dxa"/>
              <w:left w:w="135" w:type="dxa"/>
              <w:bottom w:w="0" w:type="dxa"/>
              <w:right w:w="135" w:type="dxa"/>
            </w:tcMar>
            <w:hideMark/>
          </w:tcPr>
          <w:p w14:paraId="2C780DBA" w14:textId="77777777" w:rsidR="007034F8" w:rsidRPr="007034F8" w:rsidRDefault="007034F8" w:rsidP="007034F8">
            <w:pPr>
              <w:spacing w:line="360" w:lineRule="auto"/>
              <w:rPr>
                <w:b/>
                <w:bCs/>
              </w:rPr>
            </w:pPr>
            <w:r w:rsidRPr="007034F8">
              <w:rPr>
                <w:b/>
                <w:bCs/>
              </w:rPr>
              <w:t>2.041667</w:t>
            </w:r>
          </w:p>
        </w:tc>
      </w:tr>
    </w:tbl>
    <w:p w14:paraId="4061B889" w14:textId="77777777" w:rsidR="007034F8" w:rsidRPr="007034F8" w:rsidRDefault="007034F8" w:rsidP="007034F8">
      <w:pPr>
        <w:spacing w:line="360" w:lineRule="auto"/>
        <w:rPr>
          <w:b/>
          <w:bCs/>
        </w:rPr>
      </w:pPr>
    </w:p>
    <w:p w14:paraId="65303C59" w14:textId="5F6F6A98" w:rsidR="007034F8" w:rsidRPr="007034F8" w:rsidRDefault="007034F8" w:rsidP="007034F8">
      <w:pPr>
        <w:spacing w:line="360" w:lineRule="auto"/>
        <w:rPr>
          <w:b/>
          <w:bCs/>
        </w:rPr>
      </w:pPr>
      <w:r w:rsidRPr="007034F8">
        <w:rPr>
          <w:b/>
          <w:bCs/>
        </w:rPr>
        <w:t>Table S</w:t>
      </w:r>
      <w:r w:rsidR="00F84848">
        <w:rPr>
          <w:b/>
          <w:bCs/>
        </w:rPr>
        <w:t>6</w:t>
      </w:r>
      <w:r w:rsidRPr="007034F8">
        <w:rPr>
          <w:b/>
          <w:bCs/>
        </w:rPr>
        <w:t>. Pearson residual for logistic regression</w:t>
      </w:r>
    </w:p>
    <w:tbl>
      <w:tblPr>
        <w:tblW w:w="0" w:type="auto"/>
        <w:tblInd w:w="13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57"/>
        <w:gridCol w:w="1984"/>
        <w:gridCol w:w="1217"/>
        <w:gridCol w:w="2391"/>
      </w:tblGrid>
      <w:tr w:rsidR="007034F8" w:rsidRPr="007034F8" w14:paraId="4BC10CFA" w14:textId="77777777" w:rsidTr="00923328">
        <w:tc>
          <w:tcPr>
            <w:tcW w:w="0" w:type="auto"/>
            <w:tcBorders>
              <w:top w:val="single" w:sz="4" w:space="0" w:color="auto"/>
              <w:left w:val="single" w:sz="4" w:space="0" w:color="auto"/>
              <w:bottom w:val="single" w:sz="4" w:space="0" w:color="auto"/>
              <w:right w:val="nil"/>
            </w:tcBorders>
            <w:tcMar>
              <w:top w:w="0" w:type="dxa"/>
              <w:left w:w="135" w:type="dxa"/>
              <w:bottom w:w="0" w:type="dxa"/>
              <w:right w:w="135" w:type="dxa"/>
            </w:tcMar>
            <w:hideMark/>
          </w:tcPr>
          <w:p w14:paraId="06881D25" w14:textId="77777777" w:rsidR="007034F8" w:rsidRPr="007034F8" w:rsidRDefault="007034F8" w:rsidP="007034F8">
            <w:pPr>
              <w:spacing w:line="360" w:lineRule="auto"/>
              <w:rPr>
                <w:b/>
                <w:bCs/>
              </w:rPr>
            </w:pPr>
            <w:r w:rsidRPr="007034F8">
              <w:rPr>
                <w:b/>
                <w:bCs/>
              </w:rPr>
              <w:t>Index</w:t>
            </w:r>
          </w:p>
        </w:tc>
        <w:tc>
          <w:tcPr>
            <w:tcW w:w="0" w:type="auto"/>
            <w:tcBorders>
              <w:top w:val="single" w:sz="4" w:space="0" w:color="auto"/>
              <w:left w:val="nil"/>
              <w:bottom w:val="single" w:sz="4" w:space="0" w:color="auto"/>
              <w:right w:val="nil"/>
            </w:tcBorders>
            <w:tcMar>
              <w:top w:w="0" w:type="dxa"/>
              <w:left w:w="135" w:type="dxa"/>
              <w:bottom w:w="0" w:type="dxa"/>
              <w:right w:w="135" w:type="dxa"/>
            </w:tcMar>
            <w:hideMark/>
          </w:tcPr>
          <w:p w14:paraId="2ED2BCC1" w14:textId="798EA5E7" w:rsidR="007034F8" w:rsidRPr="007034F8" w:rsidRDefault="007034F8" w:rsidP="007034F8">
            <w:pPr>
              <w:spacing w:line="360" w:lineRule="auto"/>
              <w:rPr>
                <w:b/>
                <w:bCs/>
              </w:rPr>
            </w:pPr>
            <w:r w:rsidRPr="007034F8">
              <w:rPr>
                <w:b/>
                <w:bCs/>
              </w:rPr>
              <w:t xml:space="preserve">Pearson </w:t>
            </w:r>
            <w:r>
              <w:rPr>
                <w:b/>
                <w:bCs/>
              </w:rPr>
              <w:t>r</w:t>
            </w:r>
            <w:r w:rsidRPr="007034F8">
              <w:rPr>
                <w:b/>
                <w:bCs/>
              </w:rPr>
              <w:t>esidual</w:t>
            </w:r>
          </w:p>
        </w:tc>
        <w:tc>
          <w:tcPr>
            <w:tcW w:w="0" w:type="auto"/>
            <w:tcBorders>
              <w:top w:val="single" w:sz="4" w:space="0" w:color="auto"/>
              <w:left w:val="nil"/>
              <w:bottom w:val="single" w:sz="4" w:space="0" w:color="auto"/>
              <w:right w:val="nil"/>
            </w:tcBorders>
            <w:tcMar>
              <w:top w:w="0" w:type="dxa"/>
              <w:left w:w="135" w:type="dxa"/>
              <w:bottom w:w="0" w:type="dxa"/>
              <w:right w:w="135" w:type="dxa"/>
            </w:tcMar>
            <w:hideMark/>
          </w:tcPr>
          <w:p w14:paraId="65A0074F" w14:textId="77777777" w:rsidR="007034F8" w:rsidRPr="007034F8" w:rsidRDefault="007034F8" w:rsidP="007034F8">
            <w:pPr>
              <w:spacing w:line="360" w:lineRule="auto"/>
              <w:rPr>
                <w:b/>
                <w:bCs/>
              </w:rPr>
            </w:pPr>
            <w:r w:rsidRPr="007034F8">
              <w:rPr>
                <w:b/>
                <w:bCs/>
              </w:rPr>
              <w:t>Leverage</w:t>
            </w:r>
          </w:p>
        </w:tc>
        <w:tc>
          <w:tcPr>
            <w:tcW w:w="0" w:type="auto"/>
            <w:tcBorders>
              <w:top w:val="single" w:sz="4" w:space="0" w:color="auto"/>
              <w:left w:val="nil"/>
              <w:bottom w:val="single" w:sz="4" w:space="0" w:color="auto"/>
              <w:right w:val="single" w:sz="4" w:space="0" w:color="auto"/>
            </w:tcBorders>
            <w:tcMar>
              <w:top w:w="0" w:type="dxa"/>
              <w:left w:w="135" w:type="dxa"/>
              <w:bottom w:w="0" w:type="dxa"/>
              <w:right w:w="135" w:type="dxa"/>
            </w:tcMar>
            <w:hideMark/>
          </w:tcPr>
          <w:p w14:paraId="474561AD" w14:textId="659D2CDF" w:rsidR="007034F8" w:rsidRPr="007034F8" w:rsidRDefault="007034F8" w:rsidP="007034F8">
            <w:pPr>
              <w:spacing w:line="360" w:lineRule="auto"/>
              <w:rPr>
                <w:b/>
                <w:bCs/>
              </w:rPr>
            </w:pPr>
            <w:r w:rsidRPr="007034F8">
              <w:rPr>
                <w:b/>
                <w:bCs/>
              </w:rPr>
              <w:t xml:space="preserve">Std Pearson </w:t>
            </w:r>
            <w:r>
              <w:rPr>
                <w:b/>
                <w:bCs/>
              </w:rPr>
              <w:t>r</w:t>
            </w:r>
            <w:r w:rsidRPr="007034F8">
              <w:rPr>
                <w:b/>
                <w:bCs/>
              </w:rPr>
              <w:t>esidual</w:t>
            </w:r>
          </w:p>
        </w:tc>
      </w:tr>
      <w:tr w:rsidR="007034F8" w:rsidRPr="007034F8" w14:paraId="00EA076B" w14:textId="77777777" w:rsidTr="00923328">
        <w:tc>
          <w:tcPr>
            <w:tcW w:w="0" w:type="auto"/>
            <w:tcBorders>
              <w:top w:val="single" w:sz="4" w:space="0" w:color="auto"/>
              <w:left w:val="single" w:sz="4" w:space="0" w:color="auto"/>
              <w:bottom w:val="nil"/>
              <w:right w:val="nil"/>
            </w:tcBorders>
            <w:tcMar>
              <w:top w:w="0" w:type="dxa"/>
              <w:left w:w="135" w:type="dxa"/>
              <w:bottom w:w="0" w:type="dxa"/>
              <w:right w:w="135" w:type="dxa"/>
            </w:tcMar>
            <w:hideMark/>
          </w:tcPr>
          <w:p w14:paraId="481BB893" w14:textId="77777777" w:rsidR="007034F8" w:rsidRPr="007034F8" w:rsidRDefault="007034F8" w:rsidP="007034F8">
            <w:pPr>
              <w:spacing w:line="360" w:lineRule="auto"/>
              <w:rPr>
                <w:b/>
                <w:bCs/>
              </w:rPr>
            </w:pPr>
            <w:r w:rsidRPr="007034F8">
              <w:rPr>
                <w:b/>
                <w:bCs/>
              </w:rPr>
              <w:t>1</w:t>
            </w:r>
          </w:p>
        </w:tc>
        <w:tc>
          <w:tcPr>
            <w:tcW w:w="0" w:type="auto"/>
            <w:tcBorders>
              <w:top w:val="single" w:sz="4" w:space="0" w:color="auto"/>
              <w:left w:val="nil"/>
              <w:bottom w:val="nil"/>
              <w:right w:val="nil"/>
            </w:tcBorders>
            <w:tcMar>
              <w:top w:w="0" w:type="dxa"/>
              <w:left w:w="135" w:type="dxa"/>
              <w:bottom w:w="0" w:type="dxa"/>
              <w:right w:w="135" w:type="dxa"/>
            </w:tcMar>
            <w:hideMark/>
          </w:tcPr>
          <w:p w14:paraId="6A84AC80" w14:textId="77777777" w:rsidR="007034F8" w:rsidRPr="007034F8" w:rsidRDefault="007034F8" w:rsidP="007034F8">
            <w:pPr>
              <w:spacing w:line="360" w:lineRule="auto"/>
              <w:rPr>
                <w:b/>
                <w:bCs/>
              </w:rPr>
            </w:pPr>
            <w:r w:rsidRPr="007034F8">
              <w:rPr>
                <w:b/>
                <w:bCs/>
              </w:rPr>
              <w:t>-0.445945</w:t>
            </w:r>
          </w:p>
        </w:tc>
        <w:tc>
          <w:tcPr>
            <w:tcW w:w="0" w:type="auto"/>
            <w:tcBorders>
              <w:top w:val="single" w:sz="4" w:space="0" w:color="auto"/>
              <w:left w:val="nil"/>
              <w:bottom w:val="nil"/>
              <w:right w:val="nil"/>
            </w:tcBorders>
            <w:tcMar>
              <w:top w:w="0" w:type="dxa"/>
              <w:left w:w="135" w:type="dxa"/>
              <w:bottom w:w="0" w:type="dxa"/>
              <w:right w:w="135" w:type="dxa"/>
            </w:tcMar>
            <w:hideMark/>
          </w:tcPr>
          <w:p w14:paraId="7EDAA72D" w14:textId="77777777" w:rsidR="007034F8" w:rsidRPr="007034F8" w:rsidRDefault="007034F8" w:rsidP="007034F8">
            <w:pPr>
              <w:spacing w:line="360" w:lineRule="auto"/>
              <w:rPr>
                <w:b/>
                <w:bCs/>
              </w:rPr>
            </w:pPr>
            <w:r w:rsidRPr="007034F8">
              <w:rPr>
                <w:b/>
                <w:bCs/>
              </w:rPr>
              <w:t>0.096197</w:t>
            </w:r>
          </w:p>
        </w:tc>
        <w:tc>
          <w:tcPr>
            <w:tcW w:w="0" w:type="auto"/>
            <w:tcBorders>
              <w:top w:val="single" w:sz="4" w:space="0" w:color="auto"/>
              <w:left w:val="nil"/>
              <w:bottom w:val="nil"/>
              <w:right w:val="single" w:sz="4" w:space="0" w:color="auto"/>
            </w:tcBorders>
            <w:tcMar>
              <w:top w:w="0" w:type="dxa"/>
              <w:left w:w="135" w:type="dxa"/>
              <w:bottom w:w="0" w:type="dxa"/>
              <w:right w:w="135" w:type="dxa"/>
            </w:tcMar>
            <w:hideMark/>
          </w:tcPr>
          <w:p w14:paraId="254C7325" w14:textId="77777777" w:rsidR="007034F8" w:rsidRPr="007034F8" w:rsidRDefault="007034F8" w:rsidP="007034F8">
            <w:pPr>
              <w:spacing w:line="360" w:lineRule="auto"/>
              <w:rPr>
                <w:b/>
                <w:bCs/>
              </w:rPr>
            </w:pPr>
            <w:r w:rsidRPr="007034F8">
              <w:rPr>
                <w:b/>
                <w:bCs/>
              </w:rPr>
              <w:t>-0.469077</w:t>
            </w:r>
          </w:p>
        </w:tc>
      </w:tr>
      <w:tr w:rsidR="007034F8" w:rsidRPr="007034F8" w14:paraId="0A4D2BD9"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2D2B5775" w14:textId="77777777" w:rsidR="007034F8" w:rsidRPr="007034F8" w:rsidRDefault="007034F8" w:rsidP="007034F8">
            <w:pPr>
              <w:spacing w:line="360" w:lineRule="auto"/>
              <w:rPr>
                <w:b/>
                <w:bCs/>
              </w:rPr>
            </w:pPr>
            <w:r w:rsidRPr="007034F8">
              <w:rPr>
                <w:b/>
                <w:bCs/>
              </w:rPr>
              <w:t>2</w:t>
            </w:r>
          </w:p>
        </w:tc>
        <w:tc>
          <w:tcPr>
            <w:tcW w:w="0" w:type="auto"/>
            <w:tcBorders>
              <w:top w:val="nil"/>
              <w:left w:val="nil"/>
              <w:bottom w:val="nil"/>
              <w:right w:val="nil"/>
            </w:tcBorders>
            <w:tcMar>
              <w:top w:w="0" w:type="dxa"/>
              <w:left w:w="135" w:type="dxa"/>
              <w:bottom w:w="0" w:type="dxa"/>
              <w:right w:w="135" w:type="dxa"/>
            </w:tcMar>
            <w:hideMark/>
          </w:tcPr>
          <w:p w14:paraId="72C6F732" w14:textId="77777777" w:rsidR="007034F8" w:rsidRPr="007034F8" w:rsidRDefault="007034F8" w:rsidP="007034F8">
            <w:pPr>
              <w:spacing w:line="360" w:lineRule="auto"/>
              <w:rPr>
                <w:b/>
                <w:bCs/>
              </w:rPr>
            </w:pPr>
            <w:r w:rsidRPr="007034F8">
              <w:rPr>
                <w:b/>
                <w:bCs/>
              </w:rPr>
              <w:t>2.117585</w:t>
            </w:r>
          </w:p>
        </w:tc>
        <w:tc>
          <w:tcPr>
            <w:tcW w:w="0" w:type="auto"/>
            <w:tcBorders>
              <w:top w:val="nil"/>
              <w:left w:val="nil"/>
              <w:bottom w:val="nil"/>
              <w:right w:val="nil"/>
            </w:tcBorders>
            <w:tcMar>
              <w:top w:w="0" w:type="dxa"/>
              <w:left w:w="135" w:type="dxa"/>
              <w:bottom w:w="0" w:type="dxa"/>
              <w:right w:w="135" w:type="dxa"/>
            </w:tcMar>
            <w:hideMark/>
          </w:tcPr>
          <w:p w14:paraId="560640BF" w14:textId="77777777" w:rsidR="007034F8" w:rsidRPr="007034F8" w:rsidRDefault="007034F8" w:rsidP="007034F8">
            <w:pPr>
              <w:spacing w:line="360" w:lineRule="auto"/>
              <w:rPr>
                <w:b/>
                <w:bCs/>
              </w:rPr>
            </w:pPr>
            <w:r w:rsidRPr="007034F8">
              <w:rPr>
                <w:b/>
                <w:bCs/>
              </w:rPr>
              <w:t>0.054501</w:t>
            </w:r>
          </w:p>
        </w:tc>
        <w:tc>
          <w:tcPr>
            <w:tcW w:w="0" w:type="auto"/>
            <w:tcBorders>
              <w:top w:val="nil"/>
              <w:left w:val="nil"/>
              <w:bottom w:val="nil"/>
              <w:right w:val="single" w:sz="4" w:space="0" w:color="auto"/>
            </w:tcBorders>
            <w:tcMar>
              <w:top w:w="0" w:type="dxa"/>
              <w:left w:w="135" w:type="dxa"/>
              <w:bottom w:w="0" w:type="dxa"/>
              <w:right w:w="135" w:type="dxa"/>
            </w:tcMar>
            <w:hideMark/>
          </w:tcPr>
          <w:p w14:paraId="48EEC01E" w14:textId="77777777" w:rsidR="007034F8" w:rsidRPr="007034F8" w:rsidRDefault="007034F8" w:rsidP="007034F8">
            <w:pPr>
              <w:spacing w:line="360" w:lineRule="auto"/>
              <w:rPr>
                <w:b/>
                <w:bCs/>
              </w:rPr>
            </w:pPr>
            <w:r w:rsidRPr="007034F8">
              <w:rPr>
                <w:b/>
                <w:bCs/>
              </w:rPr>
              <w:t>2.177761</w:t>
            </w:r>
          </w:p>
        </w:tc>
      </w:tr>
      <w:tr w:rsidR="007034F8" w:rsidRPr="007034F8" w14:paraId="70394D1E"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4D97DB5A" w14:textId="77777777" w:rsidR="007034F8" w:rsidRPr="007034F8" w:rsidRDefault="007034F8" w:rsidP="007034F8">
            <w:pPr>
              <w:spacing w:line="360" w:lineRule="auto"/>
              <w:rPr>
                <w:b/>
                <w:bCs/>
              </w:rPr>
            </w:pPr>
            <w:r w:rsidRPr="007034F8">
              <w:rPr>
                <w:b/>
                <w:bCs/>
              </w:rPr>
              <w:t>3</w:t>
            </w:r>
          </w:p>
        </w:tc>
        <w:tc>
          <w:tcPr>
            <w:tcW w:w="0" w:type="auto"/>
            <w:tcBorders>
              <w:top w:val="nil"/>
              <w:left w:val="nil"/>
              <w:bottom w:val="nil"/>
              <w:right w:val="nil"/>
            </w:tcBorders>
            <w:tcMar>
              <w:top w:w="0" w:type="dxa"/>
              <w:left w:w="135" w:type="dxa"/>
              <w:bottom w:w="0" w:type="dxa"/>
              <w:right w:w="135" w:type="dxa"/>
            </w:tcMar>
            <w:hideMark/>
          </w:tcPr>
          <w:p w14:paraId="55C6FC63" w14:textId="77777777" w:rsidR="007034F8" w:rsidRPr="007034F8" w:rsidRDefault="007034F8" w:rsidP="007034F8">
            <w:pPr>
              <w:spacing w:line="360" w:lineRule="auto"/>
              <w:rPr>
                <w:b/>
                <w:bCs/>
              </w:rPr>
            </w:pPr>
            <w:r w:rsidRPr="007034F8">
              <w:rPr>
                <w:b/>
                <w:bCs/>
              </w:rPr>
              <w:t>-0.475251</w:t>
            </w:r>
          </w:p>
        </w:tc>
        <w:tc>
          <w:tcPr>
            <w:tcW w:w="0" w:type="auto"/>
            <w:tcBorders>
              <w:top w:val="nil"/>
              <w:left w:val="nil"/>
              <w:bottom w:val="nil"/>
              <w:right w:val="nil"/>
            </w:tcBorders>
            <w:tcMar>
              <w:top w:w="0" w:type="dxa"/>
              <w:left w:w="135" w:type="dxa"/>
              <w:bottom w:w="0" w:type="dxa"/>
              <w:right w:w="135" w:type="dxa"/>
            </w:tcMar>
            <w:hideMark/>
          </w:tcPr>
          <w:p w14:paraId="4DCD42FF" w14:textId="77777777" w:rsidR="007034F8" w:rsidRPr="007034F8" w:rsidRDefault="007034F8" w:rsidP="007034F8">
            <w:pPr>
              <w:spacing w:line="360" w:lineRule="auto"/>
              <w:rPr>
                <w:b/>
                <w:bCs/>
              </w:rPr>
            </w:pPr>
            <w:r w:rsidRPr="007034F8">
              <w:rPr>
                <w:b/>
                <w:bCs/>
              </w:rPr>
              <w:t>0.051429</w:t>
            </w:r>
          </w:p>
        </w:tc>
        <w:tc>
          <w:tcPr>
            <w:tcW w:w="0" w:type="auto"/>
            <w:tcBorders>
              <w:top w:val="nil"/>
              <w:left w:val="nil"/>
              <w:bottom w:val="nil"/>
              <w:right w:val="single" w:sz="4" w:space="0" w:color="auto"/>
            </w:tcBorders>
            <w:tcMar>
              <w:top w:w="0" w:type="dxa"/>
              <w:left w:w="135" w:type="dxa"/>
              <w:bottom w:w="0" w:type="dxa"/>
              <w:right w:w="135" w:type="dxa"/>
            </w:tcMar>
            <w:hideMark/>
          </w:tcPr>
          <w:p w14:paraId="56901317" w14:textId="77777777" w:rsidR="007034F8" w:rsidRPr="007034F8" w:rsidRDefault="007034F8" w:rsidP="007034F8">
            <w:pPr>
              <w:spacing w:line="360" w:lineRule="auto"/>
              <w:rPr>
                <w:b/>
                <w:bCs/>
              </w:rPr>
            </w:pPr>
            <w:r w:rsidRPr="007034F8">
              <w:rPr>
                <w:b/>
                <w:bCs/>
              </w:rPr>
              <w:t>-0.487965</w:t>
            </w:r>
          </w:p>
        </w:tc>
      </w:tr>
      <w:tr w:rsidR="007034F8" w:rsidRPr="007034F8" w14:paraId="1C1B7FED"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61506A16" w14:textId="77777777" w:rsidR="007034F8" w:rsidRPr="007034F8" w:rsidRDefault="007034F8" w:rsidP="007034F8">
            <w:pPr>
              <w:spacing w:line="360" w:lineRule="auto"/>
              <w:rPr>
                <w:b/>
                <w:bCs/>
              </w:rPr>
            </w:pPr>
            <w:r w:rsidRPr="007034F8">
              <w:rPr>
                <w:b/>
                <w:bCs/>
              </w:rPr>
              <w:lastRenderedPageBreak/>
              <w:t>4</w:t>
            </w:r>
          </w:p>
        </w:tc>
        <w:tc>
          <w:tcPr>
            <w:tcW w:w="0" w:type="auto"/>
            <w:tcBorders>
              <w:top w:val="nil"/>
              <w:left w:val="nil"/>
              <w:bottom w:val="nil"/>
              <w:right w:val="nil"/>
            </w:tcBorders>
            <w:tcMar>
              <w:top w:w="0" w:type="dxa"/>
              <w:left w:w="135" w:type="dxa"/>
              <w:bottom w:w="0" w:type="dxa"/>
              <w:right w:w="135" w:type="dxa"/>
            </w:tcMar>
            <w:hideMark/>
          </w:tcPr>
          <w:p w14:paraId="6502C74D" w14:textId="77777777" w:rsidR="007034F8" w:rsidRPr="007034F8" w:rsidRDefault="007034F8" w:rsidP="007034F8">
            <w:pPr>
              <w:spacing w:line="360" w:lineRule="auto"/>
              <w:rPr>
                <w:b/>
                <w:bCs/>
              </w:rPr>
            </w:pPr>
            <w:r w:rsidRPr="007034F8">
              <w:rPr>
                <w:b/>
                <w:bCs/>
              </w:rPr>
              <w:t>-0.448792</w:t>
            </w:r>
          </w:p>
        </w:tc>
        <w:tc>
          <w:tcPr>
            <w:tcW w:w="0" w:type="auto"/>
            <w:tcBorders>
              <w:top w:val="nil"/>
              <w:left w:val="nil"/>
              <w:bottom w:val="nil"/>
              <w:right w:val="nil"/>
            </w:tcBorders>
            <w:tcMar>
              <w:top w:w="0" w:type="dxa"/>
              <w:left w:w="135" w:type="dxa"/>
              <w:bottom w:w="0" w:type="dxa"/>
              <w:right w:w="135" w:type="dxa"/>
            </w:tcMar>
            <w:hideMark/>
          </w:tcPr>
          <w:p w14:paraId="36A4B1BC" w14:textId="77777777" w:rsidR="007034F8" w:rsidRPr="007034F8" w:rsidRDefault="007034F8" w:rsidP="007034F8">
            <w:pPr>
              <w:spacing w:line="360" w:lineRule="auto"/>
              <w:rPr>
                <w:b/>
                <w:bCs/>
              </w:rPr>
            </w:pPr>
            <w:r w:rsidRPr="007034F8">
              <w:rPr>
                <w:b/>
                <w:bCs/>
              </w:rPr>
              <w:t>0.090424</w:t>
            </w:r>
          </w:p>
        </w:tc>
        <w:tc>
          <w:tcPr>
            <w:tcW w:w="0" w:type="auto"/>
            <w:tcBorders>
              <w:top w:val="nil"/>
              <w:left w:val="nil"/>
              <w:bottom w:val="nil"/>
              <w:right w:val="single" w:sz="4" w:space="0" w:color="auto"/>
            </w:tcBorders>
            <w:tcMar>
              <w:top w:w="0" w:type="dxa"/>
              <w:left w:w="135" w:type="dxa"/>
              <w:bottom w:w="0" w:type="dxa"/>
              <w:right w:w="135" w:type="dxa"/>
            </w:tcMar>
            <w:hideMark/>
          </w:tcPr>
          <w:p w14:paraId="67434E30" w14:textId="77777777" w:rsidR="007034F8" w:rsidRPr="007034F8" w:rsidRDefault="007034F8" w:rsidP="007034F8">
            <w:pPr>
              <w:spacing w:line="360" w:lineRule="auto"/>
              <w:rPr>
                <w:b/>
                <w:bCs/>
              </w:rPr>
            </w:pPr>
            <w:r w:rsidRPr="007034F8">
              <w:rPr>
                <w:b/>
                <w:bCs/>
              </w:rPr>
              <w:t>-0.470572</w:t>
            </w:r>
          </w:p>
        </w:tc>
      </w:tr>
      <w:tr w:rsidR="007034F8" w:rsidRPr="007034F8" w14:paraId="4EC80C78"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66075D92" w14:textId="77777777" w:rsidR="007034F8" w:rsidRPr="007034F8" w:rsidRDefault="007034F8" w:rsidP="007034F8">
            <w:pPr>
              <w:spacing w:line="360" w:lineRule="auto"/>
              <w:rPr>
                <w:b/>
                <w:bCs/>
              </w:rPr>
            </w:pPr>
            <w:r w:rsidRPr="007034F8">
              <w:rPr>
                <w:b/>
                <w:bCs/>
              </w:rPr>
              <w:t>5</w:t>
            </w:r>
          </w:p>
        </w:tc>
        <w:tc>
          <w:tcPr>
            <w:tcW w:w="0" w:type="auto"/>
            <w:tcBorders>
              <w:top w:val="nil"/>
              <w:left w:val="nil"/>
              <w:bottom w:val="nil"/>
              <w:right w:val="nil"/>
            </w:tcBorders>
            <w:tcMar>
              <w:top w:w="0" w:type="dxa"/>
              <w:left w:w="135" w:type="dxa"/>
              <w:bottom w:w="0" w:type="dxa"/>
              <w:right w:w="135" w:type="dxa"/>
            </w:tcMar>
            <w:hideMark/>
          </w:tcPr>
          <w:p w14:paraId="439D85E7" w14:textId="77777777" w:rsidR="007034F8" w:rsidRPr="007034F8" w:rsidRDefault="007034F8" w:rsidP="007034F8">
            <w:pPr>
              <w:spacing w:line="360" w:lineRule="auto"/>
              <w:rPr>
                <w:b/>
                <w:bCs/>
              </w:rPr>
            </w:pPr>
            <w:r w:rsidRPr="007034F8">
              <w:rPr>
                <w:b/>
                <w:bCs/>
              </w:rPr>
              <w:t>-0.663605</w:t>
            </w:r>
          </w:p>
        </w:tc>
        <w:tc>
          <w:tcPr>
            <w:tcW w:w="0" w:type="auto"/>
            <w:tcBorders>
              <w:top w:val="nil"/>
              <w:left w:val="nil"/>
              <w:bottom w:val="nil"/>
              <w:right w:val="nil"/>
            </w:tcBorders>
            <w:tcMar>
              <w:top w:w="0" w:type="dxa"/>
              <w:left w:w="135" w:type="dxa"/>
              <w:bottom w:w="0" w:type="dxa"/>
              <w:right w:w="135" w:type="dxa"/>
            </w:tcMar>
            <w:hideMark/>
          </w:tcPr>
          <w:p w14:paraId="0D26BCEC" w14:textId="77777777" w:rsidR="007034F8" w:rsidRPr="007034F8" w:rsidRDefault="007034F8" w:rsidP="007034F8">
            <w:pPr>
              <w:spacing w:line="360" w:lineRule="auto"/>
              <w:rPr>
                <w:b/>
                <w:bCs/>
              </w:rPr>
            </w:pPr>
            <w:r w:rsidRPr="007034F8">
              <w:rPr>
                <w:b/>
                <w:bCs/>
              </w:rPr>
              <w:t>0.115818</w:t>
            </w:r>
          </w:p>
        </w:tc>
        <w:tc>
          <w:tcPr>
            <w:tcW w:w="0" w:type="auto"/>
            <w:tcBorders>
              <w:top w:val="nil"/>
              <w:left w:val="nil"/>
              <w:bottom w:val="nil"/>
              <w:right w:val="single" w:sz="4" w:space="0" w:color="auto"/>
            </w:tcBorders>
            <w:tcMar>
              <w:top w:w="0" w:type="dxa"/>
              <w:left w:w="135" w:type="dxa"/>
              <w:bottom w:w="0" w:type="dxa"/>
              <w:right w:w="135" w:type="dxa"/>
            </w:tcMar>
            <w:hideMark/>
          </w:tcPr>
          <w:p w14:paraId="222A6096" w14:textId="77777777" w:rsidR="007034F8" w:rsidRPr="007034F8" w:rsidRDefault="007034F8" w:rsidP="007034F8">
            <w:pPr>
              <w:spacing w:line="360" w:lineRule="auto"/>
              <w:rPr>
                <w:b/>
                <w:bCs/>
              </w:rPr>
            </w:pPr>
            <w:r w:rsidRPr="007034F8">
              <w:rPr>
                <w:b/>
                <w:bCs/>
              </w:rPr>
              <w:t>-0.705731</w:t>
            </w:r>
          </w:p>
        </w:tc>
      </w:tr>
      <w:tr w:rsidR="007034F8" w:rsidRPr="007034F8" w14:paraId="73AC335B"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6B93375A" w14:textId="77777777" w:rsidR="007034F8" w:rsidRPr="007034F8" w:rsidRDefault="007034F8" w:rsidP="007034F8">
            <w:pPr>
              <w:spacing w:line="360" w:lineRule="auto"/>
              <w:rPr>
                <w:b/>
                <w:bCs/>
              </w:rPr>
            </w:pPr>
            <w:r w:rsidRPr="007034F8">
              <w:rPr>
                <w:b/>
                <w:bCs/>
              </w:rPr>
              <w:t>6</w:t>
            </w:r>
          </w:p>
        </w:tc>
        <w:tc>
          <w:tcPr>
            <w:tcW w:w="0" w:type="auto"/>
            <w:tcBorders>
              <w:top w:val="nil"/>
              <w:left w:val="nil"/>
              <w:bottom w:val="nil"/>
              <w:right w:val="nil"/>
            </w:tcBorders>
            <w:tcMar>
              <w:top w:w="0" w:type="dxa"/>
              <w:left w:w="135" w:type="dxa"/>
              <w:bottom w:w="0" w:type="dxa"/>
              <w:right w:w="135" w:type="dxa"/>
            </w:tcMar>
            <w:hideMark/>
          </w:tcPr>
          <w:p w14:paraId="09BF56C8" w14:textId="77777777" w:rsidR="007034F8" w:rsidRPr="007034F8" w:rsidRDefault="007034F8" w:rsidP="007034F8">
            <w:pPr>
              <w:spacing w:line="360" w:lineRule="auto"/>
              <w:rPr>
                <w:b/>
                <w:bCs/>
              </w:rPr>
            </w:pPr>
            <w:r w:rsidRPr="007034F8">
              <w:rPr>
                <w:b/>
                <w:bCs/>
              </w:rPr>
              <w:t>3.507937</w:t>
            </w:r>
          </w:p>
        </w:tc>
        <w:tc>
          <w:tcPr>
            <w:tcW w:w="0" w:type="auto"/>
            <w:tcBorders>
              <w:top w:val="nil"/>
              <w:left w:val="nil"/>
              <w:bottom w:val="nil"/>
              <w:right w:val="nil"/>
            </w:tcBorders>
            <w:tcMar>
              <w:top w:w="0" w:type="dxa"/>
              <w:left w:w="135" w:type="dxa"/>
              <w:bottom w:w="0" w:type="dxa"/>
              <w:right w:w="135" w:type="dxa"/>
            </w:tcMar>
            <w:hideMark/>
          </w:tcPr>
          <w:p w14:paraId="0C70FD78" w14:textId="77777777" w:rsidR="007034F8" w:rsidRPr="007034F8" w:rsidRDefault="007034F8" w:rsidP="007034F8">
            <w:pPr>
              <w:spacing w:line="360" w:lineRule="auto"/>
              <w:rPr>
                <w:b/>
                <w:bCs/>
              </w:rPr>
            </w:pPr>
            <w:r w:rsidRPr="007034F8">
              <w:rPr>
                <w:b/>
                <w:bCs/>
              </w:rPr>
              <w:t>0.12181</w:t>
            </w:r>
          </w:p>
        </w:tc>
        <w:tc>
          <w:tcPr>
            <w:tcW w:w="0" w:type="auto"/>
            <w:tcBorders>
              <w:top w:val="nil"/>
              <w:left w:val="nil"/>
              <w:bottom w:val="nil"/>
              <w:right w:val="single" w:sz="4" w:space="0" w:color="auto"/>
            </w:tcBorders>
            <w:tcMar>
              <w:top w:w="0" w:type="dxa"/>
              <w:left w:w="135" w:type="dxa"/>
              <w:bottom w:w="0" w:type="dxa"/>
              <w:right w:w="135" w:type="dxa"/>
            </w:tcMar>
            <w:hideMark/>
          </w:tcPr>
          <w:p w14:paraId="65B88AA8" w14:textId="77777777" w:rsidR="007034F8" w:rsidRPr="007034F8" w:rsidRDefault="007034F8" w:rsidP="007034F8">
            <w:pPr>
              <w:spacing w:line="360" w:lineRule="auto"/>
              <w:rPr>
                <w:b/>
                <w:bCs/>
              </w:rPr>
            </w:pPr>
            <w:r w:rsidRPr="007034F8">
              <w:rPr>
                <w:b/>
                <w:bCs/>
              </w:rPr>
              <w:t>3.743325</w:t>
            </w:r>
          </w:p>
        </w:tc>
      </w:tr>
      <w:tr w:rsidR="007034F8" w:rsidRPr="007034F8" w14:paraId="66D8C6C2"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303B3294" w14:textId="77777777" w:rsidR="007034F8" w:rsidRPr="007034F8" w:rsidRDefault="007034F8" w:rsidP="007034F8">
            <w:pPr>
              <w:spacing w:line="360" w:lineRule="auto"/>
              <w:rPr>
                <w:b/>
                <w:bCs/>
              </w:rPr>
            </w:pPr>
            <w:r w:rsidRPr="007034F8">
              <w:rPr>
                <w:b/>
                <w:bCs/>
              </w:rPr>
              <w:t>7</w:t>
            </w:r>
          </w:p>
        </w:tc>
        <w:tc>
          <w:tcPr>
            <w:tcW w:w="0" w:type="auto"/>
            <w:tcBorders>
              <w:top w:val="nil"/>
              <w:left w:val="nil"/>
              <w:bottom w:val="nil"/>
              <w:right w:val="nil"/>
            </w:tcBorders>
            <w:tcMar>
              <w:top w:w="0" w:type="dxa"/>
              <w:left w:w="135" w:type="dxa"/>
              <w:bottom w:w="0" w:type="dxa"/>
              <w:right w:w="135" w:type="dxa"/>
            </w:tcMar>
            <w:hideMark/>
          </w:tcPr>
          <w:p w14:paraId="6A102FCE" w14:textId="77777777" w:rsidR="007034F8" w:rsidRPr="007034F8" w:rsidRDefault="007034F8" w:rsidP="007034F8">
            <w:pPr>
              <w:spacing w:line="360" w:lineRule="auto"/>
              <w:rPr>
                <w:b/>
                <w:bCs/>
              </w:rPr>
            </w:pPr>
            <w:r w:rsidRPr="007034F8">
              <w:rPr>
                <w:b/>
                <w:bCs/>
              </w:rPr>
              <w:t>-0.685064</w:t>
            </w:r>
          </w:p>
        </w:tc>
        <w:tc>
          <w:tcPr>
            <w:tcW w:w="0" w:type="auto"/>
            <w:tcBorders>
              <w:top w:val="nil"/>
              <w:left w:val="nil"/>
              <w:bottom w:val="nil"/>
              <w:right w:val="nil"/>
            </w:tcBorders>
            <w:tcMar>
              <w:top w:w="0" w:type="dxa"/>
              <w:left w:w="135" w:type="dxa"/>
              <w:bottom w:w="0" w:type="dxa"/>
              <w:right w:w="135" w:type="dxa"/>
            </w:tcMar>
            <w:hideMark/>
          </w:tcPr>
          <w:p w14:paraId="0A06DC16" w14:textId="77777777" w:rsidR="007034F8" w:rsidRPr="007034F8" w:rsidRDefault="007034F8" w:rsidP="007034F8">
            <w:pPr>
              <w:spacing w:line="360" w:lineRule="auto"/>
              <w:rPr>
                <w:b/>
                <w:bCs/>
              </w:rPr>
            </w:pPr>
            <w:r w:rsidRPr="007034F8">
              <w:rPr>
                <w:b/>
                <w:bCs/>
              </w:rPr>
              <w:t>0.08866</w:t>
            </w:r>
          </w:p>
        </w:tc>
        <w:tc>
          <w:tcPr>
            <w:tcW w:w="0" w:type="auto"/>
            <w:tcBorders>
              <w:top w:val="nil"/>
              <w:left w:val="nil"/>
              <w:bottom w:val="nil"/>
              <w:right w:val="single" w:sz="4" w:space="0" w:color="auto"/>
            </w:tcBorders>
            <w:tcMar>
              <w:top w:w="0" w:type="dxa"/>
              <w:left w:w="135" w:type="dxa"/>
              <w:bottom w:w="0" w:type="dxa"/>
              <w:right w:w="135" w:type="dxa"/>
            </w:tcMar>
            <w:hideMark/>
          </w:tcPr>
          <w:p w14:paraId="44360132" w14:textId="77777777" w:rsidR="007034F8" w:rsidRPr="007034F8" w:rsidRDefault="007034F8" w:rsidP="007034F8">
            <w:pPr>
              <w:spacing w:line="360" w:lineRule="auto"/>
              <w:rPr>
                <w:b/>
                <w:bCs/>
              </w:rPr>
            </w:pPr>
            <w:r w:rsidRPr="007034F8">
              <w:rPr>
                <w:b/>
                <w:bCs/>
              </w:rPr>
              <w:t>-0.717614</w:t>
            </w:r>
          </w:p>
        </w:tc>
      </w:tr>
      <w:tr w:rsidR="007034F8" w:rsidRPr="007034F8" w14:paraId="074233C3"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254DFA63" w14:textId="77777777" w:rsidR="007034F8" w:rsidRPr="007034F8" w:rsidRDefault="007034F8" w:rsidP="007034F8">
            <w:pPr>
              <w:spacing w:line="360" w:lineRule="auto"/>
              <w:rPr>
                <w:b/>
                <w:bCs/>
              </w:rPr>
            </w:pPr>
            <w:r w:rsidRPr="007034F8">
              <w:rPr>
                <w:b/>
                <w:bCs/>
              </w:rPr>
              <w:t>8</w:t>
            </w:r>
          </w:p>
        </w:tc>
        <w:tc>
          <w:tcPr>
            <w:tcW w:w="0" w:type="auto"/>
            <w:tcBorders>
              <w:top w:val="nil"/>
              <w:left w:val="nil"/>
              <w:bottom w:val="nil"/>
              <w:right w:val="nil"/>
            </w:tcBorders>
            <w:tcMar>
              <w:top w:w="0" w:type="dxa"/>
              <w:left w:w="135" w:type="dxa"/>
              <w:bottom w:w="0" w:type="dxa"/>
              <w:right w:w="135" w:type="dxa"/>
            </w:tcMar>
            <w:hideMark/>
          </w:tcPr>
          <w:p w14:paraId="3B8B6FBF" w14:textId="77777777" w:rsidR="007034F8" w:rsidRPr="007034F8" w:rsidRDefault="007034F8" w:rsidP="007034F8">
            <w:pPr>
              <w:spacing w:line="360" w:lineRule="auto"/>
              <w:rPr>
                <w:b/>
                <w:bCs/>
              </w:rPr>
            </w:pPr>
            <w:r w:rsidRPr="007034F8">
              <w:rPr>
                <w:b/>
                <w:bCs/>
              </w:rPr>
              <w:t>1.128679</w:t>
            </w:r>
          </w:p>
        </w:tc>
        <w:tc>
          <w:tcPr>
            <w:tcW w:w="0" w:type="auto"/>
            <w:tcBorders>
              <w:top w:val="nil"/>
              <w:left w:val="nil"/>
              <w:bottom w:val="nil"/>
              <w:right w:val="nil"/>
            </w:tcBorders>
            <w:tcMar>
              <w:top w:w="0" w:type="dxa"/>
              <w:left w:w="135" w:type="dxa"/>
              <w:bottom w:w="0" w:type="dxa"/>
              <w:right w:w="135" w:type="dxa"/>
            </w:tcMar>
            <w:hideMark/>
          </w:tcPr>
          <w:p w14:paraId="6F4ACCAC" w14:textId="77777777" w:rsidR="007034F8" w:rsidRPr="007034F8" w:rsidRDefault="007034F8" w:rsidP="007034F8">
            <w:pPr>
              <w:spacing w:line="360" w:lineRule="auto"/>
              <w:rPr>
                <w:b/>
                <w:bCs/>
              </w:rPr>
            </w:pPr>
            <w:r w:rsidRPr="007034F8">
              <w:rPr>
                <w:b/>
                <w:bCs/>
              </w:rPr>
              <w:t>0.092669</w:t>
            </w:r>
          </w:p>
        </w:tc>
        <w:tc>
          <w:tcPr>
            <w:tcW w:w="0" w:type="auto"/>
            <w:tcBorders>
              <w:top w:val="nil"/>
              <w:left w:val="nil"/>
              <w:bottom w:val="nil"/>
              <w:right w:val="single" w:sz="4" w:space="0" w:color="auto"/>
            </w:tcBorders>
            <w:tcMar>
              <w:top w:w="0" w:type="dxa"/>
              <w:left w:w="135" w:type="dxa"/>
              <w:bottom w:w="0" w:type="dxa"/>
              <w:right w:w="135" w:type="dxa"/>
            </w:tcMar>
            <w:hideMark/>
          </w:tcPr>
          <w:p w14:paraId="239ADDF8" w14:textId="77777777" w:rsidR="007034F8" w:rsidRPr="007034F8" w:rsidRDefault="007034F8" w:rsidP="007034F8">
            <w:pPr>
              <w:spacing w:line="360" w:lineRule="auto"/>
              <w:rPr>
                <w:b/>
                <w:bCs/>
              </w:rPr>
            </w:pPr>
            <w:r w:rsidRPr="007034F8">
              <w:rPr>
                <w:b/>
                <w:bCs/>
              </w:rPr>
              <w:t>1.184917</w:t>
            </w:r>
          </w:p>
        </w:tc>
      </w:tr>
      <w:tr w:rsidR="007034F8" w:rsidRPr="007034F8" w14:paraId="3976E1B4"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11C869F4" w14:textId="77777777" w:rsidR="007034F8" w:rsidRPr="007034F8" w:rsidRDefault="007034F8" w:rsidP="007034F8">
            <w:pPr>
              <w:spacing w:line="360" w:lineRule="auto"/>
              <w:rPr>
                <w:b/>
                <w:bCs/>
              </w:rPr>
            </w:pPr>
            <w:r w:rsidRPr="007034F8">
              <w:rPr>
                <w:b/>
                <w:bCs/>
              </w:rPr>
              <w:t>9</w:t>
            </w:r>
          </w:p>
        </w:tc>
        <w:tc>
          <w:tcPr>
            <w:tcW w:w="0" w:type="auto"/>
            <w:tcBorders>
              <w:top w:val="nil"/>
              <w:left w:val="nil"/>
              <w:bottom w:val="nil"/>
              <w:right w:val="nil"/>
            </w:tcBorders>
            <w:tcMar>
              <w:top w:w="0" w:type="dxa"/>
              <w:left w:w="135" w:type="dxa"/>
              <w:bottom w:w="0" w:type="dxa"/>
              <w:right w:w="135" w:type="dxa"/>
            </w:tcMar>
            <w:hideMark/>
          </w:tcPr>
          <w:p w14:paraId="50956C43" w14:textId="77777777" w:rsidR="007034F8" w:rsidRPr="007034F8" w:rsidRDefault="007034F8" w:rsidP="007034F8">
            <w:pPr>
              <w:spacing w:line="360" w:lineRule="auto"/>
              <w:rPr>
                <w:b/>
                <w:bCs/>
              </w:rPr>
            </w:pPr>
            <w:r w:rsidRPr="007034F8">
              <w:rPr>
                <w:b/>
                <w:bCs/>
              </w:rPr>
              <w:t>-0.86616</w:t>
            </w:r>
          </w:p>
        </w:tc>
        <w:tc>
          <w:tcPr>
            <w:tcW w:w="0" w:type="auto"/>
            <w:tcBorders>
              <w:top w:val="nil"/>
              <w:left w:val="nil"/>
              <w:bottom w:val="nil"/>
              <w:right w:val="nil"/>
            </w:tcBorders>
            <w:tcMar>
              <w:top w:w="0" w:type="dxa"/>
              <w:left w:w="135" w:type="dxa"/>
              <w:bottom w:w="0" w:type="dxa"/>
              <w:right w:w="135" w:type="dxa"/>
            </w:tcMar>
            <w:hideMark/>
          </w:tcPr>
          <w:p w14:paraId="0F673024" w14:textId="77777777" w:rsidR="007034F8" w:rsidRPr="007034F8" w:rsidRDefault="007034F8" w:rsidP="007034F8">
            <w:pPr>
              <w:spacing w:line="360" w:lineRule="auto"/>
              <w:rPr>
                <w:b/>
                <w:bCs/>
              </w:rPr>
            </w:pPr>
            <w:r w:rsidRPr="007034F8">
              <w:rPr>
                <w:b/>
                <w:bCs/>
              </w:rPr>
              <w:t>0.120361</w:t>
            </w:r>
          </w:p>
        </w:tc>
        <w:tc>
          <w:tcPr>
            <w:tcW w:w="0" w:type="auto"/>
            <w:tcBorders>
              <w:top w:val="nil"/>
              <w:left w:val="nil"/>
              <w:bottom w:val="nil"/>
              <w:right w:val="single" w:sz="4" w:space="0" w:color="auto"/>
            </w:tcBorders>
            <w:tcMar>
              <w:top w:w="0" w:type="dxa"/>
              <w:left w:w="135" w:type="dxa"/>
              <w:bottom w:w="0" w:type="dxa"/>
              <w:right w:w="135" w:type="dxa"/>
            </w:tcMar>
            <w:hideMark/>
          </w:tcPr>
          <w:p w14:paraId="04AE9AD7" w14:textId="77777777" w:rsidR="007034F8" w:rsidRPr="007034F8" w:rsidRDefault="007034F8" w:rsidP="007034F8">
            <w:pPr>
              <w:spacing w:line="360" w:lineRule="auto"/>
              <w:rPr>
                <w:b/>
                <w:bCs/>
              </w:rPr>
            </w:pPr>
            <w:r w:rsidRPr="007034F8">
              <w:rPr>
                <w:b/>
                <w:bCs/>
              </w:rPr>
              <w:t>-0.923519</w:t>
            </w:r>
          </w:p>
        </w:tc>
      </w:tr>
      <w:tr w:rsidR="007034F8" w:rsidRPr="007034F8" w14:paraId="595EE3CD"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20BD87B1" w14:textId="77777777" w:rsidR="007034F8" w:rsidRPr="007034F8" w:rsidRDefault="007034F8" w:rsidP="007034F8">
            <w:pPr>
              <w:spacing w:line="360" w:lineRule="auto"/>
              <w:rPr>
                <w:b/>
                <w:bCs/>
              </w:rPr>
            </w:pPr>
            <w:r w:rsidRPr="007034F8">
              <w:rPr>
                <w:b/>
                <w:bCs/>
              </w:rPr>
              <w:t>10</w:t>
            </w:r>
          </w:p>
        </w:tc>
        <w:tc>
          <w:tcPr>
            <w:tcW w:w="0" w:type="auto"/>
            <w:tcBorders>
              <w:top w:val="nil"/>
              <w:left w:val="nil"/>
              <w:bottom w:val="nil"/>
              <w:right w:val="nil"/>
            </w:tcBorders>
            <w:tcMar>
              <w:top w:w="0" w:type="dxa"/>
              <w:left w:w="135" w:type="dxa"/>
              <w:bottom w:w="0" w:type="dxa"/>
              <w:right w:w="135" w:type="dxa"/>
            </w:tcMar>
            <w:hideMark/>
          </w:tcPr>
          <w:p w14:paraId="220B47DA" w14:textId="77777777" w:rsidR="007034F8" w:rsidRPr="007034F8" w:rsidRDefault="007034F8" w:rsidP="007034F8">
            <w:pPr>
              <w:spacing w:line="360" w:lineRule="auto"/>
              <w:rPr>
                <w:b/>
                <w:bCs/>
              </w:rPr>
            </w:pPr>
            <w:r w:rsidRPr="007034F8">
              <w:rPr>
                <w:b/>
                <w:bCs/>
              </w:rPr>
              <w:t>-0.536345</w:t>
            </w:r>
          </w:p>
        </w:tc>
        <w:tc>
          <w:tcPr>
            <w:tcW w:w="0" w:type="auto"/>
            <w:tcBorders>
              <w:top w:val="nil"/>
              <w:left w:val="nil"/>
              <w:bottom w:val="nil"/>
              <w:right w:val="nil"/>
            </w:tcBorders>
            <w:tcMar>
              <w:top w:w="0" w:type="dxa"/>
              <w:left w:w="135" w:type="dxa"/>
              <w:bottom w:w="0" w:type="dxa"/>
              <w:right w:w="135" w:type="dxa"/>
            </w:tcMar>
            <w:hideMark/>
          </w:tcPr>
          <w:p w14:paraId="25D032AA" w14:textId="77777777" w:rsidR="007034F8" w:rsidRPr="007034F8" w:rsidRDefault="007034F8" w:rsidP="007034F8">
            <w:pPr>
              <w:spacing w:line="360" w:lineRule="auto"/>
              <w:rPr>
                <w:b/>
                <w:bCs/>
              </w:rPr>
            </w:pPr>
            <w:r w:rsidRPr="007034F8">
              <w:rPr>
                <w:b/>
                <w:bCs/>
              </w:rPr>
              <w:t>0.069768</w:t>
            </w:r>
          </w:p>
        </w:tc>
        <w:tc>
          <w:tcPr>
            <w:tcW w:w="0" w:type="auto"/>
            <w:tcBorders>
              <w:top w:val="nil"/>
              <w:left w:val="nil"/>
              <w:bottom w:val="nil"/>
              <w:right w:val="single" w:sz="4" w:space="0" w:color="auto"/>
            </w:tcBorders>
            <w:tcMar>
              <w:top w:w="0" w:type="dxa"/>
              <w:left w:w="135" w:type="dxa"/>
              <w:bottom w:w="0" w:type="dxa"/>
              <w:right w:w="135" w:type="dxa"/>
            </w:tcMar>
            <w:hideMark/>
          </w:tcPr>
          <w:p w14:paraId="3F346DA3" w14:textId="77777777" w:rsidR="007034F8" w:rsidRPr="007034F8" w:rsidRDefault="007034F8" w:rsidP="007034F8">
            <w:pPr>
              <w:spacing w:line="360" w:lineRule="auto"/>
              <w:rPr>
                <w:b/>
                <w:bCs/>
              </w:rPr>
            </w:pPr>
            <w:r w:rsidRPr="007034F8">
              <w:rPr>
                <w:b/>
                <w:bCs/>
              </w:rPr>
              <w:t>-0.556094</w:t>
            </w:r>
          </w:p>
        </w:tc>
      </w:tr>
      <w:tr w:rsidR="007034F8" w:rsidRPr="007034F8" w14:paraId="4238BB4A"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2856044B" w14:textId="77777777" w:rsidR="007034F8" w:rsidRPr="007034F8" w:rsidRDefault="007034F8" w:rsidP="007034F8">
            <w:pPr>
              <w:spacing w:line="360" w:lineRule="auto"/>
              <w:rPr>
                <w:b/>
                <w:bCs/>
              </w:rPr>
            </w:pPr>
            <w:r w:rsidRPr="007034F8">
              <w:rPr>
                <w:b/>
                <w:bCs/>
              </w:rPr>
              <w:t>11</w:t>
            </w:r>
          </w:p>
        </w:tc>
        <w:tc>
          <w:tcPr>
            <w:tcW w:w="0" w:type="auto"/>
            <w:tcBorders>
              <w:top w:val="nil"/>
              <w:left w:val="nil"/>
              <w:bottom w:val="nil"/>
              <w:right w:val="nil"/>
            </w:tcBorders>
            <w:tcMar>
              <w:top w:w="0" w:type="dxa"/>
              <w:left w:w="135" w:type="dxa"/>
              <w:bottom w:w="0" w:type="dxa"/>
              <w:right w:w="135" w:type="dxa"/>
            </w:tcMar>
            <w:hideMark/>
          </w:tcPr>
          <w:p w14:paraId="06EF7C67" w14:textId="77777777" w:rsidR="007034F8" w:rsidRPr="007034F8" w:rsidRDefault="007034F8" w:rsidP="007034F8">
            <w:pPr>
              <w:spacing w:line="360" w:lineRule="auto"/>
              <w:rPr>
                <w:b/>
                <w:bCs/>
              </w:rPr>
            </w:pPr>
            <w:r w:rsidRPr="007034F8">
              <w:rPr>
                <w:b/>
                <w:bCs/>
              </w:rPr>
              <w:t>-0.532942</w:t>
            </w:r>
          </w:p>
        </w:tc>
        <w:tc>
          <w:tcPr>
            <w:tcW w:w="0" w:type="auto"/>
            <w:tcBorders>
              <w:top w:val="nil"/>
              <w:left w:val="nil"/>
              <w:bottom w:val="nil"/>
              <w:right w:val="nil"/>
            </w:tcBorders>
            <w:tcMar>
              <w:top w:w="0" w:type="dxa"/>
              <w:left w:w="135" w:type="dxa"/>
              <w:bottom w:w="0" w:type="dxa"/>
              <w:right w:w="135" w:type="dxa"/>
            </w:tcMar>
            <w:hideMark/>
          </w:tcPr>
          <w:p w14:paraId="2C843603" w14:textId="77777777" w:rsidR="007034F8" w:rsidRPr="007034F8" w:rsidRDefault="007034F8" w:rsidP="007034F8">
            <w:pPr>
              <w:spacing w:line="360" w:lineRule="auto"/>
              <w:rPr>
                <w:b/>
                <w:bCs/>
              </w:rPr>
            </w:pPr>
            <w:r w:rsidRPr="007034F8">
              <w:rPr>
                <w:b/>
                <w:bCs/>
              </w:rPr>
              <w:t>0.06462</w:t>
            </w:r>
          </w:p>
        </w:tc>
        <w:tc>
          <w:tcPr>
            <w:tcW w:w="0" w:type="auto"/>
            <w:tcBorders>
              <w:top w:val="nil"/>
              <w:left w:val="nil"/>
              <w:bottom w:val="nil"/>
              <w:right w:val="single" w:sz="4" w:space="0" w:color="auto"/>
            </w:tcBorders>
            <w:tcMar>
              <w:top w:w="0" w:type="dxa"/>
              <w:left w:w="135" w:type="dxa"/>
              <w:bottom w:w="0" w:type="dxa"/>
              <w:right w:w="135" w:type="dxa"/>
            </w:tcMar>
            <w:hideMark/>
          </w:tcPr>
          <w:p w14:paraId="6718EC93" w14:textId="77777777" w:rsidR="007034F8" w:rsidRPr="007034F8" w:rsidRDefault="007034F8" w:rsidP="007034F8">
            <w:pPr>
              <w:spacing w:line="360" w:lineRule="auto"/>
              <w:rPr>
                <w:b/>
                <w:bCs/>
              </w:rPr>
            </w:pPr>
            <w:r w:rsidRPr="007034F8">
              <w:rPr>
                <w:b/>
                <w:bCs/>
              </w:rPr>
              <w:t>-0.551043</w:t>
            </w:r>
          </w:p>
        </w:tc>
      </w:tr>
      <w:tr w:rsidR="007034F8" w:rsidRPr="007034F8" w14:paraId="4591DCE3"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1575D157" w14:textId="77777777" w:rsidR="007034F8" w:rsidRPr="007034F8" w:rsidRDefault="007034F8" w:rsidP="007034F8">
            <w:pPr>
              <w:spacing w:line="360" w:lineRule="auto"/>
              <w:rPr>
                <w:b/>
                <w:bCs/>
              </w:rPr>
            </w:pPr>
            <w:r w:rsidRPr="007034F8">
              <w:rPr>
                <w:b/>
                <w:bCs/>
              </w:rPr>
              <w:t>12</w:t>
            </w:r>
          </w:p>
        </w:tc>
        <w:tc>
          <w:tcPr>
            <w:tcW w:w="0" w:type="auto"/>
            <w:tcBorders>
              <w:top w:val="nil"/>
              <w:left w:val="nil"/>
              <w:bottom w:val="nil"/>
              <w:right w:val="nil"/>
            </w:tcBorders>
            <w:tcMar>
              <w:top w:w="0" w:type="dxa"/>
              <w:left w:w="135" w:type="dxa"/>
              <w:bottom w:w="0" w:type="dxa"/>
              <w:right w:w="135" w:type="dxa"/>
            </w:tcMar>
            <w:hideMark/>
          </w:tcPr>
          <w:p w14:paraId="63ECA6B5" w14:textId="77777777" w:rsidR="007034F8" w:rsidRPr="007034F8" w:rsidRDefault="007034F8" w:rsidP="007034F8">
            <w:pPr>
              <w:spacing w:line="360" w:lineRule="auto"/>
              <w:rPr>
                <w:b/>
                <w:bCs/>
              </w:rPr>
            </w:pPr>
            <w:r w:rsidRPr="007034F8">
              <w:rPr>
                <w:b/>
                <w:bCs/>
              </w:rPr>
              <w:t>-0.911406</w:t>
            </w:r>
          </w:p>
        </w:tc>
        <w:tc>
          <w:tcPr>
            <w:tcW w:w="0" w:type="auto"/>
            <w:tcBorders>
              <w:top w:val="nil"/>
              <w:left w:val="nil"/>
              <w:bottom w:val="nil"/>
              <w:right w:val="nil"/>
            </w:tcBorders>
            <w:tcMar>
              <w:top w:w="0" w:type="dxa"/>
              <w:left w:w="135" w:type="dxa"/>
              <w:bottom w:w="0" w:type="dxa"/>
              <w:right w:w="135" w:type="dxa"/>
            </w:tcMar>
            <w:hideMark/>
          </w:tcPr>
          <w:p w14:paraId="08C45F20" w14:textId="77777777" w:rsidR="007034F8" w:rsidRPr="007034F8" w:rsidRDefault="007034F8" w:rsidP="007034F8">
            <w:pPr>
              <w:spacing w:line="360" w:lineRule="auto"/>
              <w:rPr>
                <w:b/>
                <w:bCs/>
              </w:rPr>
            </w:pPr>
            <w:r w:rsidRPr="007034F8">
              <w:rPr>
                <w:b/>
                <w:bCs/>
              </w:rPr>
              <w:t>0.167619</w:t>
            </w:r>
          </w:p>
        </w:tc>
        <w:tc>
          <w:tcPr>
            <w:tcW w:w="0" w:type="auto"/>
            <w:tcBorders>
              <w:top w:val="nil"/>
              <w:left w:val="nil"/>
              <w:bottom w:val="nil"/>
              <w:right w:val="single" w:sz="4" w:space="0" w:color="auto"/>
            </w:tcBorders>
            <w:tcMar>
              <w:top w:w="0" w:type="dxa"/>
              <w:left w:w="135" w:type="dxa"/>
              <w:bottom w:w="0" w:type="dxa"/>
              <w:right w:w="135" w:type="dxa"/>
            </w:tcMar>
            <w:hideMark/>
          </w:tcPr>
          <w:p w14:paraId="7081FB48" w14:textId="77777777" w:rsidR="007034F8" w:rsidRPr="007034F8" w:rsidRDefault="007034F8" w:rsidP="007034F8">
            <w:pPr>
              <w:spacing w:line="360" w:lineRule="auto"/>
              <w:rPr>
                <w:b/>
                <w:bCs/>
              </w:rPr>
            </w:pPr>
            <w:r w:rsidRPr="007034F8">
              <w:rPr>
                <w:b/>
                <w:bCs/>
              </w:rPr>
              <w:t>-0.998966</w:t>
            </w:r>
          </w:p>
        </w:tc>
      </w:tr>
      <w:tr w:rsidR="007034F8" w:rsidRPr="007034F8" w14:paraId="5FFCE619"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07D3C151" w14:textId="77777777" w:rsidR="007034F8" w:rsidRPr="007034F8" w:rsidRDefault="007034F8" w:rsidP="007034F8">
            <w:pPr>
              <w:spacing w:line="360" w:lineRule="auto"/>
              <w:rPr>
                <w:b/>
                <w:bCs/>
              </w:rPr>
            </w:pPr>
            <w:r w:rsidRPr="007034F8">
              <w:rPr>
                <w:b/>
                <w:bCs/>
              </w:rPr>
              <w:t>13</w:t>
            </w:r>
          </w:p>
        </w:tc>
        <w:tc>
          <w:tcPr>
            <w:tcW w:w="0" w:type="auto"/>
            <w:tcBorders>
              <w:top w:val="nil"/>
              <w:left w:val="nil"/>
              <w:bottom w:val="nil"/>
              <w:right w:val="nil"/>
            </w:tcBorders>
            <w:tcMar>
              <w:top w:w="0" w:type="dxa"/>
              <w:left w:w="135" w:type="dxa"/>
              <w:bottom w:w="0" w:type="dxa"/>
              <w:right w:w="135" w:type="dxa"/>
            </w:tcMar>
            <w:hideMark/>
          </w:tcPr>
          <w:p w14:paraId="61ABF386" w14:textId="77777777" w:rsidR="007034F8" w:rsidRPr="007034F8" w:rsidRDefault="007034F8" w:rsidP="007034F8">
            <w:pPr>
              <w:spacing w:line="360" w:lineRule="auto"/>
              <w:rPr>
                <w:b/>
                <w:bCs/>
              </w:rPr>
            </w:pPr>
            <w:r w:rsidRPr="007034F8">
              <w:rPr>
                <w:b/>
                <w:bCs/>
              </w:rPr>
              <w:t>-0.730085</w:t>
            </w:r>
          </w:p>
        </w:tc>
        <w:tc>
          <w:tcPr>
            <w:tcW w:w="0" w:type="auto"/>
            <w:tcBorders>
              <w:top w:val="nil"/>
              <w:left w:val="nil"/>
              <w:bottom w:val="nil"/>
              <w:right w:val="nil"/>
            </w:tcBorders>
            <w:tcMar>
              <w:top w:w="0" w:type="dxa"/>
              <w:left w:w="135" w:type="dxa"/>
              <w:bottom w:w="0" w:type="dxa"/>
              <w:right w:w="135" w:type="dxa"/>
            </w:tcMar>
            <w:hideMark/>
          </w:tcPr>
          <w:p w14:paraId="1CAA573D" w14:textId="77777777" w:rsidR="007034F8" w:rsidRPr="007034F8" w:rsidRDefault="007034F8" w:rsidP="007034F8">
            <w:pPr>
              <w:spacing w:line="360" w:lineRule="auto"/>
              <w:rPr>
                <w:b/>
                <w:bCs/>
              </w:rPr>
            </w:pPr>
            <w:r w:rsidRPr="007034F8">
              <w:rPr>
                <w:b/>
                <w:bCs/>
              </w:rPr>
              <w:t>0.09296</w:t>
            </w:r>
          </w:p>
        </w:tc>
        <w:tc>
          <w:tcPr>
            <w:tcW w:w="0" w:type="auto"/>
            <w:tcBorders>
              <w:top w:val="nil"/>
              <w:left w:val="nil"/>
              <w:bottom w:val="nil"/>
              <w:right w:val="single" w:sz="4" w:space="0" w:color="auto"/>
            </w:tcBorders>
            <w:tcMar>
              <w:top w:w="0" w:type="dxa"/>
              <w:left w:w="135" w:type="dxa"/>
              <w:bottom w:w="0" w:type="dxa"/>
              <w:right w:w="135" w:type="dxa"/>
            </w:tcMar>
            <w:hideMark/>
          </w:tcPr>
          <w:p w14:paraId="4DE186CB" w14:textId="77777777" w:rsidR="007034F8" w:rsidRPr="007034F8" w:rsidRDefault="007034F8" w:rsidP="007034F8">
            <w:pPr>
              <w:spacing w:line="360" w:lineRule="auto"/>
              <w:rPr>
                <w:b/>
                <w:bCs/>
              </w:rPr>
            </w:pPr>
            <w:r w:rsidRPr="007034F8">
              <w:rPr>
                <w:b/>
                <w:bCs/>
              </w:rPr>
              <w:t>-0.766585</w:t>
            </w:r>
          </w:p>
        </w:tc>
      </w:tr>
      <w:tr w:rsidR="007034F8" w:rsidRPr="007034F8" w14:paraId="3B7893B7"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04142A72" w14:textId="77777777" w:rsidR="007034F8" w:rsidRPr="007034F8" w:rsidRDefault="007034F8" w:rsidP="007034F8">
            <w:pPr>
              <w:spacing w:line="360" w:lineRule="auto"/>
              <w:rPr>
                <w:b/>
                <w:bCs/>
              </w:rPr>
            </w:pPr>
            <w:r w:rsidRPr="007034F8">
              <w:rPr>
                <w:b/>
                <w:bCs/>
              </w:rPr>
              <w:t>14</w:t>
            </w:r>
          </w:p>
        </w:tc>
        <w:tc>
          <w:tcPr>
            <w:tcW w:w="0" w:type="auto"/>
            <w:tcBorders>
              <w:top w:val="nil"/>
              <w:left w:val="nil"/>
              <w:bottom w:val="nil"/>
              <w:right w:val="nil"/>
            </w:tcBorders>
            <w:tcMar>
              <w:top w:w="0" w:type="dxa"/>
              <w:left w:w="135" w:type="dxa"/>
              <w:bottom w:w="0" w:type="dxa"/>
              <w:right w:w="135" w:type="dxa"/>
            </w:tcMar>
            <w:hideMark/>
          </w:tcPr>
          <w:p w14:paraId="14AD1755" w14:textId="77777777" w:rsidR="007034F8" w:rsidRPr="007034F8" w:rsidRDefault="007034F8" w:rsidP="007034F8">
            <w:pPr>
              <w:spacing w:line="360" w:lineRule="auto"/>
              <w:rPr>
                <w:b/>
                <w:bCs/>
              </w:rPr>
            </w:pPr>
            <w:r w:rsidRPr="007034F8">
              <w:rPr>
                <w:b/>
                <w:bCs/>
              </w:rPr>
              <w:t>-0.793065</w:t>
            </w:r>
          </w:p>
        </w:tc>
        <w:tc>
          <w:tcPr>
            <w:tcW w:w="0" w:type="auto"/>
            <w:tcBorders>
              <w:top w:val="nil"/>
              <w:left w:val="nil"/>
              <w:bottom w:val="nil"/>
              <w:right w:val="nil"/>
            </w:tcBorders>
            <w:tcMar>
              <w:top w:w="0" w:type="dxa"/>
              <w:left w:w="135" w:type="dxa"/>
              <w:bottom w:w="0" w:type="dxa"/>
              <w:right w:w="135" w:type="dxa"/>
            </w:tcMar>
            <w:hideMark/>
          </w:tcPr>
          <w:p w14:paraId="4F64C908" w14:textId="77777777" w:rsidR="007034F8" w:rsidRPr="007034F8" w:rsidRDefault="007034F8" w:rsidP="007034F8">
            <w:pPr>
              <w:spacing w:line="360" w:lineRule="auto"/>
              <w:rPr>
                <w:b/>
                <w:bCs/>
              </w:rPr>
            </w:pPr>
            <w:r w:rsidRPr="007034F8">
              <w:rPr>
                <w:b/>
                <w:bCs/>
              </w:rPr>
              <w:t>0.242292</w:t>
            </w:r>
          </w:p>
        </w:tc>
        <w:tc>
          <w:tcPr>
            <w:tcW w:w="0" w:type="auto"/>
            <w:tcBorders>
              <w:top w:val="nil"/>
              <w:left w:val="nil"/>
              <w:bottom w:val="nil"/>
              <w:right w:val="single" w:sz="4" w:space="0" w:color="auto"/>
            </w:tcBorders>
            <w:tcMar>
              <w:top w:w="0" w:type="dxa"/>
              <w:left w:w="135" w:type="dxa"/>
              <w:bottom w:w="0" w:type="dxa"/>
              <w:right w:w="135" w:type="dxa"/>
            </w:tcMar>
            <w:hideMark/>
          </w:tcPr>
          <w:p w14:paraId="688117BD" w14:textId="77777777" w:rsidR="007034F8" w:rsidRPr="007034F8" w:rsidRDefault="007034F8" w:rsidP="007034F8">
            <w:pPr>
              <w:spacing w:line="360" w:lineRule="auto"/>
              <w:rPr>
                <w:b/>
                <w:bCs/>
              </w:rPr>
            </w:pPr>
            <w:r w:rsidRPr="007034F8">
              <w:rPr>
                <w:b/>
                <w:bCs/>
              </w:rPr>
              <w:t>-0.911083</w:t>
            </w:r>
          </w:p>
        </w:tc>
      </w:tr>
      <w:tr w:rsidR="007034F8" w:rsidRPr="007034F8" w14:paraId="21900068"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1BC79618" w14:textId="77777777" w:rsidR="007034F8" w:rsidRPr="007034F8" w:rsidRDefault="007034F8" w:rsidP="007034F8">
            <w:pPr>
              <w:spacing w:line="360" w:lineRule="auto"/>
              <w:rPr>
                <w:b/>
                <w:bCs/>
              </w:rPr>
            </w:pPr>
            <w:r w:rsidRPr="007034F8">
              <w:rPr>
                <w:b/>
                <w:bCs/>
              </w:rPr>
              <w:t>15</w:t>
            </w:r>
          </w:p>
        </w:tc>
        <w:tc>
          <w:tcPr>
            <w:tcW w:w="0" w:type="auto"/>
            <w:tcBorders>
              <w:top w:val="nil"/>
              <w:left w:val="nil"/>
              <w:bottom w:val="nil"/>
              <w:right w:val="nil"/>
            </w:tcBorders>
            <w:tcMar>
              <w:top w:w="0" w:type="dxa"/>
              <w:left w:w="135" w:type="dxa"/>
              <w:bottom w:w="0" w:type="dxa"/>
              <w:right w:w="135" w:type="dxa"/>
            </w:tcMar>
            <w:hideMark/>
          </w:tcPr>
          <w:p w14:paraId="52D5DC8D" w14:textId="77777777" w:rsidR="007034F8" w:rsidRPr="007034F8" w:rsidRDefault="007034F8" w:rsidP="007034F8">
            <w:pPr>
              <w:spacing w:line="360" w:lineRule="auto"/>
              <w:rPr>
                <w:b/>
                <w:bCs/>
              </w:rPr>
            </w:pPr>
            <w:r w:rsidRPr="007034F8">
              <w:rPr>
                <w:b/>
                <w:bCs/>
              </w:rPr>
              <w:t>-0.636418</w:t>
            </w:r>
          </w:p>
        </w:tc>
        <w:tc>
          <w:tcPr>
            <w:tcW w:w="0" w:type="auto"/>
            <w:tcBorders>
              <w:top w:val="nil"/>
              <w:left w:val="nil"/>
              <w:bottom w:val="nil"/>
              <w:right w:val="nil"/>
            </w:tcBorders>
            <w:tcMar>
              <w:top w:w="0" w:type="dxa"/>
              <w:left w:w="135" w:type="dxa"/>
              <w:bottom w:w="0" w:type="dxa"/>
              <w:right w:w="135" w:type="dxa"/>
            </w:tcMar>
            <w:hideMark/>
          </w:tcPr>
          <w:p w14:paraId="717AF226" w14:textId="77777777" w:rsidR="007034F8" w:rsidRPr="007034F8" w:rsidRDefault="007034F8" w:rsidP="007034F8">
            <w:pPr>
              <w:spacing w:line="360" w:lineRule="auto"/>
              <w:rPr>
                <w:b/>
                <w:bCs/>
              </w:rPr>
            </w:pPr>
            <w:r w:rsidRPr="007034F8">
              <w:rPr>
                <w:b/>
                <w:bCs/>
              </w:rPr>
              <w:t>0.133181</w:t>
            </w:r>
          </w:p>
        </w:tc>
        <w:tc>
          <w:tcPr>
            <w:tcW w:w="0" w:type="auto"/>
            <w:tcBorders>
              <w:top w:val="nil"/>
              <w:left w:val="nil"/>
              <w:bottom w:val="nil"/>
              <w:right w:val="single" w:sz="4" w:space="0" w:color="auto"/>
            </w:tcBorders>
            <w:tcMar>
              <w:top w:w="0" w:type="dxa"/>
              <w:left w:w="135" w:type="dxa"/>
              <w:bottom w:w="0" w:type="dxa"/>
              <w:right w:w="135" w:type="dxa"/>
            </w:tcMar>
            <w:hideMark/>
          </w:tcPr>
          <w:p w14:paraId="14A88F59" w14:textId="77777777" w:rsidR="007034F8" w:rsidRPr="007034F8" w:rsidRDefault="007034F8" w:rsidP="007034F8">
            <w:pPr>
              <w:spacing w:line="360" w:lineRule="auto"/>
              <w:rPr>
                <w:b/>
                <w:bCs/>
              </w:rPr>
            </w:pPr>
            <w:r w:rsidRPr="007034F8">
              <w:rPr>
                <w:b/>
                <w:bCs/>
              </w:rPr>
              <w:t>-0.683563</w:t>
            </w:r>
          </w:p>
        </w:tc>
      </w:tr>
      <w:tr w:rsidR="007034F8" w:rsidRPr="007034F8" w14:paraId="242F9027"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2C6C5CAA" w14:textId="77777777" w:rsidR="007034F8" w:rsidRPr="007034F8" w:rsidRDefault="007034F8" w:rsidP="007034F8">
            <w:pPr>
              <w:spacing w:line="360" w:lineRule="auto"/>
              <w:rPr>
                <w:b/>
                <w:bCs/>
              </w:rPr>
            </w:pPr>
            <w:r w:rsidRPr="007034F8">
              <w:rPr>
                <w:b/>
                <w:bCs/>
              </w:rPr>
              <w:t>16</w:t>
            </w:r>
          </w:p>
        </w:tc>
        <w:tc>
          <w:tcPr>
            <w:tcW w:w="0" w:type="auto"/>
            <w:tcBorders>
              <w:top w:val="nil"/>
              <w:left w:val="nil"/>
              <w:bottom w:val="nil"/>
              <w:right w:val="nil"/>
            </w:tcBorders>
            <w:tcMar>
              <w:top w:w="0" w:type="dxa"/>
              <w:left w:w="135" w:type="dxa"/>
              <w:bottom w:w="0" w:type="dxa"/>
              <w:right w:w="135" w:type="dxa"/>
            </w:tcMar>
            <w:hideMark/>
          </w:tcPr>
          <w:p w14:paraId="542BB927" w14:textId="77777777" w:rsidR="007034F8" w:rsidRPr="007034F8" w:rsidRDefault="007034F8" w:rsidP="007034F8">
            <w:pPr>
              <w:spacing w:line="360" w:lineRule="auto"/>
              <w:rPr>
                <w:b/>
                <w:bCs/>
              </w:rPr>
            </w:pPr>
            <w:r w:rsidRPr="007034F8">
              <w:rPr>
                <w:b/>
                <w:bCs/>
              </w:rPr>
              <w:t>0.406371</w:t>
            </w:r>
          </w:p>
        </w:tc>
        <w:tc>
          <w:tcPr>
            <w:tcW w:w="0" w:type="auto"/>
            <w:tcBorders>
              <w:top w:val="nil"/>
              <w:left w:val="nil"/>
              <w:bottom w:val="nil"/>
              <w:right w:val="nil"/>
            </w:tcBorders>
            <w:tcMar>
              <w:top w:w="0" w:type="dxa"/>
              <w:left w:w="135" w:type="dxa"/>
              <w:bottom w:w="0" w:type="dxa"/>
              <w:right w:w="135" w:type="dxa"/>
            </w:tcMar>
            <w:hideMark/>
          </w:tcPr>
          <w:p w14:paraId="2C6AED61" w14:textId="77777777" w:rsidR="007034F8" w:rsidRPr="007034F8" w:rsidRDefault="007034F8" w:rsidP="007034F8">
            <w:pPr>
              <w:spacing w:line="360" w:lineRule="auto"/>
              <w:rPr>
                <w:b/>
                <w:bCs/>
              </w:rPr>
            </w:pPr>
            <w:r w:rsidRPr="007034F8">
              <w:rPr>
                <w:b/>
                <w:bCs/>
              </w:rPr>
              <w:t>0.246818</w:t>
            </w:r>
          </w:p>
        </w:tc>
        <w:tc>
          <w:tcPr>
            <w:tcW w:w="0" w:type="auto"/>
            <w:tcBorders>
              <w:top w:val="nil"/>
              <w:left w:val="nil"/>
              <w:bottom w:val="nil"/>
              <w:right w:val="single" w:sz="4" w:space="0" w:color="auto"/>
            </w:tcBorders>
            <w:tcMar>
              <w:top w:w="0" w:type="dxa"/>
              <w:left w:w="135" w:type="dxa"/>
              <w:bottom w:w="0" w:type="dxa"/>
              <w:right w:w="135" w:type="dxa"/>
            </w:tcMar>
            <w:hideMark/>
          </w:tcPr>
          <w:p w14:paraId="1D215E68" w14:textId="77777777" w:rsidR="007034F8" w:rsidRPr="007034F8" w:rsidRDefault="007034F8" w:rsidP="007034F8">
            <w:pPr>
              <w:spacing w:line="360" w:lineRule="auto"/>
              <w:rPr>
                <w:b/>
                <w:bCs/>
              </w:rPr>
            </w:pPr>
            <w:r w:rsidRPr="007034F8">
              <w:rPr>
                <w:b/>
                <w:bCs/>
              </w:rPr>
              <w:t>0.468245</w:t>
            </w:r>
          </w:p>
        </w:tc>
      </w:tr>
      <w:tr w:rsidR="007034F8" w:rsidRPr="007034F8" w14:paraId="3B332909"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4FB9EFE0" w14:textId="77777777" w:rsidR="007034F8" w:rsidRPr="007034F8" w:rsidRDefault="007034F8" w:rsidP="007034F8">
            <w:pPr>
              <w:spacing w:line="360" w:lineRule="auto"/>
              <w:rPr>
                <w:b/>
                <w:bCs/>
              </w:rPr>
            </w:pPr>
            <w:r w:rsidRPr="007034F8">
              <w:rPr>
                <w:b/>
                <w:bCs/>
              </w:rPr>
              <w:t>17</w:t>
            </w:r>
          </w:p>
        </w:tc>
        <w:tc>
          <w:tcPr>
            <w:tcW w:w="0" w:type="auto"/>
            <w:tcBorders>
              <w:top w:val="nil"/>
              <w:left w:val="nil"/>
              <w:bottom w:val="nil"/>
              <w:right w:val="nil"/>
            </w:tcBorders>
            <w:tcMar>
              <w:top w:w="0" w:type="dxa"/>
              <w:left w:w="135" w:type="dxa"/>
              <w:bottom w:w="0" w:type="dxa"/>
              <w:right w:w="135" w:type="dxa"/>
            </w:tcMar>
            <w:hideMark/>
          </w:tcPr>
          <w:p w14:paraId="2B3437B2" w14:textId="77777777" w:rsidR="007034F8" w:rsidRPr="007034F8" w:rsidRDefault="007034F8" w:rsidP="007034F8">
            <w:pPr>
              <w:spacing w:line="360" w:lineRule="auto"/>
              <w:rPr>
                <w:b/>
                <w:bCs/>
              </w:rPr>
            </w:pPr>
            <w:r w:rsidRPr="007034F8">
              <w:rPr>
                <w:b/>
                <w:bCs/>
              </w:rPr>
              <w:t>0.618401</w:t>
            </w:r>
          </w:p>
        </w:tc>
        <w:tc>
          <w:tcPr>
            <w:tcW w:w="0" w:type="auto"/>
            <w:tcBorders>
              <w:top w:val="nil"/>
              <w:left w:val="nil"/>
              <w:bottom w:val="nil"/>
              <w:right w:val="nil"/>
            </w:tcBorders>
            <w:tcMar>
              <w:top w:w="0" w:type="dxa"/>
              <w:left w:w="135" w:type="dxa"/>
              <w:bottom w:w="0" w:type="dxa"/>
              <w:right w:w="135" w:type="dxa"/>
            </w:tcMar>
            <w:hideMark/>
          </w:tcPr>
          <w:p w14:paraId="0D4980E8" w14:textId="77777777" w:rsidR="007034F8" w:rsidRPr="007034F8" w:rsidRDefault="007034F8" w:rsidP="007034F8">
            <w:pPr>
              <w:spacing w:line="360" w:lineRule="auto"/>
              <w:rPr>
                <w:b/>
                <w:bCs/>
              </w:rPr>
            </w:pPr>
            <w:r w:rsidRPr="007034F8">
              <w:rPr>
                <w:b/>
                <w:bCs/>
              </w:rPr>
              <w:t>0.046414</w:t>
            </w:r>
          </w:p>
        </w:tc>
        <w:tc>
          <w:tcPr>
            <w:tcW w:w="0" w:type="auto"/>
            <w:tcBorders>
              <w:top w:val="nil"/>
              <w:left w:val="nil"/>
              <w:bottom w:val="nil"/>
              <w:right w:val="single" w:sz="4" w:space="0" w:color="auto"/>
            </w:tcBorders>
            <w:tcMar>
              <w:top w:w="0" w:type="dxa"/>
              <w:left w:w="135" w:type="dxa"/>
              <w:bottom w:w="0" w:type="dxa"/>
              <w:right w:w="135" w:type="dxa"/>
            </w:tcMar>
            <w:hideMark/>
          </w:tcPr>
          <w:p w14:paraId="57E30492" w14:textId="77777777" w:rsidR="007034F8" w:rsidRPr="007034F8" w:rsidRDefault="007034F8" w:rsidP="007034F8">
            <w:pPr>
              <w:spacing w:line="360" w:lineRule="auto"/>
              <w:rPr>
                <w:b/>
                <w:bCs/>
              </w:rPr>
            </w:pPr>
            <w:r w:rsidRPr="007034F8">
              <w:rPr>
                <w:b/>
                <w:bCs/>
              </w:rPr>
              <w:t>0.633272</w:t>
            </w:r>
          </w:p>
        </w:tc>
      </w:tr>
      <w:tr w:rsidR="007034F8" w:rsidRPr="007034F8" w14:paraId="30F1349B"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34BA0980" w14:textId="77777777" w:rsidR="007034F8" w:rsidRPr="007034F8" w:rsidRDefault="007034F8" w:rsidP="007034F8">
            <w:pPr>
              <w:spacing w:line="360" w:lineRule="auto"/>
              <w:rPr>
                <w:b/>
                <w:bCs/>
              </w:rPr>
            </w:pPr>
            <w:r w:rsidRPr="007034F8">
              <w:rPr>
                <w:b/>
                <w:bCs/>
              </w:rPr>
              <w:t>18</w:t>
            </w:r>
          </w:p>
        </w:tc>
        <w:tc>
          <w:tcPr>
            <w:tcW w:w="0" w:type="auto"/>
            <w:tcBorders>
              <w:top w:val="nil"/>
              <w:left w:val="nil"/>
              <w:bottom w:val="nil"/>
              <w:right w:val="nil"/>
            </w:tcBorders>
            <w:tcMar>
              <w:top w:w="0" w:type="dxa"/>
              <w:left w:w="135" w:type="dxa"/>
              <w:bottom w:w="0" w:type="dxa"/>
              <w:right w:w="135" w:type="dxa"/>
            </w:tcMar>
            <w:hideMark/>
          </w:tcPr>
          <w:p w14:paraId="600B3510" w14:textId="77777777" w:rsidR="007034F8" w:rsidRPr="007034F8" w:rsidRDefault="007034F8" w:rsidP="007034F8">
            <w:pPr>
              <w:spacing w:line="360" w:lineRule="auto"/>
              <w:rPr>
                <w:b/>
                <w:bCs/>
              </w:rPr>
            </w:pPr>
            <w:r w:rsidRPr="007034F8">
              <w:rPr>
                <w:b/>
                <w:bCs/>
              </w:rPr>
              <w:t>0.614477</w:t>
            </w:r>
          </w:p>
        </w:tc>
        <w:tc>
          <w:tcPr>
            <w:tcW w:w="0" w:type="auto"/>
            <w:tcBorders>
              <w:top w:val="nil"/>
              <w:left w:val="nil"/>
              <w:bottom w:val="nil"/>
              <w:right w:val="nil"/>
            </w:tcBorders>
            <w:tcMar>
              <w:top w:w="0" w:type="dxa"/>
              <w:left w:w="135" w:type="dxa"/>
              <w:bottom w:w="0" w:type="dxa"/>
              <w:right w:w="135" w:type="dxa"/>
            </w:tcMar>
            <w:hideMark/>
          </w:tcPr>
          <w:p w14:paraId="28FF7E2E" w14:textId="77777777" w:rsidR="007034F8" w:rsidRPr="007034F8" w:rsidRDefault="007034F8" w:rsidP="007034F8">
            <w:pPr>
              <w:spacing w:line="360" w:lineRule="auto"/>
              <w:rPr>
                <w:b/>
                <w:bCs/>
              </w:rPr>
            </w:pPr>
            <w:r w:rsidRPr="007034F8">
              <w:rPr>
                <w:b/>
                <w:bCs/>
              </w:rPr>
              <w:t>0.045749</w:t>
            </w:r>
          </w:p>
        </w:tc>
        <w:tc>
          <w:tcPr>
            <w:tcW w:w="0" w:type="auto"/>
            <w:tcBorders>
              <w:top w:val="nil"/>
              <w:left w:val="nil"/>
              <w:bottom w:val="nil"/>
              <w:right w:val="single" w:sz="4" w:space="0" w:color="auto"/>
            </w:tcBorders>
            <w:tcMar>
              <w:top w:w="0" w:type="dxa"/>
              <w:left w:w="135" w:type="dxa"/>
              <w:bottom w:w="0" w:type="dxa"/>
              <w:right w:w="135" w:type="dxa"/>
            </w:tcMar>
            <w:hideMark/>
          </w:tcPr>
          <w:p w14:paraId="6C987C9B" w14:textId="77777777" w:rsidR="007034F8" w:rsidRPr="007034F8" w:rsidRDefault="007034F8" w:rsidP="007034F8">
            <w:pPr>
              <w:spacing w:line="360" w:lineRule="auto"/>
              <w:rPr>
                <w:b/>
                <w:bCs/>
              </w:rPr>
            </w:pPr>
            <w:r w:rsidRPr="007034F8">
              <w:rPr>
                <w:b/>
                <w:bCs/>
              </w:rPr>
              <w:t>0.629035</w:t>
            </w:r>
          </w:p>
        </w:tc>
      </w:tr>
      <w:tr w:rsidR="007034F8" w:rsidRPr="007034F8" w14:paraId="7513F9A4"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307BE02C" w14:textId="77777777" w:rsidR="007034F8" w:rsidRPr="007034F8" w:rsidRDefault="007034F8" w:rsidP="007034F8">
            <w:pPr>
              <w:spacing w:line="360" w:lineRule="auto"/>
              <w:rPr>
                <w:b/>
                <w:bCs/>
              </w:rPr>
            </w:pPr>
            <w:r w:rsidRPr="007034F8">
              <w:rPr>
                <w:b/>
                <w:bCs/>
              </w:rPr>
              <w:t>19</w:t>
            </w:r>
          </w:p>
        </w:tc>
        <w:tc>
          <w:tcPr>
            <w:tcW w:w="0" w:type="auto"/>
            <w:tcBorders>
              <w:top w:val="nil"/>
              <w:left w:val="nil"/>
              <w:bottom w:val="nil"/>
              <w:right w:val="nil"/>
            </w:tcBorders>
            <w:tcMar>
              <w:top w:w="0" w:type="dxa"/>
              <w:left w:w="135" w:type="dxa"/>
              <w:bottom w:w="0" w:type="dxa"/>
              <w:right w:w="135" w:type="dxa"/>
            </w:tcMar>
            <w:hideMark/>
          </w:tcPr>
          <w:p w14:paraId="1B53C4DD" w14:textId="77777777" w:rsidR="007034F8" w:rsidRPr="007034F8" w:rsidRDefault="007034F8" w:rsidP="007034F8">
            <w:pPr>
              <w:spacing w:line="360" w:lineRule="auto"/>
              <w:rPr>
                <w:b/>
                <w:bCs/>
              </w:rPr>
            </w:pPr>
            <w:r w:rsidRPr="007034F8">
              <w:rPr>
                <w:b/>
                <w:bCs/>
              </w:rPr>
              <w:t>-0.251054</w:t>
            </w:r>
          </w:p>
        </w:tc>
        <w:tc>
          <w:tcPr>
            <w:tcW w:w="0" w:type="auto"/>
            <w:tcBorders>
              <w:top w:val="nil"/>
              <w:left w:val="nil"/>
              <w:bottom w:val="nil"/>
              <w:right w:val="nil"/>
            </w:tcBorders>
            <w:tcMar>
              <w:top w:w="0" w:type="dxa"/>
              <w:left w:w="135" w:type="dxa"/>
              <w:bottom w:w="0" w:type="dxa"/>
              <w:right w:w="135" w:type="dxa"/>
            </w:tcMar>
            <w:hideMark/>
          </w:tcPr>
          <w:p w14:paraId="77B413B2" w14:textId="77777777" w:rsidR="007034F8" w:rsidRPr="007034F8" w:rsidRDefault="007034F8" w:rsidP="007034F8">
            <w:pPr>
              <w:spacing w:line="360" w:lineRule="auto"/>
              <w:rPr>
                <w:b/>
                <w:bCs/>
              </w:rPr>
            </w:pPr>
            <w:r w:rsidRPr="007034F8">
              <w:rPr>
                <w:b/>
                <w:bCs/>
              </w:rPr>
              <w:t>0.137981</w:t>
            </w:r>
          </w:p>
        </w:tc>
        <w:tc>
          <w:tcPr>
            <w:tcW w:w="0" w:type="auto"/>
            <w:tcBorders>
              <w:top w:val="nil"/>
              <w:left w:val="nil"/>
              <w:bottom w:val="nil"/>
              <w:right w:val="single" w:sz="4" w:space="0" w:color="auto"/>
            </w:tcBorders>
            <w:tcMar>
              <w:top w:w="0" w:type="dxa"/>
              <w:left w:w="135" w:type="dxa"/>
              <w:bottom w:w="0" w:type="dxa"/>
              <w:right w:w="135" w:type="dxa"/>
            </w:tcMar>
            <w:hideMark/>
          </w:tcPr>
          <w:p w14:paraId="52648375" w14:textId="77777777" w:rsidR="007034F8" w:rsidRPr="007034F8" w:rsidRDefault="007034F8" w:rsidP="007034F8">
            <w:pPr>
              <w:spacing w:line="360" w:lineRule="auto"/>
              <w:rPr>
                <w:b/>
                <w:bCs/>
              </w:rPr>
            </w:pPr>
            <w:r w:rsidRPr="007034F8">
              <w:rPr>
                <w:b/>
                <w:bCs/>
              </w:rPr>
              <w:t>-0.270402</w:t>
            </w:r>
          </w:p>
        </w:tc>
      </w:tr>
      <w:tr w:rsidR="007034F8" w:rsidRPr="007034F8" w14:paraId="65FDD752"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1A5CF620" w14:textId="77777777" w:rsidR="007034F8" w:rsidRPr="007034F8" w:rsidRDefault="007034F8" w:rsidP="007034F8">
            <w:pPr>
              <w:spacing w:line="360" w:lineRule="auto"/>
              <w:rPr>
                <w:b/>
                <w:bCs/>
              </w:rPr>
            </w:pPr>
            <w:r w:rsidRPr="007034F8">
              <w:rPr>
                <w:b/>
                <w:bCs/>
              </w:rPr>
              <w:t>20</w:t>
            </w:r>
          </w:p>
        </w:tc>
        <w:tc>
          <w:tcPr>
            <w:tcW w:w="0" w:type="auto"/>
            <w:tcBorders>
              <w:top w:val="nil"/>
              <w:left w:val="nil"/>
              <w:bottom w:val="nil"/>
              <w:right w:val="nil"/>
            </w:tcBorders>
            <w:tcMar>
              <w:top w:w="0" w:type="dxa"/>
              <w:left w:w="135" w:type="dxa"/>
              <w:bottom w:w="0" w:type="dxa"/>
              <w:right w:w="135" w:type="dxa"/>
            </w:tcMar>
            <w:hideMark/>
          </w:tcPr>
          <w:p w14:paraId="7B5AF2AD" w14:textId="77777777" w:rsidR="007034F8" w:rsidRPr="007034F8" w:rsidRDefault="007034F8" w:rsidP="007034F8">
            <w:pPr>
              <w:spacing w:line="360" w:lineRule="auto"/>
              <w:rPr>
                <w:b/>
                <w:bCs/>
              </w:rPr>
            </w:pPr>
            <w:r w:rsidRPr="007034F8">
              <w:rPr>
                <w:b/>
                <w:bCs/>
              </w:rPr>
              <w:t>0.986042</w:t>
            </w:r>
          </w:p>
        </w:tc>
        <w:tc>
          <w:tcPr>
            <w:tcW w:w="0" w:type="auto"/>
            <w:tcBorders>
              <w:top w:val="nil"/>
              <w:left w:val="nil"/>
              <w:bottom w:val="nil"/>
              <w:right w:val="nil"/>
            </w:tcBorders>
            <w:tcMar>
              <w:top w:w="0" w:type="dxa"/>
              <w:left w:w="135" w:type="dxa"/>
              <w:bottom w:w="0" w:type="dxa"/>
              <w:right w:w="135" w:type="dxa"/>
            </w:tcMar>
            <w:hideMark/>
          </w:tcPr>
          <w:p w14:paraId="6B1CDADE" w14:textId="77777777" w:rsidR="007034F8" w:rsidRPr="007034F8" w:rsidRDefault="007034F8" w:rsidP="007034F8">
            <w:pPr>
              <w:spacing w:line="360" w:lineRule="auto"/>
              <w:rPr>
                <w:b/>
                <w:bCs/>
              </w:rPr>
            </w:pPr>
            <w:r w:rsidRPr="007034F8">
              <w:rPr>
                <w:b/>
                <w:bCs/>
              </w:rPr>
              <w:t>0.228871</w:t>
            </w:r>
          </w:p>
        </w:tc>
        <w:tc>
          <w:tcPr>
            <w:tcW w:w="0" w:type="auto"/>
            <w:tcBorders>
              <w:top w:val="nil"/>
              <w:left w:val="nil"/>
              <w:bottom w:val="nil"/>
              <w:right w:val="single" w:sz="4" w:space="0" w:color="auto"/>
            </w:tcBorders>
            <w:tcMar>
              <w:top w:w="0" w:type="dxa"/>
              <w:left w:w="135" w:type="dxa"/>
              <w:bottom w:w="0" w:type="dxa"/>
              <w:right w:w="135" w:type="dxa"/>
            </w:tcMar>
            <w:hideMark/>
          </w:tcPr>
          <w:p w14:paraId="4D0578F3" w14:textId="77777777" w:rsidR="007034F8" w:rsidRPr="007034F8" w:rsidRDefault="007034F8" w:rsidP="007034F8">
            <w:pPr>
              <w:spacing w:line="360" w:lineRule="auto"/>
              <w:rPr>
                <w:b/>
                <w:bCs/>
              </w:rPr>
            </w:pPr>
            <w:r w:rsidRPr="007034F8">
              <w:rPr>
                <w:b/>
                <w:bCs/>
              </w:rPr>
              <w:t>1.122876</w:t>
            </w:r>
          </w:p>
        </w:tc>
      </w:tr>
      <w:tr w:rsidR="007034F8" w:rsidRPr="007034F8" w14:paraId="57DA0AC4"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563A44D9" w14:textId="77777777" w:rsidR="007034F8" w:rsidRPr="007034F8" w:rsidRDefault="007034F8" w:rsidP="007034F8">
            <w:pPr>
              <w:spacing w:line="360" w:lineRule="auto"/>
              <w:rPr>
                <w:b/>
                <w:bCs/>
              </w:rPr>
            </w:pPr>
            <w:r w:rsidRPr="007034F8">
              <w:rPr>
                <w:b/>
                <w:bCs/>
              </w:rPr>
              <w:t>21</w:t>
            </w:r>
          </w:p>
        </w:tc>
        <w:tc>
          <w:tcPr>
            <w:tcW w:w="0" w:type="auto"/>
            <w:tcBorders>
              <w:top w:val="nil"/>
              <w:left w:val="nil"/>
              <w:bottom w:val="nil"/>
              <w:right w:val="nil"/>
            </w:tcBorders>
            <w:tcMar>
              <w:top w:w="0" w:type="dxa"/>
              <w:left w:w="135" w:type="dxa"/>
              <w:bottom w:w="0" w:type="dxa"/>
              <w:right w:w="135" w:type="dxa"/>
            </w:tcMar>
            <w:hideMark/>
          </w:tcPr>
          <w:p w14:paraId="14700D6E" w14:textId="77777777" w:rsidR="007034F8" w:rsidRPr="007034F8" w:rsidRDefault="007034F8" w:rsidP="007034F8">
            <w:pPr>
              <w:spacing w:line="360" w:lineRule="auto"/>
              <w:rPr>
                <w:b/>
                <w:bCs/>
              </w:rPr>
            </w:pPr>
            <w:r w:rsidRPr="007034F8">
              <w:rPr>
                <w:b/>
                <w:bCs/>
              </w:rPr>
              <w:t>-0.587378</w:t>
            </w:r>
          </w:p>
        </w:tc>
        <w:tc>
          <w:tcPr>
            <w:tcW w:w="0" w:type="auto"/>
            <w:tcBorders>
              <w:top w:val="nil"/>
              <w:left w:val="nil"/>
              <w:bottom w:val="nil"/>
              <w:right w:val="nil"/>
            </w:tcBorders>
            <w:tcMar>
              <w:top w:w="0" w:type="dxa"/>
              <w:left w:w="135" w:type="dxa"/>
              <w:bottom w:w="0" w:type="dxa"/>
              <w:right w:w="135" w:type="dxa"/>
            </w:tcMar>
            <w:hideMark/>
          </w:tcPr>
          <w:p w14:paraId="29BFEB36" w14:textId="77777777" w:rsidR="007034F8" w:rsidRPr="007034F8" w:rsidRDefault="007034F8" w:rsidP="007034F8">
            <w:pPr>
              <w:spacing w:line="360" w:lineRule="auto"/>
              <w:rPr>
                <w:b/>
                <w:bCs/>
              </w:rPr>
            </w:pPr>
            <w:r w:rsidRPr="007034F8">
              <w:rPr>
                <w:b/>
                <w:bCs/>
              </w:rPr>
              <w:t>0.197439</w:t>
            </w:r>
          </w:p>
        </w:tc>
        <w:tc>
          <w:tcPr>
            <w:tcW w:w="0" w:type="auto"/>
            <w:tcBorders>
              <w:top w:val="nil"/>
              <w:left w:val="nil"/>
              <w:bottom w:val="nil"/>
              <w:right w:val="single" w:sz="4" w:space="0" w:color="auto"/>
            </w:tcBorders>
            <w:tcMar>
              <w:top w:w="0" w:type="dxa"/>
              <w:left w:w="135" w:type="dxa"/>
              <w:bottom w:w="0" w:type="dxa"/>
              <w:right w:w="135" w:type="dxa"/>
            </w:tcMar>
            <w:hideMark/>
          </w:tcPr>
          <w:p w14:paraId="42AF3D93" w14:textId="77777777" w:rsidR="007034F8" w:rsidRPr="007034F8" w:rsidRDefault="007034F8" w:rsidP="007034F8">
            <w:pPr>
              <w:spacing w:line="360" w:lineRule="auto"/>
              <w:rPr>
                <w:b/>
                <w:bCs/>
              </w:rPr>
            </w:pPr>
            <w:r w:rsidRPr="007034F8">
              <w:rPr>
                <w:b/>
                <w:bCs/>
              </w:rPr>
              <w:t>-0.65566</w:t>
            </w:r>
          </w:p>
        </w:tc>
      </w:tr>
      <w:tr w:rsidR="007034F8" w:rsidRPr="007034F8" w14:paraId="00ACCCC1"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62DBDD4A" w14:textId="77777777" w:rsidR="007034F8" w:rsidRPr="007034F8" w:rsidRDefault="007034F8" w:rsidP="007034F8">
            <w:pPr>
              <w:spacing w:line="360" w:lineRule="auto"/>
              <w:rPr>
                <w:b/>
                <w:bCs/>
              </w:rPr>
            </w:pPr>
            <w:r w:rsidRPr="007034F8">
              <w:rPr>
                <w:b/>
                <w:bCs/>
              </w:rPr>
              <w:t>22</w:t>
            </w:r>
          </w:p>
        </w:tc>
        <w:tc>
          <w:tcPr>
            <w:tcW w:w="0" w:type="auto"/>
            <w:tcBorders>
              <w:top w:val="nil"/>
              <w:left w:val="nil"/>
              <w:bottom w:val="nil"/>
              <w:right w:val="nil"/>
            </w:tcBorders>
            <w:tcMar>
              <w:top w:w="0" w:type="dxa"/>
              <w:left w:w="135" w:type="dxa"/>
              <w:bottom w:w="0" w:type="dxa"/>
              <w:right w:w="135" w:type="dxa"/>
            </w:tcMar>
            <w:hideMark/>
          </w:tcPr>
          <w:p w14:paraId="27C542CA" w14:textId="77777777" w:rsidR="007034F8" w:rsidRPr="007034F8" w:rsidRDefault="007034F8" w:rsidP="007034F8">
            <w:pPr>
              <w:spacing w:line="360" w:lineRule="auto"/>
              <w:rPr>
                <w:b/>
                <w:bCs/>
              </w:rPr>
            </w:pPr>
            <w:r w:rsidRPr="007034F8">
              <w:rPr>
                <w:b/>
                <w:bCs/>
              </w:rPr>
              <w:t>0.534186</w:t>
            </w:r>
          </w:p>
        </w:tc>
        <w:tc>
          <w:tcPr>
            <w:tcW w:w="0" w:type="auto"/>
            <w:tcBorders>
              <w:top w:val="nil"/>
              <w:left w:val="nil"/>
              <w:bottom w:val="nil"/>
              <w:right w:val="nil"/>
            </w:tcBorders>
            <w:tcMar>
              <w:top w:w="0" w:type="dxa"/>
              <w:left w:w="135" w:type="dxa"/>
              <w:bottom w:w="0" w:type="dxa"/>
              <w:right w:w="135" w:type="dxa"/>
            </w:tcMar>
            <w:hideMark/>
          </w:tcPr>
          <w:p w14:paraId="55A0103B" w14:textId="77777777" w:rsidR="007034F8" w:rsidRPr="007034F8" w:rsidRDefault="007034F8" w:rsidP="007034F8">
            <w:pPr>
              <w:spacing w:line="360" w:lineRule="auto"/>
              <w:rPr>
                <w:b/>
                <w:bCs/>
              </w:rPr>
            </w:pPr>
            <w:r w:rsidRPr="007034F8">
              <w:rPr>
                <w:b/>
                <w:bCs/>
              </w:rPr>
              <w:t>0.147985</w:t>
            </w:r>
          </w:p>
        </w:tc>
        <w:tc>
          <w:tcPr>
            <w:tcW w:w="0" w:type="auto"/>
            <w:tcBorders>
              <w:top w:val="nil"/>
              <w:left w:val="nil"/>
              <w:bottom w:val="nil"/>
              <w:right w:val="single" w:sz="4" w:space="0" w:color="auto"/>
            </w:tcBorders>
            <w:tcMar>
              <w:top w:w="0" w:type="dxa"/>
              <w:left w:w="135" w:type="dxa"/>
              <w:bottom w:w="0" w:type="dxa"/>
              <w:right w:w="135" w:type="dxa"/>
            </w:tcMar>
            <w:hideMark/>
          </w:tcPr>
          <w:p w14:paraId="789B80E5" w14:textId="77777777" w:rsidR="007034F8" w:rsidRPr="007034F8" w:rsidRDefault="007034F8" w:rsidP="007034F8">
            <w:pPr>
              <w:spacing w:line="360" w:lineRule="auto"/>
              <w:rPr>
                <w:b/>
                <w:bCs/>
              </w:rPr>
            </w:pPr>
            <w:r w:rsidRPr="007034F8">
              <w:rPr>
                <w:b/>
                <w:bCs/>
              </w:rPr>
              <w:t>0.57872</w:t>
            </w:r>
          </w:p>
        </w:tc>
      </w:tr>
      <w:tr w:rsidR="007034F8" w:rsidRPr="007034F8" w14:paraId="78D74F9E"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0037A976" w14:textId="77777777" w:rsidR="007034F8" w:rsidRPr="007034F8" w:rsidRDefault="007034F8" w:rsidP="007034F8">
            <w:pPr>
              <w:spacing w:line="360" w:lineRule="auto"/>
              <w:rPr>
                <w:b/>
                <w:bCs/>
              </w:rPr>
            </w:pPr>
            <w:r w:rsidRPr="007034F8">
              <w:rPr>
                <w:b/>
                <w:bCs/>
              </w:rPr>
              <w:t>23</w:t>
            </w:r>
          </w:p>
        </w:tc>
        <w:tc>
          <w:tcPr>
            <w:tcW w:w="0" w:type="auto"/>
            <w:tcBorders>
              <w:top w:val="nil"/>
              <w:left w:val="nil"/>
              <w:bottom w:val="nil"/>
              <w:right w:val="nil"/>
            </w:tcBorders>
            <w:tcMar>
              <w:top w:w="0" w:type="dxa"/>
              <w:left w:w="135" w:type="dxa"/>
              <w:bottom w:w="0" w:type="dxa"/>
              <w:right w:w="135" w:type="dxa"/>
            </w:tcMar>
            <w:hideMark/>
          </w:tcPr>
          <w:p w14:paraId="726CC0D3" w14:textId="77777777" w:rsidR="007034F8" w:rsidRPr="007034F8" w:rsidRDefault="007034F8" w:rsidP="007034F8">
            <w:pPr>
              <w:spacing w:line="360" w:lineRule="auto"/>
              <w:rPr>
                <w:b/>
                <w:bCs/>
              </w:rPr>
            </w:pPr>
            <w:r w:rsidRPr="007034F8">
              <w:rPr>
                <w:b/>
                <w:bCs/>
              </w:rPr>
              <w:t>-1.507729</w:t>
            </w:r>
          </w:p>
        </w:tc>
        <w:tc>
          <w:tcPr>
            <w:tcW w:w="0" w:type="auto"/>
            <w:tcBorders>
              <w:top w:val="nil"/>
              <w:left w:val="nil"/>
              <w:bottom w:val="nil"/>
              <w:right w:val="nil"/>
            </w:tcBorders>
            <w:tcMar>
              <w:top w:w="0" w:type="dxa"/>
              <w:left w:w="135" w:type="dxa"/>
              <w:bottom w:w="0" w:type="dxa"/>
              <w:right w:w="135" w:type="dxa"/>
            </w:tcMar>
            <w:hideMark/>
          </w:tcPr>
          <w:p w14:paraId="512E4364" w14:textId="77777777" w:rsidR="007034F8" w:rsidRPr="007034F8" w:rsidRDefault="007034F8" w:rsidP="007034F8">
            <w:pPr>
              <w:spacing w:line="360" w:lineRule="auto"/>
              <w:rPr>
                <w:b/>
                <w:bCs/>
              </w:rPr>
            </w:pPr>
            <w:r w:rsidRPr="007034F8">
              <w:rPr>
                <w:b/>
                <w:bCs/>
              </w:rPr>
              <w:t>0.091055</w:t>
            </w:r>
          </w:p>
        </w:tc>
        <w:tc>
          <w:tcPr>
            <w:tcW w:w="0" w:type="auto"/>
            <w:tcBorders>
              <w:top w:val="nil"/>
              <w:left w:val="nil"/>
              <w:bottom w:val="nil"/>
              <w:right w:val="single" w:sz="4" w:space="0" w:color="auto"/>
            </w:tcBorders>
            <w:tcMar>
              <w:top w:w="0" w:type="dxa"/>
              <w:left w:w="135" w:type="dxa"/>
              <w:bottom w:w="0" w:type="dxa"/>
              <w:right w:w="135" w:type="dxa"/>
            </w:tcMar>
            <w:hideMark/>
          </w:tcPr>
          <w:p w14:paraId="76DC3482" w14:textId="77777777" w:rsidR="007034F8" w:rsidRPr="007034F8" w:rsidRDefault="007034F8" w:rsidP="007034F8">
            <w:pPr>
              <w:spacing w:line="360" w:lineRule="auto"/>
              <w:rPr>
                <w:b/>
                <w:bCs/>
              </w:rPr>
            </w:pPr>
            <w:r w:rsidRPr="007034F8">
              <w:rPr>
                <w:b/>
                <w:bCs/>
              </w:rPr>
              <w:t>-1.581446</w:t>
            </w:r>
          </w:p>
        </w:tc>
      </w:tr>
      <w:tr w:rsidR="007034F8" w:rsidRPr="007034F8" w14:paraId="76E1AAAC" w14:textId="77777777" w:rsidTr="00923328">
        <w:tc>
          <w:tcPr>
            <w:tcW w:w="0" w:type="auto"/>
            <w:tcBorders>
              <w:top w:val="nil"/>
              <w:left w:val="single" w:sz="4" w:space="0" w:color="auto"/>
              <w:bottom w:val="nil"/>
              <w:right w:val="nil"/>
            </w:tcBorders>
            <w:tcMar>
              <w:top w:w="0" w:type="dxa"/>
              <w:left w:w="135" w:type="dxa"/>
              <w:bottom w:w="0" w:type="dxa"/>
              <w:right w:w="135" w:type="dxa"/>
            </w:tcMar>
            <w:hideMark/>
          </w:tcPr>
          <w:p w14:paraId="77164BEB" w14:textId="77777777" w:rsidR="007034F8" w:rsidRPr="007034F8" w:rsidRDefault="007034F8" w:rsidP="007034F8">
            <w:pPr>
              <w:spacing w:line="360" w:lineRule="auto"/>
              <w:rPr>
                <w:b/>
                <w:bCs/>
              </w:rPr>
            </w:pPr>
            <w:r w:rsidRPr="007034F8">
              <w:rPr>
                <w:b/>
                <w:bCs/>
              </w:rPr>
              <w:t>24</w:t>
            </w:r>
          </w:p>
        </w:tc>
        <w:tc>
          <w:tcPr>
            <w:tcW w:w="0" w:type="auto"/>
            <w:tcBorders>
              <w:top w:val="nil"/>
              <w:left w:val="nil"/>
              <w:bottom w:val="nil"/>
              <w:right w:val="nil"/>
            </w:tcBorders>
            <w:tcMar>
              <w:top w:w="0" w:type="dxa"/>
              <w:left w:w="135" w:type="dxa"/>
              <w:bottom w:w="0" w:type="dxa"/>
              <w:right w:w="135" w:type="dxa"/>
            </w:tcMar>
            <w:hideMark/>
          </w:tcPr>
          <w:p w14:paraId="2D6B6963" w14:textId="77777777" w:rsidR="007034F8" w:rsidRPr="007034F8" w:rsidRDefault="007034F8" w:rsidP="007034F8">
            <w:pPr>
              <w:spacing w:line="360" w:lineRule="auto"/>
              <w:rPr>
                <w:b/>
                <w:bCs/>
              </w:rPr>
            </w:pPr>
            <w:r w:rsidRPr="007034F8">
              <w:rPr>
                <w:b/>
                <w:bCs/>
              </w:rPr>
              <w:t>0.638398</w:t>
            </w:r>
          </w:p>
        </w:tc>
        <w:tc>
          <w:tcPr>
            <w:tcW w:w="0" w:type="auto"/>
            <w:tcBorders>
              <w:top w:val="nil"/>
              <w:left w:val="nil"/>
              <w:bottom w:val="nil"/>
              <w:right w:val="nil"/>
            </w:tcBorders>
            <w:tcMar>
              <w:top w:w="0" w:type="dxa"/>
              <w:left w:w="135" w:type="dxa"/>
              <w:bottom w:w="0" w:type="dxa"/>
              <w:right w:w="135" w:type="dxa"/>
            </w:tcMar>
            <w:hideMark/>
          </w:tcPr>
          <w:p w14:paraId="0CB6CDEA" w14:textId="77777777" w:rsidR="007034F8" w:rsidRPr="007034F8" w:rsidRDefault="007034F8" w:rsidP="007034F8">
            <w:pPr>
              <w:spacing w:line="360" w:lineRule="auto"/>
              <w:rPr>
                <w:b/>
                <w:bCs/>
              </w:rPr>
            </w:pPr>
            <w:r w:rsidRPr="007034F8">
              <w:rPr>
                <w:b/>
                <w:bCs/>
              </w:rPr>
              <w:t>0.057968</w:t>
            </w:r>
          </w:p>
        </w:tc>
        <w:tc>
          <w:tcPr>
            <w:tcW w:w="0" w:type="auto"/>
            <w:tcBorders>
              <w:top w:val="nil"/>
              <w:left w:val="nil"/>
              <w:bottom w:val="nil"/>
              <w:right w:val="single" w:sz="4" w:space="0" w:color="auto"/>
            </w:tcBorders>
            <w:tcMar>
              <w:top w:w="0" w:type="dxa"/>
              <w:left w:w="135" w:type="dxa"/>
              <w:bottom w:w="0" w:type="dxa"/>
              <w:right w:w="135" w:type="dxa"/>
            </w:tcMar>
            <w:hideMark/>
          </w:tcPr>
          <w:p w14:paraId="5C064068" w14:textId="77777777" w:rsidR="007034F8" w:rsidRPr="007034F8" w:rsidRDefault="007034F8" w:rsidP="007034F8">
            <w:pPr>
              <w:spacing w:line="360" w:lineRule="auto"/>
              <w:rPr>
                <w:b/>
                <w:bCs/>
              </w:rPr>
            </w:pPr>
            <w:r w:rsidRPr="007034F8">
              <w:rPr>
                <w:b/>
                <w:bCs/>
              </w:rPr>
              <w:t>0.657747</w:t>
            </w:r>
          </w:p>
        </w:tc>
      </w:tr>
      <w:tr w:rsidR="007034F8" w:rsidRPr="007034F8" w14:paraId="3BF91DC4" w14:textId="77777777" w:rsidTr="00923328">
        <w:trPr>
          <w:trHeight w:val="80"/>
        </w:trPr>
        <w:tc>
          <w:tcPr>
            <w:tcW w:w="0" w:type="auto"/>
            <w:tcBorders>
              <w:top w:val="nil"/>
              <w:left w:val="single" w:sz="4" w:space="0" w:color="auto"/>
              <w:bottom w:val="nil"/>
              <w:right w:val="nil"/>
            </w:tcBorders>
            <w:tcMar>
              <w:top w:w="0" w:type="dxa"/>
              <w:left w:w="135" w:type="dxa"/>
              <w:bottom w:w="0" w:type="dxa"/>
              <w:right w:w="135" w:type="dxa"/>
            </w:tcMar>
            <w:hideMark/>
          </w:tcPr>
          <w:p w14:paraId="4A5D80F8" w14:textId="77777777" w:rsidR="007034F8" w:rsidRPr="007034F8" w:rsidRDefault="007034F8" w:rsidP="007034F8">
            <w:pPr>
              <w:spacing w:line="360" w:lineRule="auto"/>
              <w:rPr>
                <w:b/>
                <w:bCs/>
              </w:rPr>
            </w:pPr>
            <w:r w:rsidRPr="007034F8">
              <w:rPr>
                <w:b/>
                <w:bCs/>
              </w:rPr>
              <w:t>25</w:t>
            </w:r>
          </w:p>
        </w:tc>
        <w:tc>
          <w:tcPr>
            <w:tcW w:w="0" w:type="auto"/>
            <w:tcBorders>
              <w:top w:val="nil"/>
              <w:left w:val="nil"/>
              <w:bottom w:val="nil"/>
              <w:right w:val="nil"/>
            </w:tcBorders>
            <w:tcMar>
              <w:top w:w="0" w:type="dxa"/>
              <w:left w:w="135" w:type="dxa"/>
              <w:bottom w:w="0" w:type="dxa"/>
              <w:right w:w="135" w:type="dxa"/>
            </w:tcMar>
            <w:hideMark/>
          </w:tcPr>
          <w:p w14:paraId="002986EF" w14:textId="77777777" w:rsidR="007034F8" w:rsidRPr="007034F8" w:rsidRDefault="007034F8" w:rsidP="007034F8">
            <w:pPr>
              <w:spacing w:line="360" w:lineRule="auto"/>
              <w:rPr>
                <w:b/>
                <w:bCs/>
              </w:rPr>
            </w:pPr>
            <w:r w:rsidRPr="007034F8">
              <w:rPr>
                <w:b/>
                <w:bCs/>
              </w:rPr>
              <w:t>-1.73435</w:t>
            </w:r>
          </w:p>
        </w:tc>
        <w:tc>
          <w:tcPr>
            <w:tcW w:w="0" w:type="auto"/>
            <w:tcBorders>
              <w:top w:val="nil"/>
              <w:left w:val="nil"/>
              <w:bottom w:val="nil"/>
              <w:right w:val="nil"/>
            </w:tcBorders>
            <w:tcMar>
              <w:top w:w="0" w:type="dxa"/>
              <w:left w:w="135" w:type="dxa"/>
              <w:bottom w:w="0" w:type="dxa"/>
              <w:right w:w="135" w:type="dxa"/>
            </w:tcMar>
            <w:hideMark/>
          </w:tcPr>
          <w:p w14:paraId="542A3452" w14:textId="77777777" w:rsidR="007034F8" w:rsidRPr="007034F8" w:rsidRDefault="007034F8" w:rsidP="007034F8">
            <w:pPr>
              <w:spacing w:line="360" w:lineRule="auto"/>
              <w:rPr>
                <w:b/>
                <w:bCs/>
              </w:rPr>
            </w:pPr>
            <w:r w:rsidRPr="007034F8">
              <w:rPr>
                <w:b/>
                <w:bCs/>
              </w:rPr>
              <w:t>0.066608</w:t>
            </w:r>
          </w:p>
        </w:tc>
        <w:tc>
          <w:tcPr>
            <w:tcW w:w="0" w:type="auto"/>
            <w:tcBorders>
              <w:top w:val="nil"/>
              <w:left w:val="nil"/>
              <w:bottom w:val="nil"/>
              <w:right w:val="single" w:sz="4" w:space="0" w:color="auto"/>
            </w:tcBorders>
            <w:tcMar>
              <w:top w:w="0" w:type="dxa"/>
              <w:left w:w="135" w:type="dxa"/>
              <w:bottom w:w="0" w:type="dxa"/>
              <w:right w:w="135" w:type="dxa"/>
            </w:tcMar>
            <w:hideMark/>
          </w:tcPr>
          <w:p w14:paraId="72262227" w14:textId="77777777" w:rsidR="007034F8" w:rsidRPr="007034F8" w:rsidRDefault="007034F8" w:rsidP="007034F8">
            <w:pPr>
              <w:spacing w:line="360" w:lineRule="auto"/>
              <w:rPr>
                <w:b/>
                <w:bCs/>
              </w:rPr>
            </w:pPr>
            <w:r w:rsidRPr="007034F8">
              <w:rPr>
                <w:b/>
                <w:bCs/>
              </w:rPr>
              <w:t>-1.795166</w:t>
            </w:r>
          </w:p>
        </w:tc>
      </w:tr>
      <w:tr w:rsidR="007034F8" w:rsidRPr="007034F8" w14:paraId="79C57BAE" w14:textId="77777777" w:rsidTr="00923328">
        <w:tc>
          <w:tcPr>
            <w:tcW w:w="0" w:type="auto"/>
            <w:tcBorders>
              <w:top w:val="nil"/>
              <w:left w:val="single" w:sz="4" w:space="0" w:color="auto"/>
              <w:bottom w:val="single" w:sz="4" w:space="0" w:color="auto"/>
              <w:right w:val="nil"/>
            </w:tcBorders>
            <w:tcMar>
              <w:top w:w="0" w:type="dxa"/>
              <w:left w:w="135" w:type="dxa"/>
              <w:bottom w:w="0" w:type="dxa"/>
              <w:right w:w="135" w:type="dxa"/>
            </w:tcMar>
            <w:hideMark/>
          </w:tcPr>
          <w:p w14:paraId="5EF7BBBF" w14:textId="77777777" w:rsidR="007034F8" w:rsidRPr="007034F8" w:rsidRDefault="007034F8" w:rsidP="007034F8">
            <w:pPr>
              <w:spacing w:line="360" w:lineRule="auto"/>
              <w:rPr>
                <w:b/>
                <w:bCs/>
              </w:rPr>
            </w:pPr>
            <w:r w:rsidRPr="007034F8">
              <w:rPr>
                <w:b/>
                <w:bCs/>
              </w:rPr>
              <w:t>26</w:t>
            </w:r>
          </w:p>
        </w:tc>
        <w:tc>
          <w:tcPr>
            <w:tcW w:w="0" w:type="auto"/>
            <w:tcBorders>
              <w:top w:val="nil"/>
              <w:left w:val="nil"/>
              <w:bottom w:val="single" w:sz="4" w:space="0" w:color="auto"/>
              <w:right w:val="nil"/>
            </w:tcBorders>
            <w:tcMar>
              <w:top w:w="0" w:type="dxa"/>
              <w:left w:w="135" w:type="dxa"/>
              <w:bottom w:w="0" w:type="dxa"/>
              <w:right w:w="135" w:type="dxa"/>
            </w:tcMar>
            <w:hideMark/>
          </w:tcPr>
          <w:p w14:paraId="60EA7C88" w14:textId="77777777" w:rsidR="007034F8" w:rsidRPr="007034F8" w:rsidRDefault="007034F8" w:rsidP="007034F8">
            <w:pPr>
              <w:spacing w:line="360" w:lineRule="auto"/>
              <w:rPr>
                <w:b/>
                <w:bCs/>
              </w:rPr>
            </w:pPr>
            <w:r w:rsidRPr="007034F8">
              <w:rPr>
                <w:b/>
                <w:bCs/>
              </w:rPr>
              <w:t>0.541029</w:t>
            </w:r>
          </w:p>
        </w:tc>
        <w:tc>
          <w:tcPr>
            <w:tcW w:w="0" w:type="auto"/>
            <w:tcBorders>
              <w:top w:val="nil"/>
              <w:left w:val="nil"/>
              <w:bottom w:val="single" w:sz="4" w:space="0" w:color="auto"/>
              <w:right w:val="nil"/>
            </w:tcBorders>
            <w:tcMar>
              <w:top w:w="0" w:type="dxa"/>
              <w:left w:w="135" w:type="dxa"/>
              <w:bottom w:w="0" w:type="dxa"/>
              <w:right w:w="135" w:type="dxa"/>
            </w:tcMar>
            <w:hideMark/>
          </w:tcPr>
          <w:p w14:paraId="1EB847B2" w14:textId="77777777" w:rsidR="007034F8" w:rsidRPr="007034F8" w:rsidRDefault="007034F8" w:rsidP="007034F8">
            <w:pPr>
              <w:spacing w:line="360" w:lineRule="auto"/>
              <w:rPr>
                <w:b/>
                <w:bCs/>
              </w:rPr>
            </w:pPr>
            <w:r w:rsidRPr="007034F8">
              <w:rPr>
                <w:b/>
                <w:bCs/>
              </w:rPr>
              <w:t>0.130803</w:t>
            </w:r>
          </w:p>
        </w:tc>
        <w:tc>
          <w:tcPr>
            <w:tcW w:w="0" w:type="auto"/>
            <w:tcBorders>
              <w:top w:val="nil"/>
              <w:left w:val="nil"/>
              <w:bottom w:val="single" w:sz="4" w:space="0" w:color="auto"/>
              <w:right w:val="single" w:sz="4" w:space="0" w:color="auto"/>
            </w:tcBorders>
            <w:tcMar>
              <w:top w:w="0" w:type="dxa"/>
              <w:left w:w="135" w:type="dxa"/>
              <w:bottom w:w="0" w:type="dxa"/>
              <w:right w:w="135" w:type="dxa"/>
            </w:tcMar>
            <w:hideMark/>
          </w:tcPr>
          <w:p w14:paraId="1EA34CC9" w14:textId="77777777" w:rsidR="007034F8" w:rsidRPr="007034F8" w:rsidRDefault="007034F8" w:rsidP="007034F8">
            <w:pPr>
              <w:spacing w:line="360" w:lineRule="auto"/>
              <w:rPr>
                <w:b/>
                <w:bCs/>
              </w:rPr>
            </w:pPr>
            <w:r w:rsidRPr="007034F8">
              <w:rPr>
                <w:b/>
                <w:bCs/>
              </w:rPr>
              <w:t>0.580312</w:t>
            </w:r>
          </w:p>
        </w:tc>
      </w:tr>
    </w:tbl>
    <w:p w14:paraId="2826B90D" w14:textId="77777777" w:rsidR="007034F8" w:rsidRPr="007034F8" w:rsidRDefault="007034F8" w:rsidP="007034F8">
      <w:pPr>
        <w:spacing w:line="360" w:lineRule="auto"/>
        <w:rPr>
          <w:b/>
          <w:bCs/>
        </w:rPr>
      </w:pPr>
      <w:r w:rsidRPr="007034F8">
        <w:rPr>
          <w:b/>
          <w:bCs/>
        </w:rPr>
        <w:t> </w:t>
      </w:r>
    </w:p>
    <w:p w14:paraId="40857F82" w14:textId="77777777" w:rsidR="007034F8" w:rsidRPr="007034F8" w:rsidRDefault="007034F8" w:rsidP="007034F8">
      <w:pPr>
        <w:spacing w:line="360" w:lineRule="auto"/>
        <w:rPr>
          <w:b/>
          <w:bCs/>
        </w:rPr>
      </w:pPr>
    </w:p>
    <w:p w14:paraId="5C798241" w14:textId="77777777" w:rsidR="007034F8" w:rsidRPr="007034F8" w:rsidRDefault="007034F8" w:rsidP="007034F8">
      <w:pPr>
        <w:spacing w:line="360" w:lineRule="auto"/>
        <w:rPr>
          <w:b/>
          <w:bCs/>
          <w:lang w:val="en-AU"/>
        </w:rPr>
      </w:pPr>
      <w:r w:rsidRPr="007034F8">
        <w:rPr>
          <w:b/>
          <w:bCs/>
          <w:noProof/>
        </w:rPr>
        <w:lastRenderedPageBreak/>
        <w:drawing>
          <wp:inline distT="0" distB="0" distL="0" distR="0" wp14:anchorId="1DEFA05B" wp14:editId="0CE77783">
            <wp:extent cx="4845050" cy="3289300"/>
            <wp:effectExtent l="0" t="0" r="12700" b="6350"/>
            <wp:docPr id="1" name="Chart 1">
              <a:extLst xmlns:a="http://schemas.openxmlformats.org/drawingml/2006/main">
                <a:ext uri="{FF2B5EF4-FFF2-40B4-BE49-F238E27FC236}">
                  <a16:creationId xmlns:a16="http://schemas.microsoft.com/office/drawing/2014/main" id="{27702745-D90E-1A8B-F9E7-AEF850B938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3B9E9D0" w14:textId="77777777" w:rsidR="007034F8" w:rsidRPr="007034F8" w:rsidRDefault="007034F8" w:rsidP="007034F8">
      <w:pPr>
        <w:spacing w:line="360" w:lineRule="auto"/>
        <w:rPr>
          <w:i/>
          <w:iCs/>
        </w:rPr>
      </w:pPr>
      <w:r w:rsidRPr="007034F8">
        <w:rPr>
          <w:i/>
          <w:iCs/>
        </w:rPr>
        <w:t>Figure S1. Residuals plot for logistic regression analysis</w:t>
      </w:r>
    </w:p>
    <w:p w14:paraId="3C86E443" w14:textId="77777777" w:rsidR="007034F8" w:rsidRPr="007034F8" w:rsidRDefault="007034F8" w:rsidP="007034F8">
      <w:pPr>
        <w:spacing w:line="360" w:lineRule="auto"/>
        <w:rPr>
          <w:b/>
          <w:bCs/>
        </w:rPr>
      </w:pPr>
    </w:p>
    <w:p w14:paraId="49E77E18" w14:textId="77777777" w:rsidR="007034F8" w:rsidRPr="007034F8" w:rsidRDefault="007034F8" w:rsidP="006C394D">
      <w:pPr>
        <w:spacing w:line="360" w:lineRule="auto"/>
        <w:rPr>
          <w:b/>
          <w:bCs/>
        </w:rPr>
      </w:pPr>
    </w:p>
    <w:p w14:paraId="271E7DBD" w14:textId="77777777" w:rsidR="006C394D" w:rsidRPr="009C7F26" w:rsidRDefault="006C394D" w:rsidP="00DD5C06">
      <w:pPr>
        <w:spacing w:line="360" w:lineRule="auto"/>
        <w:rPr>
          <w:lang w:val="en-AU"/>
        </w:rPr>
      </w:pPr>
    </w:p>
    <w:p w14:paraId="11443414" w14:textId="77777777" w:rsidR="005265D3" w:rsidRDefault="005265D3" w:rsidP="00DD5C06">
      <w:pPr>
        <w:spacing w:line="360" w:lineRule="auto"/>
        <w:rPr>
          <w:b/>
          <w:bCs/>
        </w:rPr>
      </w:pPr>
    </w:p>
    <w:p w14:paraId="04AC8A57" w14:textId="6DF929A4" w:rsidR="005265D3" w:rsidRPr="005265D3" w:rsidRDefault="005265D3" w:rsidP="00DD5C06">
      <w:pPr>
        <w:spacing w:line="360" w:lineRule="auto"/>
        <w:rPr>
          <w:b/>
          <w:bCs/>
        </w:rPr>
      </w:pPr>
      <w:r>
        <w:rPr>
          <w:b/>
          <w:bCs/>
        </w:rPr>
        <w:t>References</w:t>
      </w:r>
    </w:p>
    <w:p w14:paraId="66074326" w14:textId="77777777" w:rsidR="00557A4D" w:rsidRPr="002346F9" w:rsidRDefault="00557A4D" w:rsidP="00557A4D">
      <w:pPr>
        <w:pStyle w:val="EndNoteBibliography"/>
        <w:spacing w:line="360" w:lineRule="auto"/>
        <w:rPr>
          <w:noProof/>
        </w:rPr>
      </w:pPr>
      <w:bookmarkStart w:id="0" w:name="_Hlk156989001"/>
      <w:r w:rsidRPr="002346F9">
        <w:rPr>
          <w:smallCaps/>
          <w:noProof/>
        </w:rPr>
        <w:t>Brickley, M., R. Ives &amp; S. Mays.</w:t>
      </w:r>
      <w:r w:rsidRPr="002346F9">
        <w:rPr>
          <w:noProof/>
        </w:rPr>
        <w:t xml:space="preserve"> 2020. </w:t>
      </w:r>
      <w:r w:rsidRPr="002346F9">
        <w:rPr>
          <w:i/>
          <w:noProof/>
        </w:rPr>
        <w:t xml:space="preserve">The bioarchaeology of metabolic bone disease (2nd edition). </w:t>
      </w:r>
      <w:r w:rsidRPr="002346F9">
        <w:rPr>
          <w:noProof/>
        </w:rPr>
        <w:t>London: Academic.</w:t>
      </w:r>
    </w:p>
    <w:p w14:paraId="5771EA9F" w14:textId="02080FE2" w:rsidR="009C7F26" w:rsidRPr="00D7239E" w:rsidRDefault="00D7239E" w:rsidP="003C2867">
      <w:pPr>
        <w:pStyle w:val="EndNoteBibliography"/>
        <w:spacing w:line="360" w:lineRule="auto"/>
        <w:rPr>
          <w:noProof/>
        </w:rPr>
      </w:pPr>
      <w:r w:rsidRPr="00D7239E">
        <w:rPr>
          <w:smallCaps/>
          <w:noProof/>
        </w:rPr>
        <w:t>Brooks, S. &amp; J.M. Suchey.</w:t>
      </w:r>
      <w:r w:rsidRPr="00D7239E">
        <w:rPr>
          <w:noProof/>
        </w:rPr>
        <w:t xml:space="preserve"> </w:t>
      </w:r>
      <w:r w:rsidR="009C7F26" w:rsidRPr="00D7239E">
        <w:rPr>
          <w:noProof/>
        </w:rPr>
        <w:t xml:space="preserve">1990. Skeletal </w:t>
      </w:r>
      <w:r w:rsidRPr="00D7239E">
        <w:rPr>
          <w:noProof/>
        </w:rPr>
        <w:t xml:space="preserve">age determination based on the </w:t>
      </w:r>
      <w:r w:rsidRPr="00D7239E">
        <w:rPr>
          <w:i/>
          <w:iCs/>
          <w:noProof/>
        </w:rPr>
        <w:t>os pubis</w:t>
      </w:r>
      <w:r w:rsidRPr="00D7239E">
        <w:rPr>
          <w:noProof/>
        </w:rPr>
        <w:t>: a comparison o</w:t>
      </w:r>
      <w:r w:rsidR="009C7F26" w:rsidRPr="00D7239E">
        <w:rPr>
          <w:noProof/>
        </w:rPr>
        <w:t xml:space="preserve">f the Acsádi-Nemeskéri and Suchey-Brooks </w:t>
      </w:r>
      <w:r w:rsidRPr="00D7239E">
        <w:rPr>
          <w:noProof/>
        </w:rPr>
        <w:t>m</w:t>
      </w:r>
      <w:r w:rsidR="009C7F26" w:rsidRPr="00D7239E">
        <w:rPr>
          <w:noProof/>
        </w:rPr>
        <w:t xml:space="preserve">ethods. </w:t>
      </w:r>
      <w:r w:rsidR="009C7F26" w:rsidRPr="00D7239E">
        <w:rPr>
          <w:i/>
          <w:noProof/>
        </w:rPr>
        <w:t>Human Evolution</w:t>
      </w:r>
      <w:r w:rsidR="009C7F26" w:rsidRPr="00D7239E">
        <w:rPr>
          <w:noProof/>
        </w:rPr>
        <w:t xml:space="preserve"> 5</w:t>
      </w:r>
      <w:r>
        <w:rPr>
          <w:noProof/>
        </w:rPr>
        <w:t>:</w:t>
      </w:r>
      <w:r w:rsidR="009C7F26" w:rsidRPr="00D7239E">
        <w:rPr>
          <w:noProof/>
        </w:rPr>
        <w:t xml:space="preserve"> 227</w:t>
      </w:r>
      <w:r>
        <w:rPr>
          <w:noProof/>
        </w:rPr>
        <w:t>–</w:t>
      </w:r>
      <w:r w:rsidR="009C7F26" w:rsidRPr="00D7239E">
        <w:rPr>
          <w:noProof/>
        </w:rPr>
        <w:t>38.</w:t>
      </w:r>
      <w:r w:rsidR="00CB4471">
        <w:rPr>
          <w:noProof/>
        </w:rPr>
        <w:t xml:space="preserve"> </w:t>
      </w:r>
      <w:r w:rsidR="00CB4471" w:rsidRPr="00CB4471">
        <w:rPr>
          <w:noProof/>
        </w:rPr>
        <w:t>https://doi.org/10.1007/BF02437238</w:t>
      </w:r>
    </w:p>
    <w:p w14:paraId="441F0881" w14:textId="77777777" w:rsidR="00F239EC" w:rsidRPr="00F239EC" w:rsidRDefault="00F239EC" w:rsidP="00F239EC">
      <w:pPr>
        <w:spacing w:line="360" w:lineRule="auto"/>
        <w:rPr>
          <w:rFonts w:eastAsia="Calibri"/>
          <w:noProof/>
          <w:lang w:val="en-US"/>
        </w:rPr>
      </w:pPr>
      <w:r w:rsidRPr="00F239EC">
        <w:rPr>
          <w:rFonts w:eastAsia="Calibri"/>
          <w:smallCaps/>
          <w:noProof/>
          <w:lang w:val="en-US"/>
        </w:rPr>
        <w:t>Buikstra, J.E. &amp; D.H. Ubelaker.</w:t>
      </w:r>
      <w:r w:rsidRPr="00F239EC">
        <w:rPr>
          <w:rFonts w:eastAsia="Calibri"/>
          <w:noProof/>
          <w:lang w:val="en-US"/>
        </w:rPr>
        <w:t xml:space="preserve"> 1994. </w:t>
      </w:r>
      <w:r w:rsidRPr="00F239EC">
        <w:rPr>
          <w:rFonts w:eastAsia="Calibri"/>
          <w:i/>
          <w:noProof/>
          <w:lang w:val="en-US"/>
        </w:rPr>
        <w:t xml:space="preserve">Standards for data collection from human skeletal remains: proceedings of a seminar at the Field Museum of Natural History </w:t>
      </w:r>
      <w:r w:rsidRPr="00F239EC">
        <w:rPr>
          <w:rFonts w:eastAsia="Calibri"/>
          <w:iCs/>
          <w:noProof/>
          <w:lang w:val="en-US"/>
        </w:rPr>
        <w:t>(Arkansas Archeological Survey Research Series 44).</w:t>
      </w:r>
      <w:r w:rsidRPr="00F239EC">
        <w:rPr>
          <w:rFonts w:eastAsia="Calibri"/>
          <w:i/>
          <w:noProof/>
          <w:lang w:val="en-US"/>
        </w:rPr>
        <w:t xml:space="preserve"> </w:t>
      </w:r>
      <w:r w:rsidRPr="00F239EC">
        <w:rPr>
          <w:rFonts w:eastAsia="Calibri"/>
          <w:noProof/>
          <w:lang w:val="en-US"/>
        </w:rPr>
        <w:t>Fayetteville: Arkansas Archeological Survey.</w:t>
      </w:r>
    </w:p>
    <w:p w14:paraId="61C2BF53" w14:textId="77777777" w:rsidR="00557A4D" w:rsidRPr="002346F9" w:rsidRDefault="00557A4D" w:rsidP="00557A4D">
      <w:pPr>
        <w:pStyle w:val="EndNoteBibliography"/>
        <w:spacing w:line="360" w:lineRule="auto"/>
        <w:rPr>
          <w:noProof/>
        </w:rPr>
      </w:pPr>
      <w:r w:rsidRPr="002346F9">
        <w:rPr>
          <w:smallCaps/>
          <w:noProof/>
        </w:rPr>
        <w:t xml:space="preserve">Cox, E., M. Meynell, B. Northam &amp; W. Cooke. </w:t>
      </w:r>
      <w:r w:rsidRPr="002346F9">
        <w:rPr>
          <w:noProof/>
        </w:rPr>
        <w:t xml:space="preserve">1967. The anaemia of scurvy. </w:t>
      </w:r>
      <w:r w:rsidRPr="002346F9">
        <w:rPr>
          <w:i/>
          <w:noProof/>
        </w:rPr>
        <w:t>The American Journal of Medicine</w:t>
      </w:r>
      <w:r w:rsidRPr="002346F9">
        <w:rPr>
          <w:noProof/>
        </w:rPr>
        <w:t xml:space="preserve"> 42: 220–27. https://doi.org/10.1016/0002-9343(67)90021-6</w:t>
      </w:r>
    </w:p>
    <w:p w14:paraId="1C797D83" w14:textId="77777777" w:rsidR="00557A4D" w:rsidRPr="00557A4D" w:rsidRDefault="00557A4D" w:rsidP="00557A4D">
      <w:pPr>
        <w:spacing w:line="360" w:lineRule="auto"/>
        <w:rPr>
          <w:rFonts w:eastAsia="Calibri"/>
          <w:noProof/>
          <w:lang w:val="en-US"/>
        </w:rPr>
      </w:pPr>
      <w:r w:rsidRPr="00557A4D">
        <w:rPr>
          <w:rFonts w:eastAsia="Calibri"/>
          <w:smallCaps/>
          <w:noProof/>
          <w:lang w:val="en-US"/>
        </w:rPr>
        <w:t>Habu, J.</w:t>
      </w:r>
      <w:r w:rsidRPr="00557A4D">
        <w:rPr>
          <w:rFonts w:eastAsia="Calibri"/>
          <w:noProof/>
          <w:lang w:val="en-US"/>
        </w:rPr>
        <w:t xml:space="preserve"> 2004. </w:t>
      </w:r>
      <w:r w:rsidRPr="00557A4D">
        <w:rPr>
          <w:rFonts w:eastAsia="Calibri"/>
          <w:i/>
          <w:noProof/>
          <w:lang w:val="en-US"/>
        </w:rPr>
        <w:t xml:space="preserve">Ancient Jomon of Japan. </w:t>
      </w:r>
      <w:r w:rsidRPr="00557A4D">
        <w:rPr>
          <w:rFonts w:eastAsia="Calibri"/>
          <w:noProof/>
          <w:lang w:val="en-US"/>
        </w:rPr>
        <w:t>Cambridge: Cambridge University Press.</w:t>
      </w:r>
    </w:p>
    <w:p w14:paraId="47AF767A" w14:textId="77777777" w:rsidR="00557A4D" w:rsidRPr="002346F9" w:rsidRDefault="00557A4D" w:rsidP="00557A4D">
      <w:pPr>
        <w:pStyle w:val="EndNoteBibliography"/>
        <w:spacing w:line="360" w:lineRule="auto"/>
        <w:rPr>
          <w:noProof/>
        </w:rPr>
      </w:pPr>
      <w:r w:rsidRPr="002346F9">
        <w:rPr>
          <w:smallCaps/>
          <w:noProof/>
        </w:rPr>
        <w:t>Kamoun-Goldrat, A. &amp; M. Le Merrer.</w:t>
      </w:r>
      <w:r w:rsidRPr="002346F9">
        <w:rPr>
          <w:noProof/>
        </w:rPr>
        <w:t xml:space="preserve"> 2008. Infantile cortical hyperostosis (Caffey disease): a review. </w:t>
      </w:r>
      <w:r w:rsidRPr="002346F9">
        <w:rPr>
          <w:i/>
          <w:noProof/>
        </w:rPr>
        <w:t>Journal of oral and maxillofacial surgery</w:t>
      </w:r>
      <w:r w:rsidRPr="002346F9">
        <w:rPr>
          <w:noProof/>
        </w:rPr>
        <w:t xml:space="preserve"> 66: 2145–50. https://doi.org/10.1016/j.joms.2007.09.007</w:t>
      </w:r>
    </w:p>
    <w:p w14:paraId="31610122" w14:textId="77777777" w:rsidR="00557A4D" w:rsidRPr="002346F9" w:rsidRDefault="00557A4D" w:rsidP="00557A4D">
      <w:pPr>
        <w:pStyle w:val="EndNoteBibliography"/>
        <w:spacing w:line="360" w:lineRule="auto"/>
        <w:rPr>
          <w:noProof/>
        </w:rPr>
      </w:pPr>
      <w:r w:rsidRPr="002346F9">
        <w:rPr>
          <w:smallCaps/>
          <w:noProof/>
        </w:rPr>
        <w:lastRenderedPageBreak/>
        <w:t xml:space="preserve">Kemp, A.M. </w:t>
      </w:r>
      <w:r w:rsidRPr="002346F9">
        <w:rPr>
          <w:i/>
          <w:iCs/>
          <w:noProof/>
        </w:rPr>
        <w:t xml:space="preserve">et al. </w:t>
      </w:r>
      <w:r w:rsidRPr="002346F9">
        <w:rPr>
          <w:noProof/>
        </w:rPr>
        <w:t xml:space="preserve">2008. Patterns of skeletal fractures in child abuse: systematic review. </w:t>
      </w:r>
      <w:r w:rsidRPr="002346F9">
        <w:rPr>
          <w:i/>
          <w:noProof/>
        </w:rPr>
        <w:t>British Medical Journal</w:t>
      </w:r>
      <w:r w:rsidRPr="002346F9">
        <w:rPr>
          <w:noProof/>
        </w:rPr>
        <w:t xml:space="preserve"> 337. https://doi.org/10.1136/bmj.a1518</w:t>
      </w:r>
    </w:p>
    <w:p w14:paraId="717554E2" w14:textId="77777777" w:rsidR="00557A4D" w:rsidRPr="002346F9" w:rsidRDefault="00557A4D" w:rsidP="00557A4D">
      <w:pPr>
        <w:pStyle w:val="EndNoteBibliography"/>
        <w:spacing w:line="360" w:lineRule="auto"/>
        <w:rPr>
          <w:noProof/>
        </w:rPr>
      </w:pPr>
      <w:r w:rsidRPr="002346F9">
        <w:rPr>
          <w:smallCaps/>
          <w:noProof/>
        </w:rPr>
        <w:t>Khalife, R., A. Grieco, K. Khamisa, A. Tinmouh, C. McCudden &amp; E. Saidenberg.</w:t>
      </w:r>
      <w:r w:rsidRPr="002346F9">
        <w:rPr>
          <w:noProof/>
        </w:rPr>
        <w:t xml:space="preserve"> 2019. Scurvy, an old story in a new time: the hematologist's experience. </w:t>
      </w:r>
      <w:r w:rsidRPr="002346F9">
        <w:rPr>
          <w:i/>
          <w:noProof/>
        </w:rPr>
        <w:t>Blood Cells, Molecules, and Diseases</w:t>
      </w:r>
      <w:r w:rsidRPr="002346F9">
        <w:rPr>
          <w:noProof/>
        </w:rPr>
        <w:t xml:space="preserve"> 76: 40–44. https://doi.org/10.1016/j.bcmd.2019.01.004</w:t>
      </w:r>
    </w:p>
    <w:p w14:paraId="11C85AF9" w14:textId="2D1D169F" w:rsidR="009C7F26" w:rsidRPr="00D7239E" w:rsidRDefault="00715455" w:rsidP="003C2867">
      <w:pPr>
        <w:pStyle w:val="EndNoteBibliography"/>
        <w:spacing w:line="360" w:lineRule="auto"/>
        <w:rPr>
          <w:noProof/>
        </w:rPr>
      </w:pPr>
      <w:r w:rsidRPr="00715455">
        <w:rPr>
          <w:smallCaps/>
          <w:noProof/>
        </w:rPr>
        <w:t>Kiyono, K.</w:t>
      </w:r>
      <w:r w:rsidR="009C7F26" w:rsidRPr="00D7239E">
        <w:rPr>
          <w:noProof/>
        </w:rPr>
        <w:t xml:space="preserve"> 1969. </w:t>
      </w:r>
      <w:r w:rsidR="009C7F26" w:rsidRPr="00D7239E">
        <w:rPr>
          <w:i/>
          <w:noProof/>
        </w:rPr>
        <w:t>Nihon Kaizuka no Kenkyu</w:t>
      </w:r>
      <w:r w:rsidR="007F4DF7">
        <w:rPr>
          <w:i/>
          <w:noProof/>
        </w:rPr>
        <w:t>.</w:t>
      </w:r>
      <w:r w:rsidR="009C7F26" w:rsidRPr="00D7239E">
        <w:rPr>
          <w:i/>
          <w:noProof/>
        </w:rPr>
        <w:t xml:space="preserve"> </w:t>
      </w:r>
      <w:r w:rsidR="009C7F26" w:rsidRPr="00D7239E">
        <w:rPr>
          <w:noProof/>
        </w:rPr>
        <w:t>Tokyo</w:t>
      </w:r>
      <w:r w:rsidR="007F4DF7">
        <w:rPr>
          <w:noProof/>
        </w:rPr>
        <w:t>:</w:t>
      </w:r>
      <w:r w:rsidR="009C7F26" w:rsidRPr="00D7239E">
        <w:rPr>
          <w:noProof/>
        </w:rPr>
        <w:t xml:space="preserve"> Iwanami Shoten</w:t>
      </w:r>
      <w:r w:rsidR="007F4DF7">
        <w:rPr>
          <w:noProof/>
        </w:rPr>
        <w:t xml:space="preserve"> (in Japanese)</w:t>
      </w:r>
      <w:r w:rsidR="009C7F26" w:rsidRPr="00D7239E">
        <w:rPr>
          <w:noProof/>
        </w:rPr>
        <w:t>.</w:t>
      </w:r>
    </w:p>
    <w:p w14:paraId="4C65A2FF" w14:textId="1944D763" w:rsidR="009C7F26" w:rsidRPr="00D7239E" w:rsidRDefault="007F4DF7" w:rsidP="003C2867">
      <w:pPr>
        <w:pStyle w:val="EndNoteBibliography"/>
        <w:spacing w:line="360" w:lineRule="auto"/>
        <w:rPr>
          <w:noProof/>
        </w:rPr>
      </w:pPr>
      <w:r w:rsidRPr="007F4DF7">
        <w:rPr>
          <w:smallCaps/>
          <w:noProof/>
        </w:rPr>
        <w:t xml:space="preserve">Kiyono, K., </w:t>
      </w:r>
      <w:r>
        <w:rPr>
          <w:smallCaps/>
          <w:noProof/>
        </w:rPr>
        <w:t xml:space="preserve">S. </w:t>
      </w:r>
      <w:r w:rsidRPr="007F4DF7">
        <w:rPr>
          <w:smallCaps/>
          <w:noProof/>
        </w:rPr>
        <w:t xml:space="preserve">Shimada &amp; </w:t>
      </w:r>
      <w:r>
        <w:rPr>
          <w:smallCaps/>
          <w:noProof/>
        </w:rPr>
        <w:t xml:space="preserve">K. </w:t>
      </w:r>
      <w:r w:rsidRPr="007F4DF7">
        <w:rPr>
          <w:smallCaps/>
          <w:noProof/>
        </w:rPr>
        <w:t>Hamada</w:t>
      </w:r>
      <w:r>
        <w:rPr>
          <w:smallCaps/>
          <w:noProof/>
        </w:rPr>
        <w:t>.</w:t>
      </w:r>
      <w:r w:rsidRPr="00D7239E">
        <w:rPr>
          <w:noProof/>
        </w:rPr>
        <w:t xml:space="preserve"> </w:t>
      </w:r>
      <w:r w:rsidR="009C7F26" w:rsidRPr="00D7239E">
        <w:rPr>
          <w:noProof/>
        </w:rPr>
        <w:t xml:space="preserve">1920. The </w:t>
      </w:r>
      <w:r w:rsidRPr="00D7239E">
        <w:rPr>
          <w:noProof/>
        </w:rPr>
        <w:t xml:space="preserve">excavation of the shell-drive </w:t>
      </w:r>
      <w:r w:rsidR="009C7F26" w:rsidRPr="00D7239E">
        <w:rPr>
          <w:noProof/>
        </w:rPr>
        <w:t xml:space="preserve">at Tsukumo, a Neolithic </w:t>
      </w:r>
      <w:r>
        <w:rPr>
          <w:noProof/>
        </w:rPr>
        <w:t>c</w:t>
      </w:r>
      <w:r w:rsidR="009C7F26" w:rsidRPr="00D7239E">
        <w:rPr>
          <w:noProof/>
        </w:rPr>
        <w:t xml:space="preserve">emetery in the </w:t>
      </w:r>
      <w:r>
        <w:rPr>
          <w:noProof/>
        </w:rPr>
        <w:t>p</w:t>
      </w:r>
      <w:r w:rsidR="009C7F26" w:rsidRPr="00D7239E">
        <w:rPr>
          <w:noProof/>
        </w:rPr>
        <w:t xml:space="preserve">rovince of Bitchu. </w:t>
      </w:r>
      <w:r w:rsidR="009C7F26" w:rsidRPr="00D7239E">
        <w:rPr>
          <w:i/>
          <w:noProof/>
        </w:rPr>
        <w:t>Report Upon Archaeological Research.</w:t>
      </w:r>
      <w:r w:rsidR="009C7F26" w:rsidRPr="00D7239E">
        <w:rPr>
          <w:noProof/>
        </w:rPr>
        <w:t xml:space="preserve"> Kyoto: Department of Literature, Kyoto Imperial University (in Japanese).</w:t>
      </w:r>
    </w:p>
    <w:p w14:paraId="26F3A765" w14:textId="77777777" w:rsidR="00557A4D" w:rsidRPr="00266166" w:rsidRDefault="00557A4D" w:rsidP="00557A4D">
      <w:pPr>
        <w:spacing w:line="360" w:lineRule="auto"/>
        <w:rPr>
          <w:rFonts w:eastAsia="Calibri"/>
          <w:noProof/>
          <w:lang w:val="en-US"/>
        </w:rPr>
      </w:pPr>
      <w:r w:rsidRPr="00266166">
        <w:rPr>
          <w:rFonts w:eastAsia="Calibri"/>
          <w:smallCaps/>
          <w:noProof/>
          <w:lang w:val="en-US"/>
        </w:rPr>
        <w:t>Klaus, H.D.</w:t>
      </w:r>
      <w:r w:rsidRPr="00266166">
        <w:rPr>
          <w:rFonts w:eastAsia="Calibri"/>
          <w:noProof/>
          <w:lang w:val="en-US"/>
        </w:rPr>
        <w:t xml:space="preserve"> 2017. Paleopathological rigor and differential diagnosis: case studies involving terminology, description, and diagnostic frameworks for scurvy in skeletal remains. </w:t>
      </w:r>
      <w:r w:rsidRPr="00266166">
        <w:rPr>
          <w:rFonts w:eastAsia="Calibri"/>
          <w:i/>
          <w:noProof/>
          <w:lang w:val="en-US"/>
        </w:rPr>
        <w:t>International Journal of Paleopathology</w:t>
      </w:r>
      <w:r w:rsidRPr="00266166">
        <w:rPr>
          <w:rFonts w:eastAsia="Calibri"/>
          <w:noProof/>
          <w:lang w:val="en-US"/>
        </w:rPr>
        <w:t xml:space="preserve"> 19: 96–110. https://doi.org/10.1016/j.ijpp.2015.10.002</w:t>
      </w:r>
    </w:p>
    <w:p w14:paraId="6C69A32F" w14:textId="77777777" w:rsidR="00557A4D" w:rsidRPr="002346F9" w:rsidRDefault="00557A4D" w:rsidP="00557A4D">
      <w:pPr>
        <w:pStyle w:val="EndNoteBibliography"/>
        <w:spacing w:line="360" w:lineRule="auto"/>
        <w:rPr>
          <w:noProof/>
        </w:rPr>
      </w:pPr>
      <w:r w:rsidRPr="002346F9">
        <w:rPr>
          <w:smallCaps/>
          <w:noProof/>
        </w:rPr>
        <w:t>Klein, G.L. &amp; D.J. Simmons.</w:t>
      </w:r>
      <w:r w:rsidRPr="002346F9">
        <w:rPr>
          <w:noProof/>
        </w:rPr>
        <w:t xml:space="preserve"> 1993. Nutritional rickets: thoughts about pathogenesis. </w:t>
      </w:r>
      <w:r w:rsidRPr="002346F9">
        <w:rPr>
          <w:i/>
          <w:noProof/>
        </w:rPr>
        <w:t>Annals of Medicine</w:t>
      </w:r>
      <w:r w:rsidRPr="002346F9">
        <w:rPr>
          <w:noProof/>
        </w:rPr>
        <w:t xml:space="preserve"> 25: 379–84. https://doi.org/10.3109/07853899309147300</w:t>
      </w:r>
    </w:p>
    <w:p w14:paraId="4E1C44E7" w14:textId="77777777" w:rsidR="007F4DF7" w:rsidRPr="007F4DF7" w:rsidRDefault="007F4DF7" w:rsidP="007F4DF7">
      <w:pPr>
        <w:spacing w:line="360" w:lineRule="auto"/>
        <w:rPr>
          <w:rFonts w:eastAsia="Calibri"/>
          <w:noProof/>
          <w:lang w:val="en-US"/>
        </w:rPr>
      </w:pPr>
      <w:r w:rsidRPr="007F4DF7">
        <w:rPr>
          <w:rFonts w:eastAsia="Calibri"/>
          <w:smallCaps/>
          <w:noProof/>
          <w:lang w:val="en-US"/>
        </w:rPr>
        <w:t>Kusaka, S., F. Hyodo, T. Yumoto &amp; M. Nakatsukasa.</w:t>
      </w:r>
      <w:r w:rsidRPr="007F4DF7">
        <w:rPr>
          <w:rFonts w:eastAsia="Calibri"/>
          <w:noProof/>
          <w:lang w:val="en-US"/>
        </w:rPr>
        <w:t xml:space="preserve"> 2010. Carbon and nitrogen stable isotope analysis on the diet of Jomon populations from two coastal regions of Japan. </w:t>
      </w:r>
      <w:r w:rsidRPr="007F4DF7">
        <w:rPr>
          <w:rFonts w:eastAsia="Calibri"/>
          <w:i/>
          <w:noProof/>
          <w:lang w:val="en-US"/>
        </w:rPr>
        <w:t>Journal of Archaeological Science</w:t>
      </w:r>
      <w:r w:rsidRPr="007F4DF7">
        <w:rPr>
          <w:rFonts w:eastAsia="Calibri"/>
          <w:noProof/>
          <w:lang w:val="en-US"/>
        </w:rPr>
        <w:t xml:space="preserve"> 37: 1968–77. https://doi.org/10.1016/j.jas.2010.03.002</w:t>
      </w:r>
    </w:p>
    <w:p w14:paraId="2D8C1E32" w14:textId="77777777" w:rsidR="007F4DF7" w:rsidRPr="007F4DF7" w:rsidRDefault="007F4DF7" w:rsidP="007F4DF7">
      <w:pPr>
        <w:spacing w:line="360" w:lineRule="auto"/>
        <w:rPr>
          <w:rFonts w:eastAsia="Calibri"/>
          <w:noProof/>
          <w:lang w:val="en-US"/>
        </w:rPr>
      </w:pPr>
      <w:r w:rsidRPr="007F4DF7">
        <w:rPr>
          <w:rFonts w:eastAsia="Calibri"/>
          <w:smallCaps/>
          <w:noProof/>
          <w:lang w:val="en-US"/>
        </w:rPr>
        <w:t>Kusaka, S., K.T. Uno, T. Nakano, M. Nakatsukasa &amp; T.E. Cerling</w:t>
      </w:r>
      <w:r w:rsidRPr="007F4DF7">
        <w:rPr>
          <w:rFonts w:eastAsia="Calibri"/>
          <w:noProof/>
          <w:lang w:val="en-US"/>
        </w:rPr>
        <w:t xml:space="preserve">. 2015. Carbon isotope ratios of human tooth enamel record the evidence of terrestrial resource consumption during the Jomon period, Japan. </w:t>
      </w:r>
      <w:r w:rsidRPr="007F4DF7">
        <w:rPr>
          <w:rFonts w:eastAsia="Calibri"/>
          <w:i/>
          <w:noProof/>
          <w:lang w:val="en-US"/>
        </w:rPr>
        <w:t>American Journal of Physical Anthropology</w:t>
      </w:r>
      <w:r w:rsidRPr="007F4DF7">
        <w:rPr>
          <w:rFonts w:eastAsia="Calibri"/>
          <w:noProof/>
          <w:lang w:val="en-US"/>
        </w:rPr>
        <w:t xml:space="preserve"> 158: 300–311. https://doi.org/10.1002/ajpa.22775</w:t>
      </w:r>
    </w:p>
    <w:p w14:paraId="21375B92" w14:textId="77777777" w:rsidR="00557A4D" w:rsidRPr="002346F9" w:rsidRDefault="00557A4D" w:rsidP="00557A4D">
      <w:pPr>
        <w:pStyle w:val="EndNoteBibliography"/>
        <w:spacing w:line="360" w:lineRule="auto"/>
        <w:rPr>
          <w:noProof/>
        </w:rPr>
      </w:pPr>
      <w:r w:rsidRPr="002346F9">
        <w:rPr>
          <w:smallCaps/>
          <w:noProof/>
        </w:rPr>
        <w:t>Lewis, M.E.</w:t>
      </w:r>
      <w:r w:rsidRPr="002346F9">
        <w:rPr>
          <w:noProof/>
        </w:rPr>
        <w:t xml:space="preserve"> 2017. </w:t>
      </w:r>
      <w:r w:rsidRPr="002346F9">
        <w:rPr>
          <w:i/>
          <w:noProof/>
        </w:rPr>
        <w:t xml:space="preserve">Paleopathology of children: identification of pathological conditions in the human skeletal remains of non-adults. </w:t>
      </w:r>
      <w:r w:rsidRPr="002346F9">
        <w:rPr>
          <w:noProof/>
        </w:rPr>
        <w:t>London: Academic.</w:t>
      </w:r>
    </w:p>
    <w:p w14:paraId="0FA682D7" w14:textId="4F544DB9" w:rsidR="009C7F26" w:rsidRPr="00D7239E" w:rsidRDefault="007F4DF7" w:rsidP="003C2867">
      <w:pPr>
        <w:pStyle w:val="EndNoteBibliography"/>
        <w:spacing w:line="360" w:lineRule="auto"/>
        <w:rPr>
          <w:noProof/>
        </w:rPr>
      </w:pPr>
      <w:r w:rsidRPr="007F4DF7">
        <w:rPr>
          <w:smallCaps/>
          <w:noProof/>
        </w:rPr>
        <w:t xml:space="preserve">Lovejoy, C.O., </w:t>
      </w:r>
      <w:r>
        <w:rPr>
          <w:smallCaps/>
          <w:noProof/>
        </w:rPr>
        <w:t xml:space="preserve">R.S. </w:t>
      </w:r>
      <w:r w:rsidRPr="007F4DF7">
        <w:rPr>
          <w:smallCaps/>
          <w:noProof/>
        </w:rPr>
        <w:t xml:space="preserve">Meindl, </w:t>
      </w:r>
      <w:r>
        <w:rPr>
          <w:smallCaps/>
          <w:noProof/>
        </w:rPr>
        <w:t xml:space="preserve">T.R. </w:t>
      </w:r>
      <w:r w:rsidRPr="007F4DF7">
        <w:rPr>
          <w:smallCaps/>
          <w:noProof/>
        </w:rPr>
        <w:t xml:space="preserve">Pryzbeck &amp; </w:t>
      </w:r>
      <w:r>
        <w:rPr>
          <w:smallCaps/>
          <w:noProof/>
        </w:rPr>
        <w:t xml:space="preserve">R.P. </w:t>
      </w:r>
      <w:r w:rsidRPr="007F4DF7">
        <w:rPr>
          <w:smallCaps/>
          <w:noProof/>
        </w:rPr>
        <w:t>Mensforth.</w:t>
      </w:r>
      <w:r w:rsidRPr="00D7239E">
        <w:rPr>
          <w:noProof/>
        </w:rPr>
        <w:t xml:space="preserve"> </w:t>
      </w:r>
      <w:r w:rsidR="009C7F26" w:rsidRPr="00D7239E">
        <w:rPr>
          <w:noProof/>
        </w:rPr>
        <w:t xml:space="preserve">1985. Chronological </w:t>
      </w:r>
      <w:r w:rsidRPr="00D7239E">
        <w:rPr>
          <w:noProof/>
        </w:rPr>
        <w:t>metamorphosis of the auricular surface of the ilium: a new method for the determination of adult skeletal age at death</w:t>
      </w:r>
      <w:r w:rsidR="009C7F26" w:rsidRPr="00D7239E">
        <w:rPr>
          <w:noProof/>
        </w:rPr>
        <w:t xml:space="preserve">. </w:t>
      </w:r>
      <w:r w:rsidR="009C7F26" w:rsidRPr="00D7239E">
        <w:rPr>
          <w:i/>
          <w:noProof/>
        </w:rPr>
        <w:t>American Journal of Physical Anthropology</w:t>
      </w:r>
      <w:r w:rsidR="009C7F26" w:rsidRPr="00D7239E">
        <w:rPr>
          <w:noProof/>
        </w:rPr>
        <w:t xml:space="preserve"> 68</w:t>
      </w:r>
      <w:r>
        <w:rPr>
          <w:noProof/>
        </w:rPr>
        <w:t>:</w:t>
      </w:r>
      <w:r w:rsidR="009C7F26" w:rsidRPr="00D7239E">
        <w:rPr>
          <w:noProof/>
        </w:rPr>
        <w:t xml:space="preserve"> 15</w:t>
      </w:r>
      <w:r>
        <w:rPr>
          <w:noProof/>
        </w:rPr>
        <w:t>–</w:t>
      </w:r>
      <w:r w:rsidR="009C7F26" w:rsidRPr="00D7239E">
        <w:rPr>
          <w:noProof/>
        </w:rPr>
        <w:t>28.</w:t>
      </w:r>
      <w:r>
        <w:rPr>
          <w:noProof/>
        </w:rPr>
        <w:t xml:space="preserve"> </w:t>
      </w:r>
      <w:r w:rsidRPr="007F4DF7">
        <w:rPr>
          <w:noProof/>
        </w:rPr>
        <w:t>https://doi.org/10.1002/ajpa.1330680103</w:t>
      </w:r>
    </w:p>
    <w:p w14:paraId="0AFC0EB2" w14:textId="24F2B004" w:rsidR="009C7F26" w:rsidRPr="00D7239E" w:rsidRDefault="007F4DF7" w:rsidP="003C2867">
      <w:pPr>
        <w:pStyle w:val="EndNoteBibliography"/>
        <w:spacing w:line="360" w:lineRule="auto"/>
        <w:rPr>
          <w:noProof/>
        </w:rPr>
      </w:pPr>
      <w:r w:rsidRPr="007F4DF7">
        <w:rPr>
          <w:smallCaps/>
          <w:noProof/>
        </w:rPr>
        <w:t xml:space="preserve">Mckinley, J. </w:t>
      </w:r>
      <w:r w:rsidR="009C7F26" w:rsidRPr="00D7239E">
        <w:rPr>
          <w:noProof/>
        </w:rPr>
        <w:t xml:space="preserve">2004. Compiling a </w:t>
      </w:r>
      <w:r w:rsidRPr="00D7239E">
        <w:rPr>
          <w:noProof/>
        </w:rPr>
        <w:t>skeletal inventory: disarticulated and co-mingled remains</w:t>
      </w:r>
      <w:r>
        <w:rPr>
          <w:noProof/>
        </w:rPr>
        <w:t xml:space="preserve">, in M. </w:t>
      </w:r>
      <w:r w:rsidR="009C7F26" w:rsidRPr="00D7239E">
        <w:rPr>
          <w:noProof/>
        </w:rPr>
        <w:t>B</w:t>
      </w:r>
      <w:r w:rsidRPr="00D7239E">
        <w:rPr>
          <w:noProof/>
        </w:rPr>
        <w:t>rickley</w:t>
      </w:r>
      <w:r w:rsidR="009C7F26" w:rsidRPr="00D7239E">
        <w:rPr>
          <w:noProof/>
        </w:rPr>
        <w:t xml:space="preserve"> &amp; </w:t>
      </w:r>
      <w:r>
        <w:rPr>
          <w:noProof/>
        </w:rPr>
        <w:t xml:space="preserve">J. </w:t>
      </w:r>
      <w:r w:rsidR="009C7F26" w:rsidRPr="00D7239E">
        <w:rPr>
          <w:noProof/>
        </w:rPr>
        <w:t>M</w:t>
      </w:r>
      <w:r>
        <w:rPr>
          <w:noProof/>
        </w:rPr>
        <w:t>c</w:t>
      </w:r>
      <w:r w:rsidR="009C7F26" w:rsidRPr="00D7239E">
        <w:rPr>
          <w:noProof/>
        </w:rPr>
        <w:t>K</w:t>
      </w:r>
      <w:r w:rsidRPr="00D7239E">
        <w:rPr>
          <w:noProof/>
        </w:rPr>
        <w:t>inley</w:t>
      </w:r>
      <w:r w:rsidR="009C7F26" w:rsidRPr="00D7239E">
        <w:rPr>
          <w:noProof/>
        </w:rPr>
        <w:t xml:space="preserve"> (ed.) </w:t>
      </w:r>
      <w:r w:rsidR="009C7F26" w:rsidRPr="00D7239E">
        <w:rPr>
          <w:i/>
          <w:noProof/>
        </w:rPr>
        <w:t xml:space="preserve">Guidelines to the </w:t>
      </w:r>
      <w:r w:rsidRPr="00D7239E">
        <w:rPr>
          <w:i/>
          <w:noProof/>
        </w:rPr>
        <w:t>standards for recording human remain</w:t>
      </w:r>
      <w:r w:rsidR="009C7F26" w:rsidRPr="00D7239E">
        <w:rPr>
          <w:i/>
          <w:noProof/>
        </w:rPr>
        <w:t>s</w:t>
      </w:r>
      <w:r>
        <w:rPr>
          <w:iCs/>
          <w:noProof/>
        </w:rPr>
        <w:t>: 14–17</w:t>
      </w:r>
      <w:r w:rsidR="009C7F26" w:rsidRPr="00D7239E">
        <w:rPr>
          <w:i/>
          <w:noProof/>
        </w:rPr>
        <w:t>.</w:t>
      </w:r>
      <w:r w:rsidR="009C7F26" w:rsidRPr="00D7239E">
        <w:rPr>
          <w:noProof/>
        </w:rPr>
        <w:t xml:space="preserve"> Reading: </w:t>
      </w:r>
      <w:r>
        <w:rPr>
          <w:noProof/>
        </w:rPr>
        <w:t>British Association for Biological Anthropology and Osteoarchaeology &amp;</w:t>
      </w:r>
      <w:r w:rsidR="009C7F26" w:rsidRPr="00D7239E">
        <w:rPr>
          <w:noProof/>
        </w:rPr>
        <w:t xml:space="preserve"> Institute of Field Archaeologists.</w:t>
      </w:r>
    </w:p>
    <w:p w14:paraId="4422BCAB" w14:textId="5605E9F1" w:rsidR="009C7F26" w:rsidRPr="00D7239E" w:rsidRDefault="00CC36C4" w:rsidP="003C2867">
      <w:pPr>
        <w:pStyle w:val="EndNoteBibliography"/>
        <w:spacing w:line="360" w:lineRule="auto"/>
        <w:rPr>
          <w:noProof/>
        </w:rPr>
      </w:pPr>
      <w:r w:rsidRPr="00CC36C4">
        <w:rPr>
          <w:smallCaps/>
          <w:noProof/>
        </w:rPr>
        <w:lastRenderedPageBreak/>
        <w:t xml:space="preserve">Moorrees, C.F., </w:t>
      </w:r>
      <w:r>
        <w:rPr>
          <w:smallCaps/>
          <w:noProof/>
        </w:rPr>
        <w:t xml:space="preserve">E.A. </w:t>
      </w:r>
      <w:r w:rsidRPr="00CC36C4">
        <w:rPr>
          <w:smallCaps/>
          <w:noProof/>
        </w:rPr>
        <w:t xml:space="preserve">Fanning &amp; </w:t>
      </w:r>
      <w:r>
        <w:rPr>
          <w:smallCaps/>
          <w:noProof/>
        </w:rPr>
        <w:t xml:space="preserve">E.E. </w:t>
      </w:r>
      <w:r w:rsidRPr="00CC36C4">
        <w:rPr>
          <w:smallCaps/>
          <w:noProof/>
        </w:rPr>
        <w:t>Hunt.</w:t>
      </w:r>
      <w:r w:rsidRPr="00D7239E">
        <w:rPr>
          <w:noProof/>
        </w:rPr>
        <w:t xml:space="preserve"> </w:t>
      </w:r>
      <w:r w:rsidR="009C7F26" w:rsidRPr="00D7239E">
        <w:rPr>
          <w:noProof/>
        </w:rPr>
        <w:t xml:space="preserve">1963. Formation </w:t>
      </w:r>
      <w:r w:rsidRPr="00D7239E">
        <w:rPr>
          <w:noProof/>
        </w:rPr>
        <w:t>and resorption of three deciduous teeth in children</w:t>
      </w:r>
      <w:r w:rsidR="009C7F26" w:rsidRPr="00D7239E">
        <w:rPr>
          <w:noProof/>
        </w:rPr>
        <w:t xml:space="preserve">. </w:t>
      </w:r>
      <w:r w:rsidR="009C7F26" w:rsidRPr="00D7239E">
        <w:rPr>
          <w:i/>
          <w:noProof/>
        </w:rPr>
        <w:t>American Journal of Physical Anthropology</w:t>
      </w:r>
      <w:r w:rsidR="009C7F26" w:rsidRPr="00D7239E">
        <w:rPr>
          <w:noProof/>
        </w:rPr>
        <w:t xml:space="preserve"> 21</w:t>
      </w:r>
      <w:r>
        <w:rPr>
          <w:noProof/>
        </w:rPr>
        <w:t>:</w:t>
      </w:r>
      <w:r w:rsidR="009C7F26" w:rsidRPr="00D7239E">
        <w:rPr>
          <w:noProof/>
        </w:rPr>
        <w:t xml:space="preserve"> 205</w:t>
      </w:r>
      <w:r>
        <w:rPr>
          <w:noProof/>
        </w:rPr>
        <w:t>–</w:t>
      </w:r>
      <w:r w:rsidR="009C7F26" w:rsidRPr="00D7239E">
        <w:rPr>
          <w:noProof/>
        </w:rPr>
        <w:t>213.</w:t>
      </w:r>
      <w:r>
        <w:rPr>
          <w:noProof/>
        </w:rPr>
        <w:t xml:space="preserve"> </w:t>
      </w:r>
      <w:r w:rsidRPr="00CC36C4">
        <w:rPr>
          <w:noProof/>
        </w:rPr>
        <w:t>https://doi.org/10.1002/ajpa.1330210212</w:t>
      </w:r>
    </w:p>
    <w:p w14:paraId="312AD440" w14:textId="77777777" w:rsidR="00557A4D" w:rsidRPr="002346F9" w:rsidRDefault="00557A4D" w:rsidP="00557A4D">
      <w:pPr>
        <w:pStyle w:val="EndNoteBibliography"/>
        <w:spacing w:line="360" w:lineRule="auto"/>
        <w:rPr>
          <w:noProof/>
        </w:rPr>
      </w:pPr>
      <w:r w:rsidRPr="002346F9">
        <w:rPr>
          <w:smallCaps/>
          <w:noProof/>
        </w:rPr>
        <w:t>Paine, R.R. &amp; B.P. Brenton.</w:t>
      </w:r>
      <w:r w:rsidRPr="002346F9">
        <w:rPr>
          <w:noProof/>
        </w:rPr>
        <w:t xml:space="preserve"> 2006. The paleopathology of pellagra: investigating the impact of prehistoric and historical dietary transitions to maize. </w:t>
      </w:r>
      <w:r w:rsidRPr="002346F9">
        <w:rPr>
          <w:i/>
          <w:noProof/>
        </w:rPr>
        <w:t>Journal of Anthropological Sciences</w:t>
      </w:r>
      <w:r w:rsidRPr="002346F9">
        <w:rPr>
          <w:noProof/>
        </w:rPr>
        <w:t xml:space="preserve"> 84: 125–35.</w:t>
      </w:r>
    </w:p>
    <w:p w14:paraId="373AC9DF" w14:textId="1A824E03" w:rsidR="009C7F26" w:rsidRPr="00D7239E" w:rsidRDefault="00CC36C4" w:rsidP="003C2867">
      <w:pPr>
        <w:pStyle w:val="EndNoteBibliography"/>
        <w:spacing w:line="360" w:lineRule="auto"/>
        <w:rPr>
          <w:noProof/>
        </w:rPr>
      </w:pPr>
      <w:r w:rsidRPr="00CC36C4">
        <w:rPr>
          <w:smallCaps/>
          <w:noProof/>
        </w:rPr>
        <w:t>Phenice, T.W.</w:t>
      </w:r>
      <w:r w:rsidR="009C7F26" w:rsidRPr="00D7239E">
        <w:rPr>
          <w:noProof/>
        </w:rPr>
        <w:t xml:space="preserve"> 1969. A </w:t>
      </w:r>
      <w:r w:rsidRPr="00D7239E">
        <w:rPr>
          <w:noProof/>
        </w:rPr>
        <w:t xml:space="preserve">newly developed visual method of sexing the </w:t>
      </w:r>
      <w:r w:rsidRPr="00CC36C4">
        <w:rPr>
          <w:i/>
          <w:iCs/>
          <w:noProof/>
        </w:rPr>
        <w:t>os pubis</w:t>
      </w:r>
      <w:r w:rsidR="009C7F26" w:rsidRPr="00D7239E">
        <w:rPr>
          <w:noProof/>
        </w:rPr>
        <w:t xml:space="preserve">. </w:t>
      </w:r>
      <w:r w:rsidR="009C7F26" w:rsidRPr="00D7239E">
        <w:rPr>
          <w:i/>
          <w:noProof/>
        </w:rPr>
        <w:t>American Journal of Physical Anthropology</w:t>
      </w:r>
      <w:r w:rsidR="009C7F26" w:rsidRPr="00D7239E">
        <w:rPr>
          <w:noProof/>
        </w:rPr>
        <w:t xml:space="preserve"> 30</w:t>
      </w:r>
      <w:r>
        <w:rPr>
          <w:noProof/>
        </w:rPr>
        <w:t>:</w:t>
      </w:r>
      <w:r w:rsidR="009C7F26" w:rsidRPr="00D7239E">
        <w:rPr>
          <w:noProof/>
        </w:rPr>
        <w:t xml:space="preserve"> 297</w:t>
      </w:r>
      <w:r>
        <w:rPr>
          <w:noProof/>
        </w:rPr>
        <w:t>–</w:t>
      </w:r>
      <w:r w:rsidR="009C7F26" w:rsidRPr="00D7239E">
        <w:rPr>
          <w:noProof/>
        </w:rPr>
        <w:t>301.</w:t>
      </w:r>
      <w:r>
        <w:rPr>
          <w:noProof/>
        </w:rPr>
        <w:t xml:space="preserve"> </w:t>
      </w:r>
      <w:r w:rsidRPr="00CC36C4">
        <w:rPr>
          <w:noProof/>
        </w:rPr>
        <w:t>https://doi.org/10.1002/ajpa.1330300214</w:t>
      </w:r>
    </w:p>
    <w:p w14:paraId="0C13A8FA" w14:textId="77777777" w:rsidR="00CC36C4" w:rsidRPr="00CC36C4" w:rsidRDefault="00CC36C4" w:rsidP="00CC36C4">
      <w:pPr>
        <w:spacing w:line="360" w:lineRule="auto"/>
        <w:rPr>
          <w:rFonts w:eastAsia="Calibri"/>
          <w:noProof/>
          <w:lang w:val="en-US"/>
        </w:rPr>
      </w:pPr>
      <w:r w:rsidRPr="00CC36C4">
        <w:rPr>
          <w:rFonts w:eastAsia="Calibri"/>
          <w:smallCaps/>
          <w:noProof/>
          <w:lang w:val="en-US"/>
        </w:rPr>
        <w:t>Schaefer, M., S.M. Black &amp; L. Scheuer.</w:t>
      </w:r>
      <w:r w:rsidRPr="00CC36C4">
        <w:rPr>
          <w:rFonts w:eastAsia="Calibri"/>
          <w:noProof/>
          <w:lang w:val="en-US"/>
        </w:rPr>
        <w:t xml:space="preserve"> 2009. </w:t>
      </w:r>
      <w:r w:rsidRPr="00CC36C4">
        <w:rPr>
          <w:rFonts w:eastAsia="Calibri"/>
          <w:i/>
          <w:noProof/>
          <w:lang w:val="en-US"/>
        </w:rPr>
        <w:t>Juvenile osteology: a laboratory and field manual</w:t>
      </w:r>
      <w:r w:rsidRPr="00CC36C4">
        <w:rPr>
          <w:rFonts w:eastAsia="Calibri"/>
          <w:noProof/>
          <w:lang w:val="en-US"/>
        </w:rPr>
        <w:t>. London: Academic.</w:t>
      </w:r>
    </w:p>
    <w:p w14:paraId="41723ABE" w14:textId="11C4EEEE" w:rsidR="009C7F26" w:rsidRPr="00D7239E" w:rsidRDefault="00CC36C4" w:rsidP="003C2867">
      <w:pPr>
        <w:pStyle w:val="EndNoteBibliography"/>
        <w:spacing w:line="360" w:lineRule="auto"/>
        <w:rPr>
          <w:noProof/>
        </w:rPr>
      </w:pPr>
      <w:r w:rsidRPr="00CC36C4">
        <w:rPr>
          <w:smallCaps/>
          <w:noProof/>
        </w:rPr>
        <w:t>Scott, E.C.</w:t>
      </w:r>
      <w:r w:rsidRPr="00D7239E">
        <w:rPr>
          <w:noProof/>
        </w:rPr>
        <w:t xml:space="preserve"> </w:t>
      </w:r>
      <w:r w:rsidR="009C7F26" w:rsidRPr="00D7239E">
        <w:rPr>
          <w:noProof/>
        </w:rPr>
        <w:t xml:space="preserve">1979. Dental </w:t>
      </w:r>
      <w:r w:rsidRPr="00D7239E">
        <w:rPr>
          <w:noProof/>
        </w:rPr>
        <w:t>wear scoring technique</w:t>
      </w:r>
      <w:r w:rsidR="009C7F26" w:rsidRPr="00D7239E">
        <w:rPr>
          <w:noProof/>
        </w:rPr>
        <w:t xml:space="preserve">. </w:t>
      </w:r>
      <w:r w:rsidR="009C7F26" w:rsidRPr="00D7239E">
        <w:rPr>
          <w:i/>
          <w:noProof/>
        </w:rPr>
        <w:t>American Journal of Physical Anthropology</w:t>
      </w:r>
      <w:r w:rsidR="009C7F26" w:rsidRPr="00D7239E">
        <w:rPr>
          <w:noProof/>
        </w:rPr>
        <w:t xml:space="preserve"> 51</w:t>
      </w:r>
      <w:r>
        <w:rPr>
          <w:noProof/>
        </w:rPr>
        <w:t>:</w:t>
      </w:r>
      <w:r w:rsidR="009C7F26" w:rsidRPr="00D7239E">
        <w:rPr>
          <w:noProof/>
        </w:rPr>
        <w:t xml:space="preserve"> 213</w:t>
      </w:r>
      <w:r>
        <w:rPr>
          <w:noProof/>
        </w:rPr>
        <w:t>–</w:t>
      </w:r>
      <w:r w:rsidR="009C7F26" w:rsidRPr="00D7239E">
        <w:rPr>
          <w:noProof/>
        </w:rPr>
        <w:t>217.</w:t>
      </w:r>
      <w:r>
        <w:rPr>
          <w:noProof/>
        </w:rPr>
        <w:t xml:space="preserve"> </w:t>
      </w:r>
      <w:r w:rsidRPr="00CC36C4">
        <w:rPr>
          <w:noProof/>
        </w:rPr>
        <w:t>https://doi.org/10.1002/ajpa.1330510208</w:t>
      </w:r>
    </w:p>
    <w:p w14:paraId="4903BEA2" w14:textId="698BB2BE" w:rsidR="009C7F26" w:rsidRPr="00D7239E" w:rsidRDefault="00CC36C4" w:rsidP="003C2867">
      <w:pPr>
        <w:pStyle w:val="EndNoteBibliography"/>
        <w:spacing w:line="360" w:lineRule="auto"/>
        <w:rPr>
          <w:noProof/>
        </w:rPr>
      </w:pPr>
      <w:r w:rsidRPr="00CC36C4">
        <w:rPr>
          <w:smallCaps/>
          <w:noProof/>
        </w:rPr>
        <w:t xml:space="preserve">Shiomi, H., </w:t>
      </w:r>
      <w:r>
        <w:rPr>
          <w:smallCaps/>
          <w:noProof/>
        </w:rPr>
        <w:t xml:space="preserve">T. </w:t>
      </w:r>
      <w:r w:rsidRPr="00CC36C4">
        <w:rPr>
          <w:smallCaps/>
          <w:noProof/>
        </w:rPr>
        <w:t xml:space="preserve">Kawagoshi &amp; </w:t>
      </w:r>
      <w:r>
        <w:rPr>
          <w:smallCaps/>
          <w:noProof/>
        </w:rPr>
        <w:t xml:space="preserve">M. </w:t>
      </w:r>
      <w:r w:rsidRPr="00CC36C4">
        <w:rPr>
          <w:smallCaps/>
          <w:noProof/>
        </w:rPr>
        <w:t>Kawase.</w:t>
      </w:r>
      <w:r w:rsidRPr="00D7239E">
        <w:rPr>
          <w:noProof/>
        </w:rPr>
        <w:t xml:space="preserve"> </w:t>
      </w:r>
      <w:r w:rsidR="009C7F26" w:rsidRPr="00D7239E">
        <w:rPr>
          <w:noProof/>
        </w:rPr>
        <w:t xml:space="preserve">1971. Report on the </w:t>
      </w:r>
      <w:r>
        <w:rPr>
          <w:noProof/>
        </w:rPr>
        <w:t>e</w:t>
      </w:r>
      <w:r w:rsidR="009C7F26" w:rsidRPr="00D7239E">
        <w:rPr>
          <w:noProof/>
        </w:rPr>
        <w:t>xcavation of</w:t>
      </w:r>
      <w:r w:rsidR="00A60F16" w:rsidRPr="00D7239E">
        <w:rPr>
          <w:noProof/>
        </w:rPr>
        <w:t xml:space="preserve"> Ōta </w:t>
      </w:r>
      <w:r w:rsidRPr="00CC36C4">
        <w:rPr>
          <w:noProof/>
        </w:rPr>
        <w:t>shell mound</w:t>
      </w:r>
      <w:r w:rsidRPr="00D7239E">
        <w:rPr>
          <w:noProof/>
        </w:rPr>
        <w:t xml:space="preserve"> </w:t>
      </w:r>
      <w:r w:rsidR="009C7F26" w:rsidRPr="00D7239E">
        <w:rPr>
          <w:noProof/>
        </w:rPr>
        <w:t>of the Onomichi City, Hiroshima Prefecture</w:t>
      </w:r>
      <w:r>
        <w:rPr>
          <w:noProof/>
        </w:rPr>
        <w:t xml:space="preserve">, in H. </w:t>
      </w:r>
      <w:r w:rsidR="009C7F26" w:rsidRPr="00D7239E">
        <w:rPr>
          <w:noProof/>
        </w:rPr>
        <w:t>S</w:t>
      </w:r>
      <w:r w:rsidRPr="00D7239E">
        <w:rPr>
          <w:noProof/>
        </w:rPr>
        <w:t>hiomi</w:t>
      </w:r>
      <w:r w:rsidR="009C7F26" w:rsidRPr="00D7239E">
        <w:rPr>
          <w:noProof/>
        </w:rPr>
        <w:t xml:space="preserve"> (ed.) </w:t>
      </w:r>
      <w:r w:rsidR="009C7F26" w:rsidRPr="00D7239E">
        <w:rPr>
          <w:i/>
          <w:noProof/>
        </w:rPr>
        <w:t>Report on the Research of Cultural Heritage of Hiroshima Prefecture.</w:t>
      </w:r>
      <w:r w:rsidR="009C7F26" w:rsidRPr="00D7239E">
        <w:rPr>
          <w:noProof/>
        </w:rPr>
        <w:t xml:space="preserve"> Hiroshima: Educational Board of Hiroshima Prefecture</w:t>
      </w:r>
      <w:r>
        <w:rPr>
          <w:noProof/>
        </w:rPr>
        <w:t xml:space="preserve"> (in Japanese)</w:t>
      </w:r>
      <w:r w:rsidR="009C7F26" w:rsidRPr="00D7239E">
        <w:rPr>
          <w:noProof/>
        </w:rPr>
        <w:t>.</w:t>
      </w:r>
    </w:p>
    <w:p w14:paraId="05F5B742" w14:textId="77777777" w:rsidR="00557A4D" w:rsidRPr="00266166" w:rsidRDefault="00557A4D" w:rsidP="00557A4D">
      <w:pPr>
        <w:spacing w:line="360" w:lineRule="auto"/>
        <w:rPr>
          <w:rFonts w:eastAsia="Calibri"/>
          <w:noProof/>
          <w:lang w:val="en-US"/>
        </w:rPr>
      </w:pPr>
      <w:r w:rsidRPr="00266166">
        <w:rPr>
          <w:rFonts w:eastAsia="Calibri"/>
          <w:smallCaps/>
          <w:noProof/>
          <w:lang w:val="en-US"/>
        </w:rPr>
        <w:t>Snoddy, A.M.E., S.E. Halcrow, H.R. Buckley, V.G. Standen &amp; B.T. Arriaza.</w:t>
      </w:r>
      <w:r w:rsidRPr="00266166">
        <w:rPr>
          <w:rFonts w:eastAsia="Calibri"/>
          <w:noProof/>
          <w:lang w:val="en-US"/>
        </w:rPr>
        <w:t xml:space="preserve"> 2017. Scurvy at the agricultural transition in the Atacama Desert (ca 3600–3200 BP): nutritional stress at the maternal-foetal interface? </w:t>
      </w:r>
      <w:r w:rsidRPr="00266166">
        <w:rPr>
          <w:rFonts w:eastAsia="Calibri"/>
          <w:i/>
          <w:noProof/>
          <w:lang w:val="en-US"/>
        </w:rPr>
        <w:t xml:space="preserve">International Journal of Paleopathology </w:t>
      </w:r>
      <w:r w:rsidRPr="00266166">
        <w:rPr>
          <w:rFonts w:eastAsia="Calibri"/>
          <w:noProof/>
          <w:lang w:val="en-US"/>
        </w:rPr>
        <w:t>18: 108–120. https://doi.org/10.1016/j.ijpp.2017.05.011</w:t>
      </w:r>
    </w:p>
    <w:p w14:paraId="351036D7" w14:textId="70F3D420" w:rsidR="00CC36C4" w:rsidRPr="00CC36C4" w:rsidRDefault="00CC36C4" w:rsidP="00CC36C4">
      <w:pPr>
        <w:pStyle w:val="EndNoteBibliography"/>
        <w:spacing w:line="360" w:lineRule="auto"/>
        <w:rPr>
          <w:rFonts w:eastAsia="Calibri"/>
          <w:noProof/>
        </w:rPr>
      </w:pPr>
      <w:r w:rsidRPr="00CC36C4">
        <w:rPr>
          <w:smallCaps/>
          <w:noProof/>
        </w:rPr>
        <w:t>Temple, D.H.</w:t>
      </w:r>
      <w:r w:rsidRPr="00D7239E">
        <w:rPr>
          <w:noProof/>
        </w:rPr>
        <w:t xml:space="preserve"> </w:t>
      </w:r>
      <w:r w:rsidR="009C7F26" w:rsidRPr="00D7239E">
        <w:rPr>
          <w:noProof/>
        </w:rPr>
        <w:t xml:space="preserve">2007. </w:t>
      </w:r>
      <w:r w:rsidRPr="00CC36C4">
        <w:rPr>
          <w:rFonts w:eastAsia="Calibri"/>
          <w:iCs/>
          <w:noProof/>
        </w:rPr>
        <w:t>Human biological variation during the agricultural transition in prehistoric Japan</w:t>
      </w:r>
      <w:r w:rsidRPr="00CC36C4">
        <w:rPr>
          <w:rFonts w:eastAsia="Calibri"/>
          <w:i/>
          <w:noProof/>
        </w:rPr>
        <w:t>.</w:t>
      </w:r>
      <w:r w:rsidRPr="00CC36C4">
        <w:rPr>
          <w:rFonts w:eastAsia="Calibri"/>
          <w:noProof/>
        </w:rPr>
        <w:t xml:space="preserve"> Unpublished PhD dissertation, the Ohio State University.</w:t>
      </w:r>
    </w:p>
    <w:p w14:paraId="40459C2B" w14:textId="77777777" w:rsidR="00CC36C4" w:rsidRPr="00CC36C4" w:rsidRDefault="00CC36C4" w:rsidP="00CC36C4">
      <w:pPr>
        <w:spacing w:line="360" w:lineRule="auto"/>
        <w:rPr>
          <w:rFonts w:eastAsia="Calibri"/>
          <w:noProof/>
          <w:lang w:val="en-US"/>
        </w:rPr>
      </w:pPr>
      <w:r w:rsidRPr="00CC36C4">
        <w:rPr>
          <w:rFonts w:eastAsia="Calibri"/>
          <w:noProof/>
          <w:lang w:val="en-US"/>
        </w:rPr>
        <w:t xml:space="preserve">– 2018. Persistence of time: resilience and adaptability in prehistoric Jomon hunter-gatherers from the inland sea region of southwestern Honshu, Japan, in D.H. Temple &amp; C.M. Stojanowski (ed.) </w:t>
      </w:r>
      <w:r w:rsidRPr="00CC36C4">
        <w:rPr>
          <w:rFonts w:eastAsia="Calibri"/>
          <w:i/>
          <w:noProof/>
          <w:lang w:val="en-US"/>
        </w:rPr>
        <w:t>Hunter-gatherer adaptation and resilience: a bioarchaeological perspective</w:t>
      </w:r>
      <w:r w:rsidRPr="00CC36C4">
        <w:rPr>
          <w:rFonts w:eastAsia="Calibri"/>
          <w:iCs/>
          <w:noProof/>
          <w:lang w:val="en-US"/>
        </w:rPr>
        <w:t>: 85–109</w:t>
      </w:r>
      <w:r w:rsidRPr="00CC36C4">
        <w:rPr>
          <w:rFonts w:eastAsia="Calibri"/>
          <w:i/>
          <w:noProof/>
          <w:lang w:val="en-US"/>
        </w:rPr>
        <w:t>.</w:t>
      </w:r>
      <w:r w:rsidRPr="00CC36C4">
        <w:rPr>
          <w:rFonts w:eastAsia="Calibri"/>
          <w:noProof/>
          <w:lang w:val="en-US"/>
        </w:rPr>
        <w:t xml:space="preserve"> Cambridge: Cambridge University Press. https://doi.org/10.1017/9781316941256.005</w:t>
      </w:r>
    </w:p>
    <w:p w14:paraId="34C0200D" w14:textId="3E907036" w:rsidR="009C7F26" w:rsidRDefault="00CC36C4" w:rsidP="003C2867">
      <w:pPr>
        <w:pStyle w:val="EndNoteBibliography"/>
        <w:spacing w:line="360" w:lineRule="auto"/>
        <w:rPr>
          <w:noProof/>
        </w:rPr>
      </w:pPr>
      <w:r w:rsidRPr="00CC36C4">
        <w:rPr>
          <w:smallCaps/>
          <w:noProof/>
        </w:rPr>
        <w:t>Ubelaker, D.H.</w:t>
      </w:r>
      <w:r w:rsidRPr="00D7239E">
        <w:rPr>
          <w:noProof/>
        </w:rPr>
        <w:t xml:space="preserve"> </w:t>
      </w:r>
      <w:r w:rsidR="009C7F26" w:rsidRPr="00D7239E">
        <w:rPr>
          <w:noProof/>
        </w:rPr>
        <w:t xml:space="preserve">1987. Estimating </w:t>
      </w:r>
      <w:r w:rsidRPr="00D7239E">
        <w:rPr>
          <w:noProof/>
        </w:rPr>
        <w:t>age at death from immature human skeletons: an overview</w:t>
      </w:r>
      <w:r w:rsidR="009C7F26" w:rsidRPr="00D7239E">
        <w:rPr>
          <w:noProof/>
        </w:rPr>
        <w:t xml:space="preserve">. </w:t>
      </w:r>
      <w:r w:rsidR="009C7F26" w:rsidRPr="00D7239E">
        <w:rPr>
          <w:i/>
          <w:noProof/>
        </w:rPr>
        <w:t>Journal of Forensic Science</w:t>
      </w:r>
      <w:r w:rsidR="009C7F26" w:rsidRPr="00D7239E">
        <w:rPr>
          <w:noProof/>
        </w:rPr>
        <w:t xml:space="preserve"> 32</w:t>
      </w:r>
      <w:r>
        <w:rPr>
          <w:noProof/>
        </w:rPr>
        <w:t>:</w:t>
      </w:r>
      <w:r w:rsidR="009C7F26" w:rsidRPr="00D7239E">
        <w:rPr>
          <w:noProof/>
        </w:rPr>
        <w:t xml:space="preserve"> 1254</w:t>
      </w:r>
      <w:r>
        <w:rPr>
          <w:noProof/>
        </w:rPr>
        <w:t>–</w:t>
      </w:r>
      <w:r w:rsidR="009C7F26" w:rsidRPr="00D7239E">
        <w:rPr>
          <w:noProof/>
        </w:rPr>
        <w:t>63.</w:t>
      </w:r>
    </w:p>
    <w:p w14:paraId="462D8FC6" w14:textId="5AE7AA37" w:rsidR="006D6544" w:rsidRPr="006D6544" w:rsidRDefault="006D6544" w:rsidP="006D6544">
      <w:pPr>
        <w:spacing w:line="360" w:lineRule="auto"/>
        <w:rPr>
          <w:rFonts w:eastAsia="Calibri"/>
          <w:noProof/>
          <w:lang w:val="en-US"/>
        </w:rPr>
      </w:pPr>
      <w:r w:rsidRPr="006D6544">
        <w:rPr>
          <w:rFonts w:eastAsia="Calibri"/>
          <w:smallCaps/>
          <w:noProof/>
          <w:lang w:val="en-US"/>
        </w:rPr>
        <w:t>Us Department Of Agriculture.</w:t>
      </w:r>
      <w:r w:rsidRPr="006D6544">
        <w:rPr>
          <w:rFonts w:eastAsia="Calibri"/>
          <w:noProof/>
          <w:lang w:val="en-US"/>
        </w:rPr>
        <w:t xml:space="preserve"> 2019. FoodData Central. Available at: https://fdc.nal.usda.gov (accessed </w:t>
      </w:r>
      <w:r w:rsidR="008D5FFB">
        <w:rPr>
          <w:rFonts w:eastAsia="Calibri"/>
          <w:noProof/>
          <w:lang w:val="en-US"/>
        </w:rPr>
        <w:t>01/05/2019)</w:t>
      </w:r>
      <w:r w:rsidRPr="006D6544">
        <w:rPr>
          <w:rFonts w:eastAsia="Calibri"/>
          <w:noProof/>
          <w:lang w:val="en-US"/>
        </w:rPr>
        <w:t>.</w:t>
      </w:r>
    </w:p>
    <w:p w14:paraId="223D9C4B" w14:textId="77777777" w:rsidR="00557A4D" w:rsidRPr="002346F9" w:rsidRDefault="00557A4D" w:rsidP="00557A4D">
      <w:pPr>
        <w:pStyle w:val="EndNoteBibliography"/>
        <w:spacing w:line="360" w:lineRule="auto"/>
        <w:rPr>
          <w:noProof/>
        </w:rPr>
      </w:pPr>
      <w:r w:rsidRPr="002346F9">
        <w:rPr>
          <w:smallCaps/>
          <w:noProof/>
        </w:rPr>
        <w:t>Vlok, M</w:t>
      </w:r>
      <w:r w:rsidRPr="002346F9">
        <w:rPr>
          <w:noProof/>
        </w:rPr>
        <w:t xml:space="preserve">. </w:t>
      </w:r>
      <w:r w:rsidRPr="002346F9">
        <w:rPr>
          <w:i/>
          <w:iCs/>
          <w:noProof/>
        </w:rPr>
        <w:t xml:space="preserve">et al. </w:t>
      </w:r>
      <w:r w:rsidRPr="002346F9">
        <w:rPr>
          <w:noProof/>
        </w:rPr>
        <w:t xml:space="preserve">2020. Two probable cases of infection with </w:t>
      </w:r>
      <w:r w:rsidRPr="002346F9">
        <w:rPr>
          <w:i/>
          <w:noProof/>
        </w:rPr>
        <w:t>Treponema pallidum</w:t>
      </w:r>
      <w:r w:rsidRPr="002346F9">
        <w:rPr>
          <w:noProof/>
        </w:rPr>
        <w:t xml:space="preserve"> during the Neolithic period in northern Vietnam (ca. 2000–1500B.C.). </w:t>
      </w:r>
      <w:r w:rsidRPr="002346F9">
        <w:rPr>
          <w:i/>
          <w:noProof/>
        </w:rPr>
        <w:t>Bioarchaeology International</w:t>
      </w:r>
      <w:r w:rsidRPr="002346F9">
        <w:rPr>
          <w:noProof/>
        </w:rPr>
        <w:t xml:space="preserve"> 4: 15–39. https://doi.org/10.5744/bi.2020.1000</w:t>
      </w:r>
    </w:p>
    <w:p w14:paraId="2C111B85" w14:textId="23888991" w:rsidR="009C7F26" w:rsidRPr="00D7239E" w:rsidRDefault="00CC36C4" w:rsidP="003C2867">
      <w:pPr>
        <w:pStyle w:val="EndNoteBibliography"/>
        <w:spacing w:line="360" w:lineRule="auto"/>
        <w:rPr>
          <w:noProof/>
        </w:rPr>
      </w:pPr>
      <w:r w:rsidRPr="00CC36C4">
        <w:rPr>
          <w:smallCaps/>
          <w:noProof/>
        </w:rPr>
        <w:lastRenderedPageBreak/>
        <w:t xml:space="preserve">Walrath, D.E., </w:t>
      </w:r>
      <w:r>
        <w:rPr>
          <w:smallCaps/>
          <w:noProof/>
        </w:rPr>
        <w:t xml:space="preserve">P. </w:t>
      </w:r>
      <w:r w:rsidRPr="00CC36C4">
        <w:rPr>
          <w:smallCaps/>
          <w:noProof/>
        </w:rPr>
        <w:t xml:space="preserve">Turner &amp; </w:t>
      </w:r>
      <w:r>
        <w:rPr>
          <w:smallCaps/>
          <w:noProof/>
        </w:rPr>
        <w:t xml:space="preserve">J. </w:t>
      </w:r>
      <w:r w:rsidRPr="00CC36C4">
        <w:rPr>
          <w:smallCaps/>
          <w:noProof/>
        </w:rPr>
        <w:t>Bruzek.</w:t>
      </w:r>
      <w:r w:rsidRPr="00D7239E">
        <w:rPr>
          <w:noProof/>
        </w:rPr>
        <w:t xml:space="preserve"> </w:t>
      </w:r>
      <w:r w:rsidR="009C7F26" w:rsidRPr="00D7239E">
        <w:rPr>
          <w:noProof/>
        </w:rPr>
        <w:t xml:space="preserve">2004. Reliability </w:t>
      </w:r>
      <w:r w:rsidRPr="00D7239E">
        <w:rPr>
          <w:noProof/>
        </w:rPr>
        <w:t>test of the visual assessment of cranial traits for sex determination</w:t>
      </w:r>
      <w:r w:rsidR="009C7F26" w:rsidRPr="00D7239E">
        <w:rPr>
          <w:noProof/>
        </w:rPr>
        <w:t xml:space="preserve">. </w:t>
      </w:r>
      <w:r w:rsidR="009C7F26" w:rsidRPr="00D7239E">
        <w:rPr>
          <w:i/>
          <w:noProof/>
        </w:rPr>
        <w:t>American Journal of Physical Anthropology</w:t>
      </w:r>
      <w:r w:rsidR="009C7F26" w:rsidRPr="00D7239E">
        <w:rPr>
          <w:noProof/>
        </w:rPr>
        <w:t xml:space="preserve"> 125</w:t>
      </w:r>
      <w:r>
        <w:rPr>
          <w:noProof/>
        </w:rPr>
        <w:t>:</w:t>
      </w:r>
      <w:r w:rsidR="009C7F26" w:rsidRPr="00D7239E">
        <w:rPr>
          <w:noProof/>
        </w:rPr>
        <w:t xml:space="preserve"> 132</w:t>
      </w:r>
      <w:r>
        <w:rPr>
          <w:noProof/>
        </w:rPr>
        <w:t>–</w:t>
      </w:r>
      <w:r w:rsidR="009C7F26" w:rsidRPr="00D7239E">
        <w:rPr>
          <w:noProof/>
        </w:rPr>
        <w:t>7.</w:t>
      </w:r>
      <w:r>
        <w:rPr>
          <w:noProof/>
        </w:rPr>
        <w:t xml:space="preserve"> </w:t>
      </w:r>
      <w:r w:rsidRPr="00CC36C4">
        <w:rPr>
          <w:noProof/>
        </w:rPr>
        <w:t>https://doi.org/10.1002/ajpa.10373</w:t>
      </w:r>
    </w:p>
    <w:bookmarkEnd w:id="0"/>
    <w:p w14:paraId="4BBBA6F8" w14:textId="77777777" w:rsidR="00557A4D" w:rsidRPr="002346F9" w:rsidRDefault="00557A4D" w:rsidP="00557A4D">
      <w:pPr>
        <w:pStyle w:val="EndNoteBibliography"/>
        <w:spacing w:line="360" w:lineRule="auto"/>
        <w:rPr>
          <w:noProof/>
        </w:rPr>
      </w:pPr>
      <w:r w:rsidRPr="002346F9">
        <w:rPr>
          <w:smallCaps/>
          <w:noProof/>
        </w:rPr>
        <w:t>Weston, D.A.</w:t>
      </w:r>
      <w:r w:rsidRPr="002346F9">
        <w:rPr>
          <w:noProof/>
        </w:rPr>
        <w:t xml:space="preserve"> 2008. Investigating the specificity of periosteal reactions in pathology museum specimens. </w:t>
      </w:r>
      <w:r w:rsidRPr="002346F9">
        <w:rPr>
          <w:i/>
          <w:noProof/>
        </w:rPr>
        <w:t>American Journal of Physical Anthropology</w:t>
      </w:r>
      <w:r w:rsidRPr="002346F9">
        <w:rPr>
          <w:noProof/>
        </w:rPr>
        <w:t xml:space="preserve"> 137: 48–59. https://doi.org/10.1002/ajpa.20839</w:t>
      </w:r>
    </w:p>
    <w:p w14:paraId="790148A3" w14:textId="77777777" w:rsidR="00557A4D" w:rsidRPr="002346F9" w:rsidRDefault="00557A4D" w:rsidP="00557A4D">
      <w:pPr>
        <w:pStyle w:val="EndNoteBibliography"/>
        <w:spacing w:line="360" w:lineRule="auto"/>
        <w:rPr>
          <w:iCs/>
          <w:noProof/>
        </w:rPr>
      </w:pPr>
      <w:r w:rsidRPr="002346F9">
        <w:rPr>
          <w:noProof/>
        </w:rPr>
        <w:t xml:space="preserve">– 2012. Nonspecific infection in paleopathology: interpreting periosteal reactions, in A.L. Grauer (ed.) </w:t>
      </w:r>
      <w:r w:rsidRPr="002346F9">
        <w:rPr>
          <w:i/>
          <w:noProof/>
        </w:rPr>
        <w:t>A companion to paleopathology</w:t>
      </w:r>
      <w:r w:rsidRPr="002346F9">
        <w:rPr>
          <w:iCs/>
          <w:noProof/>
        </w:rPr>
        <w:t>: 492–512</w:t>
      </w:r>
      <w:r w:rsidRPr="002346F9">
        <w:rPr>
          <w:i/>
          <w:noProof/>
        </w:rPr>
        <w:t xml:space="preserve">. </w:t>
      </w:r>
      <w:r w:rsidRPr="002346F9">
        <w:rPr>
          <w:iCs/>
          <w:noProof/>
        </w:rPr>
        <w:t>Chichester: Wiley-Blackwell. https://doi.org/10.1002/9781444345940.ch27</w:t>
      </w:r>
    </w:p>
    <w:p w14:paraId="414C9F88" w14:textId="77777777" w:rsidR="00557A4D" w:rsidRPr="002346F9" w:rsidRDefault="00557A4D" w:rsidP="00557A4D">
      <w:pPr>
        <w:pStyle w:val="EndNoteBibliography"/>
        <w:spacing w:line="360" w:lineRule="auto"/>
        <w:rPr>
          <w:noProof/>
        </w:rPr>
      </w:pPr>
      <w:r w:rsidRPr="002346F9">
        <w:rPr>
          <w:smallCaps/>
          <w:noProof/>
        </w:rPr>
        <w:t>Wharton, B. &amp; N. Bishop.</w:t>
      </w:r>
      <w:r w:rsidRPr="002346F9">
        <w:rPr>
          <w:noProof/>
        </w:rPr>
        <w:t xml:space="preserve"> 2003. Rickets. </w:t>
      </w:r>
      <w:r w:rsidRPr="002346F9">
        <w:rPr>
          <w:i/>
          <w:noProof/>
        </w:rPr>
        <w:t>The Lancet</w:t>
      </w:r>
      <w:r w:rsidRPr="002346F9">
        <w:rPr>
          <w:noProof/>
        </w:rPr>
        <w:t xml:space="preserve"> 362: 1389–400. http://dx.doi.org/10.1016/S0140-6736(03)14636-3</w:t>
      </w:r>
    </w:p>
    <w:p w14:paraId="473DD72D" w14:textId="22585C92" w:rsidR="00FF6B7D" w:rsidRPr="00D7239E" w:rsidRDefault="00FF6B7D" w:rsidP="003C2867">
      <w:pPr>
        <w:spacing w:line="360" w:lineRule="auto"/>
      </w:pPr>
    </w:p>
    <w:sectPr w:rsidR="00FF6B7D" w:rsidRPr="00D7239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658E" w14:textId="77777777" w:rsidR="00080A35" w:rsidRDefault="00080A35" w:rsidP="00D74FDC">
      <w:r>
        <w:separator/>
      </w:r>
    </w:p>
  </w:endnote>
  <w:endnote w:type="continuationSeparator" w:id="0">
    <w:p w14:paraId="43CCA2EE" w14:textId="77777777" w:rsidR="00080A35" w:rsidRDefault="00080A35" w:rsidP="00D7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3423787"/>
      <w:docPartObj>
        <w:docPartGallery w:val="Page Numbers (Bottom of Page)"/>
        <w:docPartUnique/>
      </w:docPartObj>
    </w:sdtPr>
    <w:sdtEndPr>
      <w:rPr>
        <w:rStyle w:val="PageNumber"/>
      </w:rPr>
    </w:sdtEndPr>
    <w:sdtContent>
      <w:p w14:paraId="0AC334EC" w14:textId="7D7C0A79" w:rsidR="00D74FDC" w:rsidRDefault="00D74FDC" w:rsidP="00AD1D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E2898A" w14:textId="77777777" w:rsidR="00D74FDC" w:rsidRDefault="00D74FDC" w:rsidP="00D74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BD79" w14:textId="77777777" w:rsidR="00D74FDC" w:rsidRDefault="00D74FDC" w:rsidP="00D74F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E0DC" w14:textId="77777777" w:rsidR="00080A35" w:rsidRDefault="00080A35" w:rsidP="00D74FDC">
      <w:r>
        <w:separator/>
      </w:r>
    </w:p>
  </w:footnote>
  <w:footnote w:type="continuationSeparator" w:id="0">
    <w:p w14:paraId="327B477A" w14:textId="77777777" w:rsidR="00080A35" w:rsidRDefault="00080A35" w:rsidP="00D7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dzxv5z3wx9eqe52dcvf0skz50rvsffdewr&quot;&gt;USyd Endnote Library&lt;record-ids&gt;&lt;item&gt;69&lt;/item&gt;&lt;item&gt;79&lt;/item&gt;&lt;item&gt;279&lt;/item&gt;&lt;item&gt;294&lt;/item&gt;&lt;item&gt;637&lt;/item&gt;&lt;item&gt;747&lt;/item&gt;&lt;item&gt;821&lt;/item&gt;&lt;item&gt;838&lt;/item&gt;&lt;item&gt;839&lt;/item&gt;&lt;item&gt;886&lt;/item&gt;&lt;item&gt;903&lt;/item&gt;&lt;item&gt;910&lt;/item&gt;&lt;item&gt;912&lt;/item&gt;&lt;item&gt;913&lt;/item&gt;&lt;item&gt;1273&lt;/item&gt;&lt;item&gt;1373&lt;/item&gt;&lt;/record-ids&gt;&lt;/item&gt;&lt;/Libraries&gt;"/>
  </w:docVars>
  <w:rsids>
    <w:rsidRoot w:val="00A13FF3"/>
    <w:rsid w:val="00036C9C"/>
    <w:rsid w:val="00037FA7"/>
    <w:rsid w:val="0005272D"/>
    <w:rsid w:val="00055ECF"/>
    <w:rsid w:val="00061477"/>
    <w:rsid w:val="00075894"/>
    <w:rsid w:val="00080A35"/>
    <w:rsid w:val="00082D96"/>
    <w:rsid w:val="00096828"/>
    <w:rsid w:val="000B4CCF"/>
    <w:rsid w:val="000C7C39"/>
    <w:rsid w:val="000D0226"/>
    <w:rsid w:val="000E0D9E"/>
    <w:rsid w:val="000E1884"/>
    <w:rsid w:val="000E44E8"/>
    <w:rsid w:val="000E5081"/>
    <w:rsid w:val="0010776E"/>
    <w:rsid w:val="00121848"/>
    <w:rsid w:val="001230A9"/>
    <w:rsid w:val="001443EA"/>
    <w:rsid w:val="001524DC"/>
    <w:rsid w:val="00164CB6"/>
    <w:rsid w:val="001738F6"/>
    <w:rsid w:val="0019202A"/>
    <w:rsid w:val="001B1D0D"/>
    <w:rsid w:val="001B24D0"/>
    <w:rsid w:val="001C193F"/>
    <w:rsid w:val="001C5EA5"/>
    <w:rsid w:val="001F5732"/>
    <w:rsid w:val="001F59B7"/>
    <w:rsid w:val="00202B8F"/>
    <w:rsid w:val="00204C79"/>
    <w:rsid w:val="002159F4"/>
    <w:rsid w:val="00217A90"/>
    <w:rsid w:val="00224471"/>
    <w:rsid w:val="002646E4"/>
    <w:rsid w:val="00266C33"/>
    <w:rsid w:val="00291EB6"/>
    <w:rsid w:val="00292D78"/>
    <w:rsid w:val="00293140"/>
    <w:rsid w:val="002A4AB3"/>
    <w:rsid w:val="002B05D2"/>
    <w:rsid w:val="002C7281"/>
    <w:rsid w:val="00300757"/>
    <w:rsid w:val="00306538"/>
    <w:rsid w:val="00367925"/>
    <w:rsid w:val="00373C61"/>
    <w:rsid w:val="00375106"/>
    <w:rsid w:val="003847CC"/>
    <w:rsid w:val="00397B49"/>
    <w:rsid w:val="003A126E"/>
    <w:rsid w:val="003A2656"/>
    <w:rsid w:val="003A5D5F"/>
    <w:rsid w:val="003A7A1D"/>
    <w:rsid w:val="003A7FE5"/>
    <w:rsid w:val="003C2867"/>
    <w:rsid w:val="003D03B0"/>
    <w:rsid w:val="003D5369"/>
    <w:rsid w:val="003E7497"/>
    <w:rsid w:val="003E79FB"/>
    <w:rsid w:val="004015D8"/>
    <w:rsid w:val="004018DB"/>
    <w:rsid w:val="0040221B"/>
    <w:rsid w:val="00414860"/>
    <w:rsid w:val="00417235"/>
    <w:rsid w:val="004209C7"/>
    <w:rsid w:val="00433245"/>
    <w:rsid w:val="00446308"/>
    <w:rsid w:val="004635C8"/>
    <w:rsid w:val="00482F38"/>
    <w:rsid w:val="004872FE"/>
    <w:rsid w:val="00491A48"/>
    <w:rsid w:val="004A48EE"/>
    <w:rsid w:val="004B5FF0"/>
    <w:rsid w:val="004C16AA"/>
    <w:rsid w:val="004D6B5E"/>
    <w:rsid w:val="004E4704"/>
    <w:rsid w:val="0050542B"/>
    <w:rsid w:val="0050614D"/>
    <w:rsid w:val="005176D0"/>
    <w:rsid w:val="00520E44"/>
    <w:rsid w:val="0052229B"/>
    <w:rsid w:val="005265D3"/>
    <w:rsid w:val="00531098"/>
    <w:rsid w:val="00531FD8"/>
    <w:rsid w:val="00557A4D"/>
    <w:rsid w:val="005600B6"/>
    <w:rsid w:val="00561A65"/>
    <w:rsid w:val="005628AF"/>
    <w:rsid w:val="00570227"/>
    <w:rsid w:val="005819DE"/>
    <w:rsid w:val="005A4592"/>
    <w:rsid w:val="005C479E"/>
    <w:rsid w:val="005D70EF"/>
    <w:rsid w:val="005D7B9D"/>
    <w:rsid w:val="005E5F9E"/>
    <w:rsid w:val="005E718E"/>
    <w:rsid w:val="00606DD5"/>
    <w:rsid w:val="00607465"/>
    <w:rsid w:val="00612A70"/>
    <w:rsid w:val="006150F6"/>
    <w:rsid w:val="0063046F"/>
    <w:rsid w:val="0064748A"/>
    <w:rsid w:val="00652F0F"/>
    <w:rsid w:val="006662CD"/>
    <w:rsid w:val="00682063"/>
    <w:rsid w:val="00696A3B"/>
    <w:rsid w:val="006A623D"/>
    <w:rsid w:val="006C394D"/>
    <w:rsid w:val="006D0A43"/>
    <w:rsid w:val="006D32BD"/>
    <w:rsid w:val="006D6544"/>
    <w:rsid w:val="006E1F8B"/>
    <w:rsid w:val="006E6EBB"/>
    <w:rsid w:val="007034F8"/>
    <w:rsid w:val="00704EDE"/>
    <w:rsid w:val="00715455"/>
    <w:rsid w:val="00725C6A"/>
    <w:rsid w:val="007370A8"/>
    <w:rsid w:val="00742ABB"/>
    <w:rsid w:val="00752385"/>
    <w:rsid w:val="0075772D"/>
    <w:rsid w:val="007610F5"/>
    <w:rsid w:val="0077548F"/>
    <w:rsid w:val="007A7EEE"/>
    <w:rsid w:val="007C049C"/>
    <w:rsid w:val="007C113A"/>
    <w:rsid w:val="007C56DE"/>
    <w:rsid w:val="007C5E25"/>
    <w:rsid w:val="007D0ADF"/>
    <w:rsid w:val="007E67CA"/>
    <w:rsid w:val="007F0B71"/>
    <w:rsid w:val="007F4DF7"/>
    <w:rsid w:val="007F5329"/>
    <w:rsid w:val="00800853"/>
    <w:rsid w:val="00821B9A"/>
    <w:rsid w:val="008249B0"/>
    <w:rsid w:val="00831DBA"/>
    <w:rsid w:val="00835CA0"/>
    <w:rsid w:val="00863699"/>
    <w:rsid w:val="00863C5B"/>
    <w:rsid w:val="008660E3"/>
    <w:rsid w:val="00866E93"/>
    <w:rsid w:val="008703B2"/>
    <w:rsid w:val="00870A6B"/>
    <w:rsid w:val="00872D1F"/>
    <w:rsid w:val="00887661"/>
    <w:rsid w:val="008B0D38"/>
    <w:rsid w:val="008D3D6D"/>
    <w:rsid w:val="008D4AC3"/>
    <w:rsid w:val="008D5FFB"/>
    <w:rsid w:val="008E593D"/>
    <w:rsid w:val="008F5141"/>
    <w:rsid w:val="00912322"/>
    <w:rsid w:val="00913E70"/>
    <w:rsid w:val="0092185E"/>
    <w:rsid w:val="00931906"/>
    <w:rsid w:val="00945C2C"/>
    <w:rsid w:val="00963304"/>
    <w:rsid w:val="00974D12"/>
    <w:rsid w:val="00985BDA"/>
    <w:rsid w:val="009A6E3F"/>
    <w:rsid w:val="009C304B"/>
    <w:rsid w:val="009C7F26"/>
    <w:rsid w:val="009D7D98"/>
    <w:rsid w:val="009E2DDF"/>
    <w:rsid w:val="009E425F"/>
    <w:rsid w:val="009F7698"/>
    <w:rsid w:val="00A11802"/>
    <w:rsid w:val="00A13FF3"/>
    <w:rsid w:val="00A16135"/>
    <w:rsid w:val="00A27E6D"/>
    <w:rsid w:val="00A34D0F"/>
    <w:rsid w:val="00A43C3F"/>
    <w:rsid w:val="00A57DB3"/>
    <w:rsid w:val="00A60AF0"/>
    <w:rsid w:val="00A60F16"/>
    <w:rsid w:val="00A665A9"/>
    <w:rsid w:val="00A87585"/>
    <w:rsid w:val="00A90EBD"/>
    <w:rsid w:val="00A91558"/>
    <w:rsid w:val="00A9498D"/>
    <w:rsid w:val="00A95858"/>
    <w:rsid w:val="00A95E44"/>
    <w:rsid w:val="00A95F8E"/>
    <w:rsid w:val="00AA066D"/>
    <w:rsid w:val="00AA7848"/>
    <w:rsid w:val="00AB5721"/>
    <w:rsid w:val="00AB612D"/>
    <w:rsid w:val="00AE31C2"/>
    <w:rsid w:val="00AE3219"/>
    <w:rsid w:val="00AF1908"/>
    <w:rsid w:val="00AF4281"/>
    <w:rsid w:val="00B11F83"/>
    <w:rsid w:val="00B13165"/>
    <w:rsid w:val="00B27098"/>
    <w:rsid w:val="00B351EC"/>
    <w:rsid w:val="00B40C7D"/>
    <w:rsid w:val="00B4231A"/>
    <w:rsid w:val="00B42F5D"/>
    <w:rsid w:val="00B443E1"/>
    <w:rsid w:val="00B53335"/>
    <w:rsid w:val="00B8294A"/>
    <w:rsid w:val="00B8479C"/>
    <w:rsid w:val="00B8742D"/>
    <w:rsid w:val="00B9199B"/>
    <w:rsid w:val="00B932B1"/>
    <w:rsid w:val="00B93BD7"/>
    <w:rsid w:val="00B9564D"/>
    <w:rsid w:val="00BA7BFF"/>
    <w:rsid w:val="00BD61B5"/>
    <w:rsid w:val="00C02BA0"/>
    <w:rsid w:val="00C12425"/>
    <w:rsid w:val="00C1675A"/>
    <w:rsid w:val="00C27E19"/>
    <w:rsid w:val="00C316D7"/>
    <w:rsid w:val="00C31931"/>
    <w:rsid w:val="00C31D82"/>
    <w:rsid w:val="00C42EB9"/>
    <w:rsid w:val="00C439F3"/>
    <w:rsid w:val="00C5075F"/>
    <w:rsid w:val="00C70849"/>
    <w:rsid w:val="00C852A5"/>
    <w:rsid w:val="00C9010B"/>
    <w:rsid w:val="00C97045"/>
    <w:rsid w:val="00CB24D0"/>
    <w:rsid w:val="00CB4471"/>
    <w:rsid w:val="00CC36C4"/>
    <w:rsid w:val="00CD2BA9"/>
    <w:rsid w:val="00CD5C87"/>
    <w:rsid w:val="00CF0E18"/>
    <w:rsid w:val="00CF763F"/>
    <w:rsid w:val="00D124AA"/>
    <w:rsid w:val="00D143BA"/>
    <w:rsid w:val="00D25EC7"/>
    <w:rsid w:val="00D26F50"/>
    <w:rsid w:val="00D4267F"/>
    <w:rsid w:val="00D46B84"/>
    <w:rsid w:val="00D7239E"/>
    <w:rsid w:val="00D74FDC"/>
    <w:rsid w:val="00D9117B"/>
    <w:rsid w:val="00DA56FA"/>
    <w:rsid w:val="00DC3EFE"/>
    <w:rsid w:val="00DD5C06"/>
    <w:rsid w:val="00DE4474"/>
    <w:rsid w:val="00DE5071"/>
    <w:rsid w:val="00DF7949"/>
    <w:rsid w:val="00E066CD"/>
    <w:rsid w:val="00E12C82"/>
    <w:rsid w:val="00E36868"/>
    <w:rsid w:val="00E657BF"/>
    <w:rsid w:val="00E728F0"/>
    <w:rsid w:val="00EA7A38"/>
    <w:rsid w:val="00EB74C2"/>
    <w:rsid w:val="00EE131D"/>
    <w:rsid w:val="00F239EC"/>
    <w:rsid w:val="00F477E6"/>
    <w:rsid w:val="00F6279A"/>
    <w:rsid w:val="00F62B52"/>
    <w:rsid w:val="00F7136E"/>
    <w:rsid w:val="00F75A76"/>
    <w:rsid w:val="00F81FB5"/>
    <w:rsid w:val="00F84848"/>
    <w:rsid w:val="00F9122B"/>
    <w:rsid w:val="00FA646A"/>
    <w:rsid w:val="00FC31F6"/>
    <w:rsid w:val="00FE468E"/>
    <w:rsid w:val="00FE7A5B"/>
    <w:rsid w:val="00FF6B7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F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F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4FDC"/>
    <w:pPr>
      <w:tabs>
        <w:tab w:val="center" w:pos="4513"/>
        <w:tab w:val="right" w:pos="9026"/>
      </w:tabs>
    </w:pPr>
  </w:style>
  <w:style w:type="character" w:customStyle="1" w:styleId="FooterChar">
    <w:name w:val="Footer Char"/>
    <w:basedOn w:val="DefaultParagraphFont"/>
    <w:link w:val="Footer"/>
    <w:uiPriority w:val="99"/>
    <w:rsid w:val="00D74FDC"/>
    <w:rPr>
      <w:rFonts w:ascii="Times New Roman" w:eastAsia="Times New Roman" w:hAnsi="Times New Roman" w:cs="Times New Roman"/>
    </w:rPr>
  </w:style>
  <w:style w:type="character" w:styleId="PageNumber">
    <w:name w:val="page number"/>
    <w:basedOn w:val="DefaultParagraphFont"/>
    <w:uiPriority w:val="99"/>
    <w:semiHidden/>
    <w:unhideWhenUsed/>
    <w:rsid w:val="00D74FDC"/>
  </w:style>
  <w:style w:type="paragraph" w:customStyle="1" w:styleId="EndNoteBibliographyTitle">
    <w:name w:val="EndNote Bibliography Title"/>
    <w:basedOn w:val="Normal"/>
    <w:link w:val="EndNoteBibliographyTitleChar"/>
    <w:rsid w:val="005265D3"/>
    <w:pPr>
      <w:jc w:val="center"/>
    </w:pPr>
    <w:rPr>
      <w:lang w:val="en-US"/>
    </w:rPr>
  </w:style>
  <w:style w:type="character" w:customStyle="1" w:styleId="EndNoteBibliographyTitleChar">
    <w:name w:val="EndNote Bibliography Title Char"/>
    <w:basedOn w:val="DefaultParagraphFont"/>
    <w:link w:val="EndNoteBibliographyTitle"/>
    <w:rsid w:val="005265D3"/>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5265D3"/>
    <w:rPr>
      <w:lang w:val="en-US"/>
    </w:rPr>
  </w:style>
  <w:style w:type="character" w:customStyle="1" w:styleId="EndNoteBibliographyChar">
    <w:name w:val="EndNote Bibliography Char"/>
    <w:basedOn w:val="DefaultParagraphFont"/>
    <w:link w:val="EndNoteBibliography"/>
    <w:rsid w:val="005265D3"/>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C36C4"/>
    <w:rPr>
      <w:sz w:val="16"/>
      <w:szCs w:val="16"/>
    </w:rPr>
  </w:style>
  <w:style w:type="paragraph" w:styleId="CommentText">
    <w:name w:val="annotation text"/>
    <w:basedOn w:val="Normal"/>
    <w:link w:val="CommentTextChar"/>
    <w:uiPriority w:val="99"/>
    <w:unhideWhenUsed/>
    <w:rsid w:val="00CC36C4"/>
    <w:rPr>
      <w:sz w:val="20"/>
      <w:szCs w:val="20"/>
    </w:rPr>
  </w:style>
  <w:style w:type="character" w:customStyle="1" w:styleId="CommentTextChar">
    <w:name w:val="Comment Text Char"/>
    <w:basedOn w:val="DefaultParagraphFont"/>
    <w:link w:val="CommentText"/>
    <w:uiPriority w:val="99"/>
    <w:rsid w:val="00CC36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36C4"/>
    <w:rPr>
      <w:b/>
      <w:bCs/>
    </w:rPr>
  </w:style>
  <w:style w:type="character" w:customStyle="1" w:styleId="CommentSubjectChar">
    <w:name w:val="Comment Subject Char"/>
    <w:basedOn w:val="CommentTextChar"/>
    <w:link w:val="CommentSubject"/>
    <w:uiPriority w:val="99"/>
    <w:semiHidden/>
    <w:rsid w:val="00CC36C4"/>
    <w:rPr>
      <w:rFonts w:ascii="Times New Roman" w:eastAsia="Times New Roman" w:hAnsi="Times New Roman" w:cs="Times New Roman"/>
      <w:b/>
      <w:bCs/>
      <w:sz w:val="20"/>
      <w:szCs w:val="20"/>
    </w:rPr>
  </w:style>
  <w:style w:type="table" w:styleId="TableGrid">
    <w:name w:val="Table Grid"/>
    <w:basedOn w:val="TableNormal"/>
    <w:uiPriority w:val="39"/>
    <w:rsid w:val="006D6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034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4231A"/>
    <w:rPr>
      <w:rFonts w:ascii="Times New Roman" w:eastAsia="Times New Roman" w:hAnsi="Times New Roman" w:cs="Times New Roman"/>
    </w:rPr>
  </w:style>
  <w:style w:type="paragraph" w:styleId="Header">
    <w:name w:val="header"/>
    <w:basedOn w:val="Normal"/>
    <w:link w:val="HeaderChar"/>
    <w:uiPriority w:val="99"/>
    <w:unhideWhenUsed/>
    <w:rsid w:val="007C113A"/>
    <w:pPr>
      <w:tabs>
        <w:tab w:val="center" w:pos="4513"/>
        <w:tab w:val="right" w:pos="9026"/>
      </w:tabs>
    </w:pPr>
  </w:style>
  <w:style w:type="character" w:customStyle="1" w:styleId="HeaderChar">
    <w:name w:val="Header Char"/>
    <w:basedOn w:val="DefaultParagraphFont"/>
    <w:link w:val="Header"/>
    <w:uiPriority w:val="99"/>
    <w:rsid w:val="007C11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903c04e39b0f09b/2022%20Papers/Under%20review/4.%20Jomon%20paper/Data%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Pearson Residuals Plot for Logistic Regression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'[Data 1.xlsx]Sheet2'!$B$1</c:f>
              <c:strCache>
                <c:ptCount val="1"/>
                <c:pt idx="0">
                  <c:v>Pearson Residual</c:v>
                </c:pt>
              </c:strCache>
            </c:strRef>
          </c:tx>
          <c:spPr>
            <a:ln w="25400" cap="rnd">
              <a:noFill/>
              <a:round/>
            </a:ln>
            <a:effectLst/>
          </c:spPr>
          <c:marker>
            <c:symbol val="circle"/>
            <c:size val="5"/>
            <c:spPr>
              <a:solidFill>
                <a:schemeClr val="tx1"/>
              </a:solidFill>
              <a:ln w="9525">
                <a:solidFill>
                  <a:schemeClr val="tx1"/>
                </a:solidFill>
              </a:ln>
              <a:effectLst/>
            </c:spPr>
          </c:marker>
          <c:xVal>
            <c:numRef>
              <c:f>'[Data 1.xlsx]Sheet2'!$A$2:$A$27</c:f>
              <c:numCache>
                <c:formatCode>General</c:formatCode>
                <c:ptCount val="26"/>
                <c:pt idx="0">
                  <c:v>0.165878833</c:v>
                </c:pt>
                <c:pt idx="1">
                  <c:v>0.18234313099999999</c:v>
                </c:pt>
                <c:pt idx="2">
                  <c:v>0.18424875499999999</c:v>
                </c:pt>
                <c:pt idx="3">
                  <c:v>0.167647672</c:v>
                </c:pt>
                <c:pt idx="4">
                  <c:v>0.18045285599999999</c:v>
                </c:pt>
                <c:pt idx="5">
                  <c:v>0.196006453</c:v>
                </c:pt>
                <c:pt idx="6">
                  <c:v>0.19005802699999999</c:v>
                </c:pt>
                <c:pt idx="7">
                  <c:v>0.18810617499999999</c:v>
                </c:pt>
                <c:pt idx="8">
                  <c:v>0.20004966499999999</c:v>
                </c:pt>
                <c:pt idx="9">
                  <c:v>0.22340100099999999</c:v>
                </c:pt>
                <c:pt idx="10">
                  <c:v>0.22120024199999999</c:v>
                </c:pt>
                <c:pt idx="11">
                  <c:v>0.216845432</c:v>
                </c:pt>
                <c:pt idx="12">
                  <c:v>0.210430108</c:v>
                </c:pt>
                <c:pt idx="13">
                  <c:v>0.239240694</c:v>
                </c:pt>
                <c:pt idx="14">
                  <c:v>0.70518827100000003</c:v>
                </c:pt>
                <c:pt idx="15">
                  <c:v>0.71824585600000002</c:v>
                </c:pt>
                <c:pt idx="16">
                  <c:v>0.72336935300000005</c:v>
                </c:pt>
                <c:pt idx="17">
                  <c:v>0.72590941499999995</c:v>
                </c:pt>
                <c:pt idx="18">
                  <c:v>0.73094575900000003</c:v>
                </c:pt>
                <c:pt idx="19">
                  <c:v>0.75523393699999997</c:v>
                </c:pt>
                <c:pt idx="20">
                  <c:v>0.69178522600000003</c:v>
                </c:pt>
                <c:pt idx="21">
                  <c:v>0.77799548900000004</c:v>
                </c:pt>
                <c:pt idx="22">
                  <c:v>0.69449281500000004</c:v>
                </c:pt>
                <c:pt idx="23">
                  <c:v>0.71045349099999999</c:v>
                </c:pt>
                <c:pt idx="24">
                  <c:v>0.75049704699999997</c:v>
                </c:pt>
                <c:pt idx="25">
                  <c:v>0.77356702799999999</c:v>
                </c:pt>
              </c:numCache>
            </c:numRef>
          </c:xVal>
          <c:yVal>
            <c:numRef>
              <c:f>'[Data 1.xlsx]Sheet2'!$B$2:$B$27</c:f>
              <c:numCache>
                <c:formatCode>General</c:formatCode>
                <c:ptCount val="26"/>
                <c:pt idx="0">
                  <c:v>-0.44594460600000002</c:v>
                </c:pt>
                <c:pt idx="1">
                  <c:v>2.1175849489999998</c:v>
                </c:pt>
                <c:pt idx="2">
                  <c:v>-0.47525140300000002</c:v>
                </c:pt>
                <c:pt idx="3">
                  <c:v>-0.44879205900000002</c:v>
                </c:pt>
                <c:pt idx="4">
                  <c:v>-0.66360539299999999</c:v>
                </c:pt>
                <c:pt idx="5">
                  <c:v>3.5079365039999999</c:v>
                </c:pt>
                <c:pt idx="6">
                  <c:v>-0.685064012</c:v>
                </c:pt>
                <c:pt idx="7">
                  <c:v>1.1286794819999999</c:v>
                </c:pt>
                <c:pt idx="8">
                  <c:v>-0.86615981200000003</c:v>
                </c:pt>
                <c:pt idx="9">
                  <c:v>-0.53634488700000005</c:v>
                </c:pt>
                <c:pt idx="10">
                  <c:v>-0.53294193599999995</c:v>
                </c:pt>
                <c:pt idx="11">
                  <c:v>-0.91140629500000003</c:v>
                </c:pt>
                <c:pt idx="12">
                  <c:v>-0.73008537100000004</c:v>
                </c:pt>
                <c:pt idx="13">
                  <c:v>-0.793065189</c:v>
                </c:pt>
                <c:pt idx="14">
                  <c:v>-0.63641822999999997</c:v>
                </c:pt>
                <c:pt idx="15">
                  <c:v>0.406371329</c:v>
                </c:pt>
                <c:pt idx="16">
                  <c:v>0.61840087200000005</c:v>
                </c:pt>
                <c:pt idx="17">
                  <c:v>0.6144773</c:v>
                </c:pt>
                <c:pt idx="18">
                  <c:v>-0.251054418</c:v>
                </c:pt>
                <c:pt idx="19">
                  <c:v>0.98604214999999995</c:v>
                </c:pt>
                <c:pt idx="20">
                  <c:v>-0.58737813800000005</c:v>
                </c:pt>
                <c:pt idx="21">
                  <c:v>0.534185825</c:v>
                </c:pt>
                <c:pt idx="22">
                  <c:v>-1.50772857</c:v>
                </c:pt>
                <c:pt idx="23">
                  <c:v>0.63839773899999996</c:v>
                </c:pt>
                <c:pt idx="24">
                  <c:v>-1.7343496169999999</c:v>
                </c:pt>
                <c:pt idx="25">
                  <c:v>0.54102939100000003</c:v>
                </c:pt>
              </c:numCache>
            </c:numRef>
          </c:yVal>
          <c:smooth val="0"/>
          <c:extLst>
            <c:ext xmlns:c16="http://schemas.microsoft.com/office/drawing/2014/chart" uri="{C3380CC4-5D6E-409C-BE32-E72D297353CC}">
              <c16:uniqueId val="{00000000-8537-4C9A-990F-4B8C39B04365}"/>
            </c:ext>
          </c:extLst>
        </c:ser>
        <c:dLbls>
          <c:showLegendKey val="0"/>
          <c:showVal val="0"/>
          <c:showCatName val="0"/>
          <c:showSerName val="0"/>
          <c:showPercent val="0"/>
          <c:showBubbleSize val="0"/>
        </c:dLbls>
        <c:axId val="149922328"/>
        <c:axId val="57663543"/>
      </c:scatterChart>
      <c:valAx>
        <c:axId val="149922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63543"/>
        <c:crosses val="autoZero"/>
        <c:crossBetween val="midCat"/>
      </c:valAx>
      <c:valAx>
        <c:axId val="57663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9223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4679</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2024-03-04T08:52:00Z</dcterms:created>
  <dcterms:modified xsi:type="dcterms:W3CDTF">2024-03-06T09:05:00Z</dcterms:modified>
</cp:coreProperties>
</file>