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1626"/>
        <w:gridCol w:w="6878"/>
      </w:tblGrid>
      <w:tr w:rsidR="00111841" w:rsidRPr="00554037" w14:paraId="59FC49CD" w14:textId="77777777" w:rsidTr="009831E2">
        <w:trPr>
          <w:trHeight w:val="1134"/>
        </w:trPr>
        <w:tc>
          <w:tcPr>
            <w:tcW w:w="844" w:type="pct"/>
            <w:tcBorders>
              <w:top w:val="single" w:sz="12" w:space="0" w:color="C00000"/>
              <w:left w:val="nil"/>
              <w:bottom w:val="single" w:sz="12" w:space="0" w:color="C00000"/>
              <w:right w:val="nil"/>
            </w:tcBorders>
            <w:vAlign w:val="center"/>
          </w:tcPr>
          <w:p w14:paraId="2B59BD80" w14:textId="77777777" w:rsidR="00111841" w:rsidRPr="00554037" w:rsidRDefault="00111841" w:rsidP="009831E2">
            <w:pPr>
              <w:jc w:val="center"/>
              <w:rPr>
                <w:rFonts w:asciiTheme="majorBidi" w:eastAsia="Times New Roman" w:hAnsiTheme="majorBidi"/>
                <w:kern w:val="2"/>
                <w:sz w:val="28"/>
                <w:szCs w:val="28"/>
                <w:lang w:eastAsia="en-GB"/>
              </w:rPr>
            </w:pPr>
            <w:r w:rsidRPr="00554037">
              <w:rPr>
                <w:rFonts w:ascii="Times New Roman" w:eastAsia="Times New Roman" w:hAnsi="Times New Roman"/>
                <w:noProof/>
                <w:lang w:eastAsia="en-GB"/>
              </w:rPr>
              <w:drawing>
                <wp:inline distT="0" distB="0" distL="0" distR="0" wp14:anchorId="78432510" wp14:editId="42F1C302">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2CC79398" w14:textId="77777777" w:rsidR="00111841" w:rsidRPr="00554037" w:rsidRDefault="00111841" w:rsidP="001D307B">
            <w:pPr>
              <w:spacing w:line="360" w:lineRule="auto"/>
              <w:rPr>
                <w:rFonts w:ascii="Times New Roman" w:eastAsia="Times New Roman" w:hAnsi="Times New Roman"/>
                <w:kern w:val="2"/>
                <w:lang w:eastAsia="en-GB"/>
              </w:rPr>
            </w:pPr>
            <w:r w:rsidRPr="00554037">
              <w:rPr>
                <w:rFonts w:ascii="Times New Roman" w:eastAsia="Times New Roman" w:hAnsi="Times New Roman"/>
                <w:kern w:val="2"/>
                <w:lang w:eastAsia="en-GB"/>
              </w:rPr>
              <w:t xml:space="preserve">Supplementary material for </w:t>
            </w:r>
          </w:p>
          <w:p w14:paraId="7F75FB9E" w14:textId="7FF42E8E" w:rsidR="00111841" w:rsidRPr="00554037" w:rsidRDefault="00111841" w:rsidP="001D307B">
            <w:pPr>
              <w:spacing w:line="360" w:lineRule="auto"/>
              <w:rPr>
                <w:rFonts w:ascii="Times New Roman" w:eastAsia="Times New Roman" w:hAnsi="Times New Roman"/>
                <w:kern w:val="2"/>
                <w:lang w:eastAsia="en-GB"/>
              </w:rPr>
            </w:pPr>
            <w:r>
              <w:rPr>
                <w:rFonts w:ascii="Times New Roman" w:eastAsia="Times New Roman" w:hAnsi="Times New Roman"/>
                <w:smallCaps/>
                <w:kern w:val="2"/>
                <w:lang w:eastAsia="en-GB"/>
              </w:rPr>
              <w:t xml:space="preserve">Benattia, H. </w:t>
            </w:r>
            <w:r>
              <w:rPr>
                <w:rFonts w:ascii="Times New Roman" w:eastAsia="Times New Roman" w:hAnsi="Times New Roman"/>
                <w:i/>
                <w:iCs/>
                <w:kern w:val="2"/>
                <w:lang w:eastAsia="en-GB"/>
              </w:rPr>
              <w:t>et al.</w:t>
            </w:r>
            <w:r w:rsidRPr="00554037">
              <w:rPr>
                <w:rFonts w:ascii="Times New Roman" w:eastAsia="Times New Roman" w:hAnsi="Times New Roman"/>
                <w:kern w:val="2"/>
                <w:lang w:eastAsia="en-GB"/>
              </w:rPr>
              <w:t xml:space="preserve"> 2025.</w:t>
            </w:r>
            <w:r w:rsidRPr="00554037">
              <w:rPr>
                <w:rFonts w:ascii="Times New Roman" w:eastAsia="Times New Roman" w:hAnsi="Times New Roman"/>
                <w:b/>
                <w:bCs/>
                <w:kern w:val="2"/>
                <w:lang w:eastAsia="en-GB"/>
              </w:rPr>
              <w:t xml:space="preserve"> </w:t>
            </w:r>
            <w:r w:rsidR="00E97789">
              <w:rPr>
                <w:rFonts w:ascii="Times New Roman" w:hAnsi="Times New Roman"/>
              </w:rPr>
              <w:t>Rethinking</w:t>
            </w:r>
            <w:r w:rsidR="00E97789" w:rsidRPr="00972739">
              <w:rPr>
                <w:rFonts w:ascii="Times New Roman" w:hAnsi="Times New Roman"/>
              </w:rPr>
              <w:t xml:space="preserve"> late </w:t>
            </w:r>
            <w:r w:rsidR="00F65107">
              <w:rPr>
                <w:rFonts w:ascii="Times New Roman" w:hAnsi="Times New Roman"/>
              </w:rPr>
              <w:t>p</w:t>
            </w:r>
            <w:r w:rsidR="00E97789" w:rsidRPr="00972739">
              <w:rPr>
                <w:rFonts w:ascii="Times New Roman" w:hAnsi="Times New Roman"/>
              </w:rPr>
              <w:t xml:space="preserve">rehistoric Mediterranean Africa: </w:t>
            </w:r>
            <w:r w:rsidR="00E97789">
              <w:rPr>
                <w:rFonts w:ascii="Times New Roman" w:hAnsi="Times New Roman"/>
              </w:rPr>
              <w:t>a</w:t>
            </w:r>
            <w:r w:rsidR="00E97789" w:rsidRPr="00972739">
              <w:rPr>
                <w:rFonts w:ascii="Times New Roman" w:hAnsi="Times New Roman"/>
              </w:rPr>
              <w:t xml:space="preserve">rchitecture, farming and materiality </w:t>
            </w:r>
            <w:r w:rsidR="00E97789">
              <w:rPr>
                <w:rFonts w:ascii="Times New Roman" w:hAnsi="Times New Roman"/>
              </w:rPr>
              <w:t xml:space="preserve">at </w:t>
            </w:r>
            <w:proofErr w:type="spellStart"/>
            <w:r w:rsidR="00E97789">
              <w:rPr>
                <w:rFonts w:ascii="Times New Roman" w:hAnsi="Times New Roman"/>
              </w:rPr>
              <w:t>Kach</w:t>
            </w:r>
            <w:proofErr w:type="spellEnd"/>
            <w:r w:rsidR="00E97789">
              <w:rPr>
                <w:rFonts w:ascii="Times New Roman" w:hAnsi="Times New Roman"/>
              </w:rPr>
              <w:t xml:space="preserve"> Kouch, Morocco</w:t>
            </w:r>
            <w:r w:rsidRPr="00554037">
              <w:rPr>
                <w:rFonts w:ascii="Times New Roman" w:eastAsia="Times New Roman" w:hAnsi="Times New Roman"/>
                <w:b/>
                <w:bCs/>
                <w:kern w:val="2"/>
                <w:lang w:eastAsia="en-GB"/>
              </w:rPr>
              <w:t xml:space="preserve">. </w:t>
            </w:r>
            <w:r w:rsidRPr="00554037">
              <w:rPr>
                <w:rFonts w:ascii="Times New Roman" w:eastAsia="Times New Roman" w:hAnsi="Times New Roman"/>
                <w:i/>
                <w:iCs/>
                <w:kern w:val="2"/>
                <w:lang w:eastAsia="en-GB"/>
              </w:rPr>
              <w:t>Antiquity</w:t>
            </w:r>
            <w:r w:rsidRPr="00554037">
              <w:rPr>
                <w:rFonts w:ascii="Times New Roman" w:eastAsia="Times New Roman" w:hAnsi="Times New Roman"/>
                <w:kern w:val="2"/>
                <w:lang w:eastAsia="en-GB"/>
              </w:rPr>
              <w:t xml:space="preserve"> 99.</w:t>
            </w:r>
          </w:p>
          <w:p w14:paraId="6C42CE96" w14:textId="167084C4" w:rsidR="00111841" w:rsidRPr="00554037" w:rsidRDefault="00111841" w:rsidP="001D307B">
            <w:pPr>
              <w:spacing w:line="360" w:lineRule="auto"/>
              <w:rPr>
                <w:rFonts w:ascii="Times New Roman" w:eastAsia="Times New Roman" w:hAnsi="Times New Roman"/>
                <w:b/>
                <w:bCs/>
                <w:kern w:val="2"/>
                <w:lang w:eastAsia="en-GB"/>
              </w:rPr>
            </w:pPr>
            <w:r w:rsidRPr="00554037">
              <w:rPr>
                <w:rFonts w:ascii="Times New Roman" w:eastAsia="Times New Roman" w:hAnsi="Times New Roman"/>
                <w:lang w:eastAsia="en-GB"/>
              </w:rPr>
              <w:t xml:space="preserve">Author for correspondence </w:t>
            </w:r>
            <w:r w:rsidRPr="00554037">
              <w:rPr>
                <w:rFonts w:ascii="Segoe UI Symbol" w:eastAsia="Arial Unicode MS" w:hAnsi="Segoe UI Symbol" w:cs="Segoe UI Symbol"/>
                <w:color w:val="000000"/>
                <w:bdr w:val="nil"/>
                <w:lang w:eastAsia="en-GB"/>
              </w:rPr>
              <w:t>✉</w:t>
            </w:r>
            <w:r w:rsidRPr="00554037">
              <w:rPr>
                <w:rFonts w:ascii="Times New Roman" w:eastAsia="Arial Unicode MS" w:hAnsi="Times New Roman"/>
                <w:color w:val="000000"/>
                <w:bdr w:val="nil"/>
                <w:lang w:eastAsia="en-GB"/>
              </w:rPr>
              <w:t xml:space="preserve"> </w:t>
            </w:r>
            <w:r w:rsidR="00E97789" w:rsidRPr="002C3B11">
              <w:rPr>
                <w:rFonts w:ascii="Times New Roman" w:hAnsi="Times New Roman"/>
              </w:rPr>
              <w:t>hbenatme8@alumnes.ub.edu</w:t>
            </w:r>
          </w:p>
        </w:tc>
      </w:tr>
    </w:tbl>
    <w:p w14:paraId="3EA81A4F" w14:textId="77777777" w:rsidR="00111841" w:rsidRDefault="00111841" w:rsidP="00111841">
      <w:pPr>
        <w:rPr>
          <w:rFonts w:cstheme="minorHAnsi"/>
        </w:rPr>
      </w:pPr>
    </w:p>
    <w:p w14:paraId="5206248F" w14:textId="7AE1B4A5" w:rsidR="00111841" w:rsidRPr="00950BBE" w:rsidRDefault="00111841" w:rsidP="00111841">
      <w:pPr>
        <w:jc w:val="both"/>
        <w:rPr>
          <w:rFonts w:cstheme="minorHAnsi"/>
          <w:u w:val="single"/>
        </w:rPr>
      </w:pPr>
      <w:r w:rsidRPr="00950BBE">
        <w:rPr>
          <w:rFonts w:cstheme="minorHAnsi"/>
          <w:u w:val="single"/>
        </w:rPr>
        <w:t>Bioarchaeological data sampling and flo</w:t>
      </w:r>
      <w:r w:rsidR="001D307B">
        <w:rPr>
          <w:rFonts w:cstheme="minorHAnsi"/>
          <w:u w:val="single"/>
        </w:rPr>
        <w:t>a</w:t>
      </w:r>
      <w:r w:rsidRPr="00950BBE">
        <w:rPr>
          <w:rFonts w:cstheme="minorHAnsi"/>
          <w:u w:val="single"/>
        </w:rPr>
        <w:t>tation</w:t>
      </w:r>
    </w:p>
    <w:p w14:paraId="50B57650" w14:textId="6ED97D3D" w:rsidR="00111841" w:rsidRDefault="00111841" w:rsidP="00111841">
      <w:pPr>
        <w:jc w:val="both"/>
        <w:rPr>
          <w:rFonts w:cstheme="minorHAnsi"/>
        </w:rPr>
      </w:pPr>
      <w:r>
        <w:rPr>
          <w:rFonts w:cstheme="minorHAnsi"/>
        </w:rPr>
        <w:t>Except for the surface layer (context 10), which was sampled through direct observation, all remaining layers at Kach Kouch were either dry sieved or floated. The stratigraphy at Kach Kouch consists of two main types of layers and contexts: on the one hand, fill of pits (mainly postholes and silos) and on the other hand, accumulation layers formed by the gradual accumulation of sediment and archaeological materials over time. The pit fills were entirely collected and transported to the lab for flo</w:t>
      </w:r>
      <w:r w:rsidR="001D307B">
        <w:rPr>
          <w:rFonts w:cstheme="minorHAnsi"/>
        </w:rPr>
        <w:t>a</w:t>
      </w:r>
      <w:r>
        <w:rPr>
          <w:rFonts w:cstheme="minorHAnsi"/>
        </w:rPr>
        <w:t>tation, while the accumulation layers were systematically sampled by establishing a 1x1m grid and collecting a minimum of 20L of sediment from each square. A differential GPS was employed to record the precise location of each sample. The remaining sediment from the accumulation layers, which was not collected for flo</w:t>
      </w:r>
      <w:r w:rsidR="001D307B">
        <w:rPr>
          <w:rFonts w:cstheme="minorHAnsi"/>
        </w:rPr>
        <w:t>a</w:t>
      </w:r>
      <w:r>
        <w:rPr>
          <w:rFonts w:cstheme="minorHAnsi"/>
        </w:rPr>
        <w:t xml:space="preserve">tation, was dry sieved on site using a 5mm mesh sieve. </w:t>
      </w:r>
    </w:p>
    <w:p w14:paraId="5C88B846" w14:textId="55F694EB" w:rsidR="00111841" w:rsidRDefault="00111841" w:rsidP="00111841">
      <w:pPr>
        <w:jc w:val="both"/>
        <w:rPr>
          <w:rFonts w:cstheme="minorHAnsi"/>
        </w:rPr>
      </w:pPr>
      <w:r>
        <w:rPr>
          <w:rFonts w:cstheme="minorHAnsi"/>
        </w:rPr>
        <w:t>The selected sediment was then transported to the field lab where it was processed using a flo</w:t>
      </w:r>
      <w:r w:rsidR="001D307B">
        <w:rPr>
          <w:rFonts w:cstheme="minorHAnsi"/>
        </w:rPr>
        <w:t>a</w:t>
      </w:r>
      <w:r>
        <w:rPr>
          <w:rFonts w:cstheme="minorHAnsi"/>
        </w:rPr>
        <w:t xml:space="preserve">tation device (Figure S1). The device featured an inner sieve with a 1mm mesh where the soil was deposited and subsequently washed with water. Lighter bioarchaeological materials, such as charcoal, charred seeds and </w:t>
      </w:r>
      <w:proofErr w:type="spellStart"/>
      <w:r>
        <w:rPr>
          <w:rFonts w:cstheme="minorHAnsi"/>
        </w:rPr>
        <w:t>microfaunal</w:t>
      </w:r>
      <w:proofErr w:type="spellEnd"/>
      <w:r>
        <w:rPr>
          <w:rFonts w:cstheme="minorHAnsi"/>
        </w:rPr>
        <w:t xml:space="preserve"> remains, floated to the surface and were recovered using a 0.25mm mesh. These materials were subsequently dried, bagged and identified by species. Heavier materials that remained in the 1mm mesh were dried and later sorted and bagged according to material type (bone, pottery, chipped stone, metal, etc.).</w:t>
      </w:r>
    </w:p>
    <w:p w14:paraId="04122DC6" w14:textId="77777777" w:rsidR="00111841" w:rsidRDefault="00111841" w:rsidP="00111841">
      <w:pPr>
        <w:jc w:val="both"/>
        <w:rPr>
          <w:rFonts w:cstheme="minorHAnsi"/>
        </w:rPr>
      </w:pPr>
      <w:r>
        <w:rPr>
          <w:rFonts w:cstheme="minorHAnsi"/>
        </w:rPr>
        <w:t>Notably, despite the rigorous and systematic sediment sampling, no fish remains have yet been identified at Kach Kouch. While this absence could be explained by post-depositional processes, the recovery of more than 8000 terrestrial faunal remains suggests the lack of fish species is more likely related to cultural practices. Malacofaunal remains and wild botanic species (charcoal), which have already been studied, will be included in a forthcoming publication along with a more detailed analysis of the material culture and bioarchaeological assemblages.</w:t>
      </w:r>
    </w:p>
    <w:p w14:paraId="4872BE53" w14:textId="77777777" w:rsidR="00111841" w:rsidRDefault="00111841" w:rsidP="00111841">
      <w:pPr>
        <w:jc w:val="both"/>
        <w:rPr>
          <w:rFonts w:cstheme="minorHAnsi"/>
          <w:b/>
          <w:bCs/>
        </w:rPr>
      </w:pPr>
      <w:r>
        <w:rPr>
          <w:rFonts w:cstheme="minorHAnsi"/>
          <w:b/>
          <w:bCs/>
          <w:noProof/>
        </w:rPr>
        <w:lastRenderedPageBreak/>
        <w:drawing>
          <wp:anchor distT="0" distB="0" distL="114300" distR="114300" simplePos="0" relativeHeight="251659264" behindDoc="0" locked="0" layoutInCell="1" allowOverlap="1" wp14:anchorId="4FD308A8" wp14:editId="6FAF8949">
            <wp:simplePos x="1076325" y="895350"/>
            <wp:positionH relativeFrom="margin">
              <wp:align>center</wp:align>
            </wp:positionH>
            <wp:positionV relativeFrom="margin">
              <wp:align>top</wp:align>
            </wp:positionV>
            <wp:extent cx="3743325" cy="6657975"/>
            <wp:effectExtent l="0" t="0" r="9525" b="9525"/>
            <wp:wrapSquare wrapText="bothSides"/>
            <wp:docPr id="1403909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325" cy="6657975"/>
                    </a:xfrm>
                    <a:prstGeom prst="rect">
                      <a:avLst/>
                    </a:prstGeom>
                    <a:noFill/>
                    <a:ln>
                      <a:noFill/>
                    </a:ln>
                  </pic:spPr>
                </pic:pic>
              </a:graphicData>
            </a:graphic>
          </wp:anchor>
        </w:drawing>
      </w:r>
    </w:p>
    <w:p w14:paraId="74FC553C" w14:textId="77777777" w:rsidR="00111841" w:rsidRPr="005D56D3" w:rsidRDefault="00111841" w:rsidP="00111841">
      <w:pPr>
        <w:rPr>
          <w:rFonts w:cstheme="minorHAnsi"/>
        </w:rPr>
      </w:pPr>
    </w:p>
    <w:p w14:paraId="0F5ECBE5" w14:textId="77777777" w:rsidR="00111841" w:rsidRPr="005D56D3" w:rsidRDefault="00111841" w:rsidP="00111841">
      <w:pPr>
        <w:rPr>
          <w:rFonts w:cstheme="minorHAnsi"/>
        </w:rPr>
      </w:pPr>
    </w:p>
    <w:p w14:paraId="42C0D5A6" w14:textId="77777777" w:rsidR="00111841" w:rsidRPr="005D56D3" w:rsidRDefault="00111841" w:rsidP="00111841">
      <w:pPr>
        <w:rPr>
          <w:rFonts w:cstheme="minorHAnsi"/>
        </w:rPr>
      </w:pPr>
    </w:p>
    <w:p w14:paraId="7AD129C0" w14:textId="77777777" w:rsidR="00111841" w:rsidRPr="005D56D3" w:rsidRDefault="00111841" w:rsidP="00111841">
      <w:pPr>
        <w:rPr>
          <w:rFonts w:cstheme="minorHAnsi"/>
        </w:rPr>
      </w:pPr>
    </w:p>
    <w:p w14:paraId="453BB2E5" w14:textId="77777777" w:rsidR="00111841" w:rsidRPr="005D56D3" w:rsidRDefault="00111841" w:rsidP="00111841">
      <w:pPr>
        <w:rPr>
          <w:rFonts w:cstheme="minorHAnsi"/>
        </w:rPr>
      </w:pPr>
    </w:p>
    <w:p w14:paraId="1E4AD6AE" w14:textId="77777777" w:rsidR="00111841" w:rsidRPr="005D56D3" w:rsidRDefault="00111841" w:rsidP="00111841">
      <w:pPr>
        <w:rPr>
          <w:rFonts w:cstheme="minorHAnsi"/>
        </w:rPr>
      </w:pPr>
    </w:p>
    <w:p w14:paraId="381AA2BC" w14:textId="77777777" w:rsidR="00111841" w:rsidRPr="005D56D3" w:rsidRDefault="00111841" w:rsidP="00111841">
      <w:pPr>
        <w:rPr>
          <w:rFonts w:cstheme="minorHAnsi"/>
        </w:rPr>
      </w:pPr>
    </w:p>
    <w:p w14:paraId="70E1D1BF" w14:textId="77777777" w:rsidR="00111841" w:rsidRPr="005D56D3" w:rsidRDefault="00111841" w:rsidP="00111841">
      <w:pPr>
        <w:rPr>
          <w:rFonts w:cstheme="minorHAnsi"/>
        </w:rPr>
      </w:pPr>
    </w:p>
    <w:p w14:paraId="22388938" w14:textId="77777777" w:rsidR="00111841" w:rsidRPr="005D56D3" w:rsidRDefault="00111841" w:rsidP="00111841">
      <w:pPr>
        <w:rPr>
          <w:rFonts w:cstheme="minorHAnsi"/>
        </w:rPr>
      </w:pPr>
    </w:p>
    <w:p w14:paraId="6DF4F47F" w14:textId="77777777" w:rsidR="00111841" w:rsidRPr="005D56D3" w:rsidRDefault="00111841" w:rsidP="00111841">
      <w:pPr>
        <w:rPr>
          <w:rFonts w:cstheme="minorHAnsi"/>
        </w:rPr>
      </w:pPr>
    </w:p>
    <w:p w14:paraId="69548D17" w14:textId="77777777" w:rsidR="00111841" w:rsidRPr="005D56D3" w:rsidRDefault="00111841" w:rsidP="00111841">
      <w:pPr>
        <w:rPr>
          <w:rFonts w:cstheme="minorHAnsi"/>
        </w:rPr>
      </w:pPr>
    </w:p>
    <w:p w14:paraId="6BB5AD5B" w14:textId="77777777" w:rsidR="00111841" w:rsidRPr="005D56D3" w:rsidRDefault="00111841" w:rsidP="00111841">
      <w:pPr>
        <w:rPr>
          <w:rFonts w:cstheme="minorHAnsi"/>
        </w:rPr>
      </w:pPr>
    </w:p>
    <w:p w14:paraId="33C85B85" w14:textId="77777777" w:rsidR="00111841" w:rsidRPr="005D56D3" w:rsidRDefault="00111841" w:rsidP="00111841">
      <w:pPr>
        <w:rPr>
          <w:rFonts w:cstheme="minorHAnsi"/>
        </w:rPr>
      </w:pPr>
    </w:p>
    <w:p w14:paraId="286BC0AE" w14:textId="77777777" w:rsidR="00111841" w:rsidRPr="005D56D3" w:rsidRDefault="00111841" w:rsidP="00111841">
      <w:pPr>
        <w:rPr>
          <w:rFonts w:cstheme="minorHAnsi"/>
        </w:rPr>
      </w:pPr>
    </w:p>
    <w:p w14:paraId="48CB9200" w14:textId="77777777" w:rsidR="00111841" w:rsidRPr="005D56D3" w:rsidRDefault="00111841" w:rsidP="00111841">
      <w:pPr>
        <w:rPr>
          <w:rFonts w:cstheme="minorHAnsi"/>
        </w:rPr>
      </w:pPr>
    </w:p>
    <w:p w14:paraId="44ACEC15" w14:textId="77777777" w:rsidR="00111841" w:rsidRPr="005D56D3" w:rsidRDefault="00111841" w:rsidP="00111841">
      <w:pPr>
        <w:rPr>
          <w:rFonts w:cstheme="minorHAnsi"/>
        </w:rPr>
      </w:pPr>
    </w:p>
    <w:p w14:paraId="38E9B28D" w14:textId="77777777" w:rsidR="00111841" w:rsidRPr="005D56D3" w:rsidRDefault="00111841" w:rsidP="00111841">
      <w:pPr>
        <w:rPr>
          <w:rFonts w:cstheme="minorHAnsi"/>
        </w:rPr>
      </w:pPr>
    </w:p>
    <w:p w14:paraId="7873ABA7" w14:textId="77777777" w:rsidR="00111841" w:rsidRPr="005D56D3" w:rsidRDefault="00111841" w:rsidP="00111841">
      <w:pPr>
        <w:rPr>
          <w:rFonts w:cstheme="minorHAnsi"/>
        </w:rPr>
      </w:pPr>
    </w:p>
    <w:p w14:paraId="088D1D1B" w14:textId="77777777" w:rsidR="00111841" w:rsidRPr="005D56D3" w:rsidRDefault="00111841" w:rsidP="00111841">
      <w:pPr>
        <w:rPr>
          <w:rFonts w:cstheme="minorHAnsi"/>
        </w:rPr>
      </w:pPr>
    </w:p>
    <w:p w14:paraId="28A25CF7" w14:textId="77777777" w:rsidR="00111841" w:rsidRPr="005D56D3" w:rsidRDefault="00111841" w:rsidP="00111841">
      <w:pPr>
        <w:rPr>
          <w:rFonts w:cstheme="minorHAnsi"/>
        </w:rPr>
      </w:pPr>
    </w:p>
    <w:p w14:paraId="77D5467F" w14:textId="77777777" w:rsidR="00111841" w:rsidRDefault="00111841" w:rsidP="00111841">
      <w:pPr>
        <w:rPr>
          <w:rFonts w:cstheme="minorHAnsi"/>
          <w:b/>
          <w:bCs/>
        </w:rPr>
      </w:pPr>
    </w:p>
    <w:p w14:paraId="4BFE5D03" w14:textId="683B5BB4" w:rsidR="00111841" w:rsidRPr="005D56D3" w:rsidRDefault="00111841" w:rsidP="00111841">
      <w:pPr>
        <w:rPr>
          <w:rFonts w:cstheme="minorHAnsi"/>
          <w:i/>
          <w:iCs/>
        </w:rPr>
      </w:pPr>
      <w:r w:rsidRPr="005D56D3">
        <w:rPr>
          <w:rFonts w:cstheme="minorHAnsi"/>
          <w:i/>
          <w:iCs/>
        </w:rPr>
        <w:t xml:space="preserve">Figure S1. </w:t>
      </w:r>
      <w:r w:rsidR="00587558">
        <w:rPr>
          <w:rFonts w:cstheme="minorHAnsi"/>
          <w:i/>
          <w:iCs/>
        </w:rPr>
        <w:t xml:space="preserve">Training of students in floatation techniques.   </w:t>
      </w:r>
    </w:p>
    <w:p w14:paraId="0CBE15FB" w14:textId="77777777" w:rsidR="00111841" w:rsidRDefault="00111841"/>
    <w:sectPr w:rsidR="00111841" w:rsidSect="001118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8839" w14:textId="77777777" w:rsidR="008F4380" w:rsidRDefault="008F4380" w:rsidP="003E6FD9">
      <w:pPr>
        <w:spacing w:after="0" w:line="240" w:lineRule="auto"/>
      </w:pPr>
      <w:r>
        <w:separator/>
      </w:r>
    </w:p>
  </w:endnote>
  <w:endnote w:type="continuationSeparator" w:id="0">
    <w:p w14:paraId="4DB7DE2F" w14:textId="77777777" w:rsidR="008F4380" w:rsidRDefault="008F4380" w:rsidP="003E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A02B" w14:textId="77777777" w:rsidR="008F4380" w:rsidRDefault="008F4380" w:rsidP="003E6FD9">
      <w:pPr>
        <w:spacing w:after="0" w:line="240" w:lineRule="auto"/>
      </w:pPr>
      <w:r>
        <w:separator/>
      </w:r>
    </w:p>
  </w:footnote>
  <w:footnote w:type="continuationSeparator" w:id="0">
    <w:p w14:paraId="612CB49A" w14:textId="77777777" w:rsidR="008F4380" w:rsidRDefault="008F4380" w:rsidP="003E6F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41"/>
    <w:rsid w:val="0002331C"/>
    <w:rsid w:val="000A703C"/>
    <w:rsid w:val="00111841"/>
    <w:rsid w:val="001D307B"/>
    <w:rsid w:val="00302DD6"/>
    <w:rsid w:val="00330D13"/>
    <w:rsid w:val="00384D28"/>
    <w:rsid w:val="003E6FD9"/>
    <w:rsid w:val="0050251F"/>
    <w:rsid w:val="00587558"/>
    <w:rsid w:val="005E6E05"/>
    <w:rsid w:val="006E1511"/>
    <w:rsid w:val="00875201"/>
    <w:rsid w:val="008F4380"/>
    <w:rsid w:val="00A86052"/>
    <w:rsid w:val="00E97789"/>
    <w:rsid w:val="00F65107"/>
    <w:rsid w:val="00FF4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56D9"/>
  <w15:chartTrackingRefBased/>
  <w15:docId w15:val="{DC6BF281-7F35-4CCD-BB86-435CF221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41"/>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11841"/>
    <w:pPr>
      <w:spacing w:after="0" w:line="240" w:lineRule="auto"/>
    </w:pPr>
    <w:rPr>
      <w:rFonts w:eastAsiaTheme="minorEastAsia"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841"/>
    <w:rPr>
      <w:sz w:val="16"/>
      <w:szCs w:val="16"/>
    </w:rPr>
  </w:style>
  <w:style w:type="paragraph" w:styleId="CommentText">
    <w:name w:val="annotation text"/>
    <w:basedOn w:val="Normal"/>
    <w:link w:val="CommentTextChar"/>
    <w:uiPriority w:val="99"/>
    <w:unhideWhenUsed/>
    <w:rsid w:val="00111841"/>
    <w:pPr>
      <w:spacing w:line="240" w:lineRule="auto"/>
    </w:pPr>
    <w:rPr>
      <w:sz w:val="20"/>
      <w:szCs w:val="20"/>
    </w:rPr>
  </w:style>
  <w:style w:type="character" w:customStyle="1" w:styleId="CommentTextChar">
    <w:name w:val="Comment Text Char"/>
    <w:basedOn w:val="DefaultParagraphFont"/>
    <w:link w:val="CommentText"/>
    <w:uiPriority w:val="99"/>
    <w:rsid w:val="00111841"/>
    <w:rPr>
      <w:sz w:val="20"/>
      <w:szCs w:val="20"/>
    </w:rPr>
  </w:style>
  <w:style w:type="table" w:styleId="TableGrid">
    <w:name w:val="Table Grid"/>
    <w:basedOn w:val="TableNormal"/>
    <w:uiPriority w:val="39"/>
    <w:rsid w:val="0011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07B"/>
    <w:pPr>
      <w:spacing w:after="0" w:line="240" w:lineRule="auto"/>
    </w:pPr>
    <w:rPr>
      <w:sz w:val="24"/>
      <w:szCs w:val="24"/>
    </w:rPr>
  </w:style>
  <w:style w:type="paragraph" w:styleId="Header">
    <w:name w:val="header"/>
    <w:basedOn w:val="Normal"/>
    <w:link w:val="HeaderChar"/>
    <w:uiPriority w:val="99"/>
    <w:unhideWhenUsed/>
    <w:rsid w:val="003E6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FD9"/>
    <w:rPr>
      <w:sz w:val="24"/>
      <w:szCs w:val="24"/>
    </w:rPr>
  </w:style>
  <w:style w:type="paragraph" w:styleId="Footer">
    <w:name w:val="footer"/>
    <w:basedOn w:val="Normal"/>
    <w:link w:val="FooterChar"/>
    <w:uiPriority w:val="99"/>
    <w:unhideWhenUsed/>
    <w:rsid w:val="003E6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71216">
      <w:bodyDiv w:val="1"/>
      <w:marLeft w:val="0"/>
      <w:marRight w:val="0"/>
      <w:marTop w:val="0"/>
      <w:marBottom w:val="0"/>
      <w:divBdr>
        <w:top w:val="none" w:sz="0" w:space="0" w:color="auto"/>
        <w:left w:val="none" w:sz="0" w:space="0" w:color="auto"/>
        <w:bottom w:val="none" w:sz="0" w:space="0" w:color="auto"/>
        <w:right w:val="none" w:sz="0" w:space="0" w:color="auto"/>
      </w:divBdr>
      <w:divsChild>
        <w:div w:id="1274241853">
          <w:marLeft w:val="0"/>
          <w:marRight w:val="0"/>
          <w:marTop w:val="0"/>
          <w:marBottom w:val="0"/>
          <w:divBdr>
            <w:top w:val="none" w:sz="0" w:space="0" w:color="auto"/>
            <w:left w:val="none" w:sz="0" w:space="0" w:color="auto"/>
            <w:bottom w:val="none" w:sz="0" w:space="0" w:color="auto"/>
            <w:right w:val="none" w:sz="0" w:space="0" w:color="auto"/>
          </w:divBdr>
          <w:divsChild>
            <w:div w:id="3241871">
              <w:marLeft w:val="0"/>
              <w:marRight w:val="0"/>
              <w:marTop w:val="0"/>
              <w:marBottom w:val="0"/>
              <w:divBdr>
                <w:top w:val="none" w:sz="0" w:space="0" w:color="auto"/>
                <w:left w:val="none" w:sz="0" w:space="0" w:color="auto"/>
                <w:bottom w:val="none" w:sz="0" w:space="0" w:color="auto"/>
                <w:right w:val="none" w:sz="0" w:space="0" w:color="auto"/>
              </w:divBdr>
              <w:divsChild>
                <w:div w:id="1959485517">
                  <w:marLeft w:val="0"/>
                  <w:marRight w:val="0"/>
                  <w:marTop w:val="0"/>
                  <w:marBottom w:val="0"/>
                  <w:divBdr>
                    <w:top w:val="none" w:sz="0" w:space="0" w:color="auto"/>
                    <w:left w:val="none" w:sz="0" w:space="0" w:color="auto"/>
                    <w:bottom w:val="none" w:sz="0" w:space="0" w:color="auto"/>
                    <w:right w:val="none" w:sz="0" w:space="0" w:color="auto"/>
                  </w:divBdr>
                  <w:divsChild>
                    <w:div w:id="793595335">
                      <w:marLeft w:val="0"/>
                      <w:marRight w:val="0"/>
                      <w:marTop w:val="0"/>
                      <w:marBottom w:val="0"/>
                      <w:divBdr>
                        <w:top w:val="none" w:sz="0" w:space="0" w:color="auto"/>
                        <w:left w:val="none" w:sz="0" w:space="0" w:color="auto"/>
                        <w:bottom w:val="none" w:sz="0" w:space="0" w:color="auto"/>
                        <w:right w:val="none" w:sz="0" w:space="0" w:color="auto"/>
                      </w:divBdr>
                      <w:divsChild>
                        <w:div w:id="382680393">
                          <w:marLeft w:val="0"/>
                          <w:marRight w:val="0"/>
                          <w:marTop w:val="0"/>
                          <w:marBottom w:val="0"/>
                          <w:divBdr>
                            <w:top w:val="none" w:sz="0" w:space="0" w:color="auto"/>
                            <w:left w:val="none" w:sz="0" w:space="0" w:color="auto"/>
                            <w:bottom w:val="none" w:sz="0" w:space="0" w:color="auto"/>
                            <w:right w:val="none" w:sz="0" w:space="0" w:color="auto"/>
                          </w:divBdr>
                          <w:divsChild>
                            <w:div w:id="750925875">
                              <w:marLeft w:val="0"/>
                              <w:marRight w:val="0"/>
                              <w:marTop w:val="0"/>
                              <w:marBottom w:val="0"/>
                              <w:divBdr>
                                <w:top w:val="none" w:sz="0" w:space="0" w:color="auto"/>
                                <w:left w:val="none" w:sz="0" w:space="0" w:color="auto"/>
                                <w:bottom w:val="none" w:sz="0" w:space="0" w:color="auto"/>
                                <w:right w:val="none" w:sz="0" w:space="0" w:color="auto"/>
                              </w:divBdr>
                              <w:divsChild>
                                <w:div w:id="15228911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79720">
      <w:bodyDiv w:val="1"/>
      <w:marLeft w:val="0"/>
      <w:marRight w:val="0"/>
      <w:marTop w:val="0"/>
      <w:marBottom w:val="0"/>
      <w:divBdr>
        <w:top w:val="none" w:sz="0" w:space="0" w:color="auto"/>
        <w:left w:val="none" w:sz="0" w:space="0" w:color="auto"/>
        <w:bottom w:val="none" w:sz="0" w:space="0" w:color="auto"/>
        <w:right w:val="none" w:sz="0" w:space="0" w:color="auto"/>
      </w:divBdr>
      <w:divsChild>
        <w:div w:id="1098523637">
          <w:marLeft w:val="0"/>
          <w:marRight w:val="0"/>
          <w:marTop w:val="0"/>
          <w:marBottom w:val="0"/>
          <w:divBdr>
            <w:top w:val="none" w:sz="0" w:space="0" w:color="auto"/>
            <w:left w:val="none" w:sz="0" w:space="0" w:color="auto"/>
            <w:bottom w:val="none" w:sz="0" w:space="0" w:color="auto"/>
            <w:right w:val="none" w:sz="0" w:space="0" w:color="auto"/>
          </w:divBdr>
          <w:divsChild>
            <w:div w:id="891967703">
              <w:marLeft w:val="0"/>
              <w:marRight w:val="0"/>
              <w:marTop w:val="0"/>
              <w:marBottom w:val="0"/>
              <w:divBdr>
                <w:top w:val="none" w:sz="0" w:space="0" w:color="auto"/>
                <w:left w:val="none" w:sz="0" w:space="0" w:color="auto"/>
                <w:bottom w:val="none" w:sz="0" w:space="0" w:color="auto"/>
                <w:right w:val="none" w:sz="0" w:space="0" w:color="auto"/>
              </w:divBdr>
              <w:divsChild>
                <w:div w:id="780496485">
                  <w:marLeft w:val="0"/>
                  <w:marRight w:val="0"/>
                  <w:marTop w:val="0"/>
                  <w:marBottom w:val="0"/>
                  <w:divBdr>
                    <w:top w:val="none" w:sz="0" w:space="0" w:color="auto"/>
                    <w:left w:val="none" w:sz="0" w:space="0" w:color="auto"/>
                    <w:bottom w:val="none" w:sz="0" w:space="0" w:color="auto"/>
                    <w:right w:val="none" w:sz="0" w:space="0" w:color="auto"/>
                  </w:divBdr>
                  <w:divsChild>
                    <w:div w:id="917833146">
                      <w:marLeft w:val="0"/>
                      <w:marRight w:val="0"/>
                      <w:marTop w:val="0"/>
                      <w:marBottom w:val="0"/>
                      <w:divBdr>
                        <w:top w:val="none" w:sz="0" w:space="0" w:color="auto"/>
                        <w:left w:val="none" w:sz="0" w:space="0" w:color="auto"/>
                        <w:bottom w:val="none" w:sz="0" w:space="0" w:color="auto"/>
                        <w:right w:val="none" w:sz="0" w:space="0" w:color="auto"/>
                      </w:divBdr>
                      <w:divsChild>
                        <w:div w:id="1252542147">
                          <w:marLeft w:val="0"/>
                          <w:marRight w:val="0"/>
                          <w:marTop w:val="0"/>
                          <w:marBottom w:val="0"/>
                          <w:divBdr>
                            <w:top w:val="none" w:sz="0" w:space="0" w:color="auto"/>
                            <w:left w:val="none" w:sz="0" w:space="0" w:color="auto"/>
                            <w:bottom w:val="none" w:sz="0" w:space="0" w:color="auto"/>
                            <w:right w:val="none" w:sz="0" w:space="0" w:color="auto"/>
                          </w:divBdr>
                          <w:divsChild>
                            <w:div w:id="280234637">
                              <w:marLeft w:val="0"/>
                              <w:marRight w:val="0"/>
                              <w:marTop w:val="0"/>
                              <w:marBottom w:val="0"/>
                              <w:divBdr>
                                <w:top w:val="none" w:sz="0" w:space="0" w:color="auto"/>
                                <w:left w:val="none" w:sz="0" w:space="0" w:color="auto"/>
                                <w:bottom w:val="none" w:sz="0" w:space="0" w:color="auto"/>
                                <w:right w:val="none" w:sz="0" w:space="0" w:color="auto"/>
                              </w:divBdr>
                              <w:divsChild>
                                <w:div w:id="39223929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gpsg24</dc:creator>
  <cp:keywords/>
  <dc:description/>
  <cp:lastModifiedBy>gpsg24</cp:lastModifiedBy>
  <cp:revision>3</cp:revision>
  <dcterms:created xsi:type="dcterms:W3CDTF">2025-01-07T10:13:00Z</dcterms:created>
  <dcterms:modified xsi:type="dcterms:W3CDTF">2025-01-07T10:15:00Z</dcterms:modified>
</cp:coreProperties>
</file>