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4818" w14:textId="73A7CAF0" w:rsidR="00681983" w:rsidRPr="00681983" w:rsidRDefault="00681983" w:rsidP="00681983">
      <w:pPr>
        <w:spacing w:before="120" w:after="0" w:line="360" w:lineRule="auto"/>
        <w:jc w:val="both"/>
        <w:rPr>
          <w:rStyle w:val="Strong"/>
          <w:rFonts w:ascii="Arial" w:hAnsi="Arial" w:cs="Arial"/>
          <w:u w:val="single"/>
        </w:rPr>
      </w:pPr>
      <w:r w:rsidRPr="00681983">
        <w:rPr>
          <w:rStyle w:val="Strong"/>
          <w:rFonts w:ascii="Arial" w:hAnsi="Arial" w:cs="Arial"/>
          <w:u w:val="single"/>
        </w:rPr>
        <w:t>Supplementary Material</w:t>
      </w:r>
      <w:r w:rsidR="00CD67A4">
        <w:rPr>
          <w:rStyle w:val="Strong"/>
          <w:rFonts w:ascii="Arial" w:hAnsi="Arial" w:cs="Arial"/>
          <w:u w:val="single"/>
        </w:rPr>
        <w:t xml:space="preserve">: </w:t>
      </w:r>
    </w:p>
    <w:p w14:paraId="699DEA8D" w14:textId="77777777" w:rsidR="005419FD" w:rsidRPr="007C359A" w:rsidRDefault="005419FD" w:rsidP="005419FD">
      <w:pPr>
        <w:spacing w:before="12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359A">
        <w:rPr>
          <w:rFonts w:ascii="Arial" w:hAnsi="Arial" w:cs="Arial"/>
          <w:b/>
          <w:bCs/>
          <w:sz w:val="24"/>
          <w:szCs w:val="24"/>
        </w:rPr>
        <w:t>Associations of childhood diet quality scores with arterial stiffness and carotid artery intima-media thickness in adolescence/early adulthood: findings from the ALSPAC cohort</w:t>
      </w:r>
    </w:p>
    <w:p w14:paraId="66BAEFCD" w14:textId="77777777" w:rsidR="00681983" w:rsidRPr="00FB6E6A" w:rsidRDefault="00681983" w:rsidP="00681983">
      <w:pPr>
        <w:spacing w:before="120" w:line="360" w:lineRule="auto"/>
        <w:jc w:val="both"/>
        <w:rPr>
          <w:rFonts w:ascii="Arial" w:hAnsi="Arial" w:cs="Arial"/>
          <w:b/>
          <w:bCs/>
        </w:rPr>
      </w:pPr>
    </w:p>
    <w:p w14:paraId="2C8E82C3" w14:textId="16302EDC" w:rsidR="00681983" w:rsidRDefault="00681983" w:rsidP="00681983">
      <w:pPr>
        <w:spacing w:before="120" w:after="0" w:line="360" w:lineRule="auto"/>
        <w:jc w:val="both"/>
        <w:rPr>
          <w:rFonts w:ascii="Arial" w:hAnsi="Arial" w:cs="Arial"/>
          <w:vertAlign w:val="superscript"/>
        </w:rPr>
      </w:pPr>
      <w:r w:rsidRPr="00CD67A4">
        <w:rPr>
          <w:rFonts w:ascii="Arial" w:hAnsi="Arial" w:cs="Arial"/>
        </w:rPr>
        <w:t>Genevieve Buckland</w:t>
      </w:r>
      <w:r w:rsidRPr="00CD67A4">
        <w:rPr>
          <w:rFonts w:ascii="Arial" w:hAnsi="Arial" w:cs="Arial"/>
          <w:vertAlign w:val="superscript"/>
        </w:rPr>
        <w:t>1</w:t>
      </w:r>
      <w:r w:rsidRPr="00CD67A4">
        <w:rPr>
          <w:rFonts w:ascii="Arial" w:hAnsi="Arial" w:cs="Arial"/>
        </w:rPr>
        <w:t>, Kate Northstone</w:t>
      </w:r>
      <w:r w:rsidRPr="00CD67A4">
        <w:rPr>
          <w:rFonts w:ascii="Arial" w:hAnsi="Arial" w:cs="Arial"/>
          <w:vertAlign w:val="superscript"/>
        </w:rPr>
        <w:t>2</w:t>
      </w:r>
      <w:r w:rsidRPr="00CD67A4">
        <w:rPr>
          <w:rFonts w:ascii="Arial" w:hAnsi="Arial" w:cs="Arial"/>
        </w:rPr>
        <w:t>, Pauline M Emmett</w:t>
      </w:r>
      <w:r w:rsidRPr="00CD67A4">
        <w:rPr>
          <w:rFonts w:ascii="Arial" w:hAnsi="Arial" w:cs="Arial"/>
          <w:vertAlign w:val="superscript"/>
        </w:rPr>
        <w:t>1</w:t>
      </w:r>
      <w:r w:rsidRPr="00CD67A4">
        <w:rPr>
          <w:rFonts w:ascii="Arial" w:hAnsi="Arial" w:cs="Arial"/>
        </w:rPr>
        <w:t xml:space="preserve"> and Caroline M Taylor</w:t>
      </w:r>
      <w:r w:rsidRPr="00CD67A4">
        <w:rPr>
          <w:rFonts w:ascii="Arial" w:hAnsi="Arial" w:cs="Arial"/>
          <w:vertAlign w:val="superscript"/>
        </w:rPr>
        <w:t>1</w:t>
      </w:r>
    </w:p>
    <w:p w14:paraId="51826990" w14:textId="77777777" w:rsidR="00CD67A4" w:rsidRPr="00CD67A4" w:rsidRDefault="00CD67A4" w:rsidP="00681983">
      <w:pPr>
        <w:spacing w:before="120" w:after="0" w:line="360" w:lineRule="auto"/>
        <w:jc w:val="both"/>
        <w:rPr>
          <w:rFonts w:ascii="Arial" w:hAnsi="Arial" w:cs="Arial"/>
        </w:rPr>
      </w:pPr>
    </w:p>
    <w:p w14:paraId="723B2CE8" w14:textId="77777777" w:rsidR="00681983" w:rsidRPr="00CD67A4" w:rsidRDefault="00681983" w:rsidP="00CD67A4">
      <w:pPr>
        <w:pStyle w:val="NormalWeb"/>
        <w:spacing w:before="120" w:beforeAutospacing="0" w:after="0" w:afterAutospacing="0"/>
        <w:jc w:val="both"/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  <w:r w:rsidRPr="00CD67A4">
        <w:rPr>
          <w:rStyle w:val="Strong"/>
          <w:rFonts w:ascii="Arial" w:hAnsi="Arial" w:cs="Arial"/>
          <w:b w:val="0"/>
          <w:bCs w:val="0"/>
          <w:sz w:val="22"/>
          <w:szCs w:val="22"/>
          <w:vertAlign w:val="superscript"/>
        </w:rPr>
        <w:t>1</w:t>
      </w:r>
      <w:r w:rsidRPr="00CD67A4">
        <w:rPr>
          <w:rStyle w:val="Strong"/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Centre for Academic Child Health, Bristol Medical School, University of Bristol</w:t>
      </w:r>
    </w:p>
    <w:p w14:paraId="377641B3" w14:textId="3FE68F1B" w:rsidR="00F149BF" w:rsidRDefault="00681983" w:rsidP="00567D19">
      <w:pPr>
        <w:spacing w:before="120" w:after="0" w:line="240" w:lineRule="auto"/>
        <w:jc w:val="both"/>
        <w:rPr>
          <w:rStyle w:val="Strong"/>
          <w:rFonts w:ascii="Arial" w:hAnsi="Arial" w:cs="Arial"/>
          <w:b w:val="0"/>
          <w:bCs w:val="0"/>
        </w:rPr>
      </w:pPr>
      <w:r w:rsidRPr="00CD67A4">
        <w:rPr>
          <w:rStyle w:val="Strong"/>
          <w:rFonts w:ascii="Arial" w:hAnsi="Arial" w:cs="Arial"/>
          <w:b w:val="0"/>
          <w:bCs w:val="0"/>
          <w:vertAlign w:val="superscript"/>
        </w:rPr>
        <w:t>2</w:t>
      </w:r>
      <w:r w:rsidRPr="00CD67A4">
        <w:rPr>
          <w:rFonts w:ascii="Arial" w:hAnsi="Arial" w:cs="Arial"/>
          <w:shd w:val="clear" w:color="auto" w:fill="FFFFFF"/>
        </w:rPr>
        <w:t>Department of Population Health Sciences</w:t>
      </w:r>
      <w:r w:rsidRPr="00CD67A4">
        <w:rPr>
          <w:rStyle w:val="Strong"/>
          <w:rFonts w:ascii="Arial" w:hAnsi="Arial" w:cs="Arial"/>
          <w:b w:val="0"/>
          <w:bCs w:val="0"/>
        </w:rPr>
        <w:t>, Bristol Medical School, University of Bristol</w:t>
      </w:r>
    </w:p>
    <w:p w14:paraId="0B0CC791" w14:textId="77777777" w:rsidR="00F149BF" w:rsidRDefault="00F149BF">
      <w:p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br w:type="page"/>
      </w:r>
    </w:p>
    <w:p w14:paraId="0F42A525" w14:textId="77777777" w:rsidR="00F149BF" w:rsidRDefault="00F149BF" w:rsidP="00567D19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611D72">
        <w:rPr>
          <w:rFonts w:ascii="Arial" w:hAnsi="Arial" w:cs="Arial"/>
          <w:b/>
          <w:bCs/>
        </w:rPr>
        <w:lastRenderedPageBreak/>
        <w:t>Supplementary Methods</w:t>
      </w:r>
    </w:p>
    <w:p w14:paraId="7C0B186D" w14:textId="2BFB9626" w:rsidR="00F832B7" w:rsidRPr="00611D72" w:rsidRDefault="007D3F2F" w:rsidP="00F832B7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methodology used to construct the f</w:t>
      </w:r>
      <w:r w:rsidR="00F832B7" w:rsidRPr="00016F44">
        <w:rPr>
          <w:rFonts w:ascii="Arial" w:hAnsi="Arial" w:cs="Arial"/>
        </w:rPr>
        <w:t>ive</w:t>
      </w:r>
      <w:r w:rsidR="00F832B7">
        <w:rPr>
          <w:rFonts w:ascii="Arial" w:hAnsi="Arial" w:cs="Arial"/>
        </w:rPr>
        <w:t xml:space="preserve"> </w:t>
      </w:r>
      <w:r w:rsidR="00F832B7" w:rsidRPr="00016F44">
        <w:rPr>
          <w:rFonts w:ascii="Arial" w:hAnsi="Arial" w:cs="Arial"/>
        </w:rPr>
        <w:t>diet quality</w:t>
      </w:r>
      <w:r w:rsidR="00F832B7">
        <w:rPr>
          <w:rFonts w:ascii="Arial" w:hAnsi="Arial" w:cs="Arial"/>
        </w:rPr>
        <w:t xml:space="preserve"> </w:t>
      </w:r>
      <w:r w:rsidR="00F832B7" w:rsidRPr="00016F44">
        <w:rPr>
          <w:rFonts w:ascii="Arial" w:hAnsi="Arial" w:cs="Arial"/>
        </w:rPr>
        <w:t xml:space="preserve">scores </w:t>
      </w:r>
      <w:r w:rsidR="00F832B7">
        <w:rPr>
          <w:rFonts w:ascii="Arial" w:hAnsi="Arial" w:cs="Arial"/>
        </w:rPr>
        <w:t>for each participant</w:t>
      </w:r>
      <w:r>
        <w:rPr>
          <w:rFonts w:ascii="Arial" w:hAnsi="Arial" w:cs="Arial"/>
        </w:rPr>
        <w:t>,</w:t>
      </w:r>
      <w:r w:rsidR="00F832B7">
        <w:rPr>
          <w:rFonts w:ascii="Arial" w:hAnsi="Arial" w:cs="Arial"/>
        </w:rPr>
        <w:t xml:space="preserve"> based on the dietary data that was available at 7, 10 and 13 years old</w:t>
      </w:r>
      <w:r>
        <w:rPr>
          <w:rFonts w:ascii="Arial" w:hAnsi="Arial" w:cs="Arial"/>
        </w:rPr>
        <w:t>, is detailed below</w:t>
      </w:r>
      <w:r w:rsidR="00F832B7">
        <w:rPr>
          <w:rFonts w:ascii="Arial" w:hAnsi="Arial" w:cs="Arial"/>
        </w:rPr>
        <w:t>.</w:t>
      </w:r>
    </w:p>
    <w:p w14:paraId="3BD74EDE" w14:textId="77777777" w:rsidR="00BE3320" w:rsidRDefault="00BE3320" w:rsidP="00BE3320">
      <w:pPr>
        <w:spacing w:after="0" w:line="360" w:lineRule="auto"/>
        <w:rPr>
          <w:rFonts w:ascii="Arial" w:hAnsi="Arial" w:cs="Arial"/>
        </w:rPr>
      </w:pPr>
    </w:p>
    <w:p w14:paraId="4DF964C1" w14:textId="77777777" w:rsidR="00BE3320" w:rsidRPr="00693C69" w:rsidRDefault="00BE3320" w:rsidP="00BE3320">
      <w:pPr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Children’s relative Mediterranean diet (C-rMED) score</w:t>
      </w:r>
      <w:r w:rsidRPr="00F87741">
        <w:rPr>
          <w:rFonts w:ascii="Arial" w:hAnsi="Arial" w:cs="Arial"/>
          <w:i/>
          <w:iCs/>
        </w:rPr>
        <w:t xml:space="preserve"> </w:t>
      </w:r>
    </w:p>
    <w:p w14:paraId="739B0C3D" w14:textId="1E82742D" w:rsidR="00BE3320" w:rsidRDefault="00BE3320" w:rsidP="00BE3320">
      <w:pPr>
        <w:spacing w:after="0" w:line="360" w:lineRule="auto"/>
        <w:jc w:val="both"/>
        <w:rPr>
          <w:rFonts w:ascii="Arial" w:hAnsi="Arial" w:cs="Arial"/>
        </w:rPr>
      </w:pPr>
      <w:r w:rsidRPr="001523A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C-rMED</w:t>
      </w:r>
      <w:r w:rsidRPr="001523AD">
        <w:rPr>
          <w:rFonts w:ascii="Arial" w:hAnsi="Arial" w:cs="Arial"/>
        </w:rPr>
        <w:t xml:space="preserve"> score </w:t>
      </w:r>
      <w:r>
        <w:rPr>
          <w:rFonts w:ascii="Arial" w:hAnsi="Arial" w:cs="Arial"/>
        </w:rPr>
        <w:t xml:space="preserve">is </w:t>
      </w:r>
      <w:r w:rsidRPr="001523AD">
        <w:rPr>
          <w:rFonts w:ascii="Arial" w:hAnsi="Arial" w:cs="Arial"/>
        </w:rPr>
        <w:t xml:space="preserve">based on the intake of </w:t>
      </w:r>
      <w:r>
        <w:rPr>
          <w:rFonts w:ascii="Arial" w:hAnsi="Arial" w:cs="Arial"/>
        </w:rPr>
        <w:t>eight</w:t>
      </w:r>
      <w:r w:rsidRPr="001523AD">
        <w:rPr>
          <w:rFonts w:ascii="Arial" w:hAnsi="Arial" w:cs="Arial"/>
        </w:rPr>
        <w:t xml:space="preserve"> food groups </w:t>
      </w:r>
      <w:r>
        <w:rPr>
          <w:rFonts w:ascii="Arial" w:hAnsi="Arial" w:cs="Arial"/>
        </w:rPr>
        <w:t xml:space="preserve">or </w:t>
      </w:r>
      <w:r w:rsidRPr="001523AD">
        <w:rPr>
          <w:rFonts w:ascii="Arial" w:hAnsi="Arial" w:cs="Arial"/>
        </w:rPr>
        <w:t>components: fruit, vegetables, pulses, cereals and cereal products, fish</w:t>
      </w:r>
      <w:r>
        <w:rPr>
          <w:rFonts w:ascii="Arial" w:hAnsi="Arial" w:cs="Arial"/>
        </w:rPr>
        <w:t>/</w:t>
      </w:r>
      <w:r w:rsidRPr="001523AD">
        <w:rPr>
          <w:rFonts w:ascii="Arial" w:hAnsi="Arial" w:cs="Arial"/>
        </w:rPr>
        <w:t>seafood, dairy products, meat and meat products and a lipid ratio (sum of monounsaturated fatty acids (MUFA) and polyunsaturated fatty acids (PUFA) divided by saturated fatty acids (SFA) g/day)</w:t>
      </w:r>
      <w:r>
        <w:rPr>
          <w:rFonts w:ascii="Arial" w:hAnsi="Arial" w:cs="Arial"/>
        </w:rPr>
        <w:t xml:space="preserve"> </w:t>
      </w:r>
      <w:r w:rsidRPr="001523AD">
        <w:rPr>
          <w:rFonts w:ascii="Arial" w:hAnsi="Arial" w:cs="Arial"/>
        </w:rPr>
        <w:fldChar w:fldCharType="begin">
          <w:fldData xml:space="preserve">PEVuZE5vdGU+PENpdGU+PEF1dGhvcj5CdWNrbGFuZDwvQXV0aG9yPjxZZWFyPjIwMjI8L1llYXI+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</w:fldData>
        </w:fldChar>
      </w:r>
      <w:r w:rsidR="00611D72">
        <w:rPr>
          <w:rFonts w:ascii="Arial" w:hAnsi="Arial" w:cs="Arial"/>
        </w:rPr>
        <w:instrText xml:space="preserve"> ADDIN EN.CITE </w:instrText>
      </w:r>
      <w:r w:rsidR="00611D72">
        <w:rPr>
          <w:rFonts w:ascii="Arial" w:hAnsi="Arial" w:cs="Arial"/>
        </w:rPr>
        <w:fldChar w:fldCharType="begin">
          <w:fldData xml:space="preserve">PEVuZE5vdGU+PENpdGU+PEF1dGhvcj5CdWNrbGFuZDwvQXV0aG9yPjxZZWFyPjIwMjI8L1llYXI+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</w:fldData>
        </w:fldChar>
      </w:r>
      <w:r w:rsidR="00611D72">
        <w:rPr>
          <w:rFonts w:ascii="Arial" w:hAnsi="Arial" w:cs="Arial"/>
        </w:rPr>
        <w:instrText xml:space="preserve"> ADDIN EN.CITE.DATA </w:instrText>
      </w:r>
      <w:r w:rsidR="00611D72">
        <w:rPr>
          <w:rFonts w:ascii="Arial" w:hAnsi="Arial" w:cs="Arial"/>
        </w:rPr>
      </w:r>
      <w:r w:rsidR="00611D72">
        <w:rPr>
          <w:rFonts w:ascii="Arial" w:hAnsi="Arial" w:cs="Arial"/>
        </w:rPr>
        <w:fldChar w:fldCharType="end"/>
      </w:r>
      <w:r w:rsidRPr="001523AD">
        <w:rPr>
          <w:rFonts w:ascii="Arial" w:hAnsi="Arial" w:cs="Arial"/>
        </w:rPr>
      </w:r>
      <w:r w:rsidRPr="001523AD">
        <w:rPr>
          <w:rFonts w:ascii="Arial" w:hAnsi="Arial" w:cs="Arial"/>
        </w:rPr>
        <w:fldChar w:fldCharType="separate"/>
      </w:r>
      <w:r w:rsidR="00611D72">
        <w:rPr>
          <w:rFonts w:ascii="Arial" w:hAnsi="Arial" w:cs="Arial"/>
          <w:noProof/>
        </w:rPr>
        <w:t>(1)</w:t>
      </w:r>
      <w:r w:rsidRPr="001523AD">
        <w:rPr>
          <w:rFonts w:ascii="Arial" w:hAnsi="Arial" w:cs="Arial"/>
        </w:rPr>
        <w:fldChar w:fldCharType="end"/>
      </w:r>
      <w:r w:rsidRPr="001523A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Intake of each</w:t>
      </w:r>
      <w:r w:rsidRPr="001523AD">
        <w:rPr>
          <w:rFonts w:ascii="Arial" w:hAnsi="Arial" w:cs="Arial"/>
        </w:rPr>
        <w:t xml:space="preserve"> component </w:t>
      </w:r>
      <w:r>
        <w:rPr>
          <w:rFonts w:ascii="Arial" w:hAnsi="Arial" w:cs="Arial"/>
        </w:rPr>
        <w:t xml:space="preserve">was calculated </w:t>
      </w:r>
      <w:r w:rsidRPr="001523AD">
        <w:rPr>
          <w:rFonts w:ascii="Arial" w:hAnsi="Arial" w:cs="Arial"/>
        </w:rPr>
        <w:t xml:space="preserve">as a function of </w:t>
      </w:r>
      <w:r>
        <w:rPr>
          <w:rFonts w:ascii="Arial" w:hAnsi="Arial" w:cs="Arial"/>
        </w:rPr>
        <w:t xml:space="preserve">total </w:t>
      </w:r>
      <w:r w:rsidRPr="001523AD">
        <w:rPr>
          <w:rFonts w:ascii="Arial" w:hAnsi="Arial" w:cs="Arial"/>
        </w:rPr>
        <w:t xml:space="preserve">energy </w:t>
      </w:r>
      <w:r>
        <w:rPr>
          <w:rFonts w:ascii="Arial" w:hAnsi="Arial" w:cs="Arial"/>
        </w:rPr>
        <w:t>intake</w:t>
      </w:r>
      <w:r w:rsidRPr="001523AD">
        <w:rPr>
          <w:rFonts w:ascii="Arial" w:hAnsi="Arial" w:cs="Arial"/>
        </w:rPr>
        <w:t xml:space="preserve"> (g/4184 kJ</w:t>
      </w:r>
      <w:r>
        <w:rPr>
          <w:rFonts w:ascii="Arial" w:hAnsi="Arial" w:cs="Arial"/>
        </w:rPr>
        <w:t xml:space="preserve"> per </w:t>
      </w:r>
      <w:r w:rsidRPr="001523AD">
        <w:rPr>
          <w:rFonts w:ascii="Arial" w:hAnsi="Arial" w:cs="Arial"/>
        </w:rPr>
        <w:t>d</w:t>
      </w:r>
      <w:r>
        <w:rPr>
          <w:rFonts w:ascii="Arial" w:hAnsi="Arial" w:cs="Arial"/>
        </w:rPr>
        <w:t>ay</w:t>
      </w:r>
      <w:r w:rsidRPr="001523AD">
        <w:rPr>
          <w:rFonts w:ascii="Arial" w:hAnsi="Arial" w:cs="Arial"/>
        </w:rPr>
        <w:t xml:space="preserve"> (g/1000 kcal</w:t>
      </w:r>
      <w:r>
        <w:rPr>
          <w:rFonts w:ascii="Arial" w:hAnsi="Arial" w:cs="Arial"/>
        </w:rPr>
        <w:t xml:space="preserve"> per </w:t>
      </w:r>
      <w:r w:rsidRPr="001523AD">
        <w:rPr>
          <w:rFonts w:ascii="Arial" w:hAnsi="Arial" w:cs="Arial"/>
        </w:rPr>
        <w:t>day))</w:t>
      </w:r>
      <w:r>
        <w:rPr>
          <w:rFonts w:ascii="Arial" w:hAnsi="Arial" w:cs="Arial"/>
        </w:rPr>
        <w:t xml:space="preserve"> </w:t>
      </w:r>
      <w:r w:rsidRPr="001523AD">
        <w:rPr>
          <w:rFonts w:ascii="Arial" w:hAnsi="Arial" w:cs="Arial"/>
        </w:rPr>
        <w:fldChar w:fldCharType="begin"/>
      </w:r>
      <w:r w:rsidR="00611D72">
        <w:rPr>
          <w:rFonts w:ascii="Arial" w:hAnsi="Arial" w:cs="Arial"/>
        </w:rPr>
        <w:instrText xml:space="preserve"> ADDIN EN.CITE &lt;EndNote&gt;&lt;Cite&gt;&lt;Author&gt;Willett&lt;/Author&gt;&lt;Year&gt;1997&lt;/Year&gt;&lt;RecNum&gt;100&lt;/RecNum&gt;&lt;DisplayText&gt;(2)&lt;/DisplayText&gt;&lt;record&gt;&lt;rec-number&gt;100&lt;/rec-number&gt;&lt;foreign-keys&gt;&lt;key app="EN" db-id="pz5ft5z9qdr09oeertmvwape09wpt00d5xfz" timestamp="1600098242"&gt;100&lt;/key&gt;&lt;key app="ENWeb" db-id=""&gt;0&lt;/key&gt;&lt;/foreign-keys&gt;&lt;ref-type name="Journal Article"&gt;17&lt;/ref-type&gt;&lt;contributors&gt;&lt;authors&gt;&lt;author&gt;Willett, W&lt;/author&gt;&lt;author&gt;Howe, G&lt;/author&gt;&lt;author&gt;Kushi, L&lt;/author&gt;&lt;/authors&gt;&lt;/contributors&gt;&lt;titles&gt;&lt;title&gt;Adjustment for total energy intake in epidemiologic studie.&lt;/title&gt;&lt;secondary-title&gt;Am J Clin Nutr&lt;/secondary-title&gt;&lt;/titles&gt;&lt;periodical&gt;&lt;full-title&gt;Am J Clin Nutr&lt;/full-title&gt;&lt;/periodical&gt;&lt;pages&gt;S1220-S1228&lt;/pages&gt;&lt;volume&gt;65. &lt;/volume&gt;&lt;dates&gt;&lt;year&gt;1997&lt;/year&gt;&lt;/dates&gt;&lt;urls&gt;&lt;/urls&gt;&lt;/record&gt;&lt;/Cite&gt;&lt;/EndNote&gt;</w:instrText>
      </w:r>
      <w:r w:rsidRPr="001523AD">
        <w:rPr>
          <w:rFonts w:ascii="Arial" w:hAnsi="Arial" w:cs="Arial"/>
        </w:rPr>
        <w:fldChar w:fldCharType="separate"/>
      </w:r>
      <w:r w:rsidR="00611D72">
        <w:rPr>
          <w:rFonts w:ascii="Arial" w:hAnsi="Arial" w:cs="Arial"/>
          <w:noProof/>
        </w:rPr>
        <w:t>(2)</w:t>
      </w:r>
      <w:r w:rsidRPr="001523A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 w:rsidRPr="00152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Pr="001523AD">
        <w:rPr>
          <w:rFonts w:ascii="Arial" w:hAnsi="Arial" w:cs="Arial"/>
        </w:rPr>
        <w:t>fruit, vegetables, cereals</w:t>
      </w:r>
      <w:r>
        <w:rPr>
          <w:rFonts w:ascii="Arial" w:hAnsi="Arial" w:cs="Arial"/>
        </w:rPr>
        <w:t xml:space="preserve">, </w:t>
      </w:r>
      <w:r w:rsidRPr="001523AD">
        <w:rPr>
          <w:rFonts w:ascii="Arial" w:hAnsi="Arial" w:cs="Arial"/>
        </w:rPr>
        <w:t>and dairy products</w:t>
      </w:r>
      <w:r>
        <w:rPr>
          <w:rFonts w:ascii="Arial" w:hAnsi="Arial" w:cs="Arial"/>
        </w:rPr>
        <w:t xml:space="preserve"> a </w:t>
      </w:r>
      <w:r w:rsidRPr="001523AD">
        <w:rPr>
          <w:rFonts w:ascii="Arial" w:hAnsi="Arial" w:cs="Arial"/>
        </w:rPr>
        <w:t xml:space="preserve">value of 0, 1, or 2 was assigned </w:t>
      </w:r>
      <w:r>
        <w:rPr>
          <w:rFonts w:ascii="Arial" w:hAnsi="Arial" w:cs="Arial"/>
        </w:rPr>
        <w:t xml:space="preserve">to the first, </w:t>
      </w:r>
      <w:r w:rsidRPr="001523AD">
        <w:rPr>
          <w:rFonts w:ascii="Arial" w:hAnsi="Arial" w:cs="Arial"/>
        </w:rPr>
        <w:t>second, or third tertile of intake</w:t>
      </w:r>
      <w:r>
        <w:rPr>
          <w:rFonts w:ascii="Arial" w:hAnsi="Arial" w:cs="Arial"/>
        </w:rPr>
        <w:t>,</w:t>
      </w:r>
      <w:r w:rsidRPr="00C534CE">
        <w:rPr>
          <w:rFonts w:ascii="Arial" w:hAnsi="Arial" w:cs="Arial"/>
        </w:rPr>
        <w:t xml:space="preserve"> </w:t>
      </w:r>
      <w:r w:rsidRPr="001523AD">
        <w:rPr>
          <w:rFonts w:ascii="Arial" w:hAnsi="Arial" w:cs="Arial"/>
        </w:rPr>
        <w:t xml:space="preserve">respectively </w:t>
      </w:r>
      <w:r>
        <w:rPr>
          <w:rFonts w:ascii="Arial" w:hAnsi="Arial" w:cs="Arial"/>
        </w:rPr>
        <w:t xml:space="preserve">(higher intakes received higher scores). </w:t>
      </w:r>
      <w:r w:rsidRPr="008D323A">
        <w:rPr>
          <w:rFonts w:ascii="Arial" w:hAnsi="Arial" w:cs="Arial"/>
        </w:rPr>
        <w:t xml:space="preserve">The scoring was reversed for meat intake </w:t>
      </w:r>
      <w:r>
        <w:rPr>
          <w:rFonts w:ascii="Arial" w:hAnsi="Arial" w:cs="Arial"/>
        </w:rPr>
        <w:t>so that higher</w:t>
      </w:r>
      <w:r w:rsidRPr="008D3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intakes received lower</w:t>
      </w:r>
      <w:r w:rsidRPr="008D3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scores. The </w:t>
      </w:r>
      <w:r w:rsidRPr="008D323A">
        <w:rPr>
          <w:rFonts w:ascii="Arial" w:hAnsi="Arial" w:cs="Arial"/>
        </w:rPr>
        <w:t xml:space="preserve">lipid ratio </w:t>
      </w:r>
      <w:r>
        <w:rPr>
          <w:rFonts w:ascii="Arial" w:hAnsi="Arial" w:cs="Arial"/>
        </w:rPr>
        <w:t xml:space="preserve">was scored by assigning 0 and 1 points </w:t>
      </w:r>
      <w:r w:rsidRPr="008D323A">
        <w:rPr>
          <w:rFonts w:ascii="Arial" w:hAnsi="Arial" w:cs="Arial"/>
        </w:rPr>
        <w:t>for intakes below and above the median</w:t>
      </w:r>
      <w:r>
        <w:rPr>
          <w:rFonts w:ascii="Arial" w:hAnsi="Arial" w:cs="Arial"/>
        </w:rPr>
        <w:t xml:space="preserve">. </w:t>
      </w:r>
      <w:r w:rsidRPr="0056502F">
        <w:rPr>
          <w:rFonts w:ascii="Arial" w:hAnsi="Arial" w:cs="Arial"/>
        </w:rPr>
        <w:t xml:space="preserve">For legumes </w:t>
      </w:r>
      <w:r>
        <w:rPr>
          <w:rFonts w:ascii="Arial" w:hAnsi="Arial" w:cs="Arial"/>
        </w:rPr>
        <w:t xml:space="preserve">and </w:t>
      </w:r>
      <w:r w:rsidRPr="0056502F">
        <w:rPr>
          <w:rFonts w:ascii="Arial" w:hAnsi="Arial" w:cs="Arial"/>
        </w:rPr>
        <w:t>fish</w:t>
      </w:r>
      <w:r>
        <w:rPr>
          <w:rFonts w:ascii="Arial" w:hAnsi="Arial" w:cs="Arial"/>
        </w:rPr>
        <w:t>/</w:t>
      </w:r>
      <w:r w:rsidRPr="0056502F">
        <w:rPr>
          <w:rFonts w:ascii="Arial" w:hAnsi="Arial" w:cs="Arial"/>
        </w:rPr>
        <w:t>seafood</w:t>
      </w:r>
      <w:r>
        <w:rPr>
          <w:rFonts w:ascii="Arial" w:hAnsi="Arial" w:cs="Arial"/>
        </w:rPr>
        <w:t xml:space="preserve"> </w:t>
      </w:r>
      <w:r w:rsidRPr="0056502F">
        <w:rPr>
          <w:rFonts w:ascii="Arial" w:hAnsi="Arial" w:cs="Arial"/>
        </w:rPr>
        <w:t xml:space="preserve">a value of 0 was assigned to non-consumers </w:t>
      </w:r>
      <w:r>
        <w:rPr>
          <w:rFonts w:ascii="Arial" w:hAnsi="Arial" w:cs="Arial"/>
        </w:rPr>
        <w:t>(due to</w:t>
      </w:r>
      <w:r w:rsidRPr="0056502F">
        <w:rPr>
          <w:rFonts w:ascii="Arial" w:hAnsi="Arial" w:cs="Arial"/>
        </w:rPr>
        <w:t xml:space="preserve"> large proportions of non-consumers</w:t>
      </w:r>
      <w:r>
        <w:rPr>
          <w:rFonts w:ascii="Arial" w:hAnsi="Arial" w:cs="Arial"/>
        </w:rPr>
        <w:t>)</w:t>
      </w:r>
      <w:r w:rsidRPr="0056502F">
        <w:rPr>
          <w:rFonts w:ascii="Arial" w:hAnsi="Arial" w:cs="Arial"/>
        </w:rPr>
        <w:t xml:space="preserve"> and 1 and 2 points were assigned to intakes below and above the median </w:t>
      </w:r>
      <w:r>
        <w:rPr>
          <w:rFonts w:ascii="Arial" w:hAnsi="Arial" w:cs="Arial"/>
        </w:rPr>
        <w:t>for</w:t>
      </w:r>
      <w:r w:rsidRPr="0056502F">
        <w:rPr>
          <w:rFonts w:ascii="Arial" w:hAnsi="Arial" w:cs="Arial"/>
        </w:rPr>
        <w:t xml:space="preserve"> consumers, respectively</w:t>
      </w:r>
      <w:r>
        <w:rPr>
          <w:rFonts w:ascii="Arial" w:hAnsi="Arial" w:cs="Arial"/>
        </w:rPr>
        <w:t xml:space="preserve">. The points obtained from each of the components are summed together for each participant to produce a C-rMED score, with possible scores ranging </w:t>
      </w:r>
      <w:r w:rsidRPr="001B222F">
        <w:rPr>
          <w:rFonts w:ascii="Arial" w:hAnsi="Arial" w:cs="Arial"/>
        </w:rPr>
        <w:t xml:space="preserve">from 0 to </w:t>
      </w:r>
      <w:r>
        <w:rPr>
          <w:rFonts w:ascii="Arial" w:hAnsi="Arial" w:cs="Arial"/>
        </w:rPr>
        <w:t xml:space="preserve">15 (lowest to highest adherence). The C-rMED score was standardised by converting it to z-scores. This was repeated at each dietary data collection timepoint. </w:t>
      </w:r>
    </w:p>
    <w:p w14:paraId="1E316EFB" w14:textId="77777777" w:rsidR="00BE3320" w:rsidRPr="001523AD" w:rsidRDefault="00BE3320" w:rsidP="00BE3320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697B5F89" w14:textId="77777777" w:rsidR="00BE3320" w:rsidRPr="005B2292" w:rsidRDefault="00BE3320" w:rsidP="00BE3320">
      <w:pPr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Children’s Dietary Inflammatory score (C-</w:t>
      </w:r>
      <w:r w:rsidRPr="005B2292">
        <w:rPr>
          <w:rFonts w:ascii="Arial" w:hAnsi="Arial" w:cs="Arial"/>
          <w:i/>
          <w:iCs/>
        </w:rPr>
        <w:t>DIS</w:t>
      </w:r>
      <w:r>
        <w:rPr>
          <w:rFonts w:ascii="Arial" w:hAnsi="Arial" w:cs="Arial"/>
          <w:i/>
          <w:iCs/>
        </w:rPr>
        <w:t>)</w:t>
      </w:r>
    </w:p>
    <w:p w14:paraId="3D0CE821" w14:textId="209EE418" w:rsidR="00BE3320" w:rsidRPr="00420CEC" w:rsidRDefault="00BE3320" w:rsidP="00BE3320">
      <w:pPr>
        <w:spacing w:after="0" w:line="360" w:lineRule="auto"/>
        <w:jc w:val="both"/>
        <w:rPr>
          <w:rFonts w:ascii="Arial" w:hAnsi="Arial" w:cs="Arial"/>
        </w:rPr>
      </w:pPr>
      <w:r w:rsidRPr="00420CE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C-DIS </w:t>
      </w:r>
      <w:r w:rsidRPr="00420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 previously</w:t>
      </w:r>
      <w:r w:rsidRPr="00420CEC">
        <w:rPr>
          <w:rFonts w:ascii="Arial" w:hAnsi="Arial" w:cs="Arial"/>
        </w:rPr>
        <w:t xml:space="preserve"> adapted from the C-DII </w:t>
      </w:r>
      <w:r>
        <w:rPr>
          <w:rFonts w:ascii="Arial" w:hAnsi="Arial" w:cs="Arial"/>
        </w:rPr>
        <w:t xml:space="preserve"> which originated from the</w:t>
      </w:r>
      <w:r w:rsidRPr="00420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Dietary Inflammatory Index (</w:t>
      </w:r>
      <w:r w:rsidRPr="00420CEC">
        <w:rPr>
          <w:rFonts w:ascii="Arial" w:hAnsi="Arial" w:cs="Arial"/>
        </w:rPr>
        <w:t>DII</w:t>
      </w:r>
      <w:r>
        <w:rPr>
          <w:rFonts w:ascii="Arial" w:hAnsi="Arial" w:cs="Arial"/>
        </w:rPr>
        <w:t>)</w:t>
      </w:r>
      <w:r w:rsidRPr="00420CEC">
        <w:rPr>
          <w:rFonts w:ascii="Arial" w:hAnsi="Arial" w:cs="Arial"/>
        </w:rPr>
        <w:t xml:space="preserve"> </w:t>
      </w:r>
      <w:r w:rsidRPr="00420CEC">
        <w:rPr>
          <w:rFonts w:ascii="Arial" w:hAnsi="Arial" w:cs="Arial"/>
        </w:rPr>
        <w:fldChar w:fldCharType="begin"/>
      </w:r>
      <w:r w:rsidR="00611D72">
        <w:rPr>
          <w:rFonts w:ascii="Arial" w:hAnsi="Arial" w:cs="Arial"/>
        </w:rPr>
        <w:instrText xml:space="preserve"> ADDIN EN.CITE &lt;EndNote&gt;&lt;Cite&gt;&lt;Author&gt;Shivappa&lt;/Author&gt;&lt;Year&gt;2014&lt;/Year&gt;&lt;RecNum&gt;191&lt;/RecNum&gt;&lt;DisplayText&gt;(3)&lt;/DisplayText&gt;&lt;record&gt;&lt;rec-number&gt;191&lt;/rec-number&gt;&lt;foreign-keys&gt;&lt;key app="EN" db-id="pz5ft5z9qdr09oeertmvwape09wpt00d5xfz" timestamp="1620732477"&gt;191&lt;/key&gt;&lt;key app="ENWeb" db-id=""&gt;0&lt;/key&gt;&lt;/foreign-keys&gt;&lt;ref-type name="Journal Article"&gt;17&lt;/ref-type&gt;&lt;contributors&gt;&lt;authors&gt;&lt;author&gt;Shivappa, N.&lt;/author&gt;&lt;author&gt;Steck, S. E.&lt;/author&gt;&lt;author&gt;Hurley, T. G.&lt;/author&gt;&lt;author&gt;Hussey, J. R.&lt;/author&gt;&lt;author&gt;Hebert, J. R.&lt;/author&gt;&lt;/authors&gt;&lt;/contributors&gt;&lt;auth-address&gt;1Cancer Prevention and Control Program,University of South Carolina,915 Greene Street,Suite 241,Columbia,SC 29208,USA.&amp;#xD;2Department of Epidemiology and Biostatistics,Arnold School of Public Health,University of South Carolina,Columbia,SC,USA.&lt;/auth-address&gt;&lt;titles&gt;&lt;title&gt;Designing and developing a literature-derived, population-based dietary inflammatory index&lt;/title&gt;&lt;secondary-title&gt;Public Health Nutr&lt;/secondary-title&gt;&lt;/titles&gt;&lt;periodical&gt;&lt;full-title&gt;Public Health Nutr&lt;/full-title&gt;&lt;/periodical&gt;&lt;pages&gt;1689-96&lt;/pages&gt;&lt;volume&gt;17&lt;/volume&gt;&lt;number&gt;8&lt;/number&gt;&lt;edition&gt;2013/08/15&lt;/edition&gt;&lt;keywords&gt;&lt;keyword&gt;Algorithms&lt;/keyword&gt;&lt;keyword&gt;Biomarkers/blood&lt;/keyword&gt;&lt;keyword&gt;C-Reactive Protein/*metabolism&lt;/keyword&gt;&lt;keyword&gt;Diet/*adverse effects&lt;/keyword&gt;&lt;keyword&gt;Feeding Behavior&lt;/keyword&gt;&lt;keyword&gt;Humans&lt;/keyword&gt;&lt;keyword&gt;Inflammation/blood/*etiology&lt;/keyword&gt;&lt;keyword&gt;Inflammation Mediators/*blood&lt;/keyword&gt;&lt;keyword&gt;Interleukins/*blood&lt;/keyword&gt;&lt;keyword&gt;Nutrition Assessment&lt;/keyword&gt;&lt;keyword&gt;*Nutritional Status&lt;/keyword&gt;&lt;keyword&gt;Tumor Necrosis Factor-alpha/*blood&lt;/keyword&gt;&lt;/keywords&gt;&lt;dates&gt;&lt;year&gt;2014&lt;/year&gt;&lt;pub-dates&gt;&lt;date&gt;Aug&lt;/date&gt;&lt;/pub-dates&gt;&lt;/dates&gt;&lt;isbn&gt;1475-2727 (Electronic)&amp;#xD;1368-9800 (Linking)&lt;/isbn&gt;&lt;accession-num&gt;23941862&lt;/accession-num&gt;&lt;urls&gt;&lt;related-urls&gt;&lt;url&gt;https://www.ncbi.nlm.nih.gov/pubmed/23941862&lt;/url&gt;&lt;/related-urls&gt;&lt;/urls&gt;&lt;custom2&gt;PMC3925198&lt;/custom2&gt;&lt;electronic-resource-num&gt;10.1017/S1368980013002115&lt;/electronic-resource-num&gt;&lt;/record&gt;&lt;/Cite&gt;&lt;/EndNote&gt;</w:instrText>
      </w:r>
      <w:r w:rsidRPr="00420CEC">
        <w:rPr>
          <w:rFonts w:ascii="Arial" w:hAnsi="Arial" w:cs="Arial"/>
        </w:rPr>
        <w:fldChar w:fldCharType="separate"/>
      </w:r>
      <w:r w:rsidR="00611D72">
        <w:rPr>
          <w:rFonts w:ascii="Arial" w:hAnsi="Arial" w:cs="Arial"/>
          <w:noProof/>
        </w:rPr>
        <w:t>(3)</w:t>
      </w:r>
      <w:r w:rsidRPr="00420CE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. It is a </w:t>
      </w:r>
      <w:r w:rsidRPr="00910D55">
        <w:rPr>
          <w:rFonts w:ascii="Arial" w:hAnsi="Arial" w:cs="Arial"/>
        </w:rPr>
        <w:t>tool for estimating the overall inflammatory potential of the diet.</w:t>
      </w:r>
      <w:r w:rsidRPr="00420CE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C-DIS</w:t>
      </w:r>
      <w:r w:rsidRPr="00420CEC">
        <w:rPr>
          <w:rFonts w:ascii="Arial" w:hAnsi="Arial" w:cs="Arial"/>
        </w:rPr>
        <w:t xml:space="preserve"> include</w:t>
      </w:r>
      <w:r>
        <w:rPr>
          <w:rFonts w:ascii="Arial" w:hAnsi="Arial" w:cs="Arial"/>
        </w:rPr>
        <w:t>s</w:t>
      </w:r>
      <w:r w:rsidRPr="00420CEC">
        <w:rPr>
          <w:rFonts w:ascii="Arial" w:hAnsi="Arial" w:cs="Arial"/>
        </w:rPr>
        <w:t xml:space="preserve"> 24 components: energy, carbohydrate, protein, total fat, saturated fat, monounsaturated fat, polyunsaturated fat, dietary cholesterol, fibre, vitamin A, vitamin B6, vitamin B12, vitamin C, </w:t>
      </w:r>
      <w:r w:rsidRPr="0040394A">
        <w:rPr>
          <w:rFonts w:ascii="Arial" w:hAnsi="Arial" w:cs="Arial"/>
        </w:rPr>
        <w:t>vitamin D, vitamin E, folic acid, beta-carotene, thiamine, ribof</w:t>
      </w:r>
      <w:r>
        <w:rPr>
          <w:rFonts w:ascii="Arial" w:hAnsi="Arial" w:cs="Arial"/>
        </w:rPr>
        <w:t>l</w:t>
      </w:r>
      <w:r w:rsidRPr="0040394A">
        <w:rPr>
          <w:rFonts w:ascii="Arial" w:hAnsi="Arial" w:cs="Arial"/>
        </w:rPr>
        <w:t>avin, niacin, iron, magnesium, zinc and selenium. Each dietary component is divided by total energy</w:t>
      </w:r>
      <w:r>
        <w:rPr>
          <w:rFonts w:ascii="Arial" w:hAnsi="Arial" w:cs="Arial"/>
        </w:rPr>
        <w:t xml:space="preserve">, </w:t>
      </w:r>
      <w:r w:rsidRPr="0040394A">
        <w:rPr>
          <w:rFonts w:ascii="Arial" w:hAnsi="Arial" w:cs="Arial"/>
        </w:rPr>
        <w:t>standardi</w:t>
      </w:r>
      <w:r>
        <w:rPr>
          <w:rFonts w:ascii="Arial" w:hAnsi="Arial" w:cs="Arial"/>
        </w:rPr>
        <w:t>s</w:t>
      </w:r>
      <w:r w:rsidRPr="0040394A">
        <w:rPr>
          <w:rFonts w:ascii="Arial" w:hAnsi="Arial" w:cs="Arial"/>
        </w:rPr>
        <w:t>ed using z-scores and then multiplied by its corresponding positive or negative inf</w:t>
      </w:r>
      <w:r>
        <w:rPr>
          <w:rFonts w:ascii="Arial" w:hAnsi="Arial" w:cs="Arial"/>
        </w:rPr>
        <w:t>l</w:t>
      </w:r>
      <w:r w:rsidRPr="0040394A">
        <w:rPr>
          <w:rFonts w:ascii="Arial" w:hAnsi="Arial" w:cs="Arial"/>
        </w:rPr>
        <w:t>ammatory weight</w:t>
      </w:r>
      <w:r w:rsidRPr="00F27B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(previously calculated and published </w:t>
      </w:r>
      <w:r w:rsidRPr="00687BE7">
        <w:rPr>
          <w:rFonts w:ascii="Arial" w:hAnsi="Arial" w:cs="Arial"/>
        </w:rPr>
        <w:fldChar w:fldCharType="begin"/>
      </w:r>
      <w:r w:rsidR="00611D72">
        <w:rPr>
          <w:rFonts w:ascii="Arial" w:hAnsi="Arial" w:cs="Arial"/>
        </w:rPr>
        <w:instrText xml:space="preserve"> ADDIN EN.CITE &lt;EndNote&gt;&lt;Cite&gt;&lt;Author&gt;Shivappa&lt;/Author&gt;&lt;Year&gt;2014&lt;/Year&gt;&lt;RecNum&gt;191&lt;/RecNum&gt;&lt;DisplayText&gt;(3)&lt;/DisplayText&gt;&lt;record&gt;&lt;rec-number&gt;191&lt;/rec-number&gt;&lt;foreign-keys&gt;&lt;key app="EN" db-id="pz5ft5z9qdr09oeertmvwape09wpt00d5xfz" timestamp="1620732477"&gt;191&lt;/key&gt;&lt;key app="ENWeb" db-id=""&gt;0&lt;/key&gt;&lt;/foreign-keys&gt;&lt;ref-type name="Journal Article"&gt;17&lt;/ref-type&gt;&lt;contributors&gt;&lt;authors&gt;&lt;author&gt;Shivappa, N.&lt;/author&gt;&lt;author&gt;Steck, S. E.&lt;/author&gt;&lt;author&gt;Hurley, T. G.&lt;/author&gt;&lt;author&gt;Hussey, J. R.&lt;/author&gt;&lt;author&gt;Hebert, J. R.&lt;/author&gt;&lt;/authors&gt;&lt;/contributors&gt;&lt;auth-address&gt;1Cancer Prevention and Control Program,University of South Carolina,915 Greene Street,Suite 241,Columbia,SC 29208,USA.&amp;#xD;2Department of Epidemiology and Biostatistics,Arnold School of Public Health,University of South Carolina,Columbia,SC,USA.&lt;/auth-address&gt;&lt;titles&gt;&lt;title&gt;Designing and developing a literature-derived, population-based dietary inflammatory index&lt;/title&gt;&lt;secondary-title&gt;Public Health Nutr&lt;/secondary-title&gt;&lt;/titles&gt;&lt;periodical&gt;&lt;full-title&gt;Public Health Nutr&lt;/full-title&gt;&lt;/periodical&gt;&lt;pages&gt;1689-96&lt;/pages&gt;&lt;volume&gt;17&lt;/volume&gt;&lt;number&gt;8&lt;/number&gt;&lt;edition&gt;2013/08/15&lt;/edition&gt;&lt;keywords&gt;&lt;keyword&gt;Algorithms&lt;/keyword&gt;&lt;keyword&gt;Biomarkers/blood&lt;/keyword&gt;&lt;keyword&gt;C-Reactive Protein/*metabolism&lt;/keyword&gt;&lt;keyword&gt;Diet/*adverse effects&lt;/keyword&gt;&lt;keyword&gt;Feeding Behavior&lt;/keyword&gt;&lt;keyword&gt;Humans&lt;/keyword&gt;&lt;keyword&gt;Inflammation/blood/*etiology&lt;/keyword&gt;&lt;keyword&gt;Inflammation Mediators/*blood&lt;/keyword&gt;&lt;keyword&gt;Interleukins/*blood&lt;/keyword&gt;&lt;keyword&gt;Nutrition Assessment&lt;/keyword&gt;&lt;keyword&gt;*Nutritional Status&lt;/keyword&gt;&lt;keyword&gt;Tumor Necrosis Factor-alpha/*blood&lt;/keyword&gt;&lt;/keywords&gt;&lt;dates&gt;&lt;year&gt;2014&lt;/year&gt;&lt;pub-dates&gt;&lt;date&gt;Aug&lt;/date&gt;&lt;/pub-dates&gt;&lt;/dates&gt;&lt;isbn&gt;1475-2727 (Electronic)&amp;#xD;1368-9800 (Linking)&lt;/isbn&gt;&lt;accession-num&gt;23941862&lt;/accession-num&gt;&lt;urls&gt;&lt;related-urls&gt;&lt;url&gt;https://www.ncbi.nlm.nih.gov/pubmed/23941862&lt;/url&gt;&lt;/related-urls&gt;&lt;/urls&gt;&lt;custom2&gt;PMC3925198&lt;/custom2&gt;&lt;electronic-resource-num&gt;10.1017/S1368980013002115&lt;/electronic-resource-num&gt;&lt;/record&gt;&lt;/Cite&gt;&lt;/EndNote&gt;</w:instrText>
      </w:r>
      <w:r w:rsidRPr="00687BE7">
        <w:rPr>
          <w:rFonts w:ascii="Arial" w:hAnsi="Arial" w:cs="Arial"/>
        </w:rPr>
        <w:fldChar w:fldCharType="separate"/>
      </w:r>
      <w:r w:rsidR="00611D72">
        <w:rPr>
          <w:rFonts w:ascii="Arial" w:hAnsi="Arial" w:cs="Arial"/>
          <w:noProof/>
        </w:rPr>
        <w:t>(3)</w:t>
      </w:r>
      <w:r w:rsidRPr="00687BE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) which reflect </w:t>
      </w:r>
      <w:r w:rsidRPr="0040394A">
        <w:rPr>
          <w:rFonts w:ascii="Arial" w:hAnsi="Arial" w:cs="Arial"/>
        </w:rPr>
        <w:t>their pro</w:t>
      </w:r>
      <w:r>
        <w:rPr>
          <w:rFonts w:ascii="Arial" w:hAnsi="Arial" w:cs="Arial"/>
        </w:rPr>
        <w:t>-</w:t>
      </w:r>
      <w:r w:rsidRPr="0040394A">
        <w:rPr>
          <w:rFonts w:ascii="Arial" w:hAnsi="Arial" w:cs="Arial"/>
        </w:rPr>
        <w:t>inf</w:t>
      </w:r>
      <w:r>
        <w:rPr>
          <w:rFonts w:ascii="Arial" w:hAnsi="Arial" w:cs="Arial"/>
        </w:rPr>
        <w:t>l</w:t>
      </w:r>
      <w:r w:rsidRPr="0040394A">
        <w:rPr>
          <w:rFonts w:ascii="Arial" w:hAnsi="Arial" w:cs="Arial"/>
        </w:rPr>
        <w:t>ammatory or anti-inf</w:t>
      </w:r>
      <w:r>
        <w:rPr>
          <w:rFonts w:ascii="Arial" w:hAnsi="Arial" w:cs="Arial"/>
        </w:rPr>
        <w:t>l</w:t>
      </w:r>
      <w:r w:rsidRPr="0040394A">
        <w:rPr>
          <w:rFonts w:ascii="Arial" w:hAnsi="Arial" w:cs="Arial"/>
        </w:rPr>
        <w:t>ammatory properties</w:t>
      </w:r>
      <w:r w:rsidRPr="00687BE7">
        <w:rPr>
          <w:rFonts w:ascii="Arial" w:hAnsi="Arial" w:cs="Arial"/>
        </w:rPr>
        <w:t xml:space="preserve">.  The inflammatory </w:t>
      </w:r>
      <w:r>
        <w:rPr>
          <w:rFonts w:ascii="Arial" w:hAnsi="Arial" w:cs="Arial"/>
        </w:rPr>
        <w:t>z-</w:t>
      </w:r>
      <w:r w:rsidRPr="00687BE7">
        <w:rPr>
          <w:rFonts w:ascii="Arial" w:hAnsi="Arial" w:cs="Arial"/>
        </w:rPr>
        <w:t xml:space="preserve">score from each of the 24 dietary components are summed together </w:t>
      </w:r>
      <w:r>
        <w:rPr>
          <w:rFonts w:ascii="Arial" w:hAnsi="Arial" w:cs="Arial"/>
        </w:rPr>
        <w:t xml:space="preserve">for each participant </w:t>
      </w:r>
      <w:r w:rsidRPr="00687BE7">
        <w:rPr>
          <w:rFonts w:ascii="Arial" w:hAnsi="Arial" w:cs="Arial"/>
        </w:rPr>
        <w:t xml:space="preserve">to give their total </w:t>
      </w:r>
      <w:r>
        <w:rPr>
          <w:rFonts w:ascii="Arial" w:hAnsi="Arial" w:cs="Arial"/>
        </w:rPr>
        <w:t>C-DIS</w:t>
      </w:r>
      <w:r w:rsidRPr="00687B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C-DIS z-score was </w:t>
      </w:r>
      <w:r w:rsidRPr="00F75F24">
        <w:rPr>
          <w:rFonts w:ascii="Arial" w:hAnsi="Arial" w:cs="Arial"/>
        </w:rPr>
        <w:t xml:space="preserve">multiplied by −1, to align the direction of values for increasing score representing a healthier </w:t>
      </w:r>
      <w:r w:rsidRPr="00D15B0C">
        <w:rPr>
          <w:rFonts w:ascii="Arial" w:hAnsi="Arial" w:cs="Arial"/>
        </w:rPr>
        <w:t xml:space="preserve">diet (as in the other a priori scores). </w:t>
      </w:r>
    </w:p>
    <w:p w14:paraId="33322044" w14:textId="77777777" w:rsidR="00BE3320" w:rsidRDefault="00BE3320" w:rsidP="00BE3320">
      <w:pPr>
        <w:spacing w:after="0" w:line="360" w:lineRule="auto"/>
        <w:jc w:val="both"/>
        <w:rPr>
          <w:rFonts w:ascii="Arial" w:hAnsi="Arial" w:cs="Arial"/>
        </w:rPr>
      </w:pPr>
    </w:p>
    <w:p w14:paraId="250CA839" w14:textId="77777777" w:rsidR="00BE3320" w:rsidRPr="00404CC7" w:rsidRDefault="00BE3320" w:rsidP="00BE3320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404CC7">
        <w:rPr>
          <w:rFonts w:ascii="Arial" w:hAnsi="Arial" w:cs="Arial"/>
          <w:i/>
          <w:iCs/>
        </w:rPr>
        <w:t>Dietary Approache</w:t>
      </w:r>
      <w:r>
        <w:rPr>
          <w:rFonts w:ascii="Arial" w:hAnsi="Arial" w:cs="Arial"/>
          <w:i/>
          <w:iCs/>
        </w:rPr>
        <w:t xml:space="preserve">s </w:t>
      </w:r>
      <w:r w:rsidRPr="00404CC7">
        <w:rPr>
          <w:rFonts w:ascii="Arial" w:hAnsi="Arial" w:cs="Arial"/>
          <w:i/>
          <w:iCs/>
        </w:rPr>
        <w:t xml:space="preserve">to Stop Hypertension (DASH) diet score </w:t>
      </w:r>
    </w:p>
    <w:p w14:paraId="719E4C2D" w14:textId="20D522FC" w:rsidR="00BE3320" w:rsidRPr="000143BC" w:rsidRDefault="00BE3320" w:rsidP="00BE3320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94856">
        <w:rPr>
          <w:rFonts w:ascii="Arial" w:hAnsi="Arial" w:cs="Arial"/>
        </w:rPr>
        <w:lastRenderedPageBreak/>
        <w:t>A DASH diet score</w:t>
      </w:r>
      <w:r>
        <w:rPr>
          <w:rFonts w:ascii="Arial" w:hAnsi="Arial" w:cs="Arial"/>
        </w:rPr>
        <w:t xml:space="preserve"> </w:t>
      </w:r>
      <w:r w:rsidRPr="00B94856">
        <w:rPr>
          <w:rFonts w:ascii="Arial" w:hAnsi="Arial" w:cs="Arial"/>
        </w:rPr>
        <w:t xml:space="preserve">was constructed based on previously published methods </w:t>
      </w:r>
      <w:r w:rsidRPr="00B94856">
        <w:rPr>
          <w:rFonts w:ascii="Arial" w:hAnsi="Arial" w:cs="Arial"/>
        </w:rPr>
        <w:fldChar w:fldCharType="begin">
          <w:fldData xml:space="preserve">PEVuZE5vdGU+PENpdGU+PEF1dGhvcj5Kb25lczwvQXV0aG9yPjxZZWFyPjIwMTg8L1llYXI+PFJl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</w:fldData>
        </w:fldChar>
      </w:r>
      <w:r w:rsidR="00611D72">
        <w:rPr>
          <w:rFonts w:ascii="Arial" w:hAnsi="Arial" w:cs="Arial"/>
        </w:rPr>
        <w:instrText xml:space="preserve"> ADDIN EN.CITE </w:instrText>
      </w:r>
      <w:r w:rsidR="00611D72">
        <w:rPr>
          <w:rFonts w:ascii="Arial" w:hAnsi="Arial" w:cs="Arial"/>
        </w:rPr>
        <w:fldChar w:fldCharType="begin">
          <w:fldData xml:space="preserve">PEVuZE5vdGU+PENpdGU+PEF1dGhvcj5Kb25lczwvQXV0aG9yPjxZZWFyPjIwMTg8L1llYXI+PFJl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</w:fldData>
        </w:fldChar>
      </w:r>
      <w:r w:rsidR="00611D72">
        <w:rPr>
          <w:rFonts w:ascii="Arial" w:hAnsi="Arial" w:cs="Arial"/>
        </w:rPr>
        <w:instrText xml:space="preserve"> ADDIN EN.CITE.DATA </w:instrText>
      </w:r>
      <w:r w:rsidR="00611D72">
        <w:rPr>
          <w:rFonts w:ascii="Arial" w:hAnsi="Arial" w:cs="Arial"/>
        </w:rPr>
      </w:r>
      <w:r w:rsidR="00611D72">
        <w:rPr>
          <w:rFonts w:ascii="Arial" w:hAnsi="Arial" w:cs="Arial"/>
        </w:rPr>
        <w:fldChar w:fldCharType="end"/>
      </w:r>
      <w:r w:rsidRPr="00B94856">
        <w:rPr>
          <w:rFonts w:ascii="Arial" w:hAnsi="Arial" w:cs="Arial"/>
        </w:rPr>
      </w:r>
      <w:r w:rsidRPr="00B94856">
        <w:rPr>
          <w:rFonts w:ascii="Arial" w:hAnsi="Arial" w:cs="Arial"/>
        </w:rPr>
        <w:fldChar w:fldCharType="separate"/>
      </w:r>
      <w:r w:rsidR="00611D72">
        <w:rPr>
          <w:rFonts w:ascii="Arial" w:hAnsi="Arial" w:cs="Arial"/>
          <w:noProof/>
        </w:rPr>
        <w:t>(4)</w:t>
      </w:r>
      <w:r w:rsidRPr="00B94856">
        <w:rPr>
          <w:rFonts w:ascii="Arial" w:hAnsi="Arial" w:cs="Arial"/>
        </w:rPr>
        <w:fldChar w:fldCharType="end"/>
      </w:r>
      <w:r w:rsidRPr="00B9485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DASH diet score </w:t>
      </w:r>
      <w:r w:rsidRPr="00B94856">
        <w:rPr>
          <w:rFonts w:ascii="Arial" w:hAnsi="Arial" w:cs="Arial"/>
        </w:rPr>
        <w:t>incorporates the intake of eight foods/nutrients</w:t>
      </w:r>
      <w:r>
        <w:rPr>
          <w:rFonts w:ascii="Arial" w:hAnsi="Arial" w:cs="Arial"/>
        </w:rPr>
        <w:t xml:space="preserve"> defined within a DASH-style dietary pattern</w:t>
      </w:r>
      <w:r w:rsidRPr="00B94856">
        <w:rPr>
          <w:rFonts w:ascii="Arial" w:hAnsi="Arial" w:cs="Arial"/>
        </w:rPr>
        <w:t>: fruit, vegetables, nuts and legumes, wholegrains, low-fat</w:t>
      </w:r>
      <w:r>
        <w:rPr>
          <w:rFonts w:ascii="Arial" w:hAnsi="Arial" w:cs="Arial"/>
        </w:rPr>
        <w:t xml:space="preserve"> dairy products (the healthy components) and </w:t>
      </w:r>
      <w:r w:rsidRPr="00B94856">
        <w:rPr>
          <w:rFonts w:ascii="Arial" w:hAnsi="Arial" w:cs="Arial"/>
        </w:rPr>
        <w:t>red and processed meat, sodium and non-milk extrinsic sugars (NMES</w:t>
      </w:r>
      <w:r>
        <w:rPr>
          <w:rFonts w:ascii="Arial" w:hAnsi="Arial" w:cs="Arial"/>
        </w:rPr>
        <w:t xml:space="preserve"> – similar to free sugars</w:t>
      </w:r>
      <w:r w:rsidRPr="00B94856">
        <w:rPr>
          <w:rFonts w:ascii="Arial" w:hAnsi="Arial" w:cs="Arial"/>
        </w:rPr>
        <w:t>)</w:t>
      </w:r>
      <w:bookmarkStart w:id="0" w:name="_Hlk109328500"/>
      <w:r>
        <w:rPr>
          <w:rFonts w:ascii="Arial" w:hAnsi="Arial" w:cs="Arial"/>
        </w:rPr>
        <w:t xml:space="preserve"> (the unhealthy components)</w:t>
      </w:r>
      <w:r w:rsidRPr="00B9485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Each</w:t>
      </w:r>
      <w:r w:rsidRPr="00B94856">
        <w:rPr>
          <w:rFonts w:ascii="Arial" w:hAnsi="Arial" w:cs="Arial"/>
        </w:rPr>
        <w:t xml:space="preserve"> food/nutrient </w:t>
      </w:r>
      <w:r w:rsidRPr="00CB6BA1">
        <w:rPr>
          <w:rFonts w:ascii="Arial" w:hAnsi="Arial" w:cs="Arial"/>
        </w:rPr>
        <w:t>was assessed as a function of total energy intake (g/4184 kJ</w:t>
      </w:r>
      <w:r>
        <w:rPr>
          <w:rFonts w:ascii="Arial" w:hAnsi="Arial" w:cs="Arial"/>
        </w:rPr>
        <w:t xml:space="preserve"> per </w:t>
      </w:r>
      <w:r w:rsidRPr="00CB6BA1">
        <w:rPr>
          <w:rFonts w:ascii="Arial" w:hAnsi="Arial" w:cs="Arial"/>
        </w:rPr>
        <w:t>d</w:t>
      </w:r>
      <w:r>
        <w:rPr>
          <w:rFonts w:ascii="Arial" w:hAnsi="Arial" w:cs="Arial"/>
        </w:rPr>
        <w:t>ay</w:t>
      </w:r>
      <w:r w:rsidRPr="00CB6BA1">
        <w:rPr>
          <w:rFonts w:ascii="Arial" w:hAnsi="Arial" w:cs="Arial"/>
        </w:rPr>
        <w:t xml:space="preserve"> (g/1000 kcal</w:t>
      </w:r>
      <w:r>
        <w:rPr>
          <w:rFonts w:ascii="Arial" w:hAnsi="Arial" w:cs="Arial"/>
        </w:rPr>
        <w:t xml:space="preserve"> per </w:t>
      </w:r>
      <w:r w:rsidRPr="00CB6BA1">
        <w:rPr>
          <w:rFonts w:ascii="Arial" w:hAnsi="Arial" w:cs="Arial"/>
        </w:rPr>
        <w:t>day))</w:t>
      </w:r>
      <w:r>
        <w:rPr>
          <w:rFonts w:ascii="Arial" w:hAnsi="Arial" w:cs="Arial"/>
        </w:rPr>
        <w:t xml:space="preserve"> </w:t>
      </w:r>
      <w:r w:rsidRPr="00CB6BA1">
        <w:rPr>
          <w:rFonts w:ascii="Arial" w:hAnsi="Arial" w:cs="Arial"/>
        </w:rPr>
        <w:fldChar w:fldCharType="begin"/>
      </w:r>
      <w:r w:rsidR="00611D72">
        <w:rPr>
          <w:rFonts w:ascii="Arial" w:hAnsi="Arial" w:cs="Arial"/>
        </w:rPr>
        <w:instrText xml:space="preserve"> ADDIN EN.CITE &lt;EndNote&gt;&lt;Cite&gt;&lt;Author&gt;Willett&lt;/Author&gt;&lt;Year&gt;1997&lt;/Year&gt;&lt;RecNum&gt;100&lt;/RecNum&gt;&lt;DisplayText&gt;(2)&lt;/DisplayText&gt;&lt;record&gt;&lt;rec-number&gt;100&lt;/rec-number&gt;&lt;foreign-keys&gt;&lt;key app="EN" db-id="pz5ft5z9qdr09oeertmvwape09wpt00d5xfz" timestamp="1600098242"&gt;100&lt;/key&gt;&lt;key app="ENWeb" db-id=""&gt;0&lt;/key&gt;&lt;/foreign-keys&gt;&lt;ref-type name="Journal Article"&gt;17&lt;/ref-type&gt;&lt;contributors&gt;&lt;authors&gt;&lt;author&gt;Willett, W&lt;/author&gt;&lt;author&gt;Howe, G&lt;/author&gt;&lt;author&gt;Kushi, L&lt;/author&gt;&lt;/authors&gt;&lt;/contributors&gt;&lt;titles&gt;&lt;title&gt;Adjustment for total energy intake in epidemiologic studie.&lt;/title&gt;&lt;secondary-title&gt;Am J Clin Nutr&lt;/secondary-title&gt;&lt;/titles&gt;&lt;periodical&gt;&lt;full-title&gt;Am J Clin Nutr&lt;/full-title&gt;&lt;/periodical&gt;&lt;pages&gt;S1220-S1228&lt;/pages&gt;&lt;volume&gt;65. &lt;/volume&gt;&lt;dates&gt;&lt;year&gt;1997&lt;/year&gt;&lt;/dates&gt;&lt;urls&gt;&lt;/urls&gt;&lt;/record&gt;&lt;/Cite&gt;&lt;/EndNote&gt;</w:instrText>
      </w:r>
      <w:r w:rsidRPr="00CB6BA1">
        <w:rPr>
          <w:rFonts w:ascii="Arial" w:hAnsi="Arial" w:cs="Arial"/>
        </w:rPr>
        <w:fldChar w:fldCharType="separate"/>
      </w:r>
      <w:r w:rsidR="00611D72">
        <w:rPr>
          <w:rFonts w:ascii="Arial" w:hAnsi="Arial" w:cs="Arial"/>
          <w:noProof/>
        </w:rPr>
        <w:t>(2)</w:t>
      </w:r>
      <w:r w:rsidRPr="00CB6BA1">
        <w:rPr>
          <w:rFonts w:ascii="Arial" w:hAnsi="Arial" w:cs="Arial"/>
        </w:rPr>
        <w:fldChar w:fldCharType="end"/>
      </w:r>
      <w:r w:rsidRPr="00CB6BA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</w:t>
      </w:r>
      <w:r w:rsidRPr="003B247D">
        <w:rPr>
          <w:rFonts w:ascii="Arial" w:hAnsi="Arial" w:cs="Arial"/>
        </w:rPr>
        <w:t xml:space="preserve"> </w:t>
      </w:r>
      <w:r w:rsidRPr="00CB6BA1">
        <w:rPr>
          <w:rFonts w:ascii="Arial" w:hAnsi="Arial" w:cs="Arial"/>
        </w:rPr>
        <w:t xml:space="preserve">intakes of each food/nutrient were divided into quintiles and </w:t>
      </w:r>
      <w:r>
        <w:rPr>
          <w:rFonts w:ascii="Arial" w:hAnsi="Arial" w:cs="Arial"/>
        </w:rPr>
        <w:t xml:space="preserve">each </w:t>
      </w:r>
      <w:r w:rsidRPr="00CB6BA1">
        <w:rPr>
          <w:rFonts w:ascii="Arial" w:hAnsi="Arial" w:cs="Arial"/>
        </w:rPr>
        <w:t>participant received a score of 1-5 depending on which quintile their intake fell into. For the healthy foods/nutrients, scores of 1-5 were assigned to quintiles 1-5 respectively (highest quintile of intake receiving highest points), while for the unhealthy foods/nutrients the scoring was reversed and scores of 5-1 were assigned to quintiles 1-5 (highest quintile of intake receiving lowest scores). The score obtained from each of the eight foods/nutrients were added</w:t>
      </w:r>
      <w:r>
        <w:rPr>
          <w:rFonts w:ascii="Arial" w:hAnsi="Arial" w:cs="Arial"/>
        </w:rPr>
        <w:t xml:space="preserve"> together</w:t>
      </w:r>
      <w:r w:rsidRPr="00CB6BA1">
        <w:rPr>
          <w:rFonts w:ascii="Arial" w:hAnsi="Arial" w:cs="Arial"/>
        </w:rPr>
        <w:t xml:space="preserve"> to create the D</w:t>
      </w:r>
      <w:r>
        <w:rPr>
          <w:rFonts w:ascii="Arial" w:hAnsi="Arial" w:cs="Arial"/>
        </w:rPr>
        <w:t>ASH diet score</w:t>
      </w:r>
      <w:r w:rsidRPr="00CB6BA1">
        <w:rPr>
          <w:rFonts w:ascii="Arial" w:hAnsi="Arial" w:cs="Arial"/>
        </w:rPr>
        <w:t xml:space="preserve"> for each child at each age, </w:t>
      </w:r>
      <w:r>
        <w:rPr>
          <w:rFonts w:ascii="Arial" w:hAnsi="Arial" w:cs="Arial"/>
        </w:rPr>
        <w:t>with a potential range of</w:t>
      </w:r>
      <w:r w:rsidRPr="00CB6BA1">
        <w:rPr>
          <w:rFonts w:ascii="Arial" w:hAnsi="Arial" w:cs="Arial"/>
        </w:rPr>
        <w:t xml:space="preserve"> 8-40</w:t>
      </w:r>
      <w:r>
        <w:rPr>
          <w:rFonts w:ascii="Arial" w:hAnsi="Arial" w:cs="Arial"/>
        </w:rPr>
        <w:t xml:space="preserve">. The DASH diet score was then standardised by converting it to z-scores. </w:t>
      </w:r>
      <w:bookmarkEnd w:id="0"/>
    </w:p>
    <w:p w14:paraId="60DD4066" w14:textId="77777777" w:rsidR="00BE3320" w:rsidRPr="003E47F8" w:rsidRDefault="00BE3320" w:rsidP="00BE3320">
      <w:p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Children’s Eatwell Guide Score (C-EWG</w:t>
      </w:r>
      <w:r w:rsidRPr="003E47F8">
        <w:rPr>
          <w:rFonts w:ascii="Arial" w:hAnsi="Arial" w:cs="Arial"/>
          <w:i/>
          <w:iCs/>
        </w:rPr>
        <w:t xml:space="preserve"> score</w:t>
      </w:r>
      <w:r>
        <w:rPr>
          <w:rFonts w:ascii="Arial" w:hAnsi="Arial" w:cs="Arial"/>
          <w:i/>
          <w:iCs/>
        </w:rPr>
        <w:t>)</w:t>
      </w:r>
    </w:p>
    <w:p w14:paraId="22FC722E" w14:textId="79FDED89" w:rsidR="00BE3320" w:rsidRPr="00567E7C" w:rsidRDefault="00BE3320" w:rsidP="00BE3320">
      <w:pPr>
        <w:spacing w:after="0" w:line="360" w:lineRule="auto"/>
        <w:jc w:val="both"/>
        <w:rPr>
          <w:rFonts w:ascii="Arial" w:hAnsi="Arial" w:cs="Arial"/>
        </w:rPr>
      </w:pPr>
      <w:r w:rsidRPr="003E47F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C-EWG</w:t>
      </w:r>
      <w:r w:rsidRPr="003E47F8">
        <w:rPr>
          <w:rFonts w:ascii="Arial" w:hAnsi="Arial" w:cs="Arial"/>
        </w:rPr>
        <w:t xml:space="preserve"> score</w:t>
      </w:r>
      <w:r>
        <w:rPr>
          <w:rFonts w:ascii="Arial" w:hAnsi="Arial" w:cs="Arial"/>
        </w:rPr>
        <w:t xml:space="preserve"> </w:t>
      </w:r>
      <w:r w:rsidRPr="00AE297C">
        <w:rPr>
          <w:rFonts w:ascii="Arial" w:hAnsi="Arial" w:cs="Arial"/>
        </w:rPr>
        <w:fldChar w:fldCharType="begin"/>
      </w:r>
      <w:r w:rsidR="00611D72">
        <w:rPr>
          <w:rFonts w:ascii="Arial" w:hAnsi="Arial" w:cs="Arial"/>
        </w:rPr>
        <w:instrText xml:space="preserve"> ADDIN EN.CITE &lt;EndNote&gt;&lt;Cite&gt;&lt;Author&gt;Buckland&lt;/Author&gt;&lt;Year&gt;2022&lt;/Year&gt;&lt;RecNum&gt;324&lt;/RecNum&gt;&lt;DisplayText&gt;(5)&lt;/DisplayText&gt;&lt;record&gt;&lt;rec-number&gt;324&lt;/rec-number&gt;&lt;foreign-keys&gt;&lt;key app="EN" db-id="pz5ft5z9qdr09oeertmvwape09wpt00d5xfz" timestamp="1660733780"&gt;324&lt;/key&gt;&lt;/foreign-keys&gt;&lt;ref-type name="Journal Article"&gt;17&lt;/ref-type&gt;&lt;contributors&gt;&lt;authors&gt;&lt;author&gt;Buckland, G&lt;/author&gt;&lt;author&gt;Northstone, K&lt;/author&gt;&lt;author&gt;Emmett, PE&lt;/author&gt;&lt;author&gt;Taylor, CM&lt;/author&gt;&lt;/authors&gt;&lt;/contributors&gt;&lt;titles&gt;&lt;title&gt;Adherence to UK dietary guidelines in school-aged children from the Avon Longitudinal Study of Parents and Children (ALSPAC) cohort.&lt;/title&gt;&lt;secondary-title&gt;BJN&lt;/secondary-title&gt;&lt;/titles&gt;&lt;periodical&gt;&lt;full-title&gt;BJN&lt;/full-title&gt;&lt;/periodical&gt;&lt;pages&gt;1-13&lt;/pages&gt;&lt;volume&gt;28&lt;/volume&gt;&lt;dates&gt;&lt;year&gt;2022&lt;/year&gt;&lt;/dates&gt;&lt;urls&gt;&lt;/urls&gt;&lt;/record&gt;&lt;/Cite&gt;&lt;/EndNote&gt;</w:instrText>
      </w:r>
      <w:r w:rsidRPr="00AE297C">
        <w:rPr>
          <w:rFonts w:ascii="Arial" w:hAnsi="Arial" w:cs="Arial"/>
        </w:rPr>
        <w:fldChar w:fldCharType="separate"/>
      </w:r>
      <w:r w:rsidR="00611D72">
        <w:rPr>
          <w:rFonts w:ascii="Arial" w:hAnsi="Arial" w:cs="Arial"/>
          <w:noProof/>
        </w:rPr>
        <w:t>(5)</w:t>
      </w:r>
      <w:r w:rsidRPr="00AE297C">
        <w:rPr>
          <w:rFonts w:ascii="Arial" w:hAnsi="Arial" w:cs="Arial"/>
        </w:rPr>
        <w:fldChar w:fldCharType="end"/>
      </w:r>
      <w:r w:rsidRPr="003E47F8">
        <w:rPr>
          <w:rFonts w:ascii="Arial" w:hAnsi="Arial" w:cs="Arial"/>
          <w:i/>
          <w:iCs/>
        </w:rPr>
        <w:t xml:space="preserve"> </w:t>
      </w:r>
      <w:r w:rsidRPr="003E47F8">
        <w:rPr>
          <w:rFonts w:ascii="Arial" w:hAnsi="Arial" w:cs="Arial"/>
        </w:rPr>
        <w:t xml:space="preserve">includes </w:t>
      </w:r>
      <w:r>
        <w:rPr>
          <w:rFonts w:ascii="Arial" w:hAnsi="Arial" w:cs="Arial"/>
        </w:rPr>
        <w:t>nine</w:t>
      </w:r>
      <w:r w:rsidRPr="003E47F8">
        <w:rPr>
          <w:rFonts w:ascii="Arial" w:hAnsi="Arial" w:cs="Arial"/>
        </w:rPr>
        <w:t xml:space="preserve"> foods/nutrients: total fat, saturated fat, free sugars, fibre, salt, fruit and vegetables, non-oily fish, oily fish and red/processed meat. </w:t>
      </w:r>
      <w:r>
        <w:rPr>
          <w:rFonts w:ascii="Arial" w:hAnsi="Arial" w:cs="Arial"/>
        </w:rPr>
        <w:t xml:space="preserve">The UK government dietary recommendations for these foods/nutrients are </w:t>
      </w:r>
      <w:r w:rsidRPr="000574B2">
        <w:rPr>
          <w:rFonts w:ascii="Arial" w:hAnsi="Arial" w:cs="Arial"/>
        </w:rPr>
        <w:t>outlined in the Health Security Agency 2016 Report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 w:rsidR="00611D72">
        <w:rPr>
          <w:rFonts w:ascii="Arial" w:hAnsi="Arial" w:cs="Arial"/>
        </w:rPr>
        <w:instrText xml:space="preserve"> ADDIN EN.CITE &lt;EndNote&gt;&lt;Cite&gt;&lt;RecNum&gt;84&lt;/RecNum&gt;&lt;DisplayText&gt;(6)&lt;/DisplayText&gt;&lt;record&gt;&lt;rec-number&gt;84&lt;/rec-number&gt;&lt;foreign-keys&gt;&lt;key app="EN" db-id="pz5ft5z9qdr09oeertmvwape09wpt00d5xfz" timestamp="1588186320"&gt;84&lt;/key&gt;&lt;/foreign-keys&gt;&lt;ref-type name="Web Page"&gt;12&lt;/ref-type&gt;&lt;contributors&gt;&lt;authors&gt;&lt;/authors&gt;&lt;/contributors&gt;&lt;titles&gt;&lt;title&gt;Public Health England: Nutrition Science Team (2016) Government Dietary Recommendations: Government recommendations for energy and nutrients for males and females aged 1-18 years and 19+ years.&lt;/title&gt;&lt;/titles&gt;&lt;number&gt;23.09.21&lt;/number&gt;&lt;dates&gt;&lt;/dates&gt;&lt;urls&gt;&lt;related-urls&gt;&lt;url&gt;https://assets.publishing.service.gov.uk/government/uploads/system/uploads/attachment_data/file/618167/government_dietary_recommendations.pdf&lt;/url&gt;&lt;/related-urls&gt;&lt;/urls&gt;&lt;/record&gt;&lt;/Cite&gt;&lt;/EndNote&gt;</w:instrText>
      </w:r>
      <w:r>
        <w:rPr>
          <w:rFonts w:ascii="Arial" w:hAnsi="Arial" w:cs="Arial"/>
        </w:rPr>
        <w:fldChar w:fldCharType="separate"/>
      </w:r>
      <w:r w:rsidR="00611D72">
        <w:rPr>
          <w:rFonts w:ascii="Arial" w:hAnsi="Arial" w:cs="Arial"/>
          <w:noProof/>
        </w:rPr>
        <w:t>(6)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and visually represented within the Eatwell Guide </w:t>
      </w:r>
      <w:r>
        <w:rPr>
          <w:rFonts w:ascii="Arial" w:hAnsi="Arial" w:cs="Arial"/>
        </w:rPr>
        <w:fldChar w:fldCharType="begin"/>
      </w:r>
      <w:r w:rsidR="00611D72">
        <w:rPr>
          <w:rFonts w:ascii="Arial" w:hAnsi="Arial" w:cs="Arial"/>
        </w:rPr>
        <w:instrText xml:space="preserve"> ADDIN EN.CITE &lt;EndNote&gt;&lt;Cite&gt;&lt;RecNum&gt;251&lt;/RecNum&gt;&lt;DisplayText&gt;(7)&lt;/DisplayText&gt;&lt;record&gt;&lt;rec-number&gt;251&lt;/rec-number&gt;&lt;foreign-keys&gt;&lt;key app="EN" db-id="pz5ft5z9qdr09oeertmvwape09wpt00d5xfz" timestamp="1632405609"&gt;251&lt;/key&gt;&lt;/foreign-keys&gt;&lt;ref-type name="Web Page"&gt;12&lt;/ref-type&gt;&lt;contributors&gt;&lt;/contributors&gt;&lt;titles&gt;&lt;title&gt;Public Health England (2018). The Eatwell Guide&lt;/title&gt;&lt;/titles&gt;&lt;number&gt;23.09.21&lt;/number&gt;&lt;dates&gt;&lt;/dates&gt;&lt;urls&gt;&lt;related-urls&gt;&lt;url&gt;https://www.gov.uk/government/publications/the-eatwell-guide&lt;/url&gt;&lt;/related-urls&gt;&lt;/urls&gt;&lt;/record&gt;&lt;/Cite&gt;&lt;/EndNote&gt;</w:instrText>
      </w:r>
      <w:r>
        <w:rPr>
          <w:rFonts w:ascii="Arial" w:hAnsi="Arial" w:cs="Arial"/>
        </w:rPr>
        <w:fldChar w:fldCharType="separate"/>
      </w:r>
      <w:r w:rsidR="00611D72">
        <w:rPr>
          <w:rFonts w:ascii="Arial" w:hAnsi="Arial" w:cs="Arial"/>
          <w:noProof/>
        </w:rPr>
        <w:t>(7)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. </w:t>
      </w:r>
      <w:r w:rsidRPr="003E47F8">
        <w:rPr>
          <w:rFonts w:ascii="Arial" w:hAnsi="Arial" w:cs="Arial"/>
        </w:rPr>
        <w:t>Each participant’s intake of the nine foods</w:t>
      </w:r>
      <w:r>
        <w:rPr>
          <w:rFonts w:ascii="Arial" w:hAnsi="Arial" w:cs="Arial"/>
        </w:rPr>
        <w:t>/</w:t>
      </w:r>
      <w:r w:rsidRPr="003E47F8">
        <w:rPr>
          <w:rFonts w:ascii="Arial" w:hAnsi="Arial" w:cs="Arial"/>
        </w:rPr>
        <w:t>nutrients was dichotomised into adhering to (1 point) or not adhering to (0 points) the dietary guidelines</w:t>
      </w:r>
      <w:r>
        <w:rPr>
          <w:rFonts w:ascii="Arial" w:hAnsi="Arial" w:cs="Arial"/>
        </w:rPr>
        <w:t>, which when necessary were adapted for the different ages of the children (7-13 years) by proportionally scaling down adult to child portion sizes.</w:t>
      </w:r>
      <w:r w:rsidRPr="003E47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points obtained from each food/nutrient were summed for each participant to give the</w:t>
      </w:r>
      <w:r w:rsidRPr="003E47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C-EWG</w:t>
      </w:r>
      <w:r w:rsidRPr="003E47F8">
        <w:rPr>
          <w:rFonts w:ascii="Arial" w:hAnsi="Arial" w:cs="Arial"/>
        </w:rPr>
        <w:t xml:space="preserve"> score</w:t>
      </w:r>
      <w:r>
        <w:rPr>
          <w:rFonts w:ascii="Arial" w:hAnsi="Arial" w:cs="Arial"/>
        </w:rPr>
        <w:t>, which could</w:t>
      </w:r>
      <w:r w:rsidRPr="003E47F8">
        <w:rPr>
          <w:rFonts w:ascii="Arial" w:hAnsi="Arial" w:cs="Arial"/>
        </w:rPr>
        <w:t xml:space="preserve"> range from 0 to 9 (none to all recommendations met).</w:t>
      </w:r>
      <w:r>
        <w:rPr>
          <w:rFonts w:ascii="Arial" w:hAnsi="Arial" w:cs="Arial"/>
        </w:rPr>
        <w:t xml:space="preserve"> The full details of the construction of the C-EWG score have been published previously </w:t>
      </w:r>
      <w:r>
        <w:rPr>
          <w:rFonts w:ascii="Arial" w:hAnsi="Arial" w:cs="Arial"/>
        </w:rPr>
        <w:fldChar w:fldCharType="begin"/>
      </w:r>
      <w:r w:rsidR="00611D72">
        <w:rPr>
          <w:rFonts w:ascii="Arial" w:hAnsi="Arial" w:cs="Arial"/>
        </w:rPr>
        <w:instrText xml:space="preserve"> ADDIN EN.CITE &lt;EndNote&gt;&lt;Cite&gt;&lt;Author&gt;Buckland&lt;/Author&gt;&lt;Year&gt;2023&lt;/Year&gt;&lt;RecNum&gt;401&lt;/RecNum&gt;&lt;DisplayText&gt;(8)&lt;/DisplayText&gt;&lt;record&gt;&lt;rec-number&gt;401&lt;/rec-number&gt;&lt;foreign-keys&gt;&lt;key app="EN" db-id="pz5ft5z9qdr09oeertmvwape09wpt00d5xfz" timestamp="1681727621"&gt;401&lt;/key&gt;&lt;key app="ENWeb" db-id=""&gt;0&lt;/key&gt;&lt;/foreign-keys&gt;&lt;ref-type name="Journal Article"&gt;17&lt;/ref-type&gt;&lt;contributors&gt;&lt;authors&gt;&lt;author&gt;Buckland, Genevieve&lt;/author&gt;&lt;author&gt;Taylor, Caroline M.&lt;/author&gt;&lt;author&gt;Emmett, Pauline M.&lt;/author&gt;&lt;author&gt;Northstone, Kate&lt;/author&gt;&lt;/authors&gt;&lt;/contributors&gt;&lt;titles&gt;&lt;title&gt;Prospective association between adherence to UK dietary guidelines in school-age children and cardiometabolic risk markers in adolescence/early adulthood in the Avon Longitudinal Study of Parents and Children (ALSPAC) cohort&lt;/title&gt;&lt;secondary-title&gt;British Journal of Nutrition&lt;/secondary-title&gt;&lt;/titles&gt;&lt;periodical&gt;&lt;full-title&gt;British Journal of Nutrition&lt;/full-title&gt;&lt;/periodical&gt;&lt;pages&gt;1-13&lt;/pages&gt;&lt;section&gt;1&lt;/section&gt;&lt;dates&gt;&lt;year&gt;2023&lt;/year&gt;&lt;/dates&gt;&lt;isbn&gt;0007-1145&amp;#xD;1475-2662&lt;/isbn&gt;&lt;urls&gt;&lt;/urls&gt;&lt;electronic-resource-num&gt;10.1017/s0007114523000685&lt;/electronic-resource-num&gt;&lt;/record&gt;&lt;/Cite&gt;&lt;/EndNote&gt;</w:instrText>
      </w:r>
      <w:r>
        <w:rPr>
          <w:rFonts w:ascii="Arial" w:hAnsi="Arial" w:cs="Arial"/>
        </w:rPr>
        <w:fldChar w:fldCharType="separate"/>
      </w:r>
      <w:r w:rsidR="00611D72">
        <w:rPr>
          <w:rFonts w:ascii="Arial" w:hAnsi="Arial" w:cs="Arial"/>
          <w:noProof/>
        </w:rPr>
        <w:t>(8)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 The UK dietary recommendations (</w:t>
      </w:r>
      <w:r w:rsidRPr="0044299A">
        <w:rPr>
          <w:rFonts w:ascii="Arial" w:hAnsi="Arial" w:cs="Arial"/>
        </w:rPr>
        <w:t xml:space="preserve">minimum intakes or constraints) for each of </w:t>
      </w:r>
      <w:r>
        <w:rPr>
          <w:rFonts w:ascii="Arial" w:hAnsi="Arial" w:cs="Arial"/>
        </w:rPr>
        <w:t>the C-EWG</w:t>
      </w:r>
      <w:r w:rsidRPr="0044299A">
        <w:rPr>
          <w:rFonts w:ascii="Arial" w:hAnsi="Arial" w:cs="Arial"/>
        </w:rPr>
        <w:t xml:space="preserve"> foods and nutrients at the corresponding ages</w:t>
      </w:r>
      <w:r w:rsidRPr="00495D30">
        <w:rPr>
          <w:rFonts w:ascii="Arial" w:hAnsi="Arial" w:cs="Arial"/>
        </w:rPr>
        <w:t xml:space="preserve"> of the participants</w:t>
      </w:r>
      <w:r>
        <w:rPr>
          <w:rFonts w:ascii="Arial" w:hAnsi="Arial" w:cs="Arial"/>
        </w:rPr>
        <w:t xml:space="preserve"> are detailed in Supplementary Table 1. The C-EWG scores were standardised by converting them to z-scores.</w:t>
      </w:r>
    </w:p>
    <w:p w14:paraId="49B5227B" w14:textId="77777777" w:rsidR="00BE3320" w:rsidRPr="000574B2" w:rsidRDefault="00BE3320" w:rsidP="00BE3320">
      <w:pPr>
        <w:spacing w:after="0" w:line="360" w:lineRule="auto"/>
        <w:rPr>
          <w:rFonts w:ascii="Arial" w:hAnsi="Arial" w:cs="Arial"/>
          <w:i/>
          <w:iCs/>
        </w:rPr>
      </w:pPr>
    </w:p>
    <w:p w14:paraId="44F8A55F" w14:textId="77777777" w:rsidR="00BE3320" w:rsidRPr="00B5085D" w:rsidRDefault="00BE3320" w:rsidP="00BE3320">
      <w:pPr>
        <w:spacing w:after="0" w:line="360" w:lineRule="auto"/>
        <w:jc w:val="both"/>
        <w:rPr>
          <w:rFonts w:ascii="Arial" w:hAnsi="Arial"/>
          <w:i/>
          <w:lang w:val="de-DE"/>
        </w:rPr>
      </w:pPr>
      <w:r w:rsidRPr="00B5085D">
        <w:rPr>
          <w:rFonts w:ascii="Arial" w:hAnsi="Arial"/>
          <w:i/>
          <w:lang w:val="de-DE"/>
        </w:rPr>
        <w:t>Obesogenic Dietary Pattern</w:t>
      </w:r>
      <w:r w:rsidRPr="00B5085D">
        <w:rPr>
          <w:rFonts w:ascii="Arial" w:hAnsi="Arial"/>
          <w:i/>
        </w:rPr>
        <w:t xml:space="preserve"> </w:t>
      </w:r>
      <w:r>
        <w:rPr>
          <w:rFonts w:ascii="Arial" w:hAnsi="Arial" w:cs="Arial"/>
          <w:i/>
          <w:iCs/>
        </w:rPr>
        <w:t>Score</w:t>
      </w:r>
      <w:r w:rsidRPr="007D47DA">
        <w:rPr>
          <w:rFonts w:ascii="Arial" w:hAnsi="Arial" w:cs="Arial"/>
          <w:i/>
          <w:iCs/>
        </w:rPr>
        <w:t xml:space="preserve"> </w:t>
      </w:r>
      <w:r w:rsidRPr="00B5085D">
        <w:rPr>
          <w:rFonts w:ascii="Arial" w:hAnsi="Arial"/>
          <w:i/>
          <w:lang w:val="de-DE"/>
        </w:rPr>
        <w:t>(Obesogenic-DP)</w:t>
      </w:r>
    </w:p>
    <w:p w14:paraId="11ECFB71" w14:textId="5E861694" w:rsidR="00BE3320" w:rsidRDefault="00BE3320" w:rsidP="00BE3320">
      <w:pPr>
        <w:spacing w:line="360" w:lineRule="auto"/>
        <w:jc w:val="both"/>
        <w:rPr>
          <w:rFonts w:ascii="Arial" w:hAnsi="Arial" w:cs="Arial"/>
        </w:rPr>
      </w:pPr>
      <w:r w:rsidRPr="007D47D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Obesogenic-DP</w:t>
      </w:r>
      <w:r w:rsidRPr="007D47DA">
        <w:rPr>
          <w:rFonts w:ascii="Arial" w:hAnsi="Arial" w:cs="Arial"/>
        </w:rPr>
        <w:t xml:space="preserve"> used in this analysis was previously identified </w:t>
      </w:r>
      <w:r>
        <w:rPr>
          <w:rFonts w:ascii="Arial" w:hAnsi="Arial" w:cs="Arial"/>
        </w:rPr>
        <w:t xml:space="preserve">using reduced rank regression (RRR) </w:t>
      </w:r>
      <w:r w:rsidRPr="00731731">
        <w:rPr>
          <w:rFonts w:ascii="Arial" w:hAnsi="Arial" w:cs="Arial"/>
        </w:rPr>
        <w:t xml:space="preserve">in ALSPAC children at 7, 10 and 13 years </w:t>
      </w:r>
      <w:r>
        <w:rPr>
          <w:rFonts w:ascii="Arial" w:hAnsi="Arial" w:cs="Arial"/>
        </w:rPr>
        <w:t>of age</w:t>
      </w:r>
      <w:r w:rsidRPr="00731731">
        <w:rPr>
          <w:rFonts w:ascii="Arial" w:hAnsi="Arial" w:cs="Arial"/>
        </w:rPr>
        <w:t xml:space="preserve"> </w:t>
      </w:r>
      <w:r w:rsidRPr="007D47DA">
        <w:rPr>
          <w:rFonts w:ascii="Arial" w:hAnsi="Arial" w:cs="Arial"/>
        </w:rPr>
        <w:t xml:space="preserve">by analysing which food groups </w:t>
      </w:r>
      <w:r>
        <w:rPr>
          <w:rFonts w:ascii="Arial" w:hAnsi="Arial" w:cs="Arial"/>
        </w:rPr>
        <w:t xml:space="preserve">within their diet </w:t>
      </w:r>
      <w:r w:rsidRPr="00731731">
        <w:rPr>
          <w:rFonts w:ascii="Arial" w:hAnsi="Arial" w:cs="Arial"/>
        </w:rPr>
        <w:t>explained the maximum variation in a set of four response variables hypothesi</w:t>
      </w:r>
      <w:r>
        <w:rPr>
          <w:rFonts w:ascii="Arial" w:hAnsi="Arial" w:cs="Arial"/>
        </w:rPr>
        <w:t>s</w:t>
      </w:r>
      <w:r w:rsidRPr="00731731">
        <w:rPr>
          <w:rFonts w:ascii="Arial" w:hAnsi="Arial" w:cs="Arial"/>
        </w:rPr>
        <w:t xml:space="preserve">ed to be on the pathway between food consumption and obesity </w:t>
      </w:r>
      <w:r w:rsidRPr="00731731">
        <w:rPr>
          <w:rFonts w:ascii="Arial" w:hAnsi="Arial" w:cs="Arial"/>
        </w:rPr>
        <w:fldChar w:fldCharType="begin"/>
      </w:r>
      <w:r w:rsidR="00611D72">
        <w:rPr>
          <w:rFonts w:ascii="Arial" w:hAnsi="Arial" w:cs="Arial"/>
        </w:rPr>
        <w:instrText xml:space="preserve"> ADDIN EN.CITE &lt;EndNote&gt;&lt;Cite&gt;&lt;Author&gt;Ambrosini&lt;/Author&gt;&lt;Year&gt;2015&lt;/Year&gt;&lt;RecNum&gt;0&lt;/RecNum&gt;&lt;IDText&gt;Free Sugars and Total Fat Are Important Characteristics of a Dietary Pattern Associated with Adiposity across Childhood and Adolescence&lt;/IDText&gt;&lt;DisplayText&gt;(9)&lt;/DisplayText&gt;&lt;record&gt;&lt;keywords&gt;&lt;keyword&gt;ALSPAC&lt;/keyword&gt;&lt;keyword&gt;adiposity&lt;/keyword&gt;&lt;keyword&gt;adolescents&lt;/keyword&gt;&lt;keyword&gt;children&lt;/keyword&gt;&lt;keyword&gt;diet&lt;/keyword&gt;&lt;keyword&gt;dietary patterns&lt;/keyword&gt;&lt;keyword&gt;energy density&lt;/keyword&gt;&lt;keyword&gt;fat&lt;/keyword&gt;&lt;keyword&gt;obesity&lt;/keyword&gt;&lt;keyword&gt;sugar&lt;/keyword&gt;&lt;/keywords&gt;&lt;urls&gt;&lt;related-urls&gt;&lt;url&gt;https://pubmed.ncbi.nlm.nih.gov/26962182&lt;/url&gt;&lt;url&gt;https://www.ncbi.nlm.nih.gov/pmc/articles/PMC4807647/&lt;/url&gt;&lt;/related-urls&gt;&lt;/urls&gt;&lt;isbn&gt;1541-6100&amp;#xD;0022-3166&lt;/isbn&gt;&lt;titles&gt;&lt;title&gt;Free Sugars and Total Fat Are Important Characteristics of a Dietary Pattern Associated with Adiposity across Childhood and Adolescence&lt;/title&gt;&lt;secondary-title&gt;The Journal of nutrition&lt;/secondary-title&gt;&lt;alt-title&gt;J Nutr&lt;/alt-title&gt;&lt;/titles&gt;&lt;pages&gt;778-784&lt;/pages&gt;&lt;number&gt;4&lt;/number&gt;&lt;contributors&gt;&lt;authors&gt;&lt;author&gt;Ambrosini, Gina L.&lt;/author&gt;&lt;author&gt;Johns, David J.&lt;/author&gt;&lt;author&gt;Northstone, Kate&lt;/author&gt;&lt;author&gt;Emmett, Pauline M.&lt;/author&gt;&lt;author&gt;Jebb, Susan A.&lt;/author&gt;&lt;/authors&gt;&lt;/contributors&gt;&lt;language&gt;eng&lt;/language&gt;&lt;added-date format="utc"&gt;1631915992&lt;/added-date&gt;&lt;ref-type name="Journal Article"&gt;17&lt;/ref-type&gt;&lt;dates&gt;&lt;year&gt;2015&lt;/year&gt;&lt;/dates&gt;&lt;rec-number&gt;15&lt;/rec-number&gt;&lt;publisher&gt;American Society for Nutrition&lt;/publisher&gt;&lt;last-updated-date format="utc"&gt;1631915992&lt;/last-updated-date&gt;&lt;accession-num&gt;26962182&lt;/accession-num&gt;&lt;electronic-resource-num&gt;10.3945/jn.115.224659&lt;/electronic-resource-num&gt;&lt;volume&gt;146&lt;/volume&gt;&lt;remote-database-name&gt;PubMed&lt;/remote-database-name&gt;&lt;/record&gt;&lt;/Cite&gt;&lt;/EndNote&gt;</w:instrText>
      </w:r>
      <w:r w:rsidRPr="00731731">
        <w:rPr>
          <w:rFonts w:ascii="Arial" w:hAnsi="Arial" w:cs="Arial"/>
        </w:rPr>
        <w:fldChar w:fldCharType="separate"/>
      </w:r>
      <w:r w:rsidR="00611D72">
        <w:rPr>
          <w:rFonts w:ascii="Arial" w:hAnsi="Arial" w:cs="Arial"/>
          <w:noProof/>
        </w:rPr>
        <w:t>(9)</w:t>
      </w:r>
      <w:r w:rsidRPr="00731731">
        <w:rPr>
          <w:rFonts w:ascii="Arial" w:hAnsi="Arial" w:cs="Arial"/>
        </w:rPr>
        <w:fldChar w:fldCharType="end"/>
      </w:r>
      <w:r w:rsidRPr="00731731">
        <w:rPr>
          <w:rFonts w:ascii="Arial" w:hAnsi="Arial" w:cs="Arial"/>
        </w:rPr>
        <w:t>. The response variables included energy density (kJ of total food energy</w:t>
      </w:r>
      <w:r>
        <w:rPr>
          <w:rFonts w:ascii="Arial" w:hAnsi="Arial" w:cs="Arial"/>
        </w:rPr>
        <w:t xml:space="preserve"> /</w:t>
      </w:r>
      <w:r w:rsidRPr="00731731">
        <w:rPr>
          <w:rFonts w:ascii="Arial" w:hAnsi="Arial" w:cs="Arial"/>
        </w:rPr>
        <w:t xml:space="preserve"> total food weight</w:t>
      </w:r>
      <w:r>
        <w:rPr>
          <w:rFonts w:ascii="Arial" w:hAnsi="Arial" w:cs="Arial"/>
        </w:rPr>
        <w:t xml:space="preserve"> (g)</w:t>
      </w:r>
      <w:r w:rsidRPr="00731731">
        <w:rPr>
          <w:rFonts w:ascii="Arial" w:hAnsi="Arial" w:cs="Arial"/>
        </w:rPr>
        <w:t>), percentage energy from fat, percentage energy from free sugar</w:t>
      </w:r>
      <w:r>
        <w:rPr>
          <w:rFonts w:ascii="Arial" w:hAnsi="Arial" w:cs="Arial"/>
        </w:rPr>
        <w:t>s</w:t>
      </w:r>
      <w:r w:rsidRPr="00731731">
        <w:rPr>
          <w:rFonts w:ascii="Arial" w:hAnsi="Arial" w:cs="Arial"/>
        </w:rPr>
        <w:t xml:space="preserve">, and dietary fibre (non-starch </w:t>
      </w:r>
      <w:r w:rsidRPr="00731731">
        <w:rPr>
          <w:rFonts w:ascii="Arial" w:hAnsi="Arial" w:cs="Arial"/>
        </w:rPr>
        <w:lastRenderedPageBreak/>
        <w:t>polysaccharide) density</w:t>
      </w:r>
      <w:r>
        <w:rPr>
          <w:rFonts w:ascii="Arial" w:hAnsi="Arial" w:cs="Arial"/>
        </w:rPr>
        <w:t xml:space="preserve"> (g/kJ)</w:t>
      </w:r>
      <w:r w:rsidRPr="00731731">
        <w:rPr>
          <w:rFonts w:ascii="Arial" w:hAnsi="Arial" w:cs="Arial"/>
        </w:rPr>
        <w:t>. The RRR analysis consider</w:t>
      </w:r>
      <w:r>
        <w:rPr>
          <w:rFonts w:ascii="Arial" w:hAnsi="Arial" w:cs="Arial"/>
        </w:rPr>
        <w:t>ed</w:t>
      </w:r>
      <w:r w:rsidRPr="00731731">
        <w:rPr>
          <w:rFonts w:ascii="Arial" w:hAnsi="Arial" w:cs="Arial"/>
        </w:rPr>
        <w:t xml:space="preserve"> 46 food groups as predictor variables </w:t>
      </w:r>
      <w:r>
        <w:rPr>
          <w:rFonts w:ascii="Arial" w:hAnsi="Arial" w:cs="Arial"/>
        </w:rPr>
        <w:t>with</w:t>
      </w:r>
      <w:r w:rsidRPr="00731731">
        <w:rPr>
          <w:rFonts w:ascii="Arial" w:hAnsi="Arial" w:cs="Arial"/>
        </w:rPr>
        <w:t>in the model</w:t>
      </w:r>
      <w:r>
        <w:rPr>
          <w:rFonts w:ascii="Arial" w:hAnsi="Arial" w:cs="Arial"/>
        </w:rPr>
        <w:t xml:space="preserve"> and </w:t>
      </w:r>
      <w:r w:rsidRPr="00A444BD">
        <w:rPr>
          <w:rFonts w:ascii="Arial" w:hAnsi="Arial" w:cs="Arial"/>
        </w:rPr>
        <w:t>produce</w:t>
      </w:r>
      <w:r>
        <w:rPr>
          <w:rFonts w:ascii="Arial" w:hAnsi="Arial" w:cs="Arial"/>
        </w:rPr>
        <w:t>d</w:t>
      </w:r>
      <w:r w:rsidRPr="00A444BD">
        <w:rPr>
          <w:rFonts w:ascii="Arial" w:hAnsi="Arial" w:cs="Arial"/>
        </w:rPr>
        <w:t> factor loadings for each of these food groups, which quantif</w:t>
      </w:r>
      <w:r>
        <w:rPr>
          <w:rFonts w:ascii="Arial" w:hAnsi="Arial" w:cs="Arial"/>
        </w:rPr>
        <w:t>ied</w:t>
      </w:r>
      <w:r w:rsidRPr="00A444BD">
        <w:rPr>
          <w:rFonts w:ascii="Arial" w:hAnsi="Arial" w:cs="Arial"/>
        </w:rPr>
        <w:t xml:space="preserve"> the extent to which they increased (positive values) or decreased (negative values) the energy density, </w:t>
      </w:r>
      <w:r>
        <w:rPr>
          <w:rFonts w:ascii="Arial" w:hAnsi="Arial" w:cs="Arial"/>
        </w:rPr>
        <w:t xml:space="preserve">free </w:t>
      </w:r>
      <w:r w:rsidRPr="00A444BD">
        <w:rPr>
          <w:rFonts w:ascii="Arial" w:hAnsi="Arial" w:cs="Arial"/>
        </w:rPr>
        <w:t>sugar</w:t>
      </w:r>
      <w:r>
        <w:rPr>
          <w:rFonts w:ascii="Arial" w:hAnsi="Arial" w:cs="Arial"/>
        </w:rPr>
        <w:t>s</w:t>
      </w:r>
      <w:r w:rsidRPr="00A444BD">
        <w:rPr>
          <w:rFonts w:ascii="Arial" w:hAnsi="Arial" w:cs="Arial"/>
        </w:rPr>
        <w:t xml:space="preserve">, fat or fibre content of the diet. The final </w:t>
      </w:r>
      <w:r>
        <w:rPr>
          <w:rFonts w:ascii="Arial" w:hAnsi="Arial" w:cs="Arial"/>
        </w:rPr>
        <w:t xml:space="preserve">Obesogenic-DP </w:t>
      </w:r>
      <w:r w:rsidRPr="00A444BD">
        <w:rPr>
          <w:rFonts w:ascii="Arial" w:hAnsi="Arial" w:cs="Arial"/>
        </w:rPr>
        <w:t>z-score result</w:t>
      </w:r>
      <w:r>
        <w:rPr>
          <w:rFonts w:ascii="Arial" w:hAnsi="Arial" w:cs="Arial"/>
        </w:rPr>
        <w:t>ed</w:t>
      </w:r>
      <w:r w:rsidRPr="00A444BD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the</w:t>
      </w:r>
      <w:r w:rsidRPr="00A444BD">
        <w:rPr>
          <w:rFonts w:ascii="Arial" w:hAnsi="Arial" w:cs="Arial"/>
        </w:rPr>
        <w:t xml:space="preserve"> combination of food groups that explain</w:t>
      </w:r>
      <w:r>
        <w:rPr>
          <w:rFonts w:ascii="Arial" w:hAnsi="Arial" w:cs="Arial"/>
        </w:rPr>
        <w:t>ed</w:t>
      </w:r>
      <w:r w:rsidRPr="00A444BD">
        <w:rPr>
          <w:rFonts w:ascii="Arial" w:hAnsi="Arial" w:cs="Arial"/>
        </w:rPr>
        <w:t xml:space="preserve"> the maximum amount of shared variation in these response variables. A </w:t>
      </w:r>
      <w:r>
        <w:rPr>
          <w:rFonts w:ascii="Arial" w:hAnsi="Arial" w:cs="Arial"/>
        </w:rPr>
        <w:t>higher</w:t>
      </w:r>
      <w:r w:rsidRPr="00A44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Obesogenic-DP</w:t>
      </w:r>
      <w:r w:rsidRPr="00A444BD">
        <w:rPr>
          <w:rFonts w:ascii="Arial" w:hAnsi="Arial" w:cs="Arial"/>
        </w:rPr>
        <w:t xml:space="preserve"> z-score reflect</w:t>
      </w:r>
      <w:r>
        <w:rPr>
          <w:rFonts w:ascii="Arial" w:hAnsi="Arial" w:cs="Arial"/>
        </w:rPr>
        <w:t xml:space="preserve">ed a diet </w:t>
      </w:r>
      <w:r w:rsidRPr="00A444BD">
        <w:rPr>
          <w:rFonts w:ascii="Arial" w:hAnsi="Arial" w:cs="Arial"/>
        </w:rPr>
        <w:t xml:space="preserve">higher intakes of </w:t>
      </w:r>
      <w:r>
        <w:rPr>
          <w:rFonts w:ascii="Arial" w:hAnsi="Arial" w:cs="Arial"/>
        </w:rPr>
        <w:t xml:space="preserve">free </w:t>
      </w:r>
      <w:r w:rsidRPr="00A444BD">
        <w:rPr>
          <w:rFonts w:ascii="Arial" w:hAnsi="Arial" w:cs="Arial"/>
        </w:rPr>
        <w:t>sugar</w:t>
      </w:r>
      <w:r>
        <w:rPr>
          <w:rFonts w:ascii="Arial" w:hAnsi="Arial" w:cs="Arial"/>
        </w:rPr>
        <w:t>s</w:t>
      </w:r>
      <w:r w:rsidRPr="00A444BD">
        <w:rPr>
          <w:rFonts w:ascii="Arial" w:hAnsi="Arial" w:cs="Arial"/>
        </w:rPr>
        <w:t xml:space="preserve">, fat and energy density and lower intakes of fibre </w:t>
      </w:r>
      <w:r w:rsidRPr="00A444BD">
        <w:rPr>
          <w:rFonts w:ascii="Arial" w:hAnsi="Arial" w:cs="Arial"/>
        </w:rPr>
        <w:fldChar w:fldCharType="begin"/>
      </w:r>
      <w:r w:rsidR="00611D72">
        <w:rPr>
          <w:rFonts w:ascii="Arial" w:hAnsi="Arial" w:cs="Arial"/>
        </w:rPr>
        <w:instrText xml:space="preserve"> ADDIN EN.CITE &lt;EndNote&gt;&lt;Cite&gt;&lt;Author&gt;Ambrosini&lt;/Author&gt;&lt;Year&gt;2015&lt;/Year&gt;&lt;RecNum&gt;0&lt;/RecNum&gt;&lt;IDText&gt;Free Sugars and Total Fat Are Important Characteristics of a Dietary Pattern Associated with Adiposity across Childhood and Adolescence&lt;/IDText&gt;&lt;DisplayText&gt;(9)&lt;/DisplayText&gt;&lt;record&gt;&lt;keywords&gt;&lt;keyword&gt;ALSPAC&lt;/keyword&gt;&lt;keyword&gt;adiposity&lt;/keyword&gt;&lt;keyword&gt;adolescents&lt;/keyword&gt;&lt;keyword&gt;children&lt;/keyword&gt;&lt;keyword&gt;diet&lt;/keyword&gt;&lt;keyword&gt;dietary patterns&lt;/keyword&gt;&lt;keyword&gt;energy density&lt;/keyword&gt;&lt;keyword&gt;fat&lt;/keyword&gt;&lt;keyword&gt;obesity&lt;/keyword&gt;&lt;keyword&gt;sugar&lt;/keyword&gt;&lt;/keywords&gt;&lt;urls&gt;&lt;related-urls&gt;&lt;url&gt;https://pubmed.ncbi.nlm.nih.gov/26962182&lt;/url&gt;&lt;url&gt;https://www.ncbi.nlm.nih.gov/pmc/articles/PMC4807647/&lt;/url&gt;&lt;/related-urls&gt;&lt;/urls&gt;&lt;isbn&gt;1541-6100&amp;#xD;0022-3166&lt;/isbn&gt;&lt;titles&gt;&lt;title&gt;Free Sugars and Total Fat Are Important Characteristics of a Dietary Pattern Associated with Adiposity across Childhood and Adolescence&lt;/title&gt;&lt;secondary-title&gt;The Journal of nutrition&lt;/secondary-title&gt;&lt;alt-title&gt;J Nutr&lt;/alt-title&gt;&lt;/titles&gt;&lt;pages&gt;778-784&lt;/pages&gt;&lt;number&gt;4&lt;/number&gt;&lt;contributors&gt;&lt;authors&gt;&lt;author&gt;Ambrosini, Gina L.&lt;/author&gt;&lt;author&gt;Johns, David J.&lt;/author&gt;&lt;author&gt;Northstone, Kate&lt;/author&gt;&lt;author&gt;Emmett, Pauline M.&lt;/author&gt;&lt;author&gt;Jebb, Susan A.&lt;/author&gt;&lt;/authors&gt;&lt;/contributors&gt;&lt;language&gt;eng&lt;/language&gt;&lt;added-date format="utc"&gt;1631915992&lt;/added-date&gt;&lt;ref-type name="Journal Article"&gt;17&lt;/ref-type&gt;&lt;dates&gt;&lt;year&gt;2015&lt;/year&gt;&lt;/dates&gt;&lt;rec-number&gt;15&lt;/rec-number&gt;&lt;publisher&gt;American Society for Nutrition&lt;/publisher&gt;&lt;last-updated-date format="utc"&gt;1631915992&lt;/last-updated-date&gt;&lt;accession-num&gt;26962182&lt;/accession-num&gt;&lt;electronic-resource-num&gt;10.3945/jn.115.224659&lt;/electronic-resource-num&gt;&lt;volume&gt;146&lt;/volume&gt;&lt;remote-database-name&gt;PubMed&lt;/remote-database-name&gt;&lt;/record&gt;&lt;/Cite&gt;&lt;/EndNote&gt;</w:instrText>
      </w:r>
      <w:r w:rsidRPr="00A444BD">
        <w:rPr>
          <w:rFonts w:ascii="Arial" w:hAnsi="Arial" w:cs="Arial"/>
        </w:rPr>
        <w:fldChar w:fldCharType="separate"/>
      </w:r>
      <w:r w:rsidR="00611D72">
        <w:rPr>
          <w:rFonts w:ascii="Arial" w:hAnsi="Arial" w:cs="Arial"/>
          <w:noProof/>
        </w:rPr>
        <w:t>(9)</w:t>
      </w:r>
      <w:r w:rsidRPr="00A444BD">
        <w:rPr>
          <w:rFonts w:ascii="Arial" w:hAnsi="Arial" w:cs="Arial"/>
        </w:rPr>
        <w:fldChar w:fldCharType="end"/>
      </w:r>
      <w:r w:rsidRPr="00A444BD">
        <w:rPr>
          <w:rFonts w:ascii="Arial" w:hAnsi="Arial" w:cs="Arial"/>
        </w:rPr>
        <w:t xml:space="preserve">. </w:t>
      </w:r>
    </w:p>
    <w:p w14:paraId="704B9A7D" w14:textId="4907B7EA" w:rsidR="00F149BF" w:rsidRPr="00611D72" w:rsidRDefault="00611D72" w:rsidP="00567D19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611D72">
        <w:rPr>
          <w:rFonts w:ascii="Arial" w:hAnsi="Arial" w:cs="Arial"/>
          <w:b/>
          <w:bCs/>
        </w:rPr>
        <w:t>References</w:t>
      </w:r>
    </w:p>
    <w:p w14:paraId="0BC085B4" w14:textId="77777777" w:rsidR="00F149BF" w:rsidRDefault="00F149BF" w:rsidP="00567D19">
      <w:pPr>
        <w:spacing w:before="120" w:after="0" w:line="240" w:lineRule="auto"/>
        <w:jc w:val="both"/>
        <w:rPr>
          <w:rFonts w:ascii="Arial" w:hAnsi="Arial" w:cs="Arial"/>
        </w:rPr>
      </w:pPr>
    </w:p>
    <w:p w14:paraId="67CCF6F1" w14:textId="77777777" w:rsidR="00304A8B" w:rsidRPr="00611D72" w:rsidRDefault="00304A8B" w:rsidP="00304A8B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611D72">
        <w:t>1.</w:t>
      </w:r>
      <w:r w:rsidRPr="00611D72">
        <w:tab/>
        <w:t>Buckland G, Taylor CM, Emmett PM, Johnson L, Northstone K. Prospective association between a Mediterranean-style dietary score in childhood and cardiometabolic risk in young adults from the ALSPAC birth cohort. Eur J Nutr. 2022;61(2):737-52. doi:10.1007/s00394-021-02652-7</w:t>
      </w:r>
    </w:p>
    <w:p w14:paraId="3D2A62CD" w14:textId="77777777" w:rsidR="00304A8B" w:rsidRPr="00611D72" w:rsidRDefault="00304A8B" w:rsidP="00304A8B">
      <w:pPr>
        <w:pStyle w:val="EndNoteBibliography"/>
        <w:spacing w:after="0"/>
      </w:pPr>
      <w:r w:rsidRPr="00611D72">
        <w:t>2.</w:t>
      </w:r>
      <w:r w:rsidRPr="00611D72">
        <w:tab/>
        <w:t xml:space="preserve">Willett W, Howe G, Kushi L. Adjustment for total energy intake in epidemiologic studie. Am J Clin Nutr. 1997;65. :S1220-S8. </w:t>
      </w:r>
    </w:p>
    <w:p w14:paraId="1E1D37DA" w14:textId="77777777" w:rsidR="00304A8B" w:rsidRPr="00611D72" w:rsidRDefault="00304A8B" w:rsidP="00304A8B">
      <w:pPr>
        <w:pStyle w:val="EndNoteBibliography"/>
        <w:spacing w:after="0"/>
      </w:pPr>
      <w:r w:rsidRPr="00611D72">
        <w:t>3.</w:t>
      </w:r>
      <w:r w:rsidRPr="00611D72">
        <w:tab/>
        <w:t>Shivappa N, Steck SE, Hurley TG, Hussey JR, Hebert JR. Designing and developing a literature-derived, population-based dietary inflammatory index. Public Health Nutr. 2014;17(8):1689-96. doi:10.1017/S1368980013002115</w:t>
      </w:r>
    </w:p>
    <w:p w14:paraId="61F476D1" w14:textId="77777777" w:rsidR="00304A8B" w:rsidRPr="00611D72" w:rsidRDefault="00304A8B" w:rsidP="00304A8B">
      <w:pPr>
        <w:pStyle w:val="EndNoteBibliography"/>
        <w:spacing w:after="0"/>
      </w:pPr>
      <w:r w:rsidRPr="00611D72">
        <w:t>4.</w:t>
      </w:r>
      <w:r w:rsidRPr="00611D72">
        <w:tab/>
        <w:t>Jones NRV, Forouhi NG, Khaw KT, Wareham NJ, Monsivais P. Accordance to the Dietary Approaches to Stop Hypertension diet pattern and cardiovascular disease in a British, population-based cohort. Eur J Epidemiol. 2018;33(2):235-44. doi:10.1007/s10654-017-0354-8</w:t>
      </w:r>
    </w:p>
    <w:p w14:paraId="7A7F1AD8" w14:textId="77777777" w:rsidR="00304A8B" w:rsidRPr="00611D72" w:rsidRDefault="00304A8B" w:rsidP="00304A8B">
      <w:pPr>
        <w:pStyle w:val="EndNoteBibliography"/>
        <w:spacing w:after="0"/>
      </w:pPr>
      <w:r w:rsidRPr="00611D72">
        <w:t>5.</w:t>
      </w:r>
      <w:r w:rsidRPr="00611D72">
        <w:tab/>
        <w:t xml:space="preserve">Buckland G, Northstone K, Emmett P, Taylor C. Adherence to UK dietary guidelines in school-aged children from the Avon Longitudinal Study of Parents and Children (ALSPAC) cohort. BJN. 2022;28:1-13. </w:t>
      </w:r>
    </w:p>
    <w:p w14:paraId="7935D863" w14:textId="77777777" w:rsidR="00304A8B" w:rsidRPr="00611D72" w:rsidRDefault="00304A8B" w:rsidP="00304A8B">
      <w:pPr>
        <w:pStyle w:val="EndNoteBibliography"/>
        <w:spacing w:after="0"/>
      </w:pPr>
      <w:r w:rsidRPr="00611D72">
        <w:t>6.</w:t>
      </w:r>
      <w:r w:rsidRPr="00611D72">
        <w:tab/>
        <w:t xml:space="preserve">Public Health England: Nutrition Science Team (2016) Government Dietary Recommendations: Government recommendations for energy and nutrients for males and females aged 1-18 years and 19+ years. </w:t>
      </w:r>
      <w:hyperlink r:id="rId7" w:history="1">
        <w:r w:rsidRPr="00611D72">
          <w:rPr>
            <w:rStyle w:val="Hyperlink"/>
          </w:rPr>
          <w:t>https://assets.publishing.service.gov.uk/government/uploads/system/uploads/attachment_data/file/618167/government_dietary_recommendations.pdf</w:t>
        </w:r>
      </w:hyperlink>
      <w:r w:rsidRPr="00611D72">
        <w:t>. Accessed 23.09.21.</w:t>
      </w:r>
    </w:p>
    <w:p w14:paraId="21BB3AFD" w14:textId="77777777" w:rsidR="00304A8B" w:rsidRPr="00611D72" w:rsidRDefault="00304A8B" w:rsidP="00304A8B">
      <w:pPr>
        <w:pStyle w:val="EndNoteBibliography"/>
        <w:spacing w:after="0"/>
      </w:pPr>
      <w:r w:rsidRPr="00611D72">
        <w:t>7.</w:t>
      </w:r>
      <w:r w:rsidRPr="00611D72">
        <w:tab/>
        <w:t xml:space="preserve">Public Health England (2018). The Eatwell Guide. </w:t>
      </w:r>
      <w:hyperlink r:id="rId8" w:history="1">
        <w:r w:rsidRPr="00611D72">
          <w:rPr>
            <w:rStyle w:val="Hyperlink"/>
          </w:rPr>
          <w:t>https://www.gov.uk/government/publications/the-eatwell-guide</w:t>
        </w:r>
      </w:hyperlink>
      <w:r w:rsidRPr="00611D72">
        <w:t>. Accessed 23.09.21.</w:t>
      </w:r>
    </w:p>
    <w:p w14:paraId="26D2BA7A" w14:textId="77777777" w:rsidR="00304A8B" w:rsidRPr="00611D72" w:rsidRDefault="00304A8B" w:rsidP="00304A8B">
      <w:pPr>
        <w:pStyle w:val="EndNoteBibliography"/>
        <w:spacing w:after="0"/>
      </w:pPr>
      <w:r w:rsidRPr="00611D72">
        <w:t>8.</w:t>
      </w:r>
      <w:r w:rsidRPr="00611D72">
        <w:tab/>
        <w:t>Buckland G, Taylor CM, Emmett PM, Northstone K. Prospective association between adherence to UK dietary guidelines in school-age children and cardiometabolic risk markers in adolescence/early adulthood in the Avon Longitudinal Study of Parents and Children (ALSPAC) cohort. British Journal of Nutrition. 2023:1-13. doi:10.1017/s0007114523000685</w:t>
      </w:r>
    </w:p>
    <w:p w14:paraId="7D48A77E" w14:textId="77777777" w:rsidR="00304A8B" w:rsidRPr="00611D72" w:rsidRDefault="00304A8B" w:rsidP="00304A8B">
      <w:pPr>
        <w:pStyle w:val="EndNoteBibliography"/>
      </w:pPr>
      <w:r w:rsidRPr="00611D72">
        <w:t>9.</w:t>
      </w:r>
      <w:r w:rsidRPr="00611D72">
        <w:tab/>
        <w:t>Ambrosini GL, Johns DJ, Northstone K, Emmett PM, Jebb SA. Free Sugars and Total Fat Are Important Characteristics of a Dietary Pattern Associated with Adiposity across Childhood and Adolescence. The Journal of nutrition. 2015;146(4):778-84. doi:10.3945/jn.115.224659</w:t>
      </w:r>
    </w:p>
    <w:p w14:paraId="7F89B89C" w14:textId="674E906C" w:rsidR="00F149BF" w:rsidRPr="00567D19" w:rsidRDefault="00304A8B" w:rsidP="00304A8B">
      <w:pPr>
        <w:spacing w:before="120" w:after="0" w:line="240" w:lineRule="auto"/>
        <w:jc w:val="both"/>
        <w:rPr>
          <w:rFonts w:ascii="Arial" w:hAnsi="Arial" w:cs="Arial"/>
        </w:rPr>
        <w:sectPr w:rsidR="00F149BF" w:rsidRPr="00567D19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fldChar w:fldCharType="end"/>
      </w:r>
    </w:p>
    <w:p w14:paraId="5B9CF569" w14:textId="384AD6A6" w:rsidR="000E57B5" w:rsidRDefault="000E57B5">
      <w:pPr>
        <w:rPr>
          <w:rFonts w:ascii="Arial" w:eastAsia="Times New Roman" w:hAnsi="Arial" w:cs="Arial"/>
          <w:sz w:val="24"/>
          <w:szCs w:val="24"/>
        </w:rPr>
      </w:pPr>
      <w:r w:rsidRPr="000E57B5">
        <w:rPr>
          <w:rFonts w:ascii="Arial" w:hAnsi="Arial" w:cs="Arial"/>
          <w:b/>
          <w:bCs/>
        </w:rPr>
        <w:lastRenderedPageBreak/>
        <w:t>Supplementary Table 1.</w:t>
      </w:r>
      <w:r w:rsidRPr="000E57B5">
        <w:rPr>
          <w:rFonts w:ascii="Arial" w:eastAsia="Times New Roman" w:hAnsi="Arial" w:cs="Arial"/>
        </w:rPr>
        <w:t xml:space="preserve"> </w:t>
      </w:r>
      <w:r w:rsidRPr="000E57B5">
        <w:rPr>
          <w:rFonts w:ascii="Arial" w:eastAsia="Times New Roman" w:hAnsi="Arial" w:cs="Arial"/>
          <w:sz w:val="24"/>
          <w:szCs w:val="24"/>
        </w:rPr>
        <w:t>UK dietary recommendations for key nutrients and foods within the Eatwell Guide, including age-adjusted portion sizes calculated for the ALSPAC children at 7, 10 and 13 years old.</w:t>
      </w:r>
    </w:p>
    <w:p w14:paraId="2A197CF1" w14:textId="1A6D1757" w:rsidR="00796EAD" w:rsidRPr="000E57B5" w:rsidRDefault="0061199C">
      <w:pPr>
        <w:rPr>
          <w:rFonts w:ascii="Arial" w:hAnsi="Arial" w:cs="Arial"/>
        </w:rPr>
      </w:pPr>
      <w:r w:rsidRPr="0061199C">
        <w:rPr>
          <w:noProof/>
        </w:rPr>
        <w:drawing>
          <wp:inline distT="0" distB="0" distL="0" distR="0" wp14:anchorId="79422547" wp14:editId="6A12F900">
            <wp:extent cx="9018451" cy="5242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220" cy="524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9AB4B" w14:textId="77777777" w:rsidR="005C509E" w:rsidRDefault="005C509E"/>
    <w:p w14:paraId="6FA475A4" w14:textId="1182FE74" w:rsidR="00820956" w:rsidRPr="00C82B39" w:rsidRDefault="00820956" w:rsidP="00820956">
      <w:pPr>
        <w:spacing w:after="0"/>
        <w:rPr>
          <w:b/>
          <w:bCs/>
        </w:rPr>
      </w:pPr>
      <w:r w:rsidRPr="00C82B39">
        <w:rPr>
          <w:b/>
          <w:bCs/>
        </w:rPr>
        <w:t>References</w:t>
      </w:r>
      <w:r w:rsidR="00C82B39">
        <w:rPr>
          <w:b/>
          <w:bCs/>
        </w:rPr>
        <w:t xml:space="preserve"> in footnotes of Table 1</w:t>
      </w:r>
      <w:r w:rsidRPr="00C82B39">
        <w:rPr>
          <w:b/>
          <w:bCs/>
        </w:rPr>
        <w:t>:</w:t>
      </w:r>
    </w:p>
    <w:p w14:paraId="69679FBF" w14:textId="4C0B7C18" w:rsidR="009E1B8A" w:rsidRDefault="009E1B8A" w:rsidP="00820956">
      <w:pPr>
        <w:spacing w:after="0"/>
      </w:pPr>
      <w:r>
        <w:t xml:space="preserve">1. </w:t>
      </w:r>
      <w:r w:rsidR="005C509E">
        <w:t xml:space="preserve">Public Health England (2019) The Scientific Advisory Committee on Nutrition (SACN) Report on Saturated Fats and Health. https://www.gov.uk/government/publications/saturated-fats-and-health-sacn-report (accessed September 2021). </w:t>
      </w:r>
    </w:p>
    <w:p w14:paraId="043E86D0" w14:textId="77777777" w:rsidR="007041F4" w:rsidRDefault="009E1B8A" w:rsidP="00820956">
      <w:pPr>
        <w:spacing w:after="0"/>
      </w:pPr>
      <w:r>
        <w:t>2.</w:t>
      </w:r>
      <w:r w:rsidR="00F50AE9">
        <w:t xml:space="preserve"> </w:t>
      </w:r>
      <w:r w:rsidR="007041F4">
        <w:t xml:space="preserve">Public Health England (PHE) (2011) Scientific Advisory Committee on Nutrition: Dietary Reference Values for Energy. https://www.gov.uk/government/publications/sacn-dietaryreference-values-for-energy (accessed November 2021). </w:t>
      </w:r>
      <w:r w:rsidR="00F50AE9">
        <w:t xml:space="preserve">Public Health England (PHE) (2015) </w:t>
      </w:r>
    </w:p>
    <w:p w14:paraId="2DE2C494" w14:textId="73405FC5" w:rsidR="009E1B8A" w:rsidRDefault="007041F4" w:rsidP="00820956">
      <w:pPr>
        <w:spacing w:after="0"/>
      </w:pPr>
      <w:r>
        <w:t>3.</w:t>
      </w:r>
      <w:r w:rsidR="00F50AE9">
        <w:t xml:space="preserve">Carbohydrates and Health Report. The Scientific Advisory Committee on Nutrition Recommendations on Carbohydrates, Including Sugars and Fibre. https://www.gov.uk/government/publications/sacncarbohydrates-and-health-report (accessed September 2021). </w:t>
      </w:r>
    </w:p>
    <w:p w14:paraId="219C6C45" w14:textId="6C23B27A" w:rsidR="009E1B8A" w:rsidRDefault="007041F4" w:rsidP="00820956">
      <w:pPr>
        <w:spacing w:after="0"/>
      </w:pPr>
      <w:r>
        <w:t>4</w:t>
      </w:r>
      <w:r w:rsidR="009E1B8A">
        <w:t xml:space="preserve">. </w:t>
      </w:r>
      <w:r w:rsidR="00F50AE9">
        <w:t xml:space="preserve">Public Health England (PHE) (2003) Scientific Advisory Committee on Nutrition Advice on Salt and Recommended Dietary Reference Values (DRVs). https://www.gov.uk/ government/publications/sacn-salt-and-health-report (accessed September 2021). </w:t>
      </w:r>
    </w:p>
    <w:p w14:paraId="4A7EB1BE" w14:textId="77777777" w:rsidR="00EE4A0B" w:rsidRDefault="007041F4" w:rsidP="00820956">
      <w:pPr>
        <w:spacing w:after="0"/>
      </w:pPr>
      <w:r>
        <w:t xml:space="preserve">5. </w:t>
      </w:r>
      <w:r w:rsidR="00EE4A0B">
        <w:t>Public Health England (2018) The Eatwell Guide. https://www. gov.uk/government/publications/the-eatwell-guide (accessed September 2021).</w:t>
      </w:r>
    </w:p>
    <w:p w14:paraId="3082E6AF" w14:textId="45F5D640" w:rsidR="007041F4" w:rsidRDefault="00EE4A0B" w:rsidP="00820956">
      <w:pPr>
        <w:spacing w:after="0"/>
      </w:pPr>
      <w:r>
        <w:t xml:space="preserve">6. </w:t>
      </w:r>
      <w:r w:rsidR="00820956">
        <w:t>Jones LR, Steer CD, Rogers IS, et al. (2010) Influences on child fruit and vegetable intake: sociodemographic, parental and child factors in a longitudinal cohort study. Public Health Nutr 13, 1122–1130.</w:t>
      </w:r>
    </w:p>
    <w:p w14:paraId="0E2DB120" w14:textId="27DE8D3A" w:rsidR="007A4655" w:rsidRDefault="007A4655" w:rsidP="00820956">
      <w:pPr>
        <w:spacing w:after="0"/>
      </w:pPr>
    </w:p>
    <w:p w14:paraId="3CCD387E" w14:textId="77777777" w:rsidR="00796EAD" w:rsidRDefault="00796EAD"/>
    <w:p w14:paraId="5DC15133" w14:textId="77D83745" w:rsidR="00796EAD" w:rsidRDefault="00796EAD">
      <w:pPr>
        <w:sectPr w:rsidR="00796EAD" w:rsidSect="00567D1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84F08B8" w14:textId="71558DC9" w:rsidR="00CD67A4" w:rsidRDefault="00CD67A4"/>
    <w:p w14:paraId="29025983" w14:textId="59803828" w:rsidR="00F0465A" w:rsidRPr="007E111E" w:rsidRDefault="00F0465A">
      <w:pPr>
        <w:rPr>
          <w:rFonts w:ascii="Arial" w:hAnsi="Arial" w:cs="Arial"/>
          <w:b/>
          <w:bCs/>
        </w:rPr>
      </w:pPr>
      <w:r w:rsidRPr="007E111E">
        <w:rPr>
          <w:rFonts w:ascii="Arial" w:hAnsi="Arial" w:cs="Arial"/>
          <w:b/>
          <w:bCs/>
        </w:rPr>
        <w:t xml:space="preserve">Supplementary Table </w:t>
      </w:r>
      <w:r w:rsidR="00796EAD">
        <w:rPr>
          <w:rFonts w:ascii="Arial" w:hAnsi="Arial" w:cs="Arial"/>
          <w:b/>
          <w:bCs/>
        </w:rPr>
        <w:t>2</w:t>
      </w:r>
      <w:r w:rsidR="00481A75" w:rsidRPr="007E111E">
        <w:rPr>
          <w:rFonts w:ascii="Arial" w:hAnsi="Arial" w:cs="Arial"/>
          <w:b/>
          <w:bCs/>
        </w:rPr>
        <w:t>.</w:t>
      </w:r>
      <w:r w:rsidR="007E111E" w:rsidRPr="007E111E">
        <w:rPr>
          <w:rFonts w:ascii="Arial" w:eastAsia="Times New Roman" w:hAnsi="Arial" w:cs="Arial"/>
        </w:rPr>
        <w:t xml:space="preserve"> Comparison of characteristics of ALSPAC participants with imputed and observed data</w:t>
      </w:r>
      <w:r w:rsidR="009010C9">
        <w:rPr>
          <w:rFonts w:ascii="Arial" w:eastAsia="Times New Roman" w:hAnsi="Arial" w:cs="Arial"/>
        </w:rPr>
        <w:t xml:space="preserve"> </w:t>
      </w:r>
      <w:r w:rsidR="00FF69DD">
        <w:rPr>
          <w:rFonts w:ascii="Arial" w:eastAsia="Times New Roman" w:hAnsi="Arial" w:cs="Arial"/>
        </w:rPr>
        <w:t>for</w:t>
      </w:r>
      <w:r w:rsidR="009010C9">
        <w:rPr>
          <w:rFonts w:ascii="Arial" w:eastAsia="Times New Roman" w:hAnsi="Arial" w:cs="Arial"/>
        </w:rPr>
        <w:t xml:space="preserve"> pulse wave velo</w:t>
      </w:r>
      <w:r w:rsidR="00FF69DD">
        <w:rPr>
          <w:rFonts w:ascii="Arial" w:eastAsia="Times New Roman" w:hAnsi="Arial" w:cs="Arial"/>
        </w:rPr>
        <w:t>city</w:t>
      </w:r>
      <w:r w:rsidR="00E13B21">
        <w:rPr>
          <w:rFonts w:ascii="Arial" w:eastAsia="Times New Roman" w:hAnsi="Arial" w:cs="Arial"/>
        </w:rPr>
        <w:t xml:space="preserve"> (PWV)</w:t>
      </w:r>
      <w:r w:rsidR="00FF69DD">
        <w:rPr>
          <w:rFonts w:ascii="Arial" w:eastAsia="Times New Roman" w:hAnsi="Arial" w:cs="Arial"/>
        </w:rPr>
        <w:t xml:space="preserve"> outcome analyses</w:t>
      </w:r>
      <w:r w:rsidR="007E111E" w:rsidRPr="007E111E">
        <w:rPr>
          <w:rFonts w:ascii="Arial" w:eastAsia="Times New Roman" w:hAnsi="Arial" w:cs="Arial"/>
        </w:rPr>
        <w:t>.</w:t>
      </w:r>
    </w:p>
    <w:p w14:paraId="34306A0B" w14:textId="46949330" w:rsidR="00942700" w:rsidRDefault="00A5012B">
      <w:r w:rsidRPr="00A5012B">
        <w:drawing>
          <wp:inline distT="0" distB="0" distL="0" distR="0" wp14:anchorId="32FA4FF3" wp14:editId="540EBB58">
            <wp:extent cx="5731510" cy="6522720"/>
            <wp:effectExtent l="0" t="0" r="2540" b="0"/>
            <wp:docPr id="652909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109B" w14:textId="77777777" w:rsidR="00942700" w:rsidRDefault="00942700">
      <w:r>
        <w:br w:type="page"/>
      </w:r>
    </w:p>
    <w:p w14:paraId="1DE753ED" w14:textId="56011BCF" w:rsidR="00FF69DD" w:rsidRPr="007E111E" w:rsidRDefault="00FF69DD" w:rsidP="00FF69DD">
      <w:pPr>
        <w:rPr>
          <w:rFonts w:ascii="Arial" w:hAnsi="Arial" w:cs="Arial"/>
          <w:b/>
          <w:bCs/>
        </w:rPr>
      </w:pPr>
      <w:r w:rsidRPr="007E111E">
        <w:rPr>
          <w:rFonts w:ascii="Arial" w:hAnsi="Arial" w:cs="Arial"/>
          <w:b/>
          <w:bCs/>
        </w:rPr>
        <w:lastRenderedPageBreak/>
        <w:t xml:space="preserve">Supplementary Table </w:t>
      </w:r>
      <w:r w:rsidR="00796EAD">
        <w:rPr>
          <w:rFonts w:ascii="Arial" w:hAnsi="Arial" w:cs="Arial"/>
          <w:b/>
          <w:bCs/>
        </w:rPr>
        <w:t>3</w:t>
      </w:r>
      <w:r w:rsidRPr="007E111E">
        <w:rPr>
          <w:rFonts w:ascii="Arial" w:hAnsi="Arial" w:cs="Arial"/>
          <w:b/>
          <w:bCs/>
        </w:rPr>
        <w:t>.</w:t>
      </w:r>
      <w:r w:rsidRPr="007E111E">
        <w:rPr>
          <w:rFonts w:ascii="Arial" w:eastAsia="Times New Roman" w:hAnsi="Arial" w:cs="Arial"/>
        </w:rPr>
        <w:t xml:space="preserve"> Comparison of characteristics of ALSPAC participants with imputed and observed data</w:t>
      </w:r>
      <w:r>
        <w:rPr>
          <w:rFonts w:ascii="Arial" w:eastAsia="Times New Roman" w:hAnsi="Arial" w:cs="Arial"/>
        </w:rPr>
        <w:t xml:space="preserve"> for </w:t>
      </w:r>
      <w:r w:rsidR="00977933">
        <w:rPr>
          <w:rFonts w:ascii="Arial" w:eastAsia="Times New Roman" w:hAnsi="Arial" w:cs="Arial"/>
        </w:rPr>
        <w:t xml:space="preserve">carotid </w:t>
      </w:r>
      <w:r>
        <w:rPr>
          <w:rFonts w:ascii="Arial" w:eastAsia="Times New Roman" w:hAnsi="Arial" w:cs="Arial"/>
        </w:rPr>
        <w:t xml:space="preserve">intima-media thickness </w:t>
      </w:r>
      <w:r w:rsidR="00E13B21">
        <w:rPr>
          <w:rFonts w:ascii="Arial" w:eastAsia="Times New Roman" w:hAnsi="Arial" w:cs="Arial"/>
        </w:rPr>
        <w:t xml:space="preserve">(cIMT) </w:t>
      </w:r>
      <w:r>
        <w:rPr>
          <w:rFonts w:ascii="Arial" w:eastAsia="Times New Roman" w:hAnsi="Arial" w:cs="Arial"/>
        </w:rPr>
        <w:t>outcome analyses</w:t>
      </w:r>
      <w:r w:rsidRPr="007E111E">
        <w:rPr>
          <w:rFonts w:ascii="Arial" w:eastAsia="Times New Roman" w:hAnsi="Arial" w:cs="Arial"/>
        </w:rPr>
        <w:t>.</w:t>
      </w:r>
    </w:p>
    <w:p w14:paraId="4217FF04" w14:textId="706DC4E9" w:rsidR="00664878" w:rsidRDefault="00E55058">
      <w:r w:rsidRPr="00E55058">
        <w:drawing>
          <wp:inline distT="0" distB="0" distL="0" distR="0" wp14:anchorId="62BC8AC9" wp14:editId="58C62AB4">
            <wp:extent cx="6125210" cy="6736080"/>
            <wp:effectExtent l="0" t="0" r="8890" b="7620"/>
            <wp:docPr id="6949548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122" cy="673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7C7DE" w14:textId="0D8DB93D" w:rsidR="00664878" w:rsidRDefault="00664878">
      <w:r>
        <w:br w:type="page"/>
      </w:r>
    </w:p>
    <w:p w14:paraId="2BC54541" w14:textId="2D48AF5E" w:rsidR="00E01F13" w:rsidRPr="000670A5" w:rsidRDefault="0023690B">
      <w:pPr>
        <w:rPr>
          <w:rFonts w:ascii="Arial" w:eastAsia="Times New Roman" w:hAnsi="Arial" w:cs="Arial"/>
        </w:rPr>
      </w:pPr>
      <w:r w:rsidRPr="00687698">
        <w:rPr>
          <w:rFonts w:ascii="Arial" w:hAnsi="Arial" w:cs="Arial"/>
          <w:b/>
          <w:bCs/>
        </w:rPr>
        <w:lastRenderedPageBreak/>
        <w:t xml:space="preserve">Supplementary Table </w:t>
      </w:r>
      <w:r w:rsidR="00796EAD">
        <w:rPr>
          <w:rFonts w:ascii="Arial" w:hAnsi="Arial" w:cs="Arial"/>
          <w:b/>
          <w:bCs/>
        </w:rPr>
        <w:t>4</w:t>
      </w:r>
      <w:r w:rsidRPr="00687698">
        <w:rPr>
          <w:rFonts w:ascii="Arial" w:hAnsi="Arial" w:cs="Arial"/>
          <w:b/>
          <w:bCs/>
        </w:rPr>
        <w:t xml:space="preserve">. </w:t>
      </w:r>
      <w:r w:rsidRPr="00687698">
        <w:rPr>
          <w:rFonts w:ascii="Arial" w:eastAsia="Times New Roman" w:hAnsi="Arial" w:cs="Arial"/>
        </w:rPr>
        <w:t xml:space="preserve">Comparison of baseline characteristics and </w:t>
      </w:r>
      <w:r w:rsidR="00E91305">
        <w:rPr>
          <w:rFonts w:ascii="Arial" w:eastAsia="Times New Roman" w:hAnsi="Arial" w:cs="Arial"/>
        </w:rPr>
        <w:t>arterial functional variables</w:t>
      </w:r>
      <w:r w:rsidRPr="00687698">
        <w:rPr>
          <w:rFonts w:ascii="Arial" w:eastAsia="Times New Roman" w:hAnsi="Arial" w:cs="Arial"/>
        </w:rPr>
        <w:t xml:space="preserve"> at 17 years and 24 years in ALSPAC participants who had complete dietary </w:t>
      </w:r>
      <w:r w:rsidR="00A503EA">
        <w:rPr>
          <w:rFonts w:ascii="Arial" w:eastAsia="Times New Roman" w:hAnsi="Arial" w:cs="Arial"/>
        </w:rPr>
        <w:t>data</w:t>
      </w:r>
      <w:r w:rsidRPr="00687698">
        <w:rPr>
          <w:rFonts w:ascii="Arial" w:eastAsia="Times New Roman" w:hAnsi="Arial" w:cs="Arial"/>
        </w:rPr>
        <w:t xml:space="preserve"> at all three ages (7, 10 and 13 years) and outcome data at 17 years and/or 24 years compared to those with incomplete data on these variables.</w:t>
      </w:r>
    </w:p>
    <w:p w14:paraId="55D07B14" w14:textId="33D53858" w:rsidR="00D10A7E" w:rsidRDefault="00375E8A">
      <w:pPr>
        <w:sectPr w:rsidR="00D10A7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75E8A">
        <w:drawing>
          <wp:inline distT="0" distB="0" distL="0" distR="0" wp14:anchorId="00431739" wp14:editId="42671544">
            <wp:extent cx="5731510" cy="5629910"/>
            <wp:effectExtent l="0" t="0" r="2540" b="8890"/>
            <wp:docPr id="12181087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2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C7CB0" w14:textId="0A5BDCC8" w:rsidR="00826214" w:rsidRPr="00A6326E" w:rsidRDefault="00826214" w:rsidP="00826214">
      <w:pPr>
        <w:spacing w:after="0"/>
        <w:rPr>
          <w:noProof/>
        </w:rPr>
      </w:pPr>
      <w:r w:rsidRPr="00A6326E">
        <w:rPr>
          <w:rFonts w:ascii="Arial" w:hAnsi="Arial" w:cs="Arial"/>
          <w:b/>
          <w:bCs/>
        </w:rPr>
        <w:lastRenderedPageBreak/>
        <w:t xml:space="preserve">Supplementary Table 6. </w:t>
      </w:r>
      <w:r w:rsidRPr="00A6326E">
        <w:rPr>
          <w:rFonts w:ascii="Arial" w:hAnsi="Arial" w:cs="Arial"/>
        </w:rPr>
        <w:t xml:space="preserve"> Multivariable linear regression models for the relationship between the DQ total z-scores and carotid intima-media thickness and pulse wave velocity at 17 and 24 years, using imputed datasets in the ALSPAC cohort.</w:t>
      </w:r>
    </w:p>
    <w:p w14:paraId="0F25FF6A" w14:textId="77777777" w:rsidR="001234A9" w:rsidRPr="00A6326E" w:rsidRDefault="001234A9">
      <w:pPr>
        <w:rPr>
          <w:rFonts w:ascii="Arial" w:hAnsi="Arial" w:cs="Arial"/>
          <w:b/>
          <w:bCs/>
        </w:rPr>
      </w:pPr>
    </w:p>
    <w:p w14:paraId="57EC2787" w14:textId="0D1F977C" w:rsidR="00826214" w:rsidRDefault="005960EC">
      <w:pPr>
        <w:rPr>
          <w:rFonts w:ascii="Arial" w:hAnsi="Arial" w:cs="Arial"/>
          <w:b/>
          <w:bCs/>
        </w:rPr>
      </w:pPr>
      <w:r w:rsidRPr="005960EC">
        <w:rPr>
          <w:noProof/>
        </w:rPr>
        <w:drawing>
          <wp:inline distT="0" distB="0" distL="0" distR="0" wp14:anchorId="703E3FD4" wp14:editId="006ED2B2">
            <wp:extent cx="8070850" cy="2750604"/>
            <wp:effectExtent l="0" t="0" r="6350" b="0"/>
            <wp:docPr id="2090714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155" cy="275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214">
        <w:rPr>
          <w:rFonts w:ascii="Arial" w:hAnsi="Arial" w:cs="Arial"/>
          <w:b/>
          <w:bCs/>
        </w:rPr>
        <w:br w:type="page"/>
      </w:r>
    </w:p>
    <w:p w14:paraId="2D72D6EF" w14:textId="1E57ADB4" w:rsidR="004A3781" w:rsidRDefault="00953B52" w:rsidP="00407A40">
      <w:pPr>
        <w:spacing w:after="0"/>
        <w:rPr>
          <w:noProof/>
        </w:rPr>
      </w:pPr>
      <w:r w:rsidRPr="00A05F1F">
        <w:rPr>
          <w:rFonts w:ascii="Arial" w:hAnsi="Arial" w:cs="Arial"/>
          <w:b/>
          <w:bCs/>
        </w:rPr>
        <w:lastRenderedPageBreak/>
        <w:t xml:space="preserve">Supplementary Table </w:t>
      </w:r>
      <w:r w:rsidR="00826214" w:rsidRPr="00A05F1F">
        <w:rPr>
          <w:rFonts w:ascii="Arial" w:hAnsi="Arial" w:cs="Arial"/>
          <w:b/>
          <w:bCs/>
        </w:rPr>
        <w:t>6</w:t>
      </w:r>
      <w:r w:rsidRPr="00826214">
        <w:rPr>
          <w:rFonts w:ascii="Arial" w:hAnsi="Arial" w:cs="Arial"/>
          <w:b/>
          <w:bCs/>
          <w:color w:val="FF0000"/>
        </w:rPr>
        <w:t xml:space="preserve">. </w:t>
      </w:r>
      <w:r w:rsidR="004A3781" w:rsidRPr="00826214">
        <w:rPr>
          <w:rFonts w:ascii="Arial" w:hAnsi="Arial" w:cs="Arial"/>
          <w:color w:val="FF0000"/>
        </w:rPr>
        <w:t xml:space="preserve"> </w:t>
      </w:r>
      <w:r w:rsidR="004A3781" w:rsidRPr="00DF0A1A">
        <w:rPr>
          <w:rFonts w:ascii="Arial" w:hAnsi="Arial" w:cs="Arial"/>
        </w:rPr>
        <w:t xml:space="preserve">Multivariable linear regression models for the relationship between the DQ scores at 7 years and carotid intima-media thickness and pulse wave velocity at 17 years, using </w:t>
      </w:r>
      <w:r>
        <w:rPr>
          <w:rFonts w:ascii="Arial" w:hAnsi="Arial" w:cs="Arial"/>
        </w:rPr>
        <w:t>complete case</w:t>
      </w:r>
      <w:r w:rsidR="004A3781" w:rsidRPr="00DF0A1A">
        <w:rPr>
          <w:rFonts w:ascii="Arial" w:hAnsi="Arial" w:cs="Arial"/>
        </w:rPr>
        <w:t xml:space="preserve"> datasets in the ALSPAC cohort.</w:t>
      </w:r>
    </w:p>
    <w:p w14:paraId="1F0F5BAA" w14:textId="160C678B" w:rsidR="004C7F91" w:rsidRDefault="0094263C" w:rsidP="00325450">
      <w:pPr>
        <w:spacing w:before="240"/>
      </w:pPr>
      <w:r w:rsidRPr="0094263C">
        <w:rPr>
          <w:noProof/>
        </w:rPr>
        <w:drawing>
          <wp:inline distT="0" distB="0" distL="0" distR="0" wp14:anchorId="171718A6" wp14:editId="3AFF93FE">
            <wp:extent cx="8671560" cy="5216727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849" cy="521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DB5" w:rsidRPr="00423DB5">
        <w:t xml:space="preserve"> </w:t>
      </w:r>
      <w:r w:rsidR="004C7F91">
        <w:br w:type="page"/>
      </w:r>
    </w:p>
    <w:p w14:paraId="28B22DBE" w14:textId="00587D2A" w:rsidR="005504B0" w:rsidRDefault="005504B0" w:rsidP="00CB7509">
      <w:pPr>
        <w:spacing w:after="0"/>
        <w:rPr>
          <w:noProof/>
        </w:rPr>
      </w:pPr>
      <w:r w:rsidRPr="00A05F1F">
        <w:rPr>
          <w:rFonts w:ascii="Arial" w:hAnsi="Arial" w:cs="Arial"/>
          <w:b/>
          <w:bCs/>
        </w:rPr>
        <w:lastRenderedPageBreak/>
        <w:t xml:space="preserve">Supplementary Table </w:t>
      </w:r>
      <w:r w:rsidR="00826214" w:rsidRPr="00A05F1F">
        <w:rPr>
          <w:rFonts w:ascii="Arial" w:hAnsi="Arial" w:cs="Arial"/>
          <w:b/>
          <w:bCs/>
        </w:rPr>
        <w:t>7</w:t>
      </w:r>
      <w:r w:rsidRPr="00A05F1F">
        <w:rPr>
          <w:rFonts w:ascii="Arial" w:hAnsi="Arial" w:cs="Arial"/>
          <w:b/>
          <w:bCs/>
        </w:rPr>
        <w:t xml:space="preserve">. </w:t>
      </w:r>
      <w:r w:rsidRPr="00A05F1F">
        <w:rPr>
          <w:rFonts w:ascii="Arial" w:hAnsi="Arial" w:cs="Arial"/>
        </w:rPr>
        <w:t xml:space="preserve"> </w:t>
      </w:r>
      <w:r w:rsidRPr="00DF0A1A">
        <w:rPr>
          <w:rFonts w:ascii="Arial" w:hAnsi="Arial" w:cs="Arial"/>
        </w:rPr>
        <w:t xml:space="preserve">Multivariable linear regression models for the relationship between the DQ scores at </w:t>
      </w:r>
      <w:r>
        <w:rPr>
          <w:rFonts w:ascii="Arial" w:hAnsi="Arial" w:cs="Arial"/>
        </w:rPr>
        <w:t>10</w:t>
      </w:r>
      <w:r w:rsidRPr="00DF0A1A">
        <w:rPr>
          <w:rFonts w:ascii="Arial" w:hAnsi="Arial" w:cs="Arial"/>
        </w:rPr>
        <w:t xml:space="preserve"> years and carotid intima-media thickness and pulse wave velocity at 17 years, using </w:t>
      </w:r>
      <w:r>
        <w:rPr>
          <w:rFonts w:ascii="Arial" w:hAnsi="Arial" w:cs="Arial"/>
        </w:rPr>
        <w:t>complete case</w:t>
      </w:r>
      <w:r w:rsidRPr="00DF0A1A">
        <w:rPr>
          <w:rFonts w:ascii="Arial" w:hAnsi="Arial" w:cs="Arial"/>
        </w:rPr>
        <w:t xml:space="preserve"> datasets in the ALSPAC cohort.</w:t>
      </w:r>
    </w:p>
    <w:p w14:paraId="0DABDA1C" w14:textId="7C2922A6" w:rsidR="002D168F" w:rsidRDefault="00394FF1" w:rsidP="00325450">
      <w:pPr>
        <w:spacing w:before="240"/>
      </w:pPr>
      <w:r w:rsidRPr="00394FF1">
        <w:rPr>
          <w:noProof/>
        </w:rPr>
        <w:drawing>
          <wp:inline distT="0" distB="0" distL="0" distR="0" wp14:anchorId="0F50AAA8" wp14:editId="7D623D81">
            <wp:extent cx="8427720" cy="52227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066" cy="522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1F257" w14:textId="5AF11318" w:rsidR="00E03A3D" w:rsidRDefault="00E03A3D" w:rsidP="006A37E5">
      <w:pPr>
        <w:spacing w:after="0"/>
        <w:rPr>
          <w:noProof/>
        </w:rPr>
      </w:pPr>
      <w:r w:rsidRPr="00C944D5">
        <w:rPr>
          <w:rFonts w:ascii="Arial" w:hAnsi="Arial" w:cs="Arial"/>
          <w:b/>
          <w:bCs/>
        </w:rPr>
        <w:lastRenderedPageBreak/>
        <w:t xml:space="preserve">Supplementary Table </w:t>
      </w:r>
      <w:r w:rsidR="00826214" w:rsidRPr="00C944D5">
        <w:rPr>
          <w:rFonts w:ascii="Arial" w:hAnsi="Arial" w:cs="Arial"/>
          <w:b/>
          <w:bCs/>
        </w:rPr>
        <w:t>8</w:t>
      </w:r>
      <w:r w:rsidRPr="00C944D5">
        <w:rPr>
          <w:rFonts w:ascii="Arial" w:hAnsi="Arial" w:cs="Arial"/>
          <w:b/>
          <w:bCs/>
        </w:rPr>
        <w:t xml:space="preserve">. </w:t>
      </w:r>
      <w:r w:rsidRPr="00C944D5">
        <w:rPr>
          <w:rFonts w:ascii="Arial" w:hAnsi="Arial" w:cs="Arial"/>
        </w:rPr>
        <w:t xml:space="preserve"> </w:t>
      </w:r>
      <w:r w:rsidRPr="00DF0A1A">
        <w:rPr>
          <w:rFonts w:ascii="Arial" w:hAnsi="Arial" w:cs="Arial"/>
        </w:rPr>
        <w:t xml:space="preserve">Multivariable linear regression models for the relationship between the DQ scores at </w:t>
      </w:r>
      <w:r>
        <w:rPr>
          <w:rFonts w:ascii="Arial" w:hAnsi="Arial" w:cs="Arial"/>
        </w:rPr>
        <w:t>13</w:t>
      </w:r>
      <w:r w:rsidRPr="00DF0A1A">
        <w:rPr>
          <w:rFonts w:ascii="Arial" w:hAnsi="Arial" w:cs="Arial"/>
        </w:rPr>
        <w:t xml:space="preserve"> years and carotid intima-media thickness and pulse wave velocity at 17 years, using </w:t>
      </w:r>
      <w:r>
        <w:rPr>
          <w:rFonts w:ascii="Arial" w:hAnsi="Arial" w:cs="Arial"/>
        </w:rPr>
        <w:t>complete case</w:t>
      </w:r>
      <w:r w:rsidRPr="00DF0A1A">
        <w:rPr>
          <w:rFonts w:ascii="Arial" w:hAnsi="Arial" w:cs="Arial"/>
        </w:rPr>
        <w:t xml:space="preserve"> datasets in the ALSPAC cohort.</w:t>
      </w:r>
    </w:p>
    <w:p w14:paraId="24C9872B" w14:textId="5BAF1615" w:rsidR="00195A91" w:rsidRDefault="00A52D3A" w:rsidP="00325450">
      <w:pPr>
        <w:spacing w:before="240"/>
        <w:rPr>
          <w:noProof/>
        </w:rPr>
      </w:pPr>
      <w:r w:rsidRPr="00A52D3A">
        <w:rPr>
          <w:noProof/>
        </w:rPr>
        <w:drawing>
          <wp:inline distT="0" distB="0" distL="0" distR="0" wp14:anchorId="1947DFC2" wp14:editId="629ACF03">
            <wp:extent cx="8206740" cy="522696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3911" cy="523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7E5" w:rsidRPr="006A37E5">
        <w:t xml:space="preserve"> </w:t>
      </w:r>
      <w:r w:rsidR="00195A91">
        <w:rPr>
          <w:noProof/>
        </w:rPr>
        <w:br w:type="page"/>
      </w:r>
    </w:p>
    <w:p w14:paraId="4E553979" w14:textId="71AF8519" w:rsidR="00D33315" w:rsidRDefault="00D33315" w:rsidP="00D33315">
      <w:pPr>
        <w:rPr>
          <w:rFonts w:ascii="Arial" w:hAnsi="Arial" w:cs="Arial"/>
        </w:rPr>
      </w:pPr>
      <w:r w:rsidRPr="00C944D5">
        <w:rPr>
          <w:rFonts w:ascii="Arial" w:hAnsi="Arial" w:cs="Arial"/>
          <w:b/>
          <w:bCs/>
        </w:rPr>
        <w:lastRenderedPageBreak/>
        <w:t xml:space="preserve">Supplementary Table </w:t>
      </w:r>
      <w:r w:rsidR="00826214" w:rsidRPr="00C944D5">
        <w:rPr>
          <w:rFonts w:ascii="Arial" w:hAnsi="Arial" w:cs="Arial"/>
          <w:b/>
          <w:bCs/>
        </w:rPr>
        <w:t>9</w:t>
      </w:r>
      <w:r w:rsidRPr="00C944D5">
        <w:rPr>
          <w:rFonts w:ascii="Arial" w:hAnsi="Arial" w:cs="Arial"/>
          <w:b/>
          <w:bCs/>
        </w:rPr>
        <w:t xml:space="preserve">. </w:t>
      </w:r>
      <w:r w:rsidRPr="00C944D5">
        <w:rPr>
          <w:rFonts w:ascii="Arial" w:hAnsi="Arial" w:cs="Arial"/>
        </w:rPr>
        <w:t xml:space="preserve"> </w:t>
      </w:r>
      <w:r w:rsidRPr="00DF0A1A">
        <w:rPr>
          <w:rFonts w:ascii="Arial" w:hAnsi="Arial" w:cs="Arial"/>
        </w:rPr>
        <w:t xml:space="preserve">Multivariable linear regression models for the relationship between the DQ scores at </w:t>
      </w:r>
      <w:r>
        <w:rPr>
          <w:rFonts w:ascii="Arial" w:hAnsi="Arial" w:cs="Arial"/>
        </w:rPr>
        <w:t>7</w:t>
      </w:r>
      <w:r w:rsidRPr="00DF0A1A">
        <w:rPr>
          <w:rFonts w:ascii="Arial" w:hAnsi="Arial" w:cs="Arial"/>
        </w:rPr>
        <w:t xml:space="preserve"> years and carotid intima-media thickness and pulse wave velocity at </w:t>
      </w:r>
      <w:r>
        <w:rPr>
          <w:rFonts w:ascii="Arial" w:hAnsi="Arial" w:cs="Arial"/>
        </w:rPr>
        <w:t>24</w:t>
      </w:r>
      <w:r w:rsidRPr="00DF0A1A">
        <w:rPr>
          <w:rFonts w:ascii="Arial" w:hAnsi="Arial" w:cs="Arial"/>
        </w:rPr>
        <w:t xml:space="preserve"> years, using </w:t>
      </w:r>
      <w:r>
        <w:rPr>
          <w:rFonts w:ascii="Arial" w:hAnsi="Arial" w:cs="Arial"/>
        </w:rPr>
        <w:t>complete case</w:t>
      </w:r>
      <w:r w:rsidRPr="00DF0A1A">
        <w:rPr>
          <w:rFonts w:ascii="Arial" w:hAnsi="Arial" w:cs="Arial"/>
        </w:rPr>
        <w:t xml:space="preserve"> datasets in the ALSPAC cohort.</w:t>
      </w:r>
    </w:p>
    <w:p w14:paraId="4C115282" w14:textId="32529B2D" w:rsidR="000E34DD" w:rsidRDefault="00B37D59" w:rsidP="00D33315">
      <w:pPr>
        <w:rPr>
          <w:noProof/>
        </w:rPr>
      </w:pPr>
      <w:r w:rsidRPr="00B37D59">
        <w:rPr>
          <w:noProof/>
        </w:rPr>
        <w:drawing>
          <wp:inline distT="0" distB="0" distL="0" distR="0" wp14:anchorId="26488E36" wp14:editId="0C372A4C">
            <wp:extent cx="8863330" cy="52597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5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5A5B0" w14:textId="75509D73" w:rsidR="00D33315" w:rsidRDefault="00D33315" w:rsidP="00B672BD">
      <w:pPr>
        <w:spacing w:after="0"/>
      </w:pPr>
      <w:r>
        <w:br w:type="page"/>
      </w:r>
      <w:r w:rsidRPr="00C944D5">
        <w:rPr>
          <w:rFonts w:ascii="Arial" w:hAnsi="Arial" w:cs="Arial"/>
          <w:b/>
          <w:bCs/>
        </w:rPr>
        <w:lastRenderedPageBreak/>
        <w:t xml:space="preserve">Supplementary Table </w:t>
      </w:r>
      <w:r w:rsidR="00826214" w:rsidRPr="00C944D5">
        <w:rPr>
          <w:rFonts w:ascii="Arial" w:hAnsi="Arial" w:cs="Arial"/>
          <w:b/>
          <w:bCs/>
        </w:rPr>
        <w:t>10</w:t>
      </w:r>
      <w:r w:rsidRPr="00C944D5">
        <w:rPr>
          <w:rFonts w:ascii="Arial" w:hAnsi="Arial" w:cs="Arial"/>
          <w:b/>
          <w:bCs/>
        </w:rPr>
        <w:t xml:space="preserve">. </w:t>
      </w:r>
      <w:r w:rsidRPr="00C944D5">
        <w:rPr>
          <w:rFonts w:ascii="Arial" w:hAnsi="Arial" w:cs="Arial"/>
        </w:rPr>
        <w:t xml:space="preserve"> </w:t>
      </w:r>
      <w:r w:rsidRPr="00DF0A1A">
        <w:rPr>
          <w:rFonts w:ascii="Arial" w:hAnsi="Arial" w:cs="Arial"/>
        </w:rPr>
        <w:t xml:space="preserve">Multivariable linear regression models for the relationship between the DQ scores at </w:t>
      </w:r>
      <w:r>
        <w:rPr>
          <w:rFonts w:ascii="Arial" w:hAnsi="Arial" w:cs="Arial"/>
        </w:rPr>
        <w:t>10</w:t>
      </w:r>
      <w:r w:rsidRPr="00DF0A1A">
        <w:rPr>
          <w:rFonts w:ascii="Arial" w:hAnsi="Arial" w:cs="Arial"/>
        </w:rPr>
        <w:t xml:space="preserve"> years and carotid intima-media thickness and pulse wave velocity at </w:t>
      </w:r>
      <w:r>
        <w:rPr>
          <w:rFonts w:ascii="Arial" w:hAnsi="Arial" w:cs="Arial"/>
        </w:rPr>
        <w:t>24</w:t>
      </w:r>
      <w:r w:rsidRPr="00DF0A1A">
        <w:rPr>
          <w:rFonts w:ascii="Arial" w:hAnsi="Arial" w:cs="Arial"/>
        </w:rPr>
        <w:t xml:space="preserve"> years, using </w:t>
      </w:r>
      <w:r>
        <w:rPr>
          <w:rFonts w:ascii="Arial" w:hAnsi="Arial" w:cs="Arial"/>
        </w:rPr>
        <w:t>complete case</w:t>
      </w:r>
      <w:r w:rsidRPr="00DF0A1A">
        <w:rPr>
          <w:rFonts w:ascii="Arial" w:hAnsi="Arial" w:cs="Arial"/>
        </w:rPr>
        <w:t xml:space="preserve"> datasets in the ALSPAC cohort.</w:t>
      </w:r>
    </w:p>
    <w:p w14:paraId="0515C66C" w14:textId="6E3AFB18" w:rsidR="00E97C8A" w:rsidRDefault="00B37D59" w:rsidP="00325450">
      <w:pPr>
        <w:spacing w:before="240"/>
      </w:pPr>
      <w:r w:rsidRPr="00B37D59">
        <w:rPr>
          <w:noProof/>
        </w:rPr>
        <w:drawing>
          <wp:inline distT="0" distB="0" distL="0" distR="0" wp14:anchorId="39B832CA" wp14:editId="239A9284">
            <wp:extent cx="8526780" cy="5217598"/>
            <wp:effectExtent l="0" t="0" r="762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28" cy="5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DFD9F" w14:textId="30FF80F7" w:rsidR="00D33315" w:rsidRDefault="00D33315" w:rsidP="00697D00">
      <w:pPr>
        <w:spacing w:after="0"/>
        <w:rPr>
          <w:noProof/>
        </w:rPr>
      </w:pPr>
      <w:r w:rsidRPr="00C944D5">
        <w:rPr>
          <w:rFonts w:ascii="Arial" w:hAnsi="Arial" w:cs="Arial"/>
          <w:b/>
          <w:bCs/>
        </w:rPr>
        <w:lastRenderedPageBreak/>
        <w:t xml:space="preserve">Supplementary Table </w:t>
      </w:r>
      <w:r w:rsidR="00796EAD" w:rsidRPr="00C944D5">
        <w:rPr>
          <w:rFonts w:ascii="Arial" w:hAnsi="Arial" w:cs="Arial"/>
          <w:b/>
          <w:bCs/>
        </w:rPr>
        <w:t>1</w:t>
      </w:r>
      <w:r w:rsidR="00826214" w:rsidRPr="00C944D5">
        <w:rPr>
          <w:rFonts w:ascii="Arial" w:hAnsi="Arial" w:cs="Arial"/>
          <w:b/>
          <w:bCs/>
        </w:rPr>
        <w:t>1</w:t>
      </w:r>
      <w:r w:rsidRPr="00C944D5">
        <w:rPr>
          <w:rFonts w:ascii="Arial" w:hAnsi="Arial" w:cs="Arial"/>
          <w:b/>
          <w:bCs/>
        </w:rPr>
        <w:t xml:space="preserve">. </w:t>
      </w:r>
      <w:r w:rsidRPr="00C944D5">
        <w:rPr>
          <w:rFonts w:ascii="Arial" w:hAnsi="Arial" w:cs="Arial"/>
        </w:rPr>
        <w:t xml:space="preserve"> </w:t>
      </w:r>
      <w:r w:rsidRPr="00DF0A1A">
        <w:rPr>
          <w:rFonts w:ascii="Arial" w:hAnsi="Arial" w:cs="Arial"/>
        </w:rPr>
        <w:t xml:space="preserve">Multivariable linear regression models for the relationship between the DQ scores at </w:t>
      </w:r>
      <w:r>
        <w:rPr>
          <w:rFonts w:ascii="Arial" w:hAnsi="Arial" w:cs="Arial"/>
        </w:rPr>
        <w:t>13</w:t>
      </w:r>
      <w:r w:rsidRPr="00DF0A1A">
        <w:rPr>
          <w:rFonts w:ascii="Arial" w:hAnsi="Arial" w:cs="Arial"/>
        </w:rPr>
        <w:t xml:space="preserve"> years and carotid intima-media thickness and pulse wave velocity at </w:t>
      </w:r>
      <w:r>
        <w:rPr>
          <w:rFonts w:ascii="Arial" w:hAnsi="Arial" w:cs="Arial"/>
        </w:rPr>
        <w:t>24</w:t>
      </w:r>
      <w:r w:rsidRPr="00DF0A1A">
        <w:rPr>
          <w:rFonts w:ascii="Arial" w:hAnsi="Arial" w:cs="Arial"/>
        </w:rPr>
        <w:t xml:space="preserve"> years, using </w:t>
      </w:r>
      <w:r>
        <w:rPr>
          <w:rFonts w:ascii="Arial" w:hAnsi="Arial" w:cs="Arial"/>
        </w:rPr>
        <w:t>complete case</w:t>
      </w:r>
      <w:r w:rsidRPr="00DF0A1A">
        <w:rPr>
          <w:rFonts w:ascii="Arial" w:hAnsi="Arial" w:cs="Arial"/>
        </w:rPr>
        <w:t xml:space="preserve"> datasets in the ALSPAC cohort.</w:t>
      </w:r>
    </w:p>
    <w:p w14:paraId="6B6F5416" w14:textId="3C460045" w:rsidR="00611D72" w:rsidRDefault="004C4416" w:rsidP="00325450">
      <w:pPr>
        <w:spacing w:before="240"/>
      </w:pPr>
      <w:r w:rsidRPr="004C4416">
        <w:rPr>
          <w:noProof/>
        </w:rPr>
        <w:drawing>
          <wp:inline distT="0" distB="0" distL="0" distR="0" wp14:anchorId="3BBF2BEC" wp14:editId="366B74A3">
            <wp:extent cx="8501857" cy="52273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193" cy="523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D72" w:rsidSect="007474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F536" w14:textId="77777777" w:rsidR="000E1FFF" w:rsidRDefault="000E1FFF" w:rsidP="00CD67A4">
      <w:pPr>
        <w:spacing w:after="0" w:line="240" w:lineRule="auto"/>
      </w:pPr>
      <w:r>
        <w:separator/>
      </w:r>
    </w:p>
  </w:endnote>
  <w:endnote w:type="continuationSeparator" w:id="0">
    <w:p w14:paraId="6CC48357" w14:textId="77777777" w:rsidR="000E1FFF" w:rsidRDefault="000E1FFF" w:rsidP="00CD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719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332E5" w14:textId="122EF1E2" w:rsidR="008F533B" w:rsidRDefault="008F53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AA2199" w14:textId="77777777" w:rsidR="008F533B" w:rsidRDefault="008F5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B963" w14:textId="77777777" w:rsidR="000E1FFF" w:rsidRDefault="000E1FFF" w:rsidP="00CD67A4">
      <w:pPr>
        <w:spacing w:after="0" w:line="240" w:lineRule="auto"/>
      </w:pPr>
      <w:r>
        <w:separator/>
      </w:r>
    </w:p>
  </w:footnote>
  <w:footnote w:type="continuationSeparator" w:id="0">
    <w:p w14:paraId="772521FE" w14:textId="77777777" w:rsidR="000E1FFF" w:rsidRDefault="000E1FFF" w:rsidP="00CD6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Euro J Epidemi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5ft5z9qdr09oeertmvwape09wpt00d5xfz&quot;&gt;My EndNote Library-Saved&lt;record-ids&gt;&lt;item&gt;84&lt;/item&gt;&lt;item&gt;100&lt;/item&gt;&lt;item&gt;191&lt;/item&gt;&lt;item&gt;251&lt;/item&gt;&lt;item&gt;324&lt;/item&gt;&lt;item&gt;357&lt;/item&gt;&lt;item&gt;370&lt;/item&gt;&lt;item&gt;401&lt;/item&gt;&lt;/record-ids&gt;&lt;/item&gt;&lt;/Libraries&gt;"/>
  </w:docVars>
  <w:rsids>
    <w:rsidRoot w:val="00681983"/>
    <w:rsid w:val="000670A5"/>
    <w:rsid w:val="000E1FFF"/>
    <w:rsid w:val="000E34DD"/>
    <w:rsid w:val="000E57B5"/>
    <w:rsid w:val="000F64E4"/>
    <w:rsid w:val="001234A9"/>
    <w:rsid w:val="00195A91"/>
    <w:rsid w:val="001A5C4D"/>
    <w:rsid w:val="00220CD6"/>
    <w:rsid w:val="0023690B"/>
    <w:rsid w:val="0025590B"/>
    <w:rsid w:val="002D168F"/>
    <w:rsid w:val="002F3908"/>
    <w:rsid w:val="00304A8B"/>
    <w:rsid w:val="00325450"/>
    <w:rsid w:val="00335628"/>
    <w:rsid w:val="00375E8A"/>
    <w:rsid w:val="00394FF1"/>
    <w:rsid w:val="003A5EAE"/>
    <w:rsid w:val="00407A40"/>
    <w:rsid w:val="00423DB5"/>
    <w:rsid w:val="004428C2"/>
    <w:rsid w:val="00481A75"/>
    <w:rsid w:val="004A3781"/>
    <w:rsid w:val="004C4416"/>
    <w:rsid w:val="004C7F91"/>
    <w:rsid w:val="004E1B80"/>
    <w:rsid w:val="005419FD"/>
    <w:rsid w:val="005504B0"/>
    <w:rsid w:val="00567D19"/>
    <w:rsid w:val="00574847"/>
    <w:rsid w:val="005960EC"/>
    <w:rsid w:val="005C509E"/>
    <w:rsid w:val="005F43C2"/>
    <w:rsid w:val="00603926"/>
    <w:rsid w:val="0061199C"/>
    <w:rsid w:val="00611D72"/>
    <w:rsid w:val="00664878"/>
    <w:rsid w:val="00681983"/>
    <w:rsid w:val="00697D00"/>
    <w:rsid w:val="006A37E5"/>
    <w:rsid w:val="007041F4"/>
    <w:rsid w:val="0074745E"/>
    <w:rsid w:val="00792459"/>
    <w:rsid w:val="00792E47"/>
    <w:rsid w:val="00796EAD"/>
    <w:rsid w:val="007A4655"/>
    <w:rsid w:val="007A56EB"/>
    <w:rsid w:val="007B2256"/>
    <w:rsid w:val="007D3F2F"/>
    <w:rsid w:val="007E111E"/>
    <w:rsid w:val="007F33CD"/>
    <w:rsid w:val="00820956"/>
    <w:rsid w:val="00826214"/>
    <w:rsid w:val="00870993"/>
    <w:rsid w:val="008974DD"/>
    <w:rsid w:val="008F533B"/>
    <w:rsid w:val="009010C9"/>
    <w:rsid w:val="009215FD"/>
    <w:rsid w:val="0094263C"/>
    <w:rsid w:val="00942700"/>
    <w:rsid w:val="00953B52"/>
    <w:rsid w:val="00977933"/>
    <w:rsid w:val="009A1BD1"/>
    <w:rsid w:val="009E1B8A"/>
    <w:rsid w:val="00A05F1F"/>
    <w:rsid w:val="00A12C0A"/>
    <w:rsid w:val="00A5012B"/>
    <w:rsid w:val="00A503EA"/>
    <w:rsid w:val="00A52D3A"/>
    <w:rsid w:val="00A6326E"/>
    <w:rsid w:val="00A6646F"/>
    <w:rsid w:val="00A70B48"/>
    <w:rsid w:val="00AB126E"/>
    <w:rsid w:val="00AB2BF3"/>
    <w:rsid w:val="00AB3452"/>
    <w:rsid w:val="00AF55EF"/>
    <w:rsid w:val="00B36BB5"/>
    <w:rsid w:val="00B37D59"/>
    <w:rsid w:val="00B672BD"/>
    <w:rsid w:val="00BB1F7A"/>
    <w:rsid w:val="00BC1229"/>
    <w:rsid w:val="00BE3320"/>
    <w:rsid w:val="00C25642"/>
    <w:rsid w:val="00C379EE"/>
    <w:rsid w:val="00C82B39"/>
    <w:rsid w:val="00C944D5"/>
    <w:rsid w:val="00CB7509"/>
    <w:rsid w:val="00CD67A4"/>
    <w:rsid w:val="00D10A7E"/>
    <w:rsid w:val="00D33315"/>
    <w:rsid w:val="00D53AF6"/>
    <w:rsid w:val="00D80084"/>
    <w:rsid w:val="00DF270A"/>
    <w:rsid w:val="00E01F13"/>
    <w:rsid w:val="00E03A3D"/>
    <w:rsid w:val="00E13B21"/>
    <w:rsid w:val="00E55058"/>
    <w:rsid w:val="00E91305"/>
    <w:rsid w:val="00E97C8A"/>
    <w:rsid w:val="00EE4A0B"/>
    <w:rsid w:val="00F0465A"/>
    <w:rsid w:val="00F12865"/>
    <w:rsid w:val="00F149BF"/>
    <w:rsid w:val="00F50AE9"/>
    <w:rsid w:val="00F64FF6"/>
    <w:rsid w:val="00F832B7"/>
    <w:rsid w:val="00F94158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FBD12"/>
  <w15:chartTrackingRefBased/>
  <w15:docId w15:val="{DABE3C21-68FE-47E7-9989-78F28DF7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19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3B"/>
  </w:style>
  <w:style w:type="paragraph" w:styleId="Footer">
    <w:name w:val="footer"/>
    <w:basedOn w:val="Normal"/>
    <w:link w:val="FooterChar"/>
    <w:uiPriority w:val="99"/>
    <w:unhideWhenUsed/>
    <w:rsid w:val="008F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33B"/>
  </w:style>
  <w:style w:type="paragraph" w:customStyle="1" w:styleId="EndNoteBibliographyTitle">
    <w:name w:val="EndNote Bibliography Title"/>
    <w:basedOn w:val="Normal"/>
    <w:link w:val="EndNoteBibliographyTitleChar"/>
    <w:rsid w:val="00611D7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11D7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11D7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11D72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611D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he-eatwell-guide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ssets.publishing.service.gov.uk/government/uploads/system/uploads/attachment_data/file/618167/government_dietary_recommendations.pdf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D3D9-8E5C-449F-9B4C-56D4A807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Buckland</dc:creator>
  <cp:keywords/>
  <dc:description/>
  <cp:lastModifiedBy>Genevieve Buckland</cp:lastModifiedBy>
  <cp:revision>13</cp:revision>
  <dcterms:created xsi:type="dcterms:W3CDTF">2023-11-24T13:56:00Z</dcterms:created>
  <dcterms:modified xsi:type="dcterms:W3CDTF">2023-11-30T10:28:00Z</dcterms:modified>
</cp:coreProperties>
</file>