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1C21" w14:textId="77777777" w:rsidR="00106BD4" w:rsidRPr="00A6323A" w:rsidRDefault="00106BD4" w:rsidP="00A6323A">
      <w:pPr>
        <w:jc w:val="center"/>
        <w:rPr>
          <w:b/>
          <w:sz w:val="28"/>
          <w:szCs w:val="28"/>
        </w:rPr>
      </w:pPr>
      <w:r w:rsidRPr="00A6323A">
        <w:rPr>
          <w:b/>
          <w:sz w:val="28"/>
          <w:szCs w:val="28"/>
        </w:rPr>
        <w:t>Supplementary Material</w:t>
      </w:r>
    </w:p>
    <w:p w14:paraId="0A90B6A3" w14:textId="7BE782E1" w:rsidR="00A6323A" w:rsidRPr="00A6323A" w:rsidRDefault="00A6323A" w:rsidP="00A6323A">
      <w:pPr>
        <w:jc w:val="center"/>
        <w:rPr>
          <w:bCs/>
          <w:sz w:val="21"/>
          <w:szCs w:val="21"/>
        </w:rPr>
      </w:pPr>
      <w:r w:rsidRPr="00A6323A">
        <w:rPr>
          <w:bCs/>
          <w:sz w:val="21"/>
          <w:szCs w:val="21"/>
        </w:rPr>
        <w:t>Effect</w:t>
      </w:r>
      <w:r w:rsidR="00291402">
        <w:rPr>
          <w:bCs/>
          <w:sz w:val="21"/>
          <w:szCs w:val="21"/>
        </w:rPr>
        <w:t>s</w:t>
      </w:r>
      <w:r w:rsidRPr="00A6323A">
        <w:rPr>
          <w:bCs/>
          <w:sz w:val="21"/>
          <w:szCs w:val="21"/>
        </w:rPr>
        <w:t xml:space="preserve"> of a diverse prebiotic fibre supplement on HbA1c, insulin sensitivity, and inflammatory biomarkers in pre-diabetes: a </w:t>
      </w:r>
      <w:r w:rsidR="00F40FAC">
        <w:rPr>
          <w:bCs/>
          <w:sz w:val="21"/>
          <w:szCs w:val="21"/>
        </w:rPr>
        <w:t xml:space="preserve">pilot </w:t>
      </w:r>
      <w:r w:rsidRPr="00A6323A">
        <w:rPr>
          <w:bCs/>
          <w:sz w:val="21"/>
          <w:szCs w:val="21"/>
        </w:rPr>
        <w:t>randomised placebo-controlled clinical trial</w:t>
      </w:r>
    </w:p>
    <w:p w14:paraId="544C1EDA" w14:textId="77777777" w:rsidR="00A6323A" w:rsidRDefault="00A6323A" w:rsidP="00A6323A">
      <w:pPr>
        <w:jc w:val="center"/>
        <w:rPr>
          <w:b/>
          <w:sz w:val="21"/>
          <w:szCs w:val="21"/>
        </w:rPr>
      </w:pPr>
    </w:p>
    <w:p w14:paraId="04105DF9" w14:textId="1A692C17" w:rsidR="00A6323A" w:rsidRPr="00A6323A" w:rsidRDefault="00A6323A" w:rsidP="00A6323A">
      <w:pPr>
        <w:jc w:val="center"/>
        <w:rPr>
          <w:b/>
          <w:sz w:val="21"/>
          <w:szCs w:val="21"/>
        </w:rPr>
      </w:pPr>
      <w:r>
        <w:rPr>
          <w:b/>
          <w:sz w:val="21"/>
          <w:szCs w:val="21"/>
        </w:rPr>
        <w:t>Hall et al.</w:t>
      </w:r>
    </w:p>
    <w:p w14:paraId="57CD63A5" w14:textId="77777777" w:rsidR="00106BD4" w:rsidRDefault="00106BD4" w:rsidP="00106BD4">
      <w:pPr>
        <w:jc w:val="both"/>
        <w:rPr>
          <w:b/>
          <w:sz w:val="24"/>
          <w:szCs w:val="24"/>
        </w:rPr>
      </w:pPr>
    </w:p>
    <w:p w14:paraId="16665B53" w14:textId="1BFEED27" w:rsidR="00A6323A" w:rsidRDefault="00A6323A" w:rsidP="00106BD4">
      <w:pPr>
        <w:jc w:val="both"/>
        <w:rPr>
          <w:b/>
        </w:rPr>
      </w:pPr>
      <w:r w:rsidRPr="00A6323A">
        <w:rPr>
          <w:b/>
        </w:rPr>
        <w:t>Supplementary Notes</w:t>
      </w:r>
    </w:p>
    <w:p w14:paraId="771E9648" w14:textId="77777777" w:rsidR="00A6323A" w:rsidRPr="00A6323A" w:rsidRDefault="00A6323A" w:rsidP="00106BD4">
      <w:pPr>
        <w:jc w:val="both"/>
        <w:rPr>
          <w:b/>
        </w:rPr>
      </w:pPr>
    </w:p>
    <w:p w14:paraId="06CECE79" w14:textId="1CFBBE66" w:rsidR="00106BD4" w:rsidRPr="00E32BCD" w:rsidRDefault="00106BD4" w:rsidP="00106BD4">
      <w:pPr>
        <w:jc w:val="both"/>
        <w:rPr>
          <w:bCs/>
        </w:rPr>
      </w:pPr>
      <w:r>
        <w:rPr>
          <w:b/>
        </w:rPr>
        <w:t xml:space="preserve">Supplementary Note 1. Participant </w:t>
      </w:r>
      <w:r w:rsidR="00223110">
        <w:rPr>
          <w:b/>
        </w:rPr>
        <w:t>eligibility</w:t>
      </w:r>
      <w:r w:rsidRPr="00E32BCD">
        <w:rPr>
          <w:b/>
        </w:rPr>
        <w:t xml:space="preserve"> criteria</w:t>
      </w:r>
    </w:p>
    <w:p w14:paraId="46D39913" w14:textId="1CDC7CEB" w:rsidR="00106BD4" w:rsidRDefault="00223110" w:rsidP="00106BD4">
      <w:pPr>
        <w:jc w:val="both"/>
        <w:rPr>
          <w:b/>
        </w:rPr>
      </w:pPr>
      <w:r>
        <w:t xml:space="preserve">Eligible participants were men </w:t>
      </w:r>
      <w:r w:rsidRPr="00F574A9">
        <w:t>and postmenopausal women</w:t>
      </w:r>
      <w:r>
        <w:t xml:space="preserve"> with a primary diagnosis of pre-diabetes, but not receiving treatment for type 2 diabetes, with </w:t>
      </w:r>
      <w:r w:rsidRPr="00F574A9">
        <w:t>baseline HBA1c within range of 5.8% (40mmol/mol) to 6.5% (48 mmol/mol)</w:t>
      </w:r>
      <w:r>
        <w:t xml:space="preserve">, who were willing to complete study requirements, and had access to a smartphone or computer. </w:t>
      </w:r>
      <w:r w:rsidR="00106BD4">
        <w:t>Exclusion criteria included participants receiving medication to treat type 1 or type 2 diabetes in the previous 6 months, a BMI &gt;45 kg/m</w:t>
      </w:r>
      <w:r w:rsidR="00106BD4">
        <w:rPr>
          <w:vertAlign w:val="superscript"/>
        </w:rPr>
        <w:t>2</w:t>
      </w:r>
      <w:r w:rsidR="00106BD4">
        <w:t xml:space="preserve">, loss of more than 5% body weight in the last 3 months, current participation in weight loss program or planned in the next 16 weeks, steroid use (except for over the counter NSAIDs, topical steroids, and inhalers), severe hepatic diseases, continuous antibiotic use for &gt;3 days within 4 weeks prior to enrolment, continuous use of weight-loss drug within 3 months of study enrolment, gastrointestinal surgery (except for appendicitis or hernia surgery or co-existing pathology (Crohn’s disease, coeliac disease, endometriosis, prostate cancer)), severe mental illness within 6 months prior to enrolment, receiving drug therapy to treat cholecystitis, peptic ulcers, urinary tract infection, acute pyelonephritis, </w:t>
      </w:r>
      <w:proofErr w:type="spellStart"/>
      <w:r w:rsidR="00106BD4">
        <w:t>urocystitis</w:t>
      </w:r>
      <w:proofErr w:type="spellEnd"/>
      <w:r w:rsidR="00106BD4">
        <w:t xml:space="preserve"> or </w:t>
      </w:r>
      <w:proofErr w:type="spellStart"/>
      <w:r w:rsidR="00106BD4">
        <w:t>hyperthyreosis</w:t>
      </w:r>
      <w:proofErr w:type="spellEnd"/>
      <w:r w:rsidR="00106BD4">
        <w:t>, pituitary dysfunction, severe organic diseases including cancer, coronary heart disease, myocardial infarction or cerebral apoplexy, infectious diseases, including pulmonary tuberculosis and AIDS, history of alcoholism or substance misuse, significant dyslipidaemia, severe hypertension (&gt;160/100 mmHg), use of any food supplements to control blood glucose (e.g., chromium picolinate) within two months of study enrolment. Eligible participants were identified through GP practices, and via social media campaigns. Participants were withdrawn from the trial if they started medications used to control their pre-diabetes.</w:t>
      </w:r>
    </w:p>
    <w:p w14:paraId="3EA452AE" w14:textId="77777777" w:rsidR="00106BD4" w:rsidRDefault="00106BD4" w:rsidP="00106BD4">
      <w:pPr>
        <w:jc w:val="both"/>
        <w:rPr>
          <w:b/>
        </w:rPr>
      </w:pPr>
    </w:p>
    <w:p w14:paraId="4104C2D0" w14:textId="77777777" w:rsidR="00106BD4" w:rsidRPr="00E32BCD" w:rsidRDefault="00106BD4" w:rsidP="00106BD4">
      <w:pPr>
        <w:jc w:val="both"/>
        <w:rPr>
          <w:b/>
          <w:bCs/>
        </w:rPr>
      </w:pPr>
      <w:r w:rsidRPr="00E32BCD">
        <w:rPr>
          <w:b/>
          <w:bCs/>
          <w:color w:val="000000"/>
        </w:rPr>
        <w:t xml:space="preserve">Supplementary Note 2. Nutritional breakdown of diverse prebiotic fibre supplement </w:t>
      </w:r>
    </w:p>
    <w:p w14:paraId="6EB28B16" w14:textId="77777777" w:rsidR="00106BD4" w:rsidRDefault="00106BD4" w:rsidP="00106BD4">
      <w:pPr>
        <w:jc w:val="both"/>
      </w:pPr>
      <w:r>
        <w:t>Each 20g daily sachet of supplement contains the following fibres:</w:t>
      </w:r>
    </w:p>
    <w:p w14:paraId="528ECFEA" w14:textId="77777777" w:rsidR="00106BD4" w:rsidRDefault="00106BD4" w:rsidP="00106BD4">
      <w:pPr>
        <w:numPr>
          <w:ilvl w:val="0"/>
          <w:numId w:val="1"/>
        </w:numPr>
        <w:jc w:val="both"/>
      </w:pPr>
      <w:r>
        <w:t>Wheat fibre (gluten free)</w:t>
      </w:r>
    </w:p>
    <w:p w14:paraId="4BCB26D6" w14:textId="77777777" w:rsidR="00106BD4" w:rsidRDefault="00106BD4" w:rsidP="00106BD4">
      <w:pPr>
        <w:numPr>
          <w:ilvl w:val="0"/>
          <w:numId w:val="1"/>
        </w:numPr>
        <w:jc w:val="both"/>
      </w:pPr>
      <w:r>
        <w:t>Oat fibre (gluten free)</w:t>
      </w:r>
    </w:p>
    <w:p w14:paraId="4B9DCFFC" w14:textId="77777777" w:rsidR="00106BD4" w:rsidRDefault="00106BD4" w:rsidP="00106BD4">
      <w:pPr>
        <w:numPr>
          <w:ilvl w:val="0"/>
          <w:numId w:val="1"/>
        </w:numPr>
        <w:jc w:val="both"/>
      </w:pPr>
      <w:r>
        <w:t xml:space="preserve">Fructooligosaccharides </w:t>
      </w:r>
    </w:p>
    <w:p w14:paraId="0040D423" w14:textId="77777777" w:rsidR="00106BD4" w:rsidRDefault="00106BD4" w:rsidP="00106BD4">
      <w:pPr>
        <w:numPr>
          <w:ilvl w:val="0"/>
          <w:numId w:val="1"/>
        </w:numPr>
        <w:jc w:val="both"/>
      </w:pPr>
      <w:r>
        <w:t>Galactooligosaccharides</w:t>
      </w:r>
    </w:p>
    <w:p w14:paraId="5216F12B" w14:textId="77777777" w:rsidR="00106BD4" w:rsidRDefault="00106BD4" w:rsidP="00106BD4">
      <w:pPr>
        <w:numPr>
          <w:ilvl w:val="0"/>
          <w:numId w:val="1"/>
        </w:numPr>
        <w:jc w:val="both"/>
      </w:pPr>
      <w:r>
        <w:t>Inulin</w:t>
      </w:r>
    </w:p>
    <w:p w14:paraId="552EF023" w14:textId="77777777" w:rsidR="00106BD4" w:rsidRDefault="00106BD4" w:rsidP="00106BD4">
      <w:pPr>
        <w:numPr>
          <w:ilvl w:val="0"/>
          <w:numId w:val="1"/>
        </w:numPr>
        <w:jc w:val="both"/>
      </w:pPr>
      <w:r>
        <w:t>Resistant dextrin</w:t>
      </w:r>
    </w:p>
    <w:p w14:paraId="04BF5E10" w14:textId="77777777" w:rsidR="00106BD4" w:rsidRDefault="00106BD4" w:rsidP="00106BD4">
      <w:pPr>
        <w:numPr>
          <w:ilvl w:val="0"/>
          <w:numId w:val="1"/>
        </w:numPr>
        <w:jc w:val="both"/>
      </w:pPr>
      <w:r>
        <w:t>Resistant maltodextrin</w:t>
      </w:r>
    </w:p>
    <w:p w14:paraId="3C883C24" w14:textId="77777777" w:rsidR="00106BD4" w:rsidRDefault="00106BD4" w:rsidP="00106BD4">
      <w:pPr>
        <w:numPr>
          <w:ilvl w:val="0"/>
          <w:numId w:val="1"/>
        </w:numPr>
        <w:jc w:val="both"/>
      </w:pPr>
      <w:r>
        <w:t xml:space="preserve">Partially hydrolysed guar gum </w:t>
      </w:r>
    </w:p>
    <w:p w14:paraId="517810FC" w14:textId="77777777" w:rsidR="00106BD4" w:rsidRDefault="00106BD4" w:rsidP="00106BD4">
      <w:pPr>
        <w:numPr>
          <w:ilvl w:val="0"/>
          <w:numId w:val="1"/>
        </w:numPr>
        <w:jc w:val="both"/>
      </w:pPr>
      <w:r>
        <w:t xml:space="preserve">Guar gum </w:t>
      </w:r>
    </w:p>
    <w:p w14:paraId="06308092" w14:textId="77777777" w:rsidR="00106BD4" w:rsidRDefault="00106BD4" w:rsidP="00106BD4">
      <w:pPr>
        <w:jc w:val="both"/>
        <w:rPr>
          <w:b/>
        </w:rPr>
      </w:pPr>
    </w:p>
    <w:p w14:paraId="0DC11F88" w14:textId="77777777" w:rsidR="00106BD4" w:rsidRDefault="00106BD4" w:rsidP="00106BD4">
      <w:pPr>
        <w:rPr>
          <w:b/>
        </w:rPr>
      </w:pPr>
      <w:r>
        <w:rPr>
          <w:b/>
        </w:rPr>
        <w:br w:type="page"/>
      </w:r>
    </w:p>
    <w:p w14:paraId="366E2B0D" w14:textId="12F93FA9" w:rsidR="00A6323A" w:rsidRDefault="00A6323A" w:rsidP="00106BD4">
      <w:pPr>
        <w:jc w:val="both"/>
        <w:rPr>
          <w:b/>
        </w:rPr>
      </w:pPr>
      <w:r>
        <w:rPr>
          <w:b/>
        </w:rPr>
        <w:lastRenderedPageBreak/>
        <w:t>Supplementary Tables</w:t>
      </w:r>
    </w:p>
    <w:p w14:paraId="08F22C59" w14:textId="77777777" w:rsidR="00A6323A" w:rsidRDefault="00A6323A" w:rsidP="00106BD4">
      <w:pPr>
        <w:jc w:val="both"/>
        <w:rPr>
          <w:b/>
        </w:rPr>
      </w:pPr>
    </w:p>
    <w:p w14:paraId="44E36A9D" w14:textId="1DDCB08F" w:rsidR="00106BD4" w:rsidRPr="00E32BCD" w:rsidRDefault="00106BD4" w:rsidP="00106BD4">
      <w:pPr>
        <w:jc w:val="both"/>
        <w:rPr>
          <w:b/>
        </w:rPr>
      </w:pPr>
      <w:r w:rsidRPr="00E32BCD">
        <w:rPr>
          <w:b/>
        </w:rPr>
        <w:t>Supplementary Table 1. Nutritional composition of prebiotic fibre supplement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06BD4" w14:paraId="69DD5F95" w14:textId="77777777" w:rsidTr="00E50785">
        <w:tc>
          <w:tcPr>
            <w:tcW w:w="234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637DEA71"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Typical Values</w:t>
            </w:r>
          </w:p>
        </w:tc>
        <w:tc>
          <w:tcPr>
            <w:tcW w:w="234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7097CFFB"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Per 100g</w:t>
            </w:r>
          </w:p>
        </w:tc>
        <w:tc>
          <w:tcPr>
            <w:tcW w:w="234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0B12D5B6"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Per portion (10g)</w:t>
            </w:r>
          </w:p>
        </w:tc>
        <w:tc>
          <w:tcPr>
            <w:tcW w:w="234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6C9D4E9A"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 DV</w:t>
            </w:r>
          </w:p>
        </w:tc>
      </w:tr>
      <w:tr w:rsidR="00106BD4" w14:paraId="31A76D49" w14:textId="77777777" w:rsidTr="00E50785">
        <w:tc>
          <w:tcPr>
            <w:tcW w:w="2340" w:type="dxa"/>
            <w:tcBorders>
              <w:top w:val="single" w:sz="12"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A8B7DC"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Energy</w:t>
            </w:r>
          </w:p>
        </w:tc>
        <w:tc>
          <w:tcPr>
            <w:tcW w:w="2340" w:type="dxa"/>
            <w:tcBorders>
              <w:top w:val="single" w:sz="12"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A25FDF"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185 kcal</w:t>
            </w:r>
          </w:p>
          <w:p w14:paraId="3344A5AF"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774 kJ</w:t>
            </w:r>
          </w:p>
        </w:tc>
        <w:tc>
          <w:tcPr>
            <w:tcW w:w="2340" w:type="dxa"/>
            <w:tcBorders>
              <w:top w:val="single" w:sz="12"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9502D6"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20 kcal</w:t>
            </w:r>
          </w:p>
          <w:p w14:paraId="4E9ACAE5"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85 kJ</w:t>
            </w:r>
          </w:p>
        </w:tc>
        <w:tc>
          <w:tcPr>
            <w:tcW w:w="2340" w:type="dxa"/>
            <w:tcBorders>
              <w:top w:val="single" w:sz="12" w:space="0" w:color="000000"/>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669679"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w:t>
            </w:r>
          </w:p>
        </w:tc>
      </w:tr>
      <w:tr w:rsidR="00106BD4" w14:paraId="0958B56C" w14:textId="77777777" w:rsidTr="00E50785">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184E60"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Fat</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83B64E"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0.0g</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F5AADF"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0.0g</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A9135C"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w:t>
            </w:r>
          </w:p>
        </w:tc>
      </w:tr>
      <w:tr w:rsidR="00106BD4" w14:paraId="5D2821BA" w14:textId="77777777" w:rsidTr="00E50785">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34B399"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Carbohydrate</w:t>
            </w:r>
          </w:p>
          <w:p w14:paraId="1FDAB360"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From sugar</w:t>
            </w:r>
          </w:p>
          <w:p w14:paraId="24202598"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Dietary fibre</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4F0925"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100g</w:t>
            </w:r>
          </w:p>
          <w:p w14:paraId="731E8A82"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1.4g</w:t>
            </w:r>
          </w:p>
          <w:p w14:paraId="75B494A9"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98.6g</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B81427"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10g</w:t>
            </w:r>
          </w:p>
          <w:p w14:paraId="4FE9E047"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0.1g</w:t>
            </w:r>
          </w:p>
          <w:p w14:paraId="5A4DE1E7"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9.8g</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E03A26"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3%</w:t>
            </w:r>
          </w:p>
          <w:p w14:paraId="4D23BED6"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0.4%</w:t>
            </w:r>
          </w:p>
          <w:p w14:paraId="6F5CFB78"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35%</w:t>
            </w:r>
          </w:p>
        </w:tc>
      </w:tr>
      <w:tr w:rsidR="00106BD4" w14:paraId="529052CB" w14:textId="77777777" w:rsidTr="00E50785">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A2D594"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Protein</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E87604"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0.0g</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045CD5"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0.0g</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6A2814"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w:t>
            </w:r>
          </w:p>
        </w:tc>
      </w:tr>
      <w:tr w:rsidR="00106BD4" w14:paraId="2B66A3BE" w14:textId="77777777" w:rsidTr="00E50785">
        <w:tc>
          <w:tcPr>
            <w:tcW w:w="23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5C51330" w14:textId="77777777" w:rsidR="00106BD4" w:rsidRDefault="00106BD4" w:rsidP="00E50785">
            <w:pPr>
              <w:widowControl w:val="0"/>
              <w:pBdr>
                <w:top w:val="nil"/>
                <w:left w:val="nil"/>
                <w:bottom w:val="nil"/>
                <w:right w:val="nil"/>
                <w:between w:val="nil"/>
              </w:pBdr>
              <w:spacing w:line="240" w:lineRule="auto"/>
              <w:rPr>
                <w:b/>
                <w:sz w:val="20"/>
                <w:szCs w:val="20"/>
              </w:rPr>
            </w:pPr>
            <w:r>
              <w:rPr>
                <w:b/>
                <w:sz w:val="20"/>
                <w:szCs w:val="20"/>
              </w:rPr>
              <w:t>Salt</w:t>
            </w:r>
          </w:p>
        </w:tc>
        <w:tc>
          <w:tcPr>
            <w:tcW w:w="23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47DB8F4"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0.0g</w:t>
            </w:r>
          </w:p>
        </w:tc>
        <w:tc>
          <w:tcPr>
            <w:tcW w:w="23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62D6267"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0.0g</w:t>
            </w:r>
          </w:p>
        </w:tc>
        <w:tc>
          <w:tcPr>
            <w:tcW w:w="23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624C356" w14:textId="77777777" w:rsidR="00106BD4" w:rsidRDefault="00106BD4" w:rsidP="00E50785">
            <w:pPr>
              <w:widowControl w:val="0"/>
              <w:pBdr>
                <w:top w:val="nil"/>
                <w:left w:val="nil"/>
                <w:bottom w:val="nil"/>
                <w:right w:val="nil"/>
                <w:between w:val="nil"/>
              </w:pBdr>
              <w:spacing w:line="240" w:lineRule="auto"/>
              <w:rPr>
                <w:sz w:val="20"/>
                <w:szCs w:val="20"/>
              </w:rPr>
            </w:pPr>
            <w:r>
              <w:rPr>
                <w:sz w:val="20"/>
                <w:szCs w:val="20"/>
              </w:rPr>
              <w:t>0%</w:t>
            </w:r>
          </w:p>
        </w:tc>
      </w:tr>
    </w:tbl>
    <w:p w14:paraId="1BA48046" w14:textId="77777777" w:rsidR="00106BD4" w:rsidRDefault="00106BD4" w:rsidP="00106BD4">
      <w:pPr>
        <w:jc w:val="both"/>
      </w:pPr>
    </w:p>
    <w:p w14:paraId="10D9C584" w14:textId="77777777" w:rsidR="00106BD4" w:rsidRDefault="00106BD4" w:rsidP="00106BD4">
      <w:pPr>
        <w:jc w:val="both"/>
      </w:pPr>
    </w:p>
    <w:p w14:paraId="0D7B0264" w14:textId="77777777" w:rsidR="00106BD4" w:rsidRPr="00E32BCD" w:rsidRDefault="00106BD4" w:rsidP="00106BD4">
      <w:pPr>
        <w:jc w:val="both"/>
        <w:rPr>
          <w:b/>
        </w:rPr>
      </w:pPr>
      <w:r w:rsidRPr="00E32BCD">
        <w:rPr>
          <w:b/>
        </w:rPr>
        <w:t>Supplementary Table 2. Adverse events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1665"/>
        <w:gridCol w:w="2220"/>
        <w:gridCol w:w="2010"/>
      </w:tblGrid>
      <w:tr w:rsidR="00106BD4" w14:paraId="30A9F91F" w14:textId="77777777" w:rsidTr="00E50785">
        <w:tc>
          <w:tcPr>
            <w:tcW w:w="3465"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43177AF6" w14:textId="77777777" w:rsidR="00106BD4" w:rsidRDefault="00106BD4" w:rsidP="00E50785">
            <w:pPr>
              <w:widowControl w:val="0"/>
              <w:pBdr>
                <w:top w:val="nil"/>
                <w:left w:val="nil"/>
                <w:bottom w:val="nil"/>
                <w:right w:val="nil"/>
                <w:between w:val="nil"/>
              </w:pBdr>
              <w:spacing w:line="240" w:lineRule="auto"/>
              <w:rPr>
                <w:b/>
              </w:rPr>
            </w:pPr>
            <w:r>
              <w:rPr>
                <w:b/>
              </w:rPr>
              <w:t>Type of Adverse Event</w:t>
            </w:r>
          </w:p>
        </w:tc>
        <w:tc>
          <w:tcPr>
            <w:tcW w:w="1665"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76D517E4" w14:textId="77777777" w:rsidR="00106BD4" w:rsidRDefault="00106BD4" w:rsidP="00E50785">
            <w:pPr>
              <w:widowControl w:val="0"/>
              <w:pBdr>
                <w:top w:val="nil"/>
                <w:left w:val="nil"/>
                <w:bottom w:val="nil"/>
                <w:right w:val="nil"/>
                <w:between w:val="nil"/>
              </w:pBdr>
              <w:spacing w:line="240" w:lineRule="auto"/>
              <w:jc w:val="center"/>
              <w:rPr>
                <w:b/>
                <w:i/>
              </w:rPr>
            </w:pPr>
            <w:r>
              <w:rPr>
                <w:b/>
                <w:i/>
              </w:rPr>
              <w:t>n</w:t>
            </w:r>
          </w:p>
        </w:tc>
        <w:tc>
          <w:tcPr>
            <w:tcW w:w="222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68026E93" w14:textId="77777777" w:rsidR="00106BD4" w:rsidRDefault="00106BD4" w:rsidP="00E50785">
            <w:pPr>
              <w:widowControl w:val="0"/>
              <w:pBdr>
                <w:top w:val="nil"/>
                <w:left w:val="nil"/>
                <w:bottom w:val="nil"/>
                <w:right w:val="nil"/>
                <w:between w:val="nil"/>
              </w:pBdr>
              <w:spacing w:line="240" w:lineRule="auto"/>
              <w:jc w:val="center"/>
              <w:rPr>
                <w:b/>
              </w:rPr>
            </w:pPr>
            <w:r>
              <w:rPr>
                <w:b/>
              </w:rPr>
              <w:t>Treatment (</w:t>
            </w:r>
            <w:r>
              <w:rPr>
                <w:b/>
                <w:i/>
              </w:rPr>
              <w:t>n</w:t>
            </w:r>
            <w:r>
              <w:rPr>
                <w:b/>
              </w:rPr>
              <w:t>)</w:t>
            </w:r>
          </w:p>
        </w:tc>
        <w:tc>
          <w:tcPr>
            <w:tcW w:w="2010" w:type="dxa"/>
            <w:tcBorders>
              <w:top w:val="single" w:sz="8" w:space="0" w:color="FFFFFF"/>
              <w:left w:val="single" w:sz="8" w:space="0" w:color="FFFFFF"/>
              <w:bottom w:val="single" w:sz="12" w:space="0" w:color="000000"/>
              <w:right w:val="single" w:sz="8" w:space="0" w:color="FFFFFF"/>
            </w:tcBorders>
            <w:shd w:val="clear" w:color="auto" w:fill="auto"/>
            <w:tcMar>
              <w:top w:w="100" w:type="dxa"/>
              <w:left w:w="100" w:type="dxa"/>
              <w:bottom w:w="100" w:type="dxa"/>
              <w:right w:w="100" w:type="dxa"/>
            </w:tcMar>
          </w:tcPr>
          <w:p w14:paraId="4058FB35" w14:textId="77777777" w:rsidR="00106BD4" w:rsidRDefault="00106BD4" w:rsidP="00E50785">
            <w:pPr>
              <w:widowControl w:val="0"/>
              <w:pBdr>
                <w:top w:val="nil"/>
                <w:left w:val="nil"/>
                <w:bottom w:val="nil"/>
                <w:right w:val="nil"/>
                <w:between w:val="nil"/>
              </w:pBdr>
              <w:spacing w:line="240" w:lineRule="auto"/>
              <w:jc w:val="center"/>
              <w:rPr>
                <w:b/>
              </w:rPr>
            </w:pPr>
            <w:r>
              <w:rPr>
                <w:b/>
              </w:rPr>
              <w:t>Placebo (</w:t>
            </w:r>
            <w:r>
              <w:rPr>
                <w:b/>
                <w:i/>
              </w:rPr>
              <w:t>n</w:t>
            </w:r>
            <w:r>
              <w:rPr>
                <w:b/>
              </w:rPr>
              <w:t>)</w:t>
            </w:r>
          </w:p>
        </w:tc>
      </w:tr>
      <w:tr w:rsidR="00106BD4" w14:paraId="25839750"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C6DE13" w14:textId="77777777" w:rsidR="00106BD4" w:rsidRDefault="00106BD4" w:rsidP="00E50785">
            <w:pPr>
              <w:widowControl w:val="0"/>
              <w:pBdr>
                <w:top w:val="nil"/>
                <w:left w:val="nil"/>
                <w:bottom w:val="nil"/>
                <w:right w:val="nil"/>
                <w:between w:val="nil"/>
              </w:pBdr>
              <w:spacing w:line="240" w:lineRule="auto"/>
            </w:pPr>
            <w:r>
              <w:t>Bloating/wind</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424123" w14:textId="77777777" w:rsidR="00106BD4" w:rsidRDefault="00106BD4" w:rsidP="00E50785">
            <w:pPr>
              <w:widowControl w:val="0"/>
              <w:pBdr>
                <w:top w:val="nil"/>
                <w:left w:val="nil"/>
                <w:bottom w:val="nil"/>
                <w:right w:val="nil"/>
                <w:between w:val="nil"/>
              </w:pBdr>
              <w:spacing w:line="240" w:lineRule="auto"/>
              <w:jc w:val="center"/>
            </w:pPr>
            <w:r>
              <w:t>14</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C9CB6F" w14:textId="77777777" w:rsidR="00106BD4" w:rsidRDefault="00106BD4" w:rsidP="00E50785">
            <w:pPr>
              <w:widowControl w:val="0"/>
              <w:pBdr>
                <w:top w:val="nil"/>
                <w:left w:val="nil"/>
                <w:bottom w:val="nil"/>
                <w:right w:val="nil"/>
                <w:between w:val="nil"/>
              </w:pBdr>
              <w:spacing w:line="240" w:lineRule="auto"/>
              <w:jc w:val="center"/>
            </w:pPr>
            <w:r>
              <w:t>12</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8E3491" w14:textId="77777777" w:rsidR="00106BD4" w:rsidRDefault="00106BD4" w:rsidP="00E50785">
            <w:pPr>
              <w:widowControl w:val="0"/>
              <w:pBdr>
                <w:top w:val="nil"/>
                <w:left w:val="nil"/>
                <w:bottom w:val="nil"/>
                <w:right w:val="nil"/>
                <w:between w:val="nil"/>
              </w:pBdr>
              <w:spacing w:line="240" w:lineRule="auto"/>
              <w:jc w:val="center"/>
            </w:pPr>
            <w:r>
              <w:t>2</w:t>
            </w:r>
          </w:p>
        </w:tc>
      </w:tr>
      <w:tr w:rsidR="00106BD4" w14:paraId="5BBA907E" w14:textId="77777777" w:rsidTr="00E50785">
        <w:tc>
          <w:tcPr>
            <w:tcW w:w="346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44509C9F" w14:textId="77777777" w:rsidR="00106BD4" w:rsidRDefault="00106BD4" w:rsidP="00E50785">
            <w:pPr>
              <w:widowControl w:val="0"/>
              <w:spacing w:line="240" w:lineRule="auto"/>
            </w:pPr>
            <w:r>
              <w:t>Diarrhoea/loose stools</w:t>
            </w:r>
          </w:p>
        </w:tc>
        <w:tc>
          <w:tcPr>
            <w:tcW w:w="1665"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63956151" w14:textId="77777777" w:rsidR="00106BD4" w:rsidRDefault="00106BD4" w:rsidP="00E50785">
            <w:pPr>
              <w:widowControl w:val="0"/>
              <w:spacing w:line="240" w:lineRule="auto"/>
              <w:jc w:val="center"/>
            </w:pPr>
            <w:r>
              <w:t>10</w:t>
            </w:r>
          </w:p>
        </w:tc>
        <w:tc>
          <w:tcPr>
            <w:tcW w:w="2220"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74C34D4B" w14:textId="77777777" w:rsidR="00106BD4" w:rsidRDefault="00106BD4" w:rsidP="00E50785">
            <w:pPr>
              <w:widowControl w:val="0"/>
              <w:spacing w:line="240" w:lineRule="auto"/>
              <w:jc w:val="center"/>
            </w:pPr>
            <w:r>
              <w:t>9</w:t>
            </w:r>
          </w:p>
        </w:tc>
        <w:tc>
          <w:tcPr>
            <w:tcW w:w="2010" w:type="dxa"/>
            <w:tcBorders>
              <w:top w:val="single" w:sz="8" w:space="0" w:color="FFFFFF"/>
              <w:left w:val="single" w:sz="8" w:space="0" w:color="FFFFFF"/>
              <w:bottom w:val="single" w:sz="12" w:space="0" w:color="FFFFFF"/>
              <w:right w:val="single" w:sz="8" w:space="0" w:color="FFFFFF"/>
            </w:tcBorders>
            <w:shd w:val="clear" w:color="auto" w:fill="auto"/>
            <w:tcMar>
              <w:top w:w="100" w:type="dxa"/>
              <w:left w:w="100" w:type="dxa"/>
              <w:bottom w:w="100" w:type="dxa"/>
              <w:right w:w="100" w:type="dxa"/>
            </w:tcMar>
          </w:tcPr>
          <w:p w14:paraId="03793388" w14:textId="77777777" w:rsidR="00106BD4" w:rsidRDefault="00106BD4" w:rsidP="00E50785">
            <w:pPr>
              <w:widowControl w:val="0"/>
              <w:spacing w:line="240" w:lineRule="auto"/>
              <w:jc w:val="center"/>
            </w:pPr>
            <w:r>
              <w:t>1</w:t>
            </w:r>
          </w:p>
        </w:tc>
      </w:tr>
      <w:tr w:rsidR="00106BD4" w14:paraId="2C7C8374"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46126F" w14:textId="77777777" w:rsidR="00106BD4" w:rsidRDefault="00106BD4" w:rsidP="00E50785">
            <w:pPr>
              <w:widowControl w:val="0"/>
              <w:spacing w:line="240" w:lineRule="auto"/>
            </w:pPr>
            <w:r>
              <w:t>Abdominal pain/discomfort</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3DEBF0" w14:textId="77777777" w:rsidR="00106BD4" w:rsidRDefault="00106BD4" w:rsidP="00E50785">
            <w:pPr>
              <w:widowControl w:val="0"/>
              <w:spacing w:line="240" w:lineRule="auto"/>
              <w:jc w:val="center"/>
            </w:pPr>
            <w:r>
              <w:t>9</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913833" w14:textId="77777777" w:rsidR="00106BD4" w:rsidRDefault="00106BD4" w:rsidP="00E50785">
            <w:pPr>
              <w:widowControl w:val="0"/>
              <w:spacing w:line="240" w:lineRule="auto"/>
              <w:jc w:val="center"/>
            </w:pPr>
            <w:r>
              <w:t>6</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25A01E" w14:textId="77777777" w:rsidR="00106BD4" w:rsidRDefault="00106BD4" w:rsidP="00E50785">
            <w:pPr>
              <w:widowControl w:val="0"/>
              <w:spacing w:line="240" w:lineRule="auto"/>
              <w:jc w:val="center"/>
            </w:pPr>
            <w:r>
              <w:t>3</w:t>
            </w:r>
          </w:p>
        </w:tc>
      </w:tr>
      <w:tr w:rsidR="00106BD4" w14:paraId="73D7E798" w14:textId="77777777" w:rsidTr="00E50785">
        <w:tc>
          <w:tcPr>
            <w:tcW w:w="3465"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CBC9D7" w14:textId="77777777" w:rsidR="00106BD4" w:rsidRDefault="00106BD4" w:rsidP="00E50785">
            <w:pPr>
              <w:widowControl w:val="0"/>
              <w:spacing w:line="240" w:lineRule="auto"/>
            </w:pPr>
            <w:r>
              <w:t>HbA1c over 6.5%</w:t>
            </w:r>
          </w:p>
        </w:tc>
        <w:tc>
          <w:tcPr>
            <w:tcW w:w="1665"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0B08A3" w14:textId="77777777" w:rsidR="00106BD4" w:rsidRDefault="00106BD4" w:rsidP="00E50785">
            <w:pPr>
              <w:widowControl w:val="0"/>
              <w:spacing w:line="240" w:lineRule="auto"/>
              <w:jc w:val="center"/>
            </w:pPr>
            <w:r>
              <w:t>8</w:t>
            </w:r>
          </w:p>
        </w:tc>
        <w:tc>
          <w:tcPr>
            <w:tcW w:w="2220"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570C4A" w14:textId="77777777" w:rsidR="00106BD4" w:rsidRDefault="00106BD4" w:rsidP="00E50785">
            <w:pPr>
              <w:widowControl w:val="0"/>
              <w:spacing w:line="240" w:lineRule="auto"/>
              <w:jc w:val="center"/>
            </w:pPr>
            <w:r>
              <w:t>6</w:t>
            </w:r>
          </w:p>
        </w:tc>
        <w:tc>
          <w:tcPr>
            <w:tcW w:w="2010" w:type="dxa"/>
            <w:tcBorders>
              <w:top w:val="single" w:sz="12"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7F39C3" w14:textId="77777777" w:rsidR="00106BD4" w:rsidRDefault="00106BD4" w:rsidP="00E50785">
            <w:pPr>
              <w:widowControl w:val="0"/>
              <w:spacing w:line="240" w:lineRule="auto"/>
              <w:jc w:val="center"/>
            </w:pPr>
            <w:r>
              <w:t>2</w:t>
            </w:r>
          </w:p>
        </w:tc>
      </w:tr>
      <w:tr w:rsidR="00106BD4" w14:paraId="7338AEF9"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DCB8CA" w14:textId="77777777" w:rsidR="00106BD4" w:rsidRDefault="00106BD4" w:rsidP="00E50785">
            <w:pPr>
              <w:widowControl w:val="0"/>
              <w:pBdr>
                <w:top w:val="nil"/>
                <w:left w:val="nil"/>
                <w:bottom w:val="nil"/>
                <w:right w:val="nil"/>
                <w:between w:val="nil"/>
              </w:pBdr>
              <w:spacing w:line="240" w:lineRule="auto"/>
            </w:pPr>
            <w:r>
              <w:t>Constipation</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A9FFE9" w14:textId="77777777" w:rsidR="00106BD4" w:rsidRDefault="00106BD4" w:rsidP="00E50785">
            <w:pPr>
              <w:widowControl w:val="0"/>
              <w:pBdr>
                <w:top w:val="nil"/>
                <w:left w:val="nil"/>
                <w:bottom w:val="nil"/>
                <w:right w:val="nil"/>
                <w:between w:val="nil"/>
              </w:pBdr>
              <w:spacing w:line="240" w:lineRule="auto"/>
              <w:jc w:val="center"/>
            </w:pPr>
            <w:r>
              <w:t>7</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CB8860" w14:textId="77777777" w:rsidR="00106BD4" w:rsidRDefault="00106BD4" w:rsidP="00E50785">
            <w:pPr>
              <w:widowControl w:val="0"/>
              <w:pBdr>
                <w:top w:val="nil"/>
                <w:left w:val="nil"/>
                <w:bottom w:val="nil"/>
                <w:right w:val="nil"/>
                <w:between w:val="nil"/>
              </w:pBdr>
              <w:spacing w:line="240" w:lineRule="auto"/>
              <w:jc w:val="center"/>
            </w:pPr>
            <w:r>
              <w:t>3</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3BB919" w14:textId="77777777" w:rsidR="00106BD4" w:rsidRDefault="00106BD4" w:rsidP="00E50785">
            <w:pPr>
              <w:widowControl w:val="0"/>
              <w:pBdr>
                <w:top w:val="nil"/>
                <w:left w:val="nil"/>
                <w:bottom w:val="nil"/>
                <w:right w:val="nil"/>
                <w:between w:val="nil"/>
              </w:pBdr>
              <w:spacing w:line="240" w:lineRule="auto"/>
              <w:jc w:val="center"/>
            </w:pPr>
            <w:r>
              <w:t>4</w:t>
            </w:r>
          </w:p>
        </w:tc>
      </w:tr>
      <w:tr w:rsidR="00106BD4" w14:paraId="58E64868"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9D7DD1" w14:textId="77777777" w:rsidR="00106BD4" w:rsidRDefault="00106BD4" w:rsidP="00E50785">
            <w:pPr>
              <w:widowControl w:val="0"/>
              <w:pBdr>
                <w:top w:val="nil"/>
                <w:left w:val="nil"/>
                <w:bottom w:val="nil"/>
                <w:right w:val="nil"/>
                <w:between w:val="nil"/>
              </w:pBdr>
              <w:spacing w:line="240" w:lineRule="auto"/>
            </w:pPr>
            <w:r>
              <w:t>Appetite changes</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F0A268" w14:textId="77777777" w:rsidR="00106BD4" w:rsidRDefault="00106BD4" w:rsidP="00E50785">
            <w:pPr>
              <w:widowControl w:val="0"/>
              <w:pBdr>
                <w:top w:val="nil"/>
                <w:left w:val="nil"/>
                <w:bottom w:val="nil"/>
                <w:right w:val="nil"/>
                <w:between w:val="nil"/>
              </w:pBdr>
              <w:spacing w:line="240" w:lineRule="auto"/>
              <w:jc w:val="center"/>
            </w:pPr>
            <w:r>
              <w:t>5</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E931D56" w14:textId="77777777" w:rsidR="00106BD4" w:rsidRDefault="00106BD4" w:rsidP="00E50785">
            <w:pPr>
              <w:widowControl w:val="0"/>
              <w:pBdr>
                <w:top w:val="nil"/>
                <w:left w:val="nil"/>
                <w:bottom w:val="nil"/>
                <w:right w:val="nil"/>
                <w:between w:val="nil"/>
              </w:pBdr>
              <w:spacing w:line="240" w:lineRule="auto"/>
              <w:jc w:val="center"/>
            </w:pPr>
            <w:r>
              <w:t>5</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D956DE" w14:textId="77777777" w:rsidR="00106BD4" w:rsidRDefault="00106BD4" w:rsidP="00E50785">
            <w:pPr>
              <w:widowControl w:val="0"/>
              <w:pBdr>
                <w:top w:val="nil"/>
                <w:left w:val="nil"/>
                <w:bottom w:val="nil"/>
                <w:right w:val="nil"/>
                <w:between w:val="nil"/>
              </w:pBdr>
              <w:spacing w:line="240" w:lineRule="auto"/>
              <w:jc w:val="center"/>
            </w:pPr>
            <w:r>
              <w:t>0</w:t>
            </w:r>
          </w:p>
        </w:tc>
      </w:tr>
      <w:tr w:rsidR="00106BD4" w14:paraId="257355CE"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749BBF" w14:textId="77777777" w:rsidR="00106BD4" w:rsidRDefault="00106BD4" w:rsidP="00E50785">
            <w:pPr>
              <w:widowControl w:val="0"/>
              <w:pBdr>
                <w:top w:val="nil"/>
                <w:left w:val="nil"/>
                <w:bottom w:val="nil"/>
                <w:right w:val="nil"/>
                <w:between w:val="nil"/>
              </w:pBdr>
              <w:spacing w:line="240" w:lineRule="auto"/>
            </w:pPr>
            <w:r>
              <w:t>Dizziness</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879952" w14:textId="77777777" w:rsidR="00106BD4" w:rsidRDefault="00106BD4" w:rsidP="00E50785">
            <w:pPr>
              <w:widowControl w:val="0"/>
              <w:pBdr>
                <w:top w:val="nil"/>
                <w:left w:val="nil"/>
                <w:bottom w:val="nil"/>
                <w:right w:val="nil"/>
                <w:between w:val="nil"/>
              </w:pBdr>
              <w:spacing w:line="240" w:lineRule="auto"/>
              <w:jc w:val="center"/>
            </w:pPr>
            <w:r>
              <w:t>2</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11BBB4" w14:textId="77777777" w:rsidR="00106BD4" w:rsidRDefault="00106BD4" w:rsidP="00E50785">
            <w:pPr>
              <w:widowControl w:val="0"/>
              <w:pBdr>
                <w:top w:val="nil"/>
                <w:left w:val="nil"/>
                <w:bottom w:val="nil"/>
                <w:right w:val="nil"/>
                <w:between w:val="nil"/>
              </w:pBdr>
              <w:spacing w:line="240" w:lineRule="auto"/>
              <w:jc w:val="center"/>
            </w:pPr>
            <w:r>
              <w:t>0</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5AA4DB" w14:textId="77777777" w:rsidR="00106BD4" w:rsidRDefault="00106BD4" w:rsidP="00E50785">
            <w:pPr>
              <w:widowControl w:val="0"/>
              <w:pBdr>
                <w:top w:val="nil"/>
                <w:left w:val="nil"/>
                <w:bottom w:val="nil"/>
                <w:right w:val="nil"/>
                <w:between w:val="nil"/>
              </w:pBdr>
              <w:spacing w:line="240" w:lineRule="auto"/>
              <w:jc w:val="center"/>
            </w:pPr>
            <w:r>
              <w:t>2</w:t>
            </w:r>
          </w:p>
        </w:tc>
      </w:tr>
      <w:tr w:rsidR="00106BD4" w14:paraId="45A26233"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AF7735" w14:textId="77777777" w:rsidR="00106BD4" w:rsidRDefault="00106BD4" w:rsidP="00E50785">
            <w:pPr>
              <w:widowControl w:val="0"/>
              <w:pBdr>
                <w:top w:val="nil"/>
                <w:left w:val="nil"/>
                <w:bottom w:val="nil"/>
                <w:right w:val="nil"/>
                <w:between w:val="nil"/>
              </w:pBdr>
              <w:spacing w:line="240" w:lineRule="auto"/>
            </w:pPr>
            <w:r>
              <w:t>Heartburn</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7D0F02" w14:textId="77777777" w:rsidR="00106BD4" w:rsidRDefault="00106BD4" w:rsidP="00E50785">
            <w:pPr>
              <w:widowControl w:val="0"/>
              <w:pBdr>
                <w:top w:val="nil"/>
                <w:left w:val="nil"/>
                <w:bottom w:val="nil"/>
                <w:right w:val="nil"/>
                <w:between w:val="nil"/>
              </w:pBdr>
              <w:spacing w:line="240" w:lineRule="auto"/>
              <w:jc w:val="center"/>
            </w:pPr>
            <w:r>
              <w:t>2</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B5A900" w14:textId="77777777" w:rsidR="00106BD4" w:rsidRDefault="00106BD4" w:rsidP="00E50785">
            <w:pPr>
              <w:widowControl w:val="0"/>
              <w:pBdr>
                <w:top w:val="nil"/>
                <w:left w:val="nil"/>
                <w:bottom w:val="nil"/>
                <w:right w:val="nil"/>
                <w:between w:val="nil"/>
              </w:pBdr>
              <w:spacing w:line="240" w:lineRule="auto"/>
              <w:jc w:val="center"/>
            </w:pPr>
            <w:r>
              <w:t>0</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2146B6" w14:textId="77777777" w:rsidR="00106BD4" w:rsidRDefault="00106BD4" w:rsidP="00E50785">
            <w:pPr>
              <w:widowControl w:val="0"/>
              <w:pBdr>
                <w:top w:val="nil"/>
                <w:left w:val="nil"/>
                <w:bottom w:val="nil"/>
                <w:right w:val="nil"/>
                <w:between w:val="nil"/>
              </w:pBdr>
              <w:spacing w:line="240" w:lineRule="auto"/>
              <w:jc w:val="center"/>
            </w:pPr>
            <w:r>
              <w:t>0</w:t>
            </w:r>
          </w:p>
        </w:tc>
      </w:tr>
      <w:tr w:rsidR="00106BD4" w14:paraId="3F0FE79C"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9E0D35" w14:textId="77777777" w:rsidR="00106BD4" w:rsidRDefault="00106BD4" w:rsidP="00E50785">
            <w:pPr>
              <w:widowControl w:val="0"/>
              <w:pBdr>
                <w:top w:val="nil"/>
                <w:left w:val="nil"/>
                <w:bottom w:val="nil"/>
                <w:right w:val="nil"/>
                <w:between w:val="nil"/>
              </w:pBdr>
              <w:spacing w:line="240" w:lineRule="auto"/>
            </w:pPr>
            <w:r>
              <w:t>High blood pressure</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6D5317" w14:textId="77777777" w:rsidR="00106BD4" w:rsidRDefault="00106BD4" w:rsidP="00E50785">
            <w:pPr>
              <w:widowControl w:val="0"/>
              <w:pBdr>
                <w:top w:val="nil"/>
                <w:left w:val="nil"/>
                <w:bottom w:val="nil"/>
                <w:right w:val="nil"/>
                <w:between w:val="nil"/>
              </w:pBdr>
              <w:spacing w:line="240" w:lineRule="auto"/>
              <w:jc w:val="center"/>
            </w:pPr>
            <w:r>
              <w:t>1</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1972F9" w14:textId="77777777" w:rsidR="00106BD4" w:rsidRDefault="00106BD4" w:rsidP="00E50785">
            <w:pPr>
              <w:widowControl w:val="0"/>
              <w:pBdr>
                <w:top w:val="nil"/>
                <w:left w:val="nil"/>
                <w:bottom w:val="nil"/>
                <w:right w:val="nil"/>
                <w:between w:val="nil"/>
              </w:pBdr>
              <w:spacing w:line="240" w:lineRule="auto"/>
              <w:jc w:val="center"/>
            </w:pPr>
            <w:r>
              <w:t>1</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5C82B9" w14:textId="77777777" w:rsidR="00106BD4" w:rsidRDefault="00106BD4" w:rsidP="00E50785">
            <w:pPr>
              <w:widowControl w:val="0"/>
              <w:pBdr>
                <w:top w:val="nil"/>
                <w:left w:val="nil"/>
                <w:bottom w:val="nil"/>
                <w:right w:val="nil"/>
                <w:between w:val="nil"/>
              </w:pBdr>
              <w:spacing w:line="240" w:lineRule="auto"/>
              <w:jc w:val="center"/>
            </w:pPr>
            <w:r>
              <w:t>0</w:t>
            </w:r>
          </w:p>
        </w:tc>
      </w:tr>
      <w:tr w:rsidR="00106BD4" w14:paraId="08A88B02"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351939" w14:textId="77777777" w:rsidR="00106BD4" w:rsidRDefault="00106BD4" w:rsidP="00E50785">
            <w:pPr>
              <w:widowControl w:val="0"/>
              <w:pBdr>
                <w:top w:val="nil"/>
                <w:left w:val="nil"/>
                <w:bottom w:val="nil"/>
                <w:right w:val="nil"/>
                <w:between w:val="nil"/>
              </w:pBdr>
              <w:spacing w:line="240" w:lineRule="auto"/>
            </w:pPr>
            <w:r>
              <w:t>High temperature</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157978" w14:textId="77777777" w:rsidR="00106BD4" w:rsidRDefault="00106BD4" w:rsidP="00E50785">
            <w:pPr>
              <w:widowControl w:val="0"/>
              <w:pBdr>
                <w:top w:val="nil"/>
                <w:left w:val="nil"/>
                <w:bottom w:val="nil"/>
                <w:right w:val="nil"/>
                <w:between w:val="nil"/>
              </w:pBdr>
              <w:spacing w:line="240" w:lineRule="auto"/>
              <w:jc w:val="center"/>
            </w:pPr>
            <w:r>
              <w:t>1</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E1E1AA" w14:textId="77777777" w:rsidR="00106BD4" w:rsidRDefault="00106BD4" w:rsidP="00E50785">
            <w:pPr>
              <w:widowControl w:val="0"/>
              <w:pBdr>
                <w:top w:val="nil"/>
                <w:left w:val="nil"/>
                <w:bottom w:val="nil"/>
                <w:right w:val="nil"/>
                <w:between w:val="nil"/>
              </w:pBdr>
              <w:spacing w:line="240" w:lineRule="auto"/>
              <w:jc w:val="center"/>
            </w:pPr>
            <w:r>
              <w:t>1</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9AEDFB" w14:textId="77777777" w:rsidR="00106BD4" w:rsidRDefault="00106BD4" w:rsidP="00E50785">
            <w:pPr>
              <w:widowControl w:val="0"/>
              <w:pBdr>
                <w:top w:val="nil"/>
                <w:left w:val="nil"/>
                <w:bottom w:val="nil"/>
                <w:right w:val="nil"/>
                <w:between w:val="nil"/>
              </w:pBdr>
              <w:spacing w:line="240" w:lineRule="auto"/>
              <w:jc w:val="center"/>
            </w:pPr>
            <w:r>
              <w:t>0</w:t>
            </w:r>
          </w:p>
        </w:tc>
      </w:tr>
      <w:tr w:rsidR="00106BD4" w14:paraId="1560761D"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E98785" w14:textId="77777777" w:rsidR="00106BD4" w:rsidRDefault="00106BD4" w:rsidP="00E50785">
            <w:pPr>
              <w:widowControl w:val="0"/>
              <w:pBdr>
                <w:top w:val="nil"/>
                <w:left w:val="nil"/>
                <w:bottom w:val="nil"/>
                <w:right w:val="nil"/>
                <w:between w:val="nil"/>
              </w:pBdr>
              <w:spacing w:line="240" w:lineRule="auto"/>
            </w:pPr>
            <w:r>
              <w:t>Joint pain</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00D135" w14:textId="77777777" w:rsidR="00106BD4" w:rsidRDefault="00106BD4" w:rsidP="00E50785">
            <w:pPr>
              <w:widowControl w:val="0"/>
              <w:pBdr>
                <w:top w:val="nil"/>
                <w:left w:val="nil"/>
                <w:bottom w:val="nil"/>
                <w:right w:val="nil"/>
                <w:between w:val="nil"/>
              </w:pBdr>
              <w:spacing w:line="240" w:lineRule="auto"/>
              <w:jc w:val="center"/>
            </w:pPr>
            <w:r>
              <w:t>1</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66BA92" w14:textId="77777777" w:rsidR="00106BD4" w:rsidRDefault="00106BD4" w:rsidP="00E50785">
            <w:pPr>
              <w:widowControl w:val="0"/>
              <w:pBdr>
                <w:top w:val="nil"/>
                <w:left w:val="nil"/>
                <w:bottom w:val="nil"/>
                <w:right w:val="nil"/>
                <w:between w:val="nil"/>
              </w:pBdr>
              <w:spacing w:line="240" w:lineRule="auto"/>
              <w:jc w:val="center"/>
            </w:pPr>
            <w:r>
              <w:t>1</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101E1F" w14:textId="77777777" w:rsidR="00106BD4" w:rsidRDefault="00106BD4" w:rsidP="00E50785">
            <w:pPr>
              <w:widowControl w:val="0"/>
              <w:pBdr>
                <w:top w:val="nil"/>
                <w:left w:val="nil"/>
                <w:bottom w:val="nil"/>
                <w:right w:val="nil"/>
                <w:between w:val="nil"/>
              </w:pBdr>
              <w:spacing w:line="240" w:lineRule="auto"/>
              <w:jc w:val="center"/>
            </w:pPr>
            <w:r>
              <w:t>0</w:t>
            </w:r>
          </w:p>
        </w:tc>
      </w:tr>
      <w:tr w:rsidR="00106BD4" w14:paraId="763210D4"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9FEAC3" w14:textId="77777777" w:rsidR="00106BD4" w:rsidRDefault="00106BD4" w:rsidP="00E50785">
            <w:pPr>
              <w:widowControl w:val="0"/>
              <w:pBdr>
                <w:top w:val="nil"/>
                <w:left w:val="nil"/>
                <w:bottom w:val="nil"/>
                <w:right w:val="nil"/>
                <w:between w:val="nil"/>
              </w:pBdr>
              <w:spacing w:line="240" w:lineRule="auto"/>
            </w:pPr>
            <w:r>
              <w:t>Fatigue</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FE0579" w14:textId="77777777" w:rsidR="00106BD4" w:rsidRDefault="00106BD4" w:rsidP="00E50785">
            <w:pPr>
              <w:widowControl w:val="0"/>
              <w:pBdr>
                <w:top w:val="nil"/>
                <w:left w:val="nil"/>
                <w:bottom w:val="nil"/>
                <w:right w:val="nil"/>
                <w:between w:val="nil"/>
              </w:pBdr>
              <w:spacing w:line="240" w:lineRule="auto"/>
              <w:jc w:val="center"/>
            </w:pPr>
            <w:r>
              <w:t>1</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24A324" w14:textId="77777777" w:rsidR="00106BD4" w:rsidRDefault="00106BD4" w:rsidP="00E50785">
            <w:pPr>
              <w:widowControl w:val="0"/>
              <w:pBdr>
                <w:top w:val="nil"/>
                <w:left w:val="nil"/>
                <w:bottom w:val="nil"/>
                <w:right w:val="nil"/>
                <w:between w:val="nil"/>
              </w:pBdr>
              <w:spacing w:line="240" w:lineRule="auto"/>
              <w:jc w:val="center"/>
            </w:pPr>
            <w:r>
              <w:t>1</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9347B0" w14:textId="77777777" w:rsidR="00106BD4" w:rsidRDefault="00106BD4" w:rsidP="00E50785">
            <w:pPr>
              <w:widowControl w:val="0"/>
              <w:pBdr>
                <w:top w:val="nil"/>
                <w:left w:val="nil"/>
                <w:bottom w:val="nil"/>
                <w:right w:val="nil"/>
                <w:between w:val="nil"/>
              </w:pBdr>
              <w:spacing w:line="240" w:lineRule="auto"/>
              <w:jc w:val="center"/>
            </w:pPr>
            <w:r>
              <w:t>0</w:t>
            </w:r>
          </w:p>
        </w:tc>
      </w:tr>
      <w:tr w:rsidR="00106BD4" w14:paraId="79C83A23" w14:textId="77777777" w:rsidTr="00E50785">
        <w:tc>
          <w:tcPr>
            <w:tcW w:w="3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BC8721" w14:textId="77777777" w:rsidR="00106BD4" w:rsidRDefault="00106BD4" w:rsidP="00E50785">
            <w:pPr>
              <w:widowControl w:val="0"/>
              <w:pBdr>
                <w:top w:val="nil"/>
                <w:left w:val="nil"/>
                <w:bottom w:val="nil"/>
                <w:right w:val="nil"/>
                <w:between w:val="nil"/>
              </w:pBdr>
              <w:spacing w:line="240" w:lineRule="auto"/>
            </w:pPr>
            <w:r>
              <w:t>Rise in cholesterol / glucose</w:t>
            </w:r>
          </w:p>
        </w:tc>
        <w:tc>
          <w:tcPr>
            <w:tcW w:w="16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98EF67" w14:textId="77777777" w:rsidR="00106BD4" w:rsidRDefault="00106BD4" w:rsidP="00E50785">
            <w:pPr>
              <w:widowControl w:val="0"/>
              <w:pBdr>
                <w:top w:val="nil"/>
                <w:left w:val="nil"/>
                <w:bottom w:val="nil"/>
                <w:right w:val="nil"/>
                <w:between w:val="nil"/>
              </w:pBdr>
              <w:spacing w:line="240" w:lineRule="auto"/>
              <w:jc w:val="center"/>
            </w:pPr>
            <w:r>
              <w:t>1</w:t>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252A59" w14:textId="77777777" w:rsidR="00106BD4" w:rsidRDefault="00106BD4" w:rsidP="00E50785">
            <w:pPr>
              <w:widowControl w:val="0"/>
              <w:pBdr>
                <w:top w:val="nil"/>
                <w:left w:val="nil"/>
                <w:bottom w:val="nil"/>
                <w:right w:val="nil"/>
                <w:between w:val="nil"/>
              </w:pBdr>
              <w:spacing w:line="240" w:lineRule="auto"/>
              <w:jc w:val="center"/>
            </w:pPr>
            <w:r>
              <w:t>0</w:t>
            </w:r>
          </w:p>
        </w:tc>
        <w:tc>
          <w:tcPr>
            <w:tcW w:w="20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D64956" w14:textId="77777777" w:rsidR="00106BD4" w:rsidRDefault="00106BD4" w:rsidP="00E50785">
            <w:pPr>
              <w:widowControl w:val="0"/>
              <w:pBdr>
                <w:top w:val="nil"/>
                <w:left w:val="nil"/>
                <w:bottom w:val="nil"/>
                <w:right w:val="nil"/>
                <w:between w:val="nil"/>
              </w:pBdr>
              <w:spacing w:line="240" w:lineRule="auto"/>
              <w:jc w:val="center"/>
            </w:pPr>
            <w:r>
              <w:t>1</w:t>
            </w:r>
          </w:p>
        </w:tc>
      </w:tr>
      <w:tr w:rsidR="00106BD4" w14:paraId="7136DA5C" w14:textId="77777777" w:rsidTr="00E50785">
        <w:tc>
          <w:tcPr>
            <w:tcW w:w="34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16B3F03" w14:textId="77777777" w:rsidR="00106BD4" w:rsidRDefault="00106BD4" w:rsidP="00E50785">
            <w:pPr>
              <w:widowControl w:val="0"/>
              <w:pBdr>
                <w:top w:val="nil"/>
                <w:left w:val="nil"/>
                <w:bottom w:val="nil"/>
                <w:right w:val="nil"/>
                <w:between w:val="nil"/>
              </w:pBdr>
              <w:spacing w:line="240" w:lineRule="auto"/>
            </w:pPr>
            <w:r>
              <w:t>Sensitive gums</w:t>
            </w:r>
          </w:p>
        </w:tc>
        <w:tc>
          <w:tcPr>
            <w:tcW w:w="16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A5D17F3" w14:textId="77777777" w:rsidR="00106BD4" w:rsidRDefault="00106BD4" w:rsidP="00E50785">
            <w:pPr>
              <w:widowControl w:val="0"/>
              <w:pBdr>
                <w:top w:val="nil"/>
                <w:left w:val="nil"/>
                <w:bottom w:val="nil"/>
                <w:right w:val="nil"/>
                <w:between w:val="nil"/>
              </w:pBdr>
              <w:spacing w:line="240" w:lineRule="auto"/>
              <w:jc w:val="center"/>
            </w:pPr>
            <w:r>
              <w:t>1</w:t>
            </w:r>
          </w:p>
        </w:tc>
        <w:tc>
          <w:tcPr>
            <w:tcW w:w="22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06CB884" w14:textId="77777777" w:rsidR="00106BD4" w:rsidRDefault="00106BD4" w:rsidP="00E50785">
            <w:pPr>
              <w:widowControl w:val="0"/>
              <w:pBdr>
                <w:top w:val="nil"/>
                <w:left w:val="nil"/>
                <w:bottom w:val="nil"/>
                <w:right w:val="nil"/>
                <w:between w:val="nil"/>
              </w:pBdr>
              <w:spacing w:line="240" w:lineRule="auto"/>
              <w:jc w:val="center"/>
            </w:pPr>
            <w:r>
              <w:t>0</w:t>
            </w:r>
          </w:p>
        </w:tc>
        <w:tc>
          <w:tcPr>
            <w:tcW w:w="20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5EF87BB" w14:textId="77777777" w:rsidR="00106BD4" w:rsidRDefault="00106BD4" w:rsidP="00E50785">
            <w:pPr>
              <w:widowControl w:val="0"/>
              <w:pBdr>
                <w:top w:val="nil"/>
                <w:left w:val="nil"/>
                <w:bottom w:val="nil"/>
                <w:right w:val="nil"/>
                <w:between w:val="nil"/>
              </w:pBdr>
              <w:spacing w:line="240" w:lineRule="auto"/>
              <w:jc w:val="center"/>
            </w:pPr>
            <w:r>
              <w:t>1</w:t>
            </w:r>
          </w:p>
        </w:tc>
      </w:tr>
    </w:tbl>
    <w:p w14:paraId="6063FBEC" w14:textId="77777777" w:rsidR="00106BD4" w:rsidRDefault="00106BD4" w:rsidP="00106BD4">
      <w:pPr>
        <w:widowControl w:val="0"/>
        <w:jc w:val="both"/>
      </w:pPr>
    </w:p>
    <w:p w14:paraId="7CEAAC4A" w14:textId="77777777" w:rsidR="00A6323A" w:rsidRDefault="00A6323A" w:rsidP="00106BD4">
      <w:pPr>
        <w:jc w:val="both"/>
      </w:pPr>
    </w:p>
    <w:p w14:paraId="31602EC1" w14:textId="77777777" w:rsidR="00A6323A" w:rsidRDefault="00A6323A" w:rsidP="00106BD4">
      <w:pPr>
        <w:jc w:val="both"/>
      </w:pPr>
    </w:p>
    <w:p w14:paraId="448EF764" w14:textId="77777777" w:rsidR="00A6323A" w:rsidRDefault="00A6323A" w:rsidP="00106BD4">
      <w:pPr>
        <w:jc w:val="both"/>
      </w:pPr>
    </w:p>
    <w:p w14:paraId="3FC58DD6" w14:textId="77777777" w:rsidR="00A6323A" w:rsidRDefault="00A6323A" w:rsidP="00106BD4">
      <w:pPr>
        <w:jc w:val="both"/>
      </w:pPr>
    </w:p>
    <w:p w14:paraId="76C47A5A" w14:textId="2ADBC558" w:rsidR="00106BD4" w:rsidRDefault="00A6323A" w:rsidP="00106BD4">
      <w:pPr>
        <w:jc w:val="both"/>
        <w:rPr>
          <w:b/>
          <w:bCs/>
        </w:rPr>
      </w:pPr>
      <w:r w:rsidRPr="00A6323A">
        <w:rPr>
          <w:b/>
          <w:bCs/>
        </w:rPr>
        <w:lastRenderedPageBreak/>
        <w:t>Supplementary Figures</w:t>
      </w:r>
    </w:p>
    <w:p w14:paraId="30272934" w14:textId="77777777" w:rsidR="00A6323A" w:rsidRPr="00A6323A" w:rsidRDefault="00A6323A" w:rsidP="00106BD4">
      <w:pPr>
        <w:jc w:val="both"/>
        <w:rPr>
          <w:b/>
          <w:bCs/>
        </w:rPr>
      </w:pPr>
    </w:p>
    <w:p w14:paraId="6A96C4EE" w14:textId="77777777" w:rsidR="00106BD4" w:rsidRDefault="00106BD4" w:rsidP="00106BD4">
      <w:pPr>
        <w:jc w:val="center"/>
        <w:rPr>
          <w:b/>
        </w:rPr>
      </w:pPr>
      <w:r>
        <w:rPr>
          <w:b/>
          <w:noProof/>
        </w:rPr>
        <w:drawing>
          <wp:inline distT="0" distB="0" distL="0" distR="0" wp14:anchorId="6E0789BE" wp14:editId="323C1EE8">
            <wp:extent cx="4521092" cy="7431932"/>
            <wp:effectExtent l="0" t="0" r="635" b="0"/>
            <wp:docPr id="1273305955" name="Picture 1" descr="A collage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05955" name="Picture 1" descr="A collage of graph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9612" cy="7445937"/>
                    </a:xfrm>
                    <a:prstGeom prst="rect">
                      <a:avLst/>
                    </a:prstGeom>
                  </pic:spPr>
                </pic:pic>
              </a:graphicData>
            </a:graphic>
          </wp:inline>
        </w:drawing>
      </w:r>
    </w:p>
    <w:p w14:paraId="7628C52A" w14:textId="682BD008" w:rsidR="00797BD4" w:rsidRPr="00943998" w:rsidRDefault="00106BD4" w:rsidP="00943998">
      <w:pPr>
        <w:jc w:val="both"/>
        <w:rPr>
          <w:sz w:val="20"/>
          <w:szCs w:val="20"/>
        </w:rPr>
      </w:pPr>
      <w:r w:rsidRPr="008A2426">
        <w:rPr>
          <w:b/>
          <w:sz w:val="20"/>
          <w:szCs w:val="20"/>
        </w:rPr>
        <w:t xml:space="preserve">Supplementary Fig 1. </w:t>
      </w:r>
      <w:r w:rsidRPr="008A2426">
        <w:rPr>
          <w:sz w:val="20"/>
          <w:szCs w:val="20"/>
        </w:rPr>
        <w:t>Change from baseline to week 16 and 24 for (a) Interleukin (IL)-6, (b) IL-8, (c) IL-10, (d) TNF-</w:t>
      </w:r>
      <w:r w:rsidRPr="008A2426">
        <w:rPr>
          <w:rFonts w:ascii="Cambria Math" w:hAnsi="Cambria Math"/>
          <w:i/>
          <w:sz w:val="20"/>
          <w:szCs w:val="20"/>
        </w:rPr>
        <w:t xml:space="preserve"> </w:t>
      </w:r>
      <m:oMath>
        <m:r>
          <w:rPr>
            <w:rFonts w:ascii="Cambria Math" w:hAnsi="Cambria Math"/>
            <w:sz w:val="20"/>
            <w:szCs w:val="20"/>
          </w:rPr>
          <m:t>a</m:t>
        </m:r>
      </m:oMath>
      <w:r w:rsidRPr="008A2426">
        <w:rPr>
          <w:sz w:val="20"/>
          <w:szCs w:val="20"/>
        </w:rPr>
        <w:t xml:space="preserve">, (e) cholesterol (total), (f) Low-density lipoprotein (LDL)-C, (g) High-density lipoprotein (HDL)-C, and (h) triglycerides for the treatment (orange) and placebo (green) groups. Mean and standard errors are shown. </w:t>
      </w:r>
      <w:r w:rsidRPr="008A2426">
        <w:rPr>
          <w:b/>
          <w:bCs/>
          <w:sz w:val="20"/>
          <w:szCs w:val="20"/>
        </w:rPr>
        <w:t xml:space="preserve"> </w:t>
      </w:r>
    </w:p>
    <w:sectPr w:rsidR="00797BD4" w:rsidRPr="0094399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A081" w14:textId="77777777" w:rsidR="00DF00A7" w:rsidRDefault="00DF00A7" w:rsidP="00943998">
      <w:pPr>
        <w:spacing w:line="240" w:lineRule="auto"/>
      </w:pPr>
      <w:r>
        <w:separator/>
      </w:r>
    </w:p>
  </w:endnote>
  <w:endnote w:type="continuationSeparator" w:id="0">
    <w:p w14:paraId="7575646C" w14:textId="77777777" w:rsidR="00DF00A7" w:rsidRDefault="00DF00A7" w:rsidP="00943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994925"/>
      <w:docPartObj>
        <w:docPartGallery w:val="Page Numbers (Bottom of Page)"/>
        <w:docPartUnique/>
      </w:docPartObj>
    </w:sdtPr>
    <w:sdtContent>
      <w:p w14:paraId="5C3FA56E" w14:textId="5523F92E" w:rsidR="00943998" w:rsidRDefault="00943998" w:rsidP="009B22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A874D" w14:textId="77777777" w:rsidR="00943998" w:rsidRDefault="00943998" w:rsidP="00943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6043097"/>
      <w:docPartObj>
        <w:docPartGallery w:val="Page Numbers (Bottom of Page)"/>
        <w:docPartUnique/>
      </w:docPartObj>
    </w:sdtPr>
    <w:sdtEndPr>
      <w:rPr>
        <w:rStyle w:val="PageNumber"/>
        <w:sz w:val="16"/>
        <w:szCs w:val="16"/>
      </w:rPr>
    </w:sdtEndPr>
    <w:sdtContent>
      <w:p w14:paraId="68E07385" w14:textId="3242337D" w:rsidR="00943998" w:rsidRPr="00943998" w:rsidRDefault="00943998" w:rsidP="009B220C">
        <w:pPr>
          <w:pStyle w:val="Footer"/>
          <w:framePr w:wrap="none" w:vAnchor="text" w:hAnchor="margin" w:xAlign="right" w:y="1"/>
          <w:rPr>
            <w:rStyle w:val="PageNumber"/>
            <w:sz w:val="16"/>
            <w:szCs w:val="16"/>
          </w:rPr>
        </w:pPr>
        <w:r w:rsidRPr="00943998">
          <w:rPr>
            <w:rStyle w:val="PageNumber"/>
            <w:sz w:val="16"/>
            <w:szCs w:val="16"/>
          </w:rPr>
          <w:fldChar w:fldCharType="begin"/>
        </w:r>
        <w:r w:rsidRPr="00943998">
          <w:rPr>
            <w:rStyle w:val="PageNumber"/>
            <w:sz w:val="16"/>
            <w:szCs w:val="16"/>
          </w:rPr>
          <w:instrText xml:space="preserve"> PAGE </w:instrText>
        </w:r>
        <w:r w:rsidRPr="00943998">
          <w:rPr>
            <w:rStyle w:val="PageNumber"/>
            <w:sz w:val="16"/>
            <w:szCs w:val="16"/>
          </w:rPr>
          <w:fldChar w:fldCharType="separate"/>
        </w:r>
        <w:r w:rsidRPr="00943998">
          <w:rPr>
            <w:rStyle w:val="PageNumber"/>
            <w:noProof/>
            <w:sz w:val="16"/>
            <w:szCs w:val="16"/>
          </w:rPr>
          <w:t>1</w:t>
        </w:r>
        <w:r w:rsidRPr="00943998">
          <w:rPr>
            <w:rStyle w:val="PageNumber"/>
            <w:sz w:val="16"/>
            <w:szCs w:val="16"/>
          </w:rPr>
          <w:fldChar w:fldCharType="end"/>
        </w:r>
      </w:p>
    </w:sdtContent>
  </w:sdt>
  <w:p w14:paraId="3D1FE1A6" w14:textId="5EF6A170" w:rsidR="00943998" w:rsidRPr="00943998" w:rsidRDefault="00943998" w:rsidP="00943998">
    <w:pPr>
      <w:pStyle w:val="Footer"/>
      <w:ind w:right="360"/>
      <w:rPr>
        <w:i/>
        <w:iCs/>
        <w:sz w:val="16"/>
        <w:szCs w:val="16"/>
      </w:rPr>
    </w:pPr>
    <w:r w:rsidRPr="00943998">
      <w:rPr>
        <w:i/>
        <w:iCs/>
        <w:sz w:val="16"/>
        <w:szCs w:val="16"/>
      </w:rPr>
      <w:t>Hall et al.</w:t>
    </w:r>
    <w:r w:rsidRPr="00943998">
      <w:rPr>
        <w:i/>
        <w:iCs/>
        <w:sz w:val="16"/>
        <w:szCs w:val="16"/>
      </w:rPr>
      <w:tab/>
    </w:r>
    <w:r w:rsidRPr="00943998">
      <w:rPr>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5F51" w14:textId="77777777" w:rsidR="00DF00A7" w:rsidRDefault="00DF00A7" w:rsidP="00943998">
      <w:pPr>
        <w:spacing w:line="240" w:lineRule="auto"/>
      </w:pPr>
      <w:r>
        <w:separator/>
      </w:r>
    </w:p>
  </w:footnote>
  <w:footnote w:type="continuationSeparator" w:id="0">
    <w:p w14:paraId="2F07FBAE" w14:textId="77777777" w:rsidR="00DF00A7" w:rsidRDefault="00DF00A7" w:rsidP="009439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C0297"/>
    <w:multiLevelType w:val="multilevel"/>
    <w:tmpl w:val="03567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003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D4"/>
    <w:rsid w:val="00041E8B"/>
    <w:rsid w:val="00106BD4"/>
    <w:rsid w:val="00223110"/>
    <w:rsid w:val="00291402"/>
    <w:rsid w:val="00697B16"/>
    <w:rsid w:val="00797BD4"/>
    <w:rsid w:val="007C57EA"/>
    <w:rsid w:val="007E098D"/>
    <w:rsid w:val="00854AB6"/>
    <w:rsid w:val="00891813"/>
    <w:rsid w:val="008A5284"/>
    <w:rsid w:val="008D58C4"/>
    <w:rsid w:val="00943998"/>
    <w:rsid w:val="00A6323A"/>
    <w:rsid w:val="00A90441"/>
    <w:rsid w:val="00A950CA"/>
    <w:rsid w:val="00BE5673"/>
    <w:rsid w:val="00DF00A7"/>
    <w:rsid w:val="00E00815"/>
    <w:rsid w:val="00E04F6F"/>
    <w:rsid w:val="00F4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93F5C"/>
  <w15:chartTrackingRefBased/>
  <w15:docId w15:val="{693924A2-3397-7045-95D4-B2D26391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D4"/>
    <w:pPr>
      <w:spacing w:line="276" w:lineRule="auto"/>
    </w:pPr>
    <w:rPr>
      <w:rFonts w:ascii="Arial" w:eastAsia="Arial" w:hAnsi="Arial" w:cs="Arial"/>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98"/>
    <w:pPr>
      <w:tabs>
        <w:tab w:val="center" w:pos="4513"/>
        <w:tab w:val="right" w:pos="9026"/>
      </w:tabs>
      <w:spacing w:line="240" w:lineRule="auto"/>
    </w:pPr>
  </w:style>
  <w:style w:type="character" w:customStyle="1" w:styleId="HeaderChar">
    <w:name w:val="Header Char"/>
    <w:basedOn w:val="DefaultParagraphFont"/>
    <w:link w:val="Header"/>
    <w:uiPriority w:val="99"/>
    <w:rsid w:val="0094399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943998"/>
    <w:pPr>
      <w:tabs>
        <w:tab w:val="center" w:pos="4513"/>
        <w:tab w:val="right" w:pos="9026"/>
      </w:tabs>
      <w:spacing w:line="240" w:lineRule="auto"/>
    </w:pPr>
  </w:style>
  <w:style w:type="character" w:customStyle="1" w:styleId="FooterChar">
    <w:name w:val="Footer Char"/>
    <w:basedOn w:val="DefaultParagraphFont"/>
    <w:link w:val="Footer"/>
    <w:uiPriority w:val="99"/>
    <w:rsid w:val="00943998"/>
    <w:rPr>
      <w:rFonts w:ascii="Arial" w:eastAsia="Arial" w:hAnsi="Arial" w:cs="Arial"/>
      <w:kern w:val="0"/>
      <w:sz w:val="22"/>
      <w:szCs w:val="22"/>
      <w:lang w:eastAsia="en-GB"/>
      <w14:ligatures w14:val="none"/>
    </w:rPr>
  </w:style>
  <w:style w:type="character" w:styleId="PageNumber">
    <w:name w:val="page number"/>
    <w:basedOn w:val="DefaultParagraphFont"/>
    <w:uiPriority w:val="99"/>
    <w:semiHidden/>
    <w:unhideWhenUsed/>
    <w:rsid w:val="0094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Caitlin Hall</dc:creator>
  <cp:keywords/>
  <dc:description/>
  <cp:lastModifiedBy>Miss Caitlin Hall</cp:lastModifiedBy>
  <cp:revision>6</cp:revision>
  <dcterms:created xsi:type="dcterms:W3CDTF">2024-01-04T10:47:00Z</dcterms:created>
  <dcterms:modified xsi:type="dcterms:W3CDTF">2024-03-13T16:57:00Z</dcterms:modified>
</cp:coreProperties>
</file>