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E3FE" w14:textId="4E2FB45A" w:rsidR="001E7D2F" w:rsidRPr="00E20FCB" w:rsidRDefault="001E7D2F" w:rsidP="001E7D2F">
      <w:pPr>
        <w:widowControl w:val="0"/>
        <w:tabs>
          <w:tab w:val="left" w:pos="360"/>
        </w:tabs>
        <w:spacing w:before="6" w:after="6" w:line="360" w:lineRule="auto"/>
        <w:jc w:val="center"/>
        <w:rPr>
          <w:rFonts w:ascii="Times New Roman" w:eastAsia="Arial" w:hAnsi="Times New Roman" w:cs="Times New Roman"/>
          <w:b/>
          <w:bCs/>
          <w:sz w:val="24"/>
          <w:szCs w:val="24"/>
        </w:rPr>
      </w:pPr>
      <w:r w:rsidRPr="00E20FCB">
        <w:rPr>
          <w:rFonts w:ascii="Times New Roman" w:eastAsia="Arial" w:hAnsi="Times New Roman" w:cs="Times New Roman"/>
          <w:b/>
          <w:bCs/>
          <w:sz w:val="24"/>
          <w:szCs w:val="24"/>
        </w:rPr>
        <w:t>SUPPLEMENTAL DATA</w:t>
      </w:r>
    </w:p>
    <w:p w14:paraId="10BA1AFA" w14:textId="77777777" w:rsidR="00B62415" w:rsidRDefault="00B62415" w:rsidP="001E7D2F">
      <w:pPr>
        <w:widowControl w:val="0"/>
        <w:spacing w:before="6" w:after="6" w:line="240" w:lineRule="auto"/>
        <w:jc w:val="both"/>
        <w:rPr>
          <w:rFonts w:ascii="Arial" w:eastAsia="Arial" w:hAnsi="Arial" w:cs="Arial"/>
          <w:b/>
          <w:color w:val="FF0000"/>
          <w:sz w:val="24"/>
          <w:szCs w:val="24"/>
        </w:rPr>
      </w:pPr>
    </w:p>
    <w:p w14:paraId="5D39B1A2" w14:textId="55A2B532" w:rsidR="00B62415" w:rsidRDefault="00B62415" w:rsidP="00B62415">
      <w:pPr>
        <w:widowControl w:val="0"/>
        <w:spacing w:before="6" w:after="6" w:line="240" w:lineRule="auto"/>
        <w:jc w:val="center"/>
        <w:rPr>
          <w:rFonts w:ascii="Arial" w:eastAsia="Arial" w:hAnsi="Arial" w:cs="Arial"/>
          <w:b/>
          <w:color w:val="FF0000"/>
          <w:sz w:val="24"/>
          <w:szCs w:val="24"/>
        </w:rPr>
      </w:pPr>
      <w:r>
        <w:rPr>
          <w:rFonts w:ascii="Arial" w:eastAsia="Arial" w:hAnsi="Arial" w:cs="Arial"/>
          <w:b/>
          <w:noProof/>
          <w:color w:val="FF0000"/>
          <w:sz w:val="24"/>
          <w:szCs w:val="24"/>
          <w14:ligatures w14:val="standardContextual"/>
        </w:rPr>
        <w:drawing>
          <wp:inline distT="0" distB="0" distL="0" distR="0" wp14:anchorId="5E0E20B8" wp14:editId="4E802B26">
            <wp:extent cx="5158054" cy="4546362"/>
            <wp:effectExtent l="0" t="0" r="0" b="635"/>
            <wp:docPr id="194971774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17741" name="Imagem 1" descr="Gráfico&#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30646" cy="4610346"/>
                    </a:xfrm>
                    <a:prstGeom prst="rect">
                      <a:avLst/>
                    </a:prstGeom>
                  </pic:spPr>
                </pic:pic>
              </a:graphicData>
            </a:graphic>
          </wp:inline>
        </w:drawing>
      </w:r>
    </w:p>
    <w:p w14:paraId="534E919E" w14:textId="77777777" w:rsidR="00B62415" w:rsidRDefault="00B62415" w:rsidP="001E7D2F">
      <w:pPr>
        <w:widowControl w:val="0"/>
        <w:spacing w:before="6" w:after="6" w:line="240" w:lineRule="auto"/>
        <w:jc w:val="both"/>
        <w:rPr>
          <w:rFonts w:ascii="Arial" w:eastAsia="Arial" w:hAnsi="Arial" w:cs="Arial"/>
          <w:b/>
          <w:color w:val="FF0000"/>
          <w:sz w:val="24"/>
          <w:szCs w:val="24"/>
        </w:rPr>
      </w:pPr>
    </w:p>
    <w:p w14:paraId="3077E1BA" w14:textId="4E592F80" w:rsidR="001E7D2F" w:rsidRDefault="001E7D2F" w:rsidP="001E7D2F">
      <w:pPr>
        <w:widowControl w:val="0"/>
        <w:spacing w:before="6" w:after="6" w:line="240" w:lineRule="auto"/>
        <w:jc w:val="both"/>
        <w:rPr>
          <w:rFonts w:ascii="Times New Roman" w:eastAsia="Arial" w:hAnsi="Times New Roman" w:cs="Times New Roman"/>
          <w:sz w:val="24"/>
          <w:szCs w:val="24"/>
        </w:rPr>
      </w:pPr>
      <w:r w:rsidRPr="00E20FCB">
        <w:rPr>
          <w:rFonts w:ascii="Times New Roman" w:eastAsia="Arial" w:hAnsi="Times New Roman" w:cs="Times New Roman"/>
          <w:b/>
          <w:sz w:val="24"/>
          <w:szCs w:val="24"/>
        </w:rPr>
        <w:t>Figure S1A</w:t>
      </w:r>
      <w:r w:rsidR="00B62415">
        <w:rPr>
          <w:rFonts w:ascii="Times New Roman" w:eastAsia="Arial" w:hAnsi="Times New Roman" w:cs="Times New Roman"/>
          <w:b/>
          <w:sz w:val="24"/>
          <w:szCs w:val="24"/>
        </w:rPr>
        <w:t xml:space="preserve">. Molecular weight distribution of polysaccharides from </w:t>
      </w:r>
      <w:r w:rsidR="00B62415" w:rsidRPr="00B62415">
        <w:rPr>
          <w:rFonts w:ascii="Times New Roman" w:eastAsia="Arial" w:hAnsi="Times New Roman" w:cs="Times New Roman"/>
          <w:b/>
          <w:i/>
          <w:iCs/>
          <w:sz w:val="24"/>
          <w:szCs w:val="24"/>
        </w:rPr>
        <w:t>Ganoderma lucidum</w:t>
      </w:r>
      <w:r w:rsidR="00B62415">
        <w:rPr>
          <w:rFonts w:ascii="Times New Roman" w:eastAsia="Arial" w:hAnsi="Times New Roman" w:cs="Times New Roman"/>
          <w:b/>
          <w:sz w:val="24"/>
          <w:szCs w:val="24"/>
        </w:rPr>
        <w:t xml:space="preserve"> extract.</w:t>
      </w:r>
      <w:r w:rsidRPr="00E20FCB">
        <w:rPr>
          <w:rFonts w:ascii="Times New Roman" w:eastAsia="Arial" w:hAnsi="Times New Roman" w:cs="Times New Roman"/>
          <w:b/>
          <w:sz w:val="24"/>
          <w:szCs w:val="24"/>
        </w:rPr>
        <w:t xml:space="preserve"> </w:t>
      </w:r>
      <w:r w:rsidRPr="00E20FCB">
        <w:rPr>
          <w:rFonts w:ascii="Times New Roman" w:eastAsia="Arial" w:hAnsi="Times New Roman" w:cs="Times New Roman"/>
          <w:sz w:val="24"/>
          <w:szCs w:val="24"/>
        </w:rPr>
        <w:t>High</w:t>
      </w:r>
      <w:r w:rsidR="00B62415">
        <w:rPr>
          <w:rFonts w:ascii="Times New Roman" w:eastAsia="Arial" w:hAnsi="Times New Roman" w:cs="Times New Roman"/>
          <w:sz w:val="24"/>
          <w:szCs w:val="24"/>
        </w:rPr>
        <w:t>-Performance Size Exclusion Chromatography</w:t>
      </w:r>
      <w:r w:rsidRPr="00E20FCB">
        <w:rPr>
          <w:rFonts w:ascii="Times New Roman" w:eastAsia="Arial" w:hAnsi="Times New Roman" w:cs="Times New Roman"/>
          <w:sz w:val="24"/>
          <w:szCs w:val="24"/>
        </w:rPr>
        <w:t xml:space="preserve"> coupled to a refractive index detector </w:t>
      </w:r>
      <w:r w:rsidR="00B62415" w:rsidRPr="00B62415">
        <w:rPr>
          <w:rFonts w:ascii="Times New Roman" w:eastAsia="Arial" w:hAnsi="Times New Roman" w:cs="Times New Roman"/>
          <w:bCs/>
          <w:sz w:val="24"/>
          <w:szCs w:val="24"/>
        </w:rPr>
        <w:t>(HPSEC-RID)</w:t>
      </w:r>
      <w:r w:rsidR="00B62415">
        <w:rPr>
          <w:rFonts w:ascii="Times New Roman" w:eastAsia="Arial" w:hAnsi="Times New Roman" w:cs="Times New Roman"/>
          <w:bCs/>
          <w:sz w:val="24"/>
          <w:szCs w:val="24"/>
        </w:rPr>
        <w:t xml:space="preserve"> </w:t>
      </w:r>
      <w:r w:rsidRPr="00E20FCB">
        <w:rPr>
          <w:rFonts w:ascii="Times New Roman" w:eastAsia="Arial" w:hAnsi="Times New Roman" w:cs="Times New Roman"/>
          <w:sz w:val="24"/>
          <w:szCs w:val="24"/>
        </w:rPr>
        <w:t xml:space="preserve">was </w:t>
      </w:r>
      <w:r w:rsidR="00B62415">
        <w:rPr>
          <w:rFonts w:ascii="Times New Roman" w:eastAsia="Arial" w:hAnsi="Times New Roman" w:cs="Times New Roman"/>
          <w:sz w:val="24"/>
          <w:szCs w:val="24"/>
        </w:rPr>
        <w:t>used to estimate the molecular weight distribution of</w:t>
      </w:r>
      <w:r w:rsidR="00B62415" w:rsidRPr="00B62415">
        <w:rPr>
          <w:rFonts w:ascii="Times New Roman" w:eastAsia="Arial" w:hAnsi="Times New Roman" w:cs="Times New Roman"/>
          <w:bCs/>
          <w:i/>
          <w:iCs/>
          <w:sz w:val="24"/>
          <w:szCs w:val="24"/>
        </w:rPr>
        <w:t xml:space="preserve"> Ganoderma lucidum</w:t>
      </w:r>
      <w:r w:rsidR="00B62415" w:rsidRPr="00B62415">
        <w:rPr>
          <w:rFonts w:ascii="Times New Roman" w:eastAsia="Arial" w:hAnsi="Times New Roman" w:cs="Times New Roman"/>
          <w:bCs/>
          <w:sz w:val="24"/>
          <w:szCs w:val="24"/>
        </w:rPr>
        <w:t xml:space="preserve"> extract</w:t>
      </w:r>
      <w:r w:rsidRPr="00B62415">
        <w:rPr>
          <w:rFonts w:ascii="Times New Roman" w:eastAsia="Arial" w:hAnsi="Times New Roman" w:cs="Times New Roman"/>
          <w:bCs/>
          <w:sz w:val="24"/>
          <w:szCs w:val="24"/>
        </w:rPr>
        <w:t xml:space="preserve"> </w:t>
      </w:r>
      <w:r w:rsidR="00B62415">
        <w:rPr>
          <w:rFonts w:ascii="Times New Roman" w:eastAsia="Arial" w:hAnsi="Times New Roman" w:cs="Times New Roman"/>
          <w:sz w:val="24"/>
          <w:szCs w:val="24"/>
        </w:rPr>
        <w:t xml:space="preserve">used in the clinical trial. Blue arrows show the integrated peak of known molecular weight polysaccharide standards. The following equation achieved with the polysaccharide standards was used to determine the molecular weight of the integrated peaks (black arrows) from the </w:t>
      </w:r>
      <w:r w:rsidR="00B62415" w:rsidRPr="00B62415">
        <w:rPr>
          <w:rFonts w:ascii="Times New Roman" w:eastAsia="Arial" w:hAnsi="Times New Roman" w:cs="Times New Roman"/>
          <w:bCs/>
          <w:i/>
          <w:iCs/>
          <w:sz w:val="24"/>
          <w:szCs w:val="24"/>
        </w:rPr>
        <w:t>Ganoderma lucidum</w:t>
      </w:r>
      <w:r w:rsidR="00B62415">
        <w:rPr>
          <w:rFonts w:ascii="Times New Roman" w:eastAsia="Arial" w:hAnsi="Times New Roman" w:cs="Times New Roman"/>
          <w:sz w:val="24"/>
          <w:szCs w:val="24"/>
        </w:rPr>
        <w:t xml:space="preserve"> extract (</w:t>
      </w:r>
      <w:r w:rsidR="00B62415" w:rsidRPr="00B62415">
        <w:rPr>
          <w:rFonts w:ascii="Times New Roman" w:eastAsia="Arial" w:hAnsi="Times New Roman" w:cs="Times New Roman"/>
          <w:sz w:val="24"/>
          <w:szCs w:val="24"/>
        </w:rPr>
        <w:t>y = -5,6669x + 68,421</w:t>
      </w:r>
      <w:r w:rsidR="00B62415">
        <w:rPr>
          <w:rFonts w:ascii="Times New Roman" w:eastAsia="Arial" w:hAnsi="Times New Roman" w:cs="Times New Roman"/>
          <w:sz w:val="24"/>
          <w:szCs w:val="24"/>
        </w:rPr>
        <w:t xml:space="preserve">; </w:t>
      </w:r>
      <w:r w:rsidR="00B62415" w:rsidRPr="00B62415">
        <w:rPr>
          <w:rFonts w:ascii="Times New Roman" w:eastAsia="Arial" w:hAnsi="Times New Roman" w:cs="Times New Roman"/>
          <w:sz w:val="24"/>
          <w:szCs w:val="24"/>
        </w:rPr>
        <w:t>R² = 0,9979</w:t>
      </w:r>
      <w:r w:rsidR="00B62415">
        <w:rPr>
          <w:rFonts w:ascii="Times New Roman" w:eastAsia="Arial" w:hAnsi="Times New Roman" w:cs="Times New Roman"/>
          <w:sz w:val="24"/>
          <w:szCs w:val="24"/>
        </w:rPr>
        <w:t>).</w:t>
      </w:r>
    </w:p>
    <w:p w14:paraId="021B7849" w14:textId="77777777" w:rsidR="001E7D2F" w:rsidRPr="00E20FCB" w:rsidRDefault="001E7D2F" w:rsidP="001E7D2F">
      <w:pPr>
        <w:widowControl w:val="0"/>
        <w:spacing w:before="6" w:after="6" w:line="240" w:lineRule="auto"/>
        <w:jc w:val="both"/>
        <w:rPr>
          <w:rFonts w:ascii="Times New Roman" w:eastAsia="Arial" w:hAnsi="Times New Roman" w:cs="Times New Roman"/>
          <w:sz w:val="24"/>
          <w:szCs w:val="24"/>
        </w:rPr>
      </w:pPr>
    </w:p>
    <w:p w14:paraId="72E24895" w14:textId="77777777" w:rsidR="001E7D2F" w:rsidRPr="00E20FCB" w:rsidRDefault="001E7D2F" w:rsidP="001E7D2F">
      <w:pPr>
        <w:widowControl w:val="0"/>
        <w:spacing w:before="6" w:after="6" w:line="240" w:lineRule="auto"/>
        <w:jc w:val="both"/>
        <w:rPr>
          <w:rFonts w:ascii="Times New Roman" w:eastAsia="Arial" w:hAnsi="Times New Roman" w:cs="Times New Roman"/>
          <w:sz w:val="24"/>
          <w:szCs w:val="24"/>
        </w:rPr>
      </w:pPr>
    </w:p>
    <w:p w14:paraId="6E076195" w14:textId="4224F3E3" w:rsidR="001E7D2F" w:rsidRPr="005F4577" w:rsidRDefault="001E7D2F" w:rsidP="001E7D2F">
      <w:pPr>
        <w:widowControl w:val="0"/>
        <w:spacing w:before="6" w:after="6" w:line="360" w:lineRule="auto"/>
        <w:jc w:val="both"/>
        <w:rPr>
          <w:rFonts w:ascii="Arial" w:eastAsia="Arial" w:hAnsi="Arial" w:cs="Arial"/>
          <w:b/>
          <w:color w:val="000000"/>
          <w:sz w:val="24"/>
          <w:szCs w:val="24"/>
          <w:highlight w:val="darkYellow"/>
        </w:rPr>
      </w:pPr>
      <w:r w:rsidRPr="00E20FCB">
        <w:rPr>
          <w:rFonts w:ascii="Times New Roman" w:hAnsi="Times New Roman" w:cs="Times New Roman"/>
          <w:noProof/>
          <w:lang w:val="pt-BR"/>
        </w:rPr>
        <w:drawing>
          <wp:anchor distT="0" distB="0" distL="114300" distR="114300" simplePos="0" relativeHeight="251663360" behindDoc="0" locked="0" layoutInCell="1" allowOverlap="1" wp14:anchorId="66B7F824" wp14:editId="3AB765D4">
            <wp:simplePos x="0" y="0"/>
            <wp:positionH relativeFrom="page">
              <wp:align>center</wp:align>
            </wp:positionH>
            <wp:positionV relativeFrom="paragraph">
              <wp:posOffset>278592</wp:posOffset>
            </wp:positionV>
            <wp:extent cx="6347460" cy="1664970"/>
            <wp:effectExtent l="0" t="0" r="0" b="0"/>
            <wp:wrapSquare wrapText="bothSides"/>
            <wp:docPr id="9" name="Imagem 9"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abel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7460" cy="166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0FCB">
        <w:rPr>
          <w:rFonts w:ascii="Times New Roman" w:eastAsia="Arial" w:hAnsi="Times New Roman" w:cs="Times New Roman"/>
          <w:b/>
          <w:color w:val="000000"/>
          <w:sz w:val="24"/>
          <w:szCs w:val="24"/>
        </w:rPr>
        <w:t xml:space="preserve">Table S1 - Percentage of </w:t>
      </w:r>
      <w:r w:rsidRPr="00E20FCB">
        <w:rPr>
          <w:rFonts w:ascii="Times New Roman" w:eastAsia="Arial" w:hAnsi="Times New Roman" w:cs="Times New Roman"/>
          <w:b/>
          <w:sz w:val="24"/>
          <w:szCs w:val="24"/>
        </w:rPr>
        <w:t xml:space="preserve">β-glucans in </w:t>
      </w:r>
      <w:r w:rsidRPr="00E20FCB">
        <w:rPr>
          <w:rFonts w:ascii="Times New Roman" w:eastAsia="Arial" w:hAnsi="Times New Roman" w:cs="Times New Roman"/>
          <w:b/>
          <w:i/>
          <w:iCs/>
          <w:sz w:val="24"/>
          <w:szCs w:val="24"/>
        </w:rPr>
        <w:t>Ganoderma</w:t>
      </w:r>
      <w:r w:rsidR="00B62415">
        <w:rPr>
          <w:rFonts w:ascii="Times New Roman" w:eastAsia="Arial" w:hAnsi="Times New Roman" w:cs="Times New Roman"/>
          <w:b/>
          <w:i/>
          <w:iCs/>
          <w:sz w:val="24"/>
          <w:szCs w:val="24"/>
        </w:rPr>
        <w:t xml:space="preserve"> lucidum</w:t>
      </w:r>
      <w:r w:rsidRPr="00E20FCB">
        <w:rPr>
          <w:rFonts w:ascii="Times New Roman" w:eastAsia="Arial" w:hAnsi="Times New Roman" w:cs="Times New Roman"/>
          <w:b/>
          <w:sz w:val="24"/>
          <w:szCs w:val="24"/>
        </w:rPr>
        <w:t xml:space="preserve"> extract</w:t>
      </w:r>
      <w:r w:rsidR="00B62415">
        <w:rPr>
          <w:rFonts w:ascii="Times New Roman" w:eastAsia="Arial" w:hAnsi="Times New Roman" w:cs="Times New Roman"/>
          <w:b/>
          <w:sz w:val="24"/>
          <w:szCs w:val="24"/>
        </w:rPr>
        <w:t xml:space="preserve"> used in the clinical trial.</w:t>
      </w:r>
    </w:p>
    <w:p w14:paraId="357B9FAF" w14:textId="77777777" w:rsidR="001E7D2F" w:rsidRPr="005F4577" w:rsidRDefault="001E7D2F" w:rsidP="001E7D2F">
      <w:pPr>
        <w:spacing w:before="6" w:after="6"/>
        <w:rPr>
          <w:highlight w:val="yellow"/>
        </w:rPr>
      </w:pPr>
    </w:p>
    <w:p w14:paraId="62A9D6A3" w14:textId="77777777" w:rsidR="001E7D2F" w:rsidRPr="005F4577" w:rsidRDefault="001E7D2F" w:rsidP="001E7D2F">
      <w:pPr>
        <w:widowControl w:val="0"/>
        <w:spacing w:before="6" w:after="6" w:line="360" w:lineRule="auto"/>
        <w:jc w:val="both"/>
        <w:rPr>
          <w:rFonts w:ascii="Arial" w:eastAsia="Arial" w:hAnsi="Arial" w:cs="Arial"/>
          <w:sz w:val="24"/>
          <w:szCs w:val="24"/>
        </w:rPr>
      </w:pPr>
      <w:r w:rsidRPr="005F4577">
        <w:rPr>
          <w:rFonts w:ascii="Arial" w:eastAsia="Arial" w:hAnsi="Arial" w:cs="Arial"/>
          <w:sz w:val="24"/>
          <w:szCs w:val="24"/>
        </w:rPr>
        <w:t xml:space="preserve">                </w:t>
      </w:r>
      <w:r w:rsidRPr="005F4577">
        <w:rPr>
          <w:noProof/>
          <w:lang w:val="pt-BR"/>
        </w:rPr>
        <w:drawing>
          <wp:inline distT="0" distB="0" distL="0" distR="0" wp14:anchorId="28CA4D4F" wp14:editId="74049AA0">
            <wp:extent cx="5400040" cy="4358005"/>
            <wp:effectExtent l="0" t="0" r="0" b="0"/>
            <wp:docPr id="144" name="image6.png" descr="Tela de jog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44" name="image6.png" descr="Tela de jogo&#10;&#10;Descrição gerada automaticamente com confiança média"/>
                    <pic:cNvPicPr preferRelativeResize="0"/>
                  </pic:nvPicPr>
                  <pic:blipFill>
                    <a:blip r:embed="rId8"/>
                    <a:srcRect/>
                    <a:stretch>
                      <a:fillRect/>
                    </a:stretch>
                  </pic:blipFill>
                  <pic:spPr>
                    <a:xfrm>
                      <a:off x="0" y="0"/>
                      <a:ext cx="5400040" cy="4358005"/>
                    </a:xfrm>
                    <a:prstGeom prst="rect">
                      <a:avLst/>
                    </a:prstGeom>
                    <a:ln/>
                  </pic:spPr>
                </pic:pic>
              </a:graphicData>
            </a:graphic>
          </wp:inline>
        </w:drawing>
      </w:r>
      <w:r w:rsidRPr="005F4577">
        <w:rPr>
          <w:rFonts w:ascii="Arial" w:eastAsia="Arial" w:hAnsi="Arial" w:cs="Arial"/>
          <w:sz w:val="24"/>
          <w:szCs w:val="24"/>
        </w:rPr>
        <w:t xml:space="preserve"> </w:t>
      </w:r>
    </w:p>
    <w:p w14:paraId="289C11CB" w14:textId="77777777" w:rsidR="001E7D2F" w:rsidRPr="00E20FCB" w:rsidRDefault="001E7D2F" w:rsidP="001E7D2F">
      <w:pPr>
        <w:widowControl w:val="0"/>
        <w:spacing w:before="6" w:after="6" w:line="240" w:lineRule="auto"/>
        <w:jc w:val="both"/>
        <w:rPr>
          <w:rFonts w:ascii="Times New Roman" w:eastAsia="Arial" w:hAnsi="Times New Roman" w:cs="Times New Roman"/>
          <w:sz w:val="24"/>
          <w:szCs w:val="24"/>
        </w:rPr>
      </w:pPr>
      <w:r w:rsidRPr="00E20FCB">
        <w:rPr>
          <w:rFonts w:ascii="Times New Roman" w:eastAsia="Arial" w:hAnsi="Times New Roman" w:cs="Times New Roman"/>
          <w:b/>
          <w:sz w:val="24"/>
          <w:szCs w:val="24"/>
        </w:rPr>
        <w:t>Figure S2 –</w:t>
      </w:r>
      <w:r w:rsidRPr="00E20FCB">
        <w:rPr>
          <w:rFonts w:ascii="Times New Roman" w:eastAsia="Arial" w:hAnsi="Times New Roman" w:cs="Times New Roman"/>
          <w:sz w:val="24"/>
          <w:szCs w:val="24"/>
        </w:rPr>
        <w:t xml:space="preserve"> </w:t>
      </w:r>
      <w:r w:rsidRPr="00E20FCB">
        <w:rPr>
          <w:rFonts w:ascii="Times New Roman" w:eastAsia="Arial" w:hAnsi="Times New Roman" w:cs="Times New Roman"/>
          <w:b/>
          <w:sz w:val="24"/>
          <w:szCs w:val="24"/>
        </w:rPr>
        <w:t>Plasma concentration of glucose, total cholesterol, LDL-cholesterol, HDL-cholesterol, and triglycerides.</w:t>
      </w:r>
      <w:r w:rsidRPr="00E20FCB">
        <w:rPr>
          <w:rFonts w:ascii="Times New Roman" w:eastAsia="Arial" w:hAnsi="Times New Roman" w:cs="Times New Roman"/>
          <w:sz w:val="24"/>
          <w:szCs w:val="24"/>
        </w:rPr>
        <w:t xml:space="preserve"> The glucose and concentration of total cholesterol and fractions were determined in the plasma before (Pre) and after (Post) eight weeks of supplementation with placebo and </w:t>
      </w:r>
      <w:r w:rsidRPr="00E20FCB">
        <w:rPr>
          <w:rFonts w:ascii="Times New Roman" w:eastAsia="Arial" w:hAnsi="Times New Roman" w:cs="Times New Roman"/>
          <w:i/>
          <w:sz w:val="24"/>
          <w:szCs w:val="24"/>
        </w:rPr>
        <w:t>Ganoderma</w:t>
      </w:r>
      <w:r w:rsidRPr="00E20FCB">
        <w:rPr>
          <w:rFonts w:ascii="Times New Roman" w:eastAsia="Arial" w:hAnsi="Times New Roman" w:cs="Times New Roman"/>
          <w:sz w:val="24"/>
          <w:szCs w:val="24"/>
        </w:rPr>
        <w:t xml:space="preserve">. Values are presented as mean ± SEM. N = 23 for the </w:t>
      </w:r>
      <w:r w:rsidRPr="00E20FCB">
        <w:rPr>
          <w:rFonts w:ascii="Times New Roman" w:eastAsia="Arial" w:hAnsi="Times New Roman" w:cs="Times New Roman"/>
          <w:i/>
          <w:sz w:val="24"/>
          <w:szCs w:val="24"/>
        </w:rPr>
        <w:t>Ganoderma</w:t>
      </w:r>
      <w:r w:rsidRPr="00E20FCB">
        <w:rPr>
          <w:rFonts w:ascii="Times New Roman" w:eastAsia="Arial" w:hAnsi="Times New Roman" w:cs="Times New Roman"/>
          <w:sz w:val="24"/>
          <w:szCs w:val="24"/>
        </w:rPr>
        <w:t xml:space="preserve"> group and N = 16 for the placebo group. </w:t>
      </w:r>
    </w:p>
    <w:p w14:paraId="066365C7" w14:textId="77777777" w:rsidR="001E7D2F" w:rsidRPr="00E20FCB" w:rsidRDefault="001E7D2F" w:rsidP="001E7D2F">
      <w:pPr>
        <w:widowControl w:val="0"/>
        <w:spacing w:before="6" w:after="6" w:line="240" w:lineRule="auto"/>
        <w:jc w:val="both"/>
        <w:rPr>
          <w:rFonts w:ascii="Times New Roman" w:eastAsia="Arial" w:hAnsi="Times New Roman" w:cs="Times New Roman"/>
          <w:b/>
          <w:sz w:val="24"/>
          <w:szCs w:val="24"/>
          <w:highlight w:val="yellow"/>
        </w:rPr>
      </w:pPr>
    </w:p>
    <w:p w14:paraId="2E442C48" w14:textId="77777777" w:rsidR="001E7D2F" w:rsidRPr="005F4577" w:rsidRDefault="001E7D2F" w:rsidP="001E7D2F">
      <w:pPr>
        <w:widowControl w:val="0"/>
        <w:spacing w:before="6" w:after="6" w:line="360" w:lineRule="auto"/>
        <w:jc w:val="both"/>
        <w:rPr>
          <w:rFonts w:ascii="Arial" w:eastAsia="Arial" w:hAnsi="Arial" w:cs="Arial"/>
          <w:b/>
          <w:sz w:val="24"/>
          <w:szCs w:val="24"/>
          <w:highlight w:val="yellow"/>
        </w:rPr>
      </w:pPr>
    </w:p>
    <w:p w14:paraId="08638759" w14:textId="77777777" w:rsidR="001E7D2F" w:rsidRPr="005F4577" w:rsidRDefault="001E7D2F" w:rsidP="001E7D2F">
      <w:pPr>
        <w:widowControl w:val="0"/>
        <w:spacing w:before="6" w:after="6" w:line="360" w:lineRule="auto"/>
        <w:jc w:val="center"/>
        <w:rPr>
          <w:rFonts w:ascii="Arial" w:eastAsia="Arial" w:hAnsi="Arial" w:cs="Arial"/>
          <w:sz w:val="24"/>
          <w:szCs w:val="24"/>
        </w:rPr>
      </w:pPr>
      <w:r w:rsidRPr="005F4577">
        <w:rPr>
          <w:noProof/>
          <w:lang w:val="pt-BR"/>
        </w:rPr>
        <w:lastRenderedPageBreak/>
        <w:drawing>
          <wp:inline distT="0" distB="0" distL="0" distR="0" wp14:anchorId="6FACDE8A" wp14:editId="55E23C0F">
            <wp:extent cx="5400040" cy="4383405"/>
            <wp:effectExtent l="0" t="0" r="0" b="0"/>
            <wp:docPr id="147" name="image5.png" descr="Aplicativ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47" name="image5.png" descr="Aplicativo&#10;&#10;Descrição gerada automaticamente com confiança média"/>
                    <pic:cNvPicPr preferRelativeResize="0"/>
                  </pic:nvPicPr>
                  <pic:blipFill>
                    <a:blip r:embed="rId9"/>
                    <a:srcRect/>
                    <a:stretch>
                      <a:fillRect/>
                    </a:stretch>
                  </pic:blipFill>
                  <pic:spPr>
                    <a:xfrm>
                      <a:off x="0" y="0"/>
                      <a:ext cx="5400040" cy="4383405"/>
                    </a:xfrm>
                    <a:prstGeom prst="rect">
                      <a:avLst/>
                    </a:prstGeom>
                    <a:ln/>
                  </pic:spPr>
                </pic:pic>
              </a:graphicData>
            </a:graphic>
          </wp:inline>
        </w:drawing>
      </w:r>
    </w:p>
    <w:p w14:paraId="6D4C15DB" w14:textId="77777777" w:rsidR="001E7D2F" w:rsidRPr="00E20FCB" w:rsidRDefault="001E7D2F" w:rsidP="001E7D2F">
      <w:pPr>
        <w:widowControl w:val="0"/>
        <w:spacing w:before="6" w:after="6" w:line="240" w:lineRule="auto"/>
        <w:jc w:val="both"/>
        <w:rPr>
          <w:rFonts w:ascii="Times New Roman" w:eastAsia="Arial" w:hAnsi="Times New Roman" w:cs="Times New Roman"/>
          <w:sz w:val="24"/>
          <w:szCs w:val="24"/>
        </w:rPr>
      </w:pPr>
      <w:r w:rsidRPr="00E20FCB">
        <w:rPr>
          <w:rFonts w:ascii="Times New Roman" w:eastAsia="Arial" w:hAnsi="Times New Roman" w:cs="Times New Roman"/>
          <w:b/>
          <w:sz w:val="24"/>
          <w:szCs w:val="24"/>
        </w:rPr>
        <w:t>Figure S3- Plasma concentration of creatinine and</w:t>
      </w:r>
      <w:r w:rsidRPr="00E20FCB">
        <w:rPr>
          <w:rFonts w:ascii="Times New Roman" w:eastAsia="Arial" w:hAnsi="Times New Roman" w:cs="Times New Roman"/>
          <w:b/>
          <w:sz w:val="24"/>
          <w:szCs w:val="24"/>
          <w:highlight w:val="white"/>
        </w:rPr>
        <w:t xml:space="preserve"> gamma-glutamyl transferase (</w:t>
      </w:r>
      <w:r w:rsidRPr="00E20FCB">
        <w:rPr>
          <w:rFonts w:ascii="Times New Roman" w:eastAsia="Arial" w:hAnsi="Times New Roman" w:cs="Times New Roman"/>
          <w:b/>
          <w:sz w:val="24"/>
          <w:szCs w:val="24"/>
        </w:rPr>
        <w:t>GGT)</w:t>
      </w:r>
      <w:r w:rsidRPr="00E20FCB">
        <w:rPr>
          <w:rFonts w:ascii="Times New Roman" w:eastAsia="Arial" w:hAnsi="Times New Roman" w:cs="Times New Roman"/>
          <w:b/>
          <w:sz w:val="24"/>
          <w:szCs w:val="24"/>
          <w:highlight w:val="white"/>
        </w:rPr>
        <w:t xml:space="preserve">, </w:t>
      </w:r>
      <w:r w:rsidRPr="00E20FCB">
        <w:rPr>
          <w:rFonts w:ascii="Times New Roman" w:eastAsia="Arial" w:hAnsi="Times New Roman" w:cs="Times New Roman"/>
          <w:b/>
          <w:sz w:val="24"/>
          <w:szCs w:val="24"/>
        </w:rPr>
        <w:t xml:space="preserve">lipase, </w:t>
      </w:r>
      <w:r w:rsidRPr="00E20FCB">
        <w:rPr>
          <w:rFonts w:ascii="Times New Roman" w:eastAsia="Arial" w:hAnsi="Times New Roman" w:cs="Times New Roman"/>
          <w:b/>
          <w:sz w:val="24"/>
          <w:szCs w:val="24"/>
          <w:highlight w:val="white"/>
        </w:rPr>
        <w:t>aspartate aminotransferase</w:t>
      </w:r>
      <w:r w:rsidRPr="00E20FCB">
        <w:rPr>
          <w:rFonts w:ascii="Times New Roman" w:eastAsia="Arial" w:hAnsi="Times New Roman" w:cs="Times New Roman"/>
          <w:b/>
          <w:sz w:val="24"/>
          <w:szCs w:val="24"/>
        </w:rPr>
        <w:t xml:space="preserve"> (AST) and alanine aminotransferase (ALT) enzyme activity</w:t>
      </w:r>
      <w:r w:rsidRPr="00E20FCB">
        <w:rPr>
          <w:rFonts w:ascii="Times New Roman" w:eastAsia="Arial" w:hAnsi="Times New Roman" w:cs="Times New Roman"/>
          <w:sz w:val="24"/>
          <w:szCs w:val="24"/>
        </w:rPr>
        <w:t xml:space="preserve">. The creatinine concentration and enzyme activity were determined before (Pre) and after (Post) eight weeks of supplementation with placebo and </w:t>
      </w:r>
      <w:r w:rsidRPr="00E20FCB">
        <w:rPr>
          <w:rFonts w:ascii="Times New Roman" w:eastAsia="Arial" w:hAnsi="Times New Roman" w:cs="Times New Roman"/>
          <w:i/>
          <w:sz w:val="24"/>
          <w:szCs w:val="24"/>
        </w:rPr>
        <w:t>Ganoderma</w:t>
      </w:r>
      <w:r w:rsidRPr="00E20FCB">
        <w:rPr>
          <w:rFonts w:ascii="Times New Roman" w:eastAsia="Arial" w:hAnsi="Times New Roman" w:cs="Times New Roman"/>
          <w:sz w:val="24"/>
          <w:szCs w:val="24"/>
        </w:rPr>
        <w:t xml:space="preserve">. Values are presented as mean ± SEM. N = 23 for the </w:t>
      </w:r>
      <w:r w:rsidRPr="00E20FCB">
        <w:rPr>
          <w:rFonts w:ascii="Times New Roman" w:eastAsia="Arial" w:hAnsi="Times New Roman" w:cs="Times New Roman"/>
          <w:i/>
          <w:sz w:val="24"/>
          <w:szCs w:val="24"/>
        </w:rPr>
        <w:t xml:space="preserve">Ganoderma </w:t>
      </w:r>
      <w:r w:rsidRPr="00E20FCB">
        <w:rPr>
          <w:rFonts w:ascii="Times New Roman" w:eastAsia="Arial" w:hAnsi="Times New Roman" w:cs="Times New Roman"/>
          <w:sz w:val="24"/>
          <w:szCs w:val="24"/>
        </w:rPr>
        <w:t>group and N = 16 for the placebo group.</w:t>
      </w:r>
      <w:r w:rsidRPr="00E20FCB">
        <w:rPr>
          <w:rFonts w:ascii="Times New Roman" w:eastAsia="Arial" w:hAnsi="Times New Roman" w:cs="Times New Roman"/>
          <w:sz w:val="24"/>
          <w:szCs w:val="24"/>
        </w:rPr>
        <w:tab/>
      </w:r>
    </w:p>
    <w:p w14:paraId="1AEF5910" w14:textId="77777777" w:rsidR="001E7D2F" w:rsidRPr="005F4577" w:rsidRDefault="001E7D2F" w:rsidP="001E7D2F">
      <w:pPr>
        <w:widowControl w:val="0"/>
        <w:spacing w:before="6" w:after="6" w:line="360" w:lineRule="auto"/>
        <w:jc w:val="both"/>
        <w:rPr>
          <w:rFonts w:ascii="Arial" w:eastAsia="Arial" w:hAnsi="Arial" w:cs="Arial"/>
          <w:sz w:val="24"/>
          <w:szCs w:val="24"/>
        </w:rPr>
      </w:pPr>
    </w:p>
    <w:p w14:paraId="6B3880DE" w14:textId="77777777" w:rsidR="001E7D2F" w:rsidRPr="00E20FCB" w:rsidRDefault="001E7D2F" w:rsidP="001E7D2F">
      <w:pPr>
        <w:widowControl w:val="0"/>
        <w:spacing w:before="6" w:after="6" w:line="360" w:lineRule="auto"/>
        <w:jc w:val="both"/>
        <w:rPr>
          <w:rFonts w:ascii="Times New Roman" w:eastAsia="Arial" w:hAnsi="Times New Roman" w:cs="Times New Roman"/>
          <w:b/>
          <w:sz w:val="24"/>
          <w:szCs w:val="24"/>
        </w:rPr>
      </w:pPr>
      <w:r w:rsidRPr="00E20FCB">
        <w:rPr>
          <w:rFonts w:ascii="Times New Roman" w:eastAsia="Arial" w:hAnsi="Times New Roman" w:cs="Times New Roman"/>
          <w:b/>
          <w:sz w:val="24"/>
          <w:szCs w:val="24"/>
        </w:rPr>
        <w:t>Hematological parameters</w:t>
      </w:r>
    </w:p>
    <w:p w14:paraId="71B4BE7B" w14:textId="77777777" w:rsidR="001E7D2F" w:rsidRPr="00E20FCB" w:rsidRDefault="001E7D2F" w:rsidP="001E7D2F">
      <w:pPr>
        <w:widowControl w:val="0"/>
        <w:spacing w:before="6" w:after="6" w:line="360" w:lineRule="auto"/>
        <w:ind w:firstLine="1134"/>
        <w:jc w:val="both"/>
        <w:rPr>
          <w:rFonts w:ascii="Times New Roman" w:eastAsia="Arial" w:hAnsi="Times New Roman" w:cs="Times New Roman"/>
          <w:sz w:val="24"/>
          <w:szCs w:val="24"/>
        </w:rPr>
      </w:pPr>
      <w:r w:rsidRPr="00E20FCB">
        <w:rPr>
          <w:rFonts w:ascii="Times New Roman" w:eastAsia="Arial" w:hAnsi="Times New Roman" w:cs="Times New Roman"/>
          <w:sz w:val="24"/>
          <w:szCs w:val="24"/>
        </w:rPr>
        <w:t xml:space="preserve">In relation to erythrocytes, leukocytes, lymphocytes, hemoglobin concentration and hematocrit percentage we did not find differences for both Placebo and </w:t>
      </w:r>
      <w:r w:rsidRPr="00E20FCB">
        <w:rPr>
          <w:rFonts w:ascii="Times New Roman" w:eastAsia="Arial" w:hAnsi="Times New Roman" w:cs="Times New Roman"/>
          <w:i/>
          <w:sz w:val="24"/>
          <w:szCs w:val="24"/>
        </w:rPr>
        <w:t>Ganoderma</w:t>
      </w:r>
      <w:r w:rsidRPr="00E20FCB">
        <w:rPr>
          <w:rFonts w:ascii="Times New Roman" w:eastAsia="Arial" w:hAnsi="Times New Roman" w:cs="Times New Roman"/>
          <w:sz w:val="24"/>
          <w:szCs w:val="24"/>
        </w:rPr>
        <w:t xml:space="preserve"> groups in any of the evaluated periods (Figure S4).</w:t>
      </w:r>
    </w:p>
    <w:p w14:paraId="3DFC5C03" w14:textId="77777777" w:rsidR="001E7D2F" w:rsidRPr="00E20FCB" w:rsidRDefault="001E7D2F" w:rsidP="001E7D2F">
      <w:pPr>
        <w:widowControl w:val="0"/>
        <w:spacing w:before="6" w:after="6" w:line="360" w:lineRule="auto"/>
        <w:jc w:val="both"/>
        <w:rPr>
          <w:rFonts w:ascii="Times New Roman" w:eastAsia="Arial" w:hAnsi="Times New Roman" w:cs="Times New Roman"/>
          <w:sz w:val="24"/>
          <w:szCs w:val="24"/>
        </w:rPr>
      </w:pPr>
    </w:p>
    <w:p w14:paraId="1562A527" w14:textId="77777777" w:rsidR="001E7D2F" w:rsidRPr="005F4577" w:rsidRDefault="001E7D2F" w:rsidP="001E7D2F">
      <w:pPr>
        <w:widowControl w:val="0"/>
        <w:spacing w:before="6" w:after="6" w:line="360" w:lineRule="auto"/>
        <w:jc w:val="center"/>
        <w:rPr>
          <w:rFonts w:ascii="Arial" w:eastAsia="Arial" w:hAnsi="Arial" w:cs="Arial"/>
          <w:sz w:val="24"/>
          <w:szCs w:val="24"/>
        </w:rPr>
      </w:pPr>
      <w:r w:rsidRPr="005F4577">
        <w:rPr>
          <w:noProof/>
          <w:lang w:val="pt-BR"/>
        </w:rPr>
        <w:lastRenderedPageBreak/>
        <w:drawing>
          <wp:inline distT="0" distB="0" distL="0" distR="0" wp14:anchorId="6326E2E4" wp14:editId="65DB1DB1">
            <wp:extent cx="5940425" cy="4894580"/>
            <wp:effectExtent l="0" t="0" r="0" b="0"/>
            <wp:docPr id="145" name="image4.png" descr="Tela preta com letras brancas&#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45" name="image4.png" descr="Tela preta com letras brancas&#10;&#10;Descrição gerada automaticamente com confiança média"/>
                    <pic:cNvPicPr preferRelativeResize="0"/>
                  </pic:nvPicPr>
                  <pic:blipFill>
                    <a:blip r:embed="rId10"/>
                    <a:srcRect/>
                    <a:stretch>
                      <a:fillRect/>
                    </a:stretch>
                  </pic:blipFill>
                  <pic:spPr>
                    <a:xfrm>
                      <a:off x="0" y="0"/>
                      <a:ext cx="5940425" cy="4894580"/>
                    </a:xfrm>
                    <a:prstGeom prst="rect">
                      <a:avLst/>
                    </a:prstGeom>
                    <a:ln/>
                  </pic:spPr>
                </pic:pic>
              </a:graphicData>
            </a:graphic>
          </wp:inline>
        </w:drawing>
      </w:r>
    </w:p>
    <w:p w14:paraId="04667647" w14:textId="77777777" w:rsidR="001E7D2F" w:rsidRPr="00E20FCB" w:rsidRDefault="001E7D2F" w:rsidP="001E7D2F">
      <w:pPr>
        <w:widowControl w:val="0"/>
        <w:tabs>
          <w:tab w:val="left" w:pos="1640"/>
        </w:tabs>
        <w:spacing w:before="6" w:after="6" w:line="240" w:lineRule="auto"/>
        <w:jc w:val="both"/>
        <w:rPr>
          <w:rFonts w:ascii="Times New Roman" w:eastAsia="Arial" w:hAnsi="Times New Roman" w:cs="Times New Roman"/>
          <w:sz w:val="24"/>
          <w:szCs w:val="24"/>
        </w:rPr>
      </w:pPr>
      <w:r w:rsidRPr="00E20FCB">
        <w:rPr>
          <w:rFonts w:ascii="Times New Roman" w:eastAsia="Arial" w:hAnsi="Times New Roman" w:cs="Times New Roman"/>
          <w:b/>
          <w:sz w:val="24"/>
          <w:szCs w:val="24"/>
        </w:rPr>
        <w:t>Figure S4- Hematological parameters.</w:t>
      </w:r>
      <w:r w:rsidRPr="00E20FCB">
        <w:rPr>
          <w:rFonts w:ascii="Times New Roman" w:eastAsia="Arial" w:hAnsi="Times New Roman" w:cs="Times New Roman"/>
          <w:sz w:val="24"/>
          <w:szCs w:val="24"/>
        </w:rPr>
        <w:t xml:space="preserve"> Blood count was performed before (Pre) and after (Post) supplementation with placebo or </w:t>
      </w:r>
      <w:r w:rsidRPr="00E20FCB">
        <w:rPr>
          <w:rFonts w:ascii="Times New Roman" w:eastAsia="Arial" w:hAnsi="Times New Roman" w:cs="Times New Roman"/>
          <w:i/>
          <w:sz w:val="24"/>
          <w:szCs w:val="24"/>
        </w:rPr>
        <w:t>Ganoderma.</w:t>
      </w:r>
      <w:r w:rsidRPr="00E20FCB">
        <w:rPr>
          <w:rFonts w:ascii="Times New Roman" w:eastAsia="Arial" w:hAnsi="Times New Roman" w:cs="Times New Roman"/>
          <w:sz w:val="24"/>
          <w:szCs w:val="24"/>
        </w:rPr>
        <w:t xml:space="preserve"> The analyses were performed by flow cytometry (Sysmex XT 2000I). Values are presented as mean ± SEM. N = 23 for the </w:t>
      </w:r>
      <w:r w:rsidRPr="00E20FCB">
        <w:rPr>
          <w:rFonts w:ascii="Times New Roman" w:eastAsia="Arial" w:hAnsi="Times New Roman" w:cs="Times New Roman"/>
          <w:i/>
          <w:sz w:val="24"/>
          <w:szCs w:val="24"/>
        </w:rPr>
        <w:t xml:space="preserve">Ganoderma </w:t>
      </w:r>
      <w:r w:rsidRPr="00E20FCB">
        <w:rPr>
          <w:rFonts w:ascii="Times New Roman" w:eastAsia="Arial" w:hAnsi="Times New Roman" w:cs="Times New Roman"/>
          <w:sz w:val="24"/>
          <w:szCs w:val="24"/>
        </w:rPr>
        <w:t>group and N = 16 for the placebo group.</w:t>
      </w:r>
    </w:p>
    <w:p w14:paraId="69D4429B" w14:textId="77777777" w:rsidR="001E7D2F" w:rsidRPr="00E20FCB" w:rsidRDefault="001E7D2F" w:rsidP="001E7D2F">
      <w:pPr>
        <w:widowControl w:val="0"/>
        <w:tabs>
          <w:tab w:val="left" w:pos="360"/>
        </w:tabs>
        <w:spacing w:before="6" w:after="6" w:line="360" w:lineRule="auto"/>
        <w:jc w:val="center"/>
        <w:rPr>
          <w:rFonts w:ascii="Times New Roman" w:eastAsia="Arial" w:hAnsi="Times New Roman" w:cs="Times New Roman"/>
          <w:b/>
          <w:bCs/>
          <w:sz w:val="24"/>
          <w:szCs w:val="24"/>
        </w:rPr>
      </w:pPr>
    </w:p>
    <w:p w14:paraId="0F0C12B9" w14:textId="77777777" w:rsidR="001E7D2F" w:rsidRPr="00E20FCB" w:rsidRDefault="001E7D2F" w:rsidP="001E7D2F">
      <w:pPr>
        <w:widowControl w:val="0"/>
        <w:tabs>
          <w:tab w:val="left" w:pos="360"/>
        </w:tabs>
        <w:spacing w:before="6" w:after="6" w:line="360" w:lineRule="auto"/>
        <w:rPr>
          <w:rFonts w:ascii="Times New Roman" w:eastAsia="Arial" w:hAnsi="Times New Roman" w:cs="Times New Roman"/>
          <w:b/>
          <w:bCs/>
          <w:sz w:val="24"/>
          <w:szCs w:val="24"/>
        </w:rPr>
      </w:pPr>
      <w:r w:rsidRPr="00E20FCB">
        <w:rPr>
          <w:rFonts w:ascii="Times New Roman" w:eastAsia="Arial" w:hAnsi="Times New Roman" w:cs="Times New Roman"/>
          <w:b/>
          <w:bCs/>
          <w:sz w:val="24"/>
          <w:szCs w:val="24"/>
        </w:rPr>
        <w:t>S5 - MATERIALS AND METHODS</w:t>
      </w:r>
    </w:p>
    <w:p w14:paraId="5D36F196" w14:textId="77777777" w:rsidR="001E7D2F" w:rsidRPr="00422F6E" w:rsidRDefault="001E7D2F" w:rsidP="001E7D2F">
      <w:pPr>
        <w:widowControl w:val="0"/>
        <w:spacing w:before="6" w:after="6" w:line="360" w:lineRule="auto"/>
        <w:rPr>
          <w:rFonts w:ascii="Arial" w:eastAsia="Arial" w:hAnsi="Arial" w:cs="Arial"/>
          <w:color w:val="000000"/>
          <w:sz w:val="24"/>
          <w:szCs w:val="24"/>
        </w:rPr>
      </w:pPr>
      <w:r w:rsidRPr="005F4577">
        <w:rPr>
          <w:rFonts w:ascii="Arial" w:eastAsia="Arial" w:hAnsi="Arial" w:cs="Arial"/>
          <w:b/>
          <w:sz w:val="24"/>
          <w:szCs w:val="24"/>
        </w:rPr>
        <w:t xml:space="preserve"> </w:t>
      </w:r>
    </w:p>
    <w:p w14:paraId="1FDEF20B" w14:textId="77777777" w:rsidR="001E7D2F" w:rsidRPr="00E20FCB" w:rsidRDefault="001E7D2F" w:rsidP="001E7D2F">
      <w:pPr>
        <w:widowControl w:val="0"/>
        <w:pBdr>
          <w:top w:val="nil"/>
          <w:left w:val="nil"/>
          <w:bottom w:val="nil"/>
          <w:right w:val="nil"/>
          <w:between w:val="nil"/>
        </w:pBdr>
        <w:spacing w:before="6" w:after="6" w:line="360" w:lineRule="auto"/>
        <w:jc w:val="both"/>
        <w:rPr>
          <w:rFonts w:ascii="Times New Roman" w:eastAsia="Arial" w:hAnsi="Times New Roman" w:cs="Times New Roman"/>
          <w:b/>
          <w:color w:val="000000"/>
          <w:sz w:val="24"/>
          <w:szCs w:val="24"/>
        </w:rPr>
      </w:pPr>
      <w:r w:rsidRPr="00E20FCB">
        <w:rPr>
          <w:rFonts w:ascii="Times New Roman" w:eastAsia="Arial" w:hAnsi="Times New Roman" w:cs="Times New Roman"/>
          <w:b/>
          <w:color w:val="000000"/>
          <w:sz w:val="24"/>
          <w:szCs w:val="24"/>
        </w:rPr>
        <w:t>S5.</w:t>
      </w:r>
      <w:r>
        <w:rPr>
          <w:rFonts w:ascii="Times New Roman" w:eastAsia="Arial" w:hAnsi="Times New Roman" w:cs="Times New Roman"/>
          <w:b/>
          <w:color w:val="000000"/>
          <w:sz w:val="24"/>
          <w:szCs w:val="24"/>
        </w:rPr>
        <w:t>1</w:t>
      </w:r>
      <w:r w:rsidRPr="00E20FCB">
        <w:rPr>
          <w:rFonts w:ascii="Times New Roman" w:eastAsia="Arial" w:hAnsi="Times New Roman" w:cs="Times New Roman"/>
          <w:b/>
          <w:color w:val="000000"/>
          <w:sz w:val="24"/>
          <w:szCs w:val="24"/>
        </w:rPr>
        <w:t>- Lymphocyte Isolation</w:t>
      </w:r>
    </w:p>
    <w:p w14:paraId="46F84EB6" w14:textId="77777777" w:rsidR="001E7D2F" w:rsidRPr="00E20FCB" w:rsidRDefault="001E7D2F" w:rsidP="001E7D2F">
      <w:pPr>
        <w:widowControl w:val="0"/>
        <w:pBdr>
          <w:top w:val="nil"/>
          <w:left w:val="nil"/>
          <w:bottom w:val="nil"/>
          <w:right w:val="nil"/>
          <w:between w:val="nil"/>
        </w:pBdr>
        <w:tabs>
          <w:tab w:val="left" w:pos="709"/>
          <w:tab w:val="left" w:pos="993"/>
        </w:tabs>
        <w:spacing w:before="6" w:after="6" w:line="360" w:lineRule="auto"/>
        <w:jc w:val="both"/>
        <w:rPr>
          <w:rFonts w:ascii="Times New Roman" w:eastAsia="Arial" w:hAnsi="Times New Roman" w:cs="Times New Roman"/>
          <w:color w:val="000000"/>
          <w:sz w:val="24"/>
          <w:szCs w:val="24"/>
        </w:rPr>
      </w:pPr>
      <w:r w:rsidRPr="005F4577">
        <w:rPr>
          <w:rFonts w:ascii="Arial" w:eastAsia="Arial" w:hAnsi="Arial" w:cs="Arial"/>
          <w:color w:val="000000"/>
          <w:sz w:val="24"/>
          <w:szCs w:val="24"/>
        </w:rPr>
        <w:tab/>
      </w:r>
      <w:r w:rsidRPr="00E20FCB">
        <w:rPr>
          <w:rFonts w:ascii="Times New Roman" w:eastAsia="Arial" w:hAnsi="Times New Roman" w:cs="Times New Roman"/>
          <w:color w:val="000000"/>
          <w:sz w:val="24"/>
          <w:szCs w:val="24"/>
        </w:rPr>
        <w:t xml:space="preserve">Blood samples were diluted in phosphate buffer saline (PBS) (1:1), and the resulting suspension (3 mL) layered onto Histopaque-1077 (6 mL) and centrifuged at 400 x </w:t>
      </w:r>
      <w:r w:rsidRPr="00E20FCB">
        <w:rPr>
          <w:rFonts w:ascii="Times New Roman" w:eastAsia="Arial" w:hAnsi="Times New Roman" w:cs="Times New Roman"/>
          <w:i/>
          <w:color w:val="000000"/>
          <w:sz w:val="24"/>
          <w:szCs w:val="24"/>
        </w:rPr>
        <w:t>g</w:t>
      </w:r>
      <w:r w:rsidRPr="00E20FCB">
        <w:rPr>
          <w:rFonts w:ascii="Times New Roman" w:eastAsia="Arial" w:hAnsi="Times New Roman" w:cs="Times New Roman"/>
          <w:color w:val="000000"/>
          <w:sz w:val="24"/>
          <w:szCs w:val="24"/>
        </w:rPr>
        <w:t xml:space="preserve">, for 30 min, at room temperature. </w:t>
      </w:r>
      <w:r w:rsidRPr="00E20FCB">
        <w:rPr>
          <w:rFonts w:ascii="Times New Roman" w:eastAsia="Arial" w:hAnsi="Times New Roman" w:cs="Times New Roman"/>
          <w:color w:val="000000" w:themeColor="text1"/>
          <w:sz w:val="24"/>
          <w:szCs w:val="24"/>
        </w:rPr>
        <w:t xml:space="preserve">Peripheral blood mononuclear cells were </w:t>
      </w:r>
      <w:r w:rsidRPr="00E20FCB">
        <w:rPr>
          <w:rFonts w:ascii="Times New Roman" w:eastAsia="Arial" w:hAnsi="Times New Roman" w:cs="Times New Roman"/>
          <w:color w:val="000000"/>
          <w:sz w:val="24"/>
          <w:szCs w:val="24"/>
        </w:rPr>
        <w:t>collected from the interphase. The remaining erythrocytes were lysed in a solution containing 150 mM NH</w:t>
      </w:r>
      <w:r w:rsidRPr="00E20FCB">
        <w:rPr>
          <w:rFonts w:ascii="Times New Roman" w:eastAsia="Arial" w:hAnsi="Times New Roman" w:cs="Times New Roman"/>
          <w:color w:val="000000"/>
          <w:sz w:val="24"/>
          <w:szCs w:val="24"/>
          <w:vertAlign w:val="subscript"/>
        </w:rPr>
        <w:t>4</w:t>
      </w:r>
      <w:r w:rsidRPr="00E20FCB">
        <w:rPr>
          <w:rFonts w:ascii="Times New Roman" w:eastAsia="Arial" w:hAnsi="Times New Roman" w:cs="Times New Roman"/>
          <w:color w:val="000000"/>
          <w:sz w:val="24"/>
          <w:szCs w:val="24"/>
        </w:rPr>
        <w:t>Cl, 10 mM NaHCO</w:t>
      </w:r>
      <w:r w:rsidRPr="00E20FCB">
        <w:rPr>
          <w:rFonts w:ascii="Times New Roman" w:eastAsia="Arial" w:hAnsi="Times New Roman" w:cs="Times New Roman"/>
          <w:color w:val="000000"/>
          <w:sz w:val="24"/>
          <w:szCs w:val="24"/>
          <w:vertAlign w:val="subscript"/>
        </w:rPr>
        <w:t>3</w:t>
      </w:r>
      <w:r w:rsidRPr="00E20FCB">
        <w:rPr>
          <w:rFonts w:ascii="Times New Roman" w:eastAsia="Arial" w:hAnsi="Times New Roman" w:cs="Times New Roman"/>
          <w:color w:val="000000"/>
          <w:sz w:val="24"/>
          <w:szCs w:val="24"/>
        </w:rPr>
        <w:t>, and 0.1 mM EDTA, pH 7.4. Cells were washed once with PBS and were maintained in RPMI-1640 medium supplemented with 10% fetal bovine serum (FBS), 100 U/mL penicillin, and 0.1 mg/mL streptomycin, pH 7.4, in sterile tissue culture flasks. The cells were maintained at 37°C in a humidified atmosphere, with 5% CO</w:t>
      </w:r>
      <w:r w:rsidRPr="00E20FCB">
        <w:rPr>
          <w:rFonts w:ascii="Times New Roman" w:eastAsia="Arial" w:hAnsi="Times New Roman" w:cs="Times New Roman"/>
          <w:color w:val="000000"/>
          <w:sz w:val="24"/>
          <w:szCs w:val="24"/>
          <w:vertAlign w:val="subscript"/>
        </w:rPr>
        <w:t>2</w:t>
      </w:r>
      <w:r w:rsidRPr="00E20FCB">
        <w:rPr>
          <w:rFonts w:ascii="Times New Roman" w:eastAsia="Arial" w:hAnsi="Times New Roman" w:cs="Times New Roman"/>
          <w:color w:val="000000"/>
          <w:sz w:val="24"/>
          <w:szCs w:val="24"/>
        </w:rPr>
        <w:t xml:space="preserve"> and 95% air, to allow the </w:t>
      </w:r>
      <w:r w:rsidRPr="00E20FCB">
        <w:rPr>
          <w:rFonts w:ascii="Times New Roman" w:eastAsia="Arial" w:hAnsi="Times New Roman" w:cs="Times New Roman"/>
          <w:color w:val="000000"/>
          <w:sz w:val="24"/>
          <w:szCs w:val="24"/>
        </w:rPr>
        <w:lastRenderedPageBreak/>
        <w:t xml:space="preserve">monocytes to adhere to the plates to obtain a lymphocyte suspension with high purity (&gt;98%). The </w:t>
      </w:r>
      <w:r w:rsidRPr="00E20FCB">
        <w:rPr>
          <w:rFonts w:ascii="Times New Roman" w:eastAsia="Arial" w:hAnsi="Times New Roman" w:cs="Times New Roman"/>
          <w:sz w:val="24"/>
          <w:szCs w:val="24"/>
        </w:rPr>
        <w:t xml:space="preserve">lymphocytes </w:t>
      </w:r>
      <w:r w:rsidRPr="00E20FCB">
        <w:rPr>
          <w:rFonts w:ascii="Times New Roman" w:eastAsia="Arial" w:hAnsi="Times New Roman" w:cs="Times New Roman"/>
          <w:color w:val="000000"/>
          <w:sz w:val="24"/>
          <w:szCs w:val="24"/>
        </w:rPr>
        <w:t xml:space="preserve">were centrifuged at 400 x </w:t>
      </w:r>
      <w:r w:rsidRPr="00E20FCB">
        <w:rPr>
          <w:rFonts w:ascii="Times New Roman" w:eastAsia="Arial" w:hAnsi="Times New Roman" w:cs="Times New Roman"/>
          <w:i/>
          <w:iCs/>
          <w:color w:val="000000"/>
          <w:sz w:val="24"/>
          <w:szCs w:val="24"/>
        </w:rPr>
        <w:t>g</w:t>
      </w:r>
      <w:r w:rsidRPr="00E20FCB">
        <w:rPr>
          <w:rFonts w:ascii="Times New Roman" w:eastAsia="Arial" w:hAnsi="Times New Roman" w:cs="Times New Roman"/>
          <w:color w:val="000000"/>
          <w:sz w:val="24"/>
          <w:szCs w:val="24"/>
        </w:rPr>
        <w:t>, for 10 min, and then the supernatant was discarded. Cells were resuspended in PBS, counted in Neubauer chamber and the specific amount of cells was separated for the analyses.</w:t>
      </w:r>
    </w:p>
    <w:p w14:paraId="3EF0773B" w14:textId="77777777" w:rsidR="001E7D2F" w:rsidRPr="00E20FCB" w:rsidRDefault="001E7D2F" w:rsidP="001E7D2F">
      <w:pPr>
        <w:widowControl w:val="0"/>
        <w:pBdr>
          <w:top w:val="nil"/>
          <w:left w:val="nil"/>
          <w:bottom w:val="nil"/>
          <w:right w:val="nil"/>
          <w:between w:val="nil"/>
        </w:pBdr>
        <w:tabs>
          <w:tab w:val="left" w:pos="709"/>
        </w:tabs>
        <w:spacing w:before="6" w:after="6" w:line="360" w:lineRule="auto"/>
        <w:jc w:val="both"/>
        <w:rPr>
          <w:rFonts w:ascii="Times New Roman" w:eastAsia="Arial" w:hAnsi="Times New Roman" w:cs="Times New Roman"/>
          <w:b/>
          <w:color w:val="000000"/>
          <w:sz w:val="24"/>
          <w:szCs w:val="24"/>
        </w:rPr>
      </w:pPr>
      <w:r w:rsidRPr="00E20FCB">
        <w:rPr>
          <w:rFonts w:ascii="Times New Roman" w:eastAsia="Arial" w:hAnsi="Times New Roman" w:cs="Times New Roman"/>
          <w:b/>
          <w:color w:val="000000"/>
          <w:sz w:val="24"/>
          <w:szCs w:val="24"/>
        </w:rPr>
        <w:t>S5.</w:t>
      </w:r>
      <w:r>
        <w:rPr>
          <w:rFonts w:ascii="Times New Roman" w:eastAsia="Arial" w:hAnsi="Times New Roman" w:cs="Times New Roman"/>
          <w:b/>
          <w:color w:val="000000"/>
          <w:sz w:val="24"/>
          <w:szCs w:val="24"/>
        </w:rPr>
        <w:t>2</w:t>
      </w:r>
      <w:r w:rsidRPr="00E20FCB">
        <w:rPr>
          <w:rFonts w:ascii="Times New Roman" w:eastAsia="Arial" w:hAnsi="Times New Roman" w:cs="Times New Roman"/>
          <w:b/>
          <w:color w:val="000000"/>
          <w:sz w:val="24"/>
          <w:szCs w:val="24"/>
        </w:rPr>
        <w:t>- Evaluation of gene expression</w:t>
      </w:r>
    </w:p>
    <w:p w14:paraId="2A1AE77B" w14:textId="77777777" w:rsidR="001E7D2F" w:rsidRPr="00E20FCB" w:rsidRDefault="001E7D2F" w:rsidP="001E7D2F">
      <w:pPr>
        <w:widowControl w:val="0"/>
        <w:pBdr>
          <w:top w:val="nil"/>
          <w:left w:val="nil"/>
          <w:bottom w:val="nil"/>
          <w:right w:val="nil"/>
          <w:between w:val="nil"/>
        </w:pBdr>
        <w:tabs>
          <w:tab w:val="left" w:pos="709"/>
        </w:tabs>
        <w:spacing w:before="6" w:after="6" w:line="360" w:lineRule="auto"/>
        <w:jc w:val="both"/>
        <w:rPr>
          <w:rFonts w:ascii="Times New Roman" w:eastAsia="Arial" w:hAnsi="Times New Roman" w:cs="Times New Roman"/>
          <w:sz w:val="24"/>
          <w:szCs w:val="24"/>
        </w:rPr>
      </w:pPr>
      <w:r w:rsidRPr="00E20FCB">
        <w:rPr>
          <w:rFonts w:ascii="Times New Roman" w:eastAsia="Arial" w:hAnsi="Times New Roman" w:cs="Times New Roman"/>
          <w:color w:val="000000"/>
          <w:sz w:val="24"/>
          <w:szCs w:val="24"/>
        </w:rPr>
        <w:tab/>
        <w:t>Total RNA was extracted from lymphocyte using the Trizol reagent following the manufacturer’s protocol (Thermo Fisher Scientific, Waltham, MA) with DNase treatment. RNA concentration and purity were assessed using a NanoDrop spectrophotometer (Thermo Fisher Scientific) by measuring the absorbance at 260 and 280 nm. The purified RNA (1 μg) was transcribed into cDNA using the High-Capacity cDNA Reverse Transcription Kit (Thermo Fisher Scientific).</w:t>
      </w:r>
    </w:p>
    <w:p w14:paraId="652F1360" w14:textId="6266AEDA" w:rsidR="001E7D2F" w:rsidRPr="00E20FCB" w:rsidRDefault="001E7D2F" w:rsidP="001E7D2F">
      <w:pPr>
        <w:widowControl w:val="0"/>
        <w:pBdr>
          <w:top w:val="nil"/>
          <w:left w:val="nil"/>
          <w:bottom w:val="nil"/>
          <w:right w:val="nil"/>
          <w:between w:val="nil"/>
        </w:pBdr>
        <w:spacing w:before="6" w:after="6" w:line="360" w:lineRule="auto"/>
        <w:ind w:firstLine="708"/>
        <w:jc w:val="both"/>
        <w:rPr>
          <w:rFonts w:ascii="Times New Roman" w:eastAsia="Arial" w:hAnsi="Times New Roman" w:cs="Times New Roman"/>
          <w:color w:val="000000"/>
          <w:sz w:val="24"/>
          <w:szCs w:val="24"/>
        </w:rPr>
      </w:pPr>
      <w:r w:rsidRPr="00E20FCB">
        <w:rPr>
          <w:rFonts w:ascii="Times New Roman" w:eastAsia="Arial" w:hAnsi="Times New Roman" w:cs="Times New Roman"/>
          <w:color w:val="000000"/>
          <w:sz w:val="24"/>
          <w:szCs w:val="24"/>
        </w:rPr>
        <w:t xml:space="preserve">The real-time polymerase chain reaction (qPCR) assays were carried out in duplicate in the </w:t>
      </w:r>
      <w:r w:rsidRPr="00E20FCB">
        <w:rPr>
          <w:rFonts w:ascii="Times New Roman" w:eastAsia="Arial" w:hAnsi="Times New Roman" w:cs="Times New Roman"/>
          <w:i/>
          <w:iCs/>
          <w:color w:val="000000"/>
          <w:sz w:val="24"/>
          <w:szCs w:val="24"/>
        </w:rPr>
        <w:t>QuantStudio</w:t>
      </w:r>
      <w:r w:rsidRPr="00E20FCB">
        <w:rPr>
          <w:rFonts w:ascii="Times New Roman" w:eastAsia="Arial" w:hAnsi="Times New Roman" w:cs="Times New Roman"/>
          <w:i/>
          <w:iCs/>
          <w:color w:val="000000"/>
          <w:sz w:val="24"/>
          <w:szCs w:val="24"/>
          <w:vertAlign w:val="superscript"/>
        </w:rPr>
        <w:t>TM</w:t>
      </w:r>
      <w:r w:rsidRPr="00E20FCB">
        <w:rPr>
          <w:rFonts w:ascii="Times New Roman" w:eastAsia="Arial" w:hAnsi="Times New Roman" w:cs="Times New Roman"/>
          <w:i/>
          <w:iCs/>
          <w:color w:val="000000"/>
          <w:sz w:val="24"/>
          <w:szCs w:val="24"/>
        </w:rPr>
        <w:t xml:space="preserve"> 3</w:t>
      </w:r>
      <w:r w:rsidRPr="00E20FCB">
        <w:rPr>
          <w:rFonts w:ascii="Times New Roman" w:eastAsia="Arial" w:hAnsi="Times New Roman" w:cs="Times New Roman"/>
          <w:color w:val="000000"/>
          <w:sz w:val="24"/>
          <w:szCs w:val="24"/>
        </w:rPr>
        <w:t xml:space="preserve"> equipment (ThermoFisher, USA) by using the </w:t>
      </w:r>
      <w:r w:rsidRPr="00E20FCB">
        <w:rPr>
          <w:rFonts w:ascii="Times New Roman" w:eastAsia="Arial" w:hAnsi="Times New Roman" w:cs="Times New Roman"/>
          <w:i/>
          <w:iCs/>
          <w:color w:val="000000"/>
          <w:sz w:val="24"/>
          <w:szCs w:val="24"/>
        </w:rPr>
        <w:t>Power SYBR™ Green PCR Master</w:t>
      </w:r>
      <w:r w:rsidRPr="00E20FCB">
        <w:rPr>
          <w:rFonts w:ascii="Times New Roman" w:eastAsia="Arial" w:hAnsi="Times New Roman" w:cs="Times New Roman"/>
          <w:color w:val="000000"/>
          <w:sz w:val="24"/>
          <w:szCs w:val="24"/>
        </w:rPr>
        <w:t xml:space="preserve"> (ThermoFisher, USA), </w:t>
      </w:r>
      <w:r w:rsidR="007C61E9" w:rsidRPr="00E20FCB">
        <w:rPr>
          <w:rFonts w:ascii="Times New Roman" w:eastAsia="Arial" w:hAnsi="Times New Roman" w:cs="Times New Roman"/>
          <w:color w:val="000000"/>
          <w:sz w:val="24"/>
          <w:szCs w:val="24"/>
        </w:rPr>
        <w:t>accordingly,</w:t>
      </w:r>
      <w:r w:rsidRPr="00E20FCB">
        <w:rPr>
          <w:rFonts w:ascii="Times New Roman" w:eastAsia="Arial" w:hAnsi="Times New Roman" w:cs="Times New Roman"/>
          <w:color w:val="000000"/>
          <w:sz w:val="24"/>
          <w:szCs w:val="24"/>
        </w:rPr>
        <w:t xml:space="preserve"> to manufacture specifications. The sequences of the specific primers for the analysis of IL-35, TGF-β, Gata-3, T-bet, FoxP3, ROR</w:t>
      </w:r>
      <w:r>
        <w:rPr>
          <w:rFonts w:ascii="Times New Roman" w:eastAsia="Arial" w:hAnsi="Times New Roman" w:cs="Times New Roman"/>
          <w:color w:val="000000"/>
          <w:sz w:val="24"/>
          <w:szCs w:val="24"/>
        </w:rPr>
        <w:t>-</w:t>
      </w:r>
      <w:r w:rsidRPr="00E20FCB">
        <w:rPr>
          <w:rFonts w:ascii="Times New Roman" w:eastAsia="Arial" w:hAnsi="Times New Roman" w:cs="Times New Roman"/>
          <w:color w:val="000000"/>
          <w:sz w:val="24"/>
          <w:szCs w:val="24"/>
        </w:rPr>
        <w:t>ɣT, β2M, IL-10, IL-6, IFN-</w:t>
      </w:r>
      <w:r w:rsidRPr="00E20FCB">
        <w:rPr>
          <w:rFonts w:ascii="Times New Roman" w:eastAsia="Noto Sans Symbols" w:hAnsi="Times New Roman" w:cs="Times New Roman"/>
          <w:color w:val="000000"/>
          <w:sz w:val="24"/>
          <w:szCs w:val="24"/>
        </w:rPr>
        <w:t>γ</w:t>
      </w:r>
      <w:r w:rsidRPr="00E20FCB">
        <w:rPr>
          <w:rFonts w:ascii="Times New Roman" w:eastAsia="Arial" w:hAnsi="Times New Roman" w:cs="Times New Roman"/>
          <w:color w:val="000000"/>
          <w:sz w:val="24"/>
          <w:szCs w:val="24"/>
        </w:rPr>
        <w:t xml:space="preserve">, TNF-α, IL-2, and IL-17 gene expression were designed using information from the </w:t>
      </w:r>
      <w:r w:rsidRPr="00E20FCB">
        <w:rPr>
          <w:rFonts w:ascii="Times New Roman" w:eastAsia="Arial" w:hAnsi="Times New Roman" w:cs="Times New Roman"/>
          <w:i/>
          <w:iCs/>
          <w:color w:val="000000"/>
          <w:sz w:val="24"/>
          <w:szCs w:val="24"/>
        </w:rPr>
        <w:t>GeneBank</w:t>
      </w:r>
      <w:r w:rsidRPr="00E20FCB">
        <w:rPr>
          <w:rFonts w:ascii="Times New Roman" w:eastAsia="Arial" w:hAnsi="Times New Roman" w:cs="Times New Roman"/>
          <w:color w:val="000000"/>
          <w:sz w:val="24"/>
          <w:szCs w:val="24"/>
        </w:rPr>
        <w:t xml:space="preserve"> public database of the National Center for Biotechnology Information (NCBI). These sequences are described in Table S2.</w:t>
      </w:r>
    </w:p>
    <w:p w14:paraId="5A0744D5" w14:textId="498F9179" w:rsidR="008D29D7" w:rsidRDefault="008D29D7">
      <w:pPr>
        <w:spacing w:before="240" w:after="480" w:line="360" w:lineRule="auto"/>
        <w:ind w:left="851" w:firstLine="851"/>
        <w:jc w:val="both"/>
        <w:rPr>
          <w:rFonts w:ascii="Arial" w:eastAsia="Arial" w:hAnsi="Arial" w:cs="Arial"/>
          <w:b/>
          <w:color w:val="000000"/>
          <w:sz w:val="24"/>
          <w:szCs w:val="24"/>
        </w:rPr>
      </w:pPr>
      <w:r>
        <w:rPr>
          <w:rFonts w:ascii="Arial" w:eastAsia="Arial" w:hAnsi="Arial" w:cs="Arial"/>
          <w:b/>
          <w:color w:val="000000"/>
          <w:sz w:val="24"/>
          <w:szCs w:val="24"/>
        </w:rPr>
        <w:br w:type="page"/>
      </w:r>
    </w:p>
    <w:p w14:paraId="63E87BFD" w14:textId="77777777" w:rsidR="001E7D2F" w:rsidRPr="00E20FCB" w:rsidRDefault="001E7D2F" w:rsidP="001E7D2F">
      <w:pPr>
        <w:widowControl w:val="0"/>
        <w:pBdr>
          <w:top w:val="nil"/>
          <w:left w:val="nil"/>
          <w:bottom w:val="nil"/>
          <w:right w:val="nil"/>
          <w:between w:val="nil"/>
        </w:pBdr>
        <w:spacing w:before="6" w:after="6" w:line="360" w:lineRule="auto"/>
        <w:ind w:firstLine="709"/>
        <w:jc w:val="both"/>
        <w:rPr>
          <w:rFonts w:ascii="Times New Roman" w:eastAsia="Arial" w:hAnsi="Times New Roman" w:cs="Times New Roman"/>
          <w:b/>
          <w:color w:val="000000"/>
          <w:sz w:val="24"/>
          <w:szCs w:val="24"/>
        </w:rPr>
      </w:pPr>
      <w:r w:rsidRPr="00E20FCB">
        <w:rPr>
          <w:rFonts w:ascii="Times New Roman" w:eastAsia="Arial" w:hAnsi="Times New Roman" w:cs="Times New Roman"/>
          <w:b/>
          <w:color w:val="000000"/>
          <w:sz w:val="24"/>
          <w:szCs w:val="24"/>
        </w:rPr>
        <w:lastRenderedPageBreak/>
        <w:t>Table S2: Sequences of the primers used in the study.</w:t>
      </w:r>
    </w:p>
    <w:p w14:paraId="68E9863A" w14:textId="77777777" w:rsidR="001E7D2F" w:rsidRPr="005F4577" w:rsidRDefault="001E7D2F" w:rsidP="001E7D2F">
      <w:pPr>
        <w:widowControl w:val="0"/>
        <w:pBdr>
          <w:top w:val="nil"/>
          <w:left w:val="nil"/>
          <w:bottom w:val="nil"/>
          <w:right w:val="nil"/>
          <w:between w:val="nil"/>
        </w:pBdr>
        <w:spacing w:before="6" w:after="6" w:line="360" w:lineRule="auto"/>
        <w:jc w:val="both"/>
        <w:rPr>
          <w:rFonts w:ascii="Arial" w:eastAsia="Arial" w:hAnsi="Arial" w:cs="Arial"/>
          <w:color w:val="000000"/>
          <w:sz w:val="24"/>
          <w:szCs w:val="24"/>
        </w:rPr>
      </w:pPr>
      <w:r w:rsidRPr="005F4577">
        <w:rPr>
          <w:rFonts w:ascii="Arial" w:eastAsia="Arial" w:hAnsi="Arial" w:cs="Arial"/>
          <w:noProof/>
          <w:color w:val="000000"/>
          <w:sz w:val="24"/>
          <w:szCs w:val="24"/>
          <w:lang w:val="pt-BR"/>
        </w:rPr>
        <w:drawing>
          <wp:inline distT="0" distB="0" distL="0" distR="0" wp14:anchorId="220EF97A" wp14:editId="33857F8F">
            <wp:extent cx="5663703" cy="3714100"/>
            <wp:effectExtent l="0" t="0" r="0" b="1270"/>
            <wp:docPr id="1761417812" name="Imagem 1761417812"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17812" name="Imagem 1761417812" descr="Uma imagem contendo Tabel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27" cy="3717723"/>
                    </a:xfrm>
                    <a:prstGeom prst="rect">
                      <a:avLst/>
                    </a:prstGeom>
                    <a:noFill/>
                  </pic:spPr>
                </pic:pic>
              </a:graphicData>
            </a:graphic>
          </wp:inline>
        </w:drawing>
      </w:r>
    </w:p>
    <w:p w14:paraId="61CF5FCC" w14:textId="0DE059F7" w:rsidR="001E7D2F" w:rsidRDefault="001E7D2F" w:rsidP="001E7D2F">
      <w:pPr>
        <w:widowControl w:val="0"/>
        <w:spacing w:before="6" w:after="6" w:line="360" w:lineRule="auto"/>
        <w:ind w:firstLine="708"/>
        <w:jc w:val="both"/>
        <w:rPr>
          <w:rFonts w:ascii="Times New Roman" w:eastAsia="Arial" w:hAnsi="Times New Roman" w:cs="Times New Roman"/>
          <w:sz w:val="24"/>
          <w:szCs w:val="24"/>
        </w:rPr>
      </w:pPr>
      <w:r w:rsidRPr="00E20FCB">
        <w:rPr>
          <w:rFonts w:ascii="Times New Roman" w:eastAsia="Arial" w:hAnsi="Times New Roman" w:cs="Times New Roman"/>
          <w:sz w:val="24"/>
          <w:szCs w:val="24"/>
        </w:rPr>
        <w:t xml:space="preserve">The relative quantification value of each target gene </w:t>
      </w:r>
      <w:bookmarkStart w:id="0" w:name="_Hlk131159708"/>
      <w:r w:rsidRPr="00E20FCB">
        <w:rPr>
          <w:rFonts w:ascii="Times New Roman" w:eastAsia="Arial" w:hAnsi="Times New Roman" w:cs="Times New Roman"/>
          <w:sz w:val="24"/>
          <w:szCs w:val="24"/>
        </w:rPr>
        <w:t>was expressed using the Ct comparative method with the 2</w:t>
      </w:r>
      <w:r w:rsidRPr="00E20FCB">
        <w:rPr>
          <w:rFonts w:ascii="Times New Roman" w:eastAsia="Arial" w:hAnsi="Times New Roman" w:cs="Times New Roman"/>
          <w:sz w:val="24"/>
          <w:szCs w:val="24"/>
          <w:vertAlign w:val="superscript"/>
        </w:rPr>
        <w:t>-DDCT</w:t>
      </w:r>
      <w:r w:rsidRPr="00E20FCB">
        <w:rPr>
          <w:rFonts w:ascii="Times New Roman" w:eastAsia="Arial" w:hAnsi="Times New Roman" w:cs="Times New Roman"/>
          <w:sz w:val="24"/>
          <w:szCs w:val="24"/>
        </w:rPr>
        <w:t xml:space="preserve"> formula</w:t>
      </w:r>
      <w:r w:rsidR="00A70043">
        <w:rPr>
          <w:rFonts w:ascii="Times New Roman" w:eastAsia="Arial" w:hAnsi="Times New Roman" w:cs="Times New Roman"/>
          <w:sz w:val="24"/>
          <w:szCs w:val="24"/>
        </w:rPr>
        <w:fldChar w:fldCharType="begin"/>
      </w:r>
      <w:r w:rsidR="00A70043">
        <w:rPr>
          <w:rFonts w:ascii="Times New Roman" w:eastAsia="Arial" w:hAnsi="Times New Roman" w:cs="Times New Roman"/>
          <w:sz w:val="24"/>
          <w:szCs w:val="24"/>
        </w:rPr>
        <w:instrText xml:space="preserve"> ADDIN ZOTERO_ITEM CSL_CITATION {"citationID":"gxVsPe0j","properties":{"formattedCitation":"\\super 1,2\\nosupersub{}","plainCitation":"1,2","noteIndex":0},"citationItems":[{"id":147,"uris":["http://zotero.org/users/8759776/items/26PEBB23"],"itemData":{"id":147,"type":"article-journal","abstract":"The two most commonly used methods to analyze data from real-time, quantitative PCR experiments are absolute quantification and relative quantification. Absolute quantification determines the input copy number, usually by relating the PCR signal to a standard curve. Relative quantification relates the PCR signal of the target transcript in a treatment group to that of another sample such as an untreated control. The 2(-Delta Delta C(T)) method is a convenient way to analyze the relative changes in gene expression from real-time quantitative PCR experiments. The purpose of this report is to present the derivation, assumptions, and applications of the 2(-Delta Delta C(T)) method. In addition, we present the derivation and applications of two variations of the 2(-Delta Delta C(T)) method that may be useful in the analysis of real-time, quantitative PCR data.","container-title":"Methods (San Diego, Calif.)","DOI":"10.1006/meth.2001.1262","ISSN":"1046-2023","issue":"4","journalAbbreviation":"Methods","language":"eng","note":"number: 4\nPMID: 11846609","page":"402-408","source":"PubMed","title":"Analysis of relative gene expression data using real-time quantitative PCR and the 2(-Delta Delta C(T)) Method","volume":"25","author":[{"family":"Livak","given":"K. J."},{"family":"Schmittgen","given":"T. D."}],"issued":{"date-parts":[["2001",12]]}}},{"id":146,"uris":["http://zotero.org/users/8759776/items/GW49BV6N"],"itemData":{"id":146,"type":"article-journal","abstract":"Use of the real-time polymerase chain reaction (PCR) to amplify cDNA products reverse transcribed from mRNA is on the way to becoming a routine tool in molecular biology to study low abundance gene expression. Real-time PCR is easy to perform, provides the necessary accuracy and produces reliable as well as rapid quantification results. But accurate quantification of nucleic acids requires a reproducible methodology and an adequate mathematical model for data analysis. This study enters into the particular topics of the relative quantification in real-time RT-PCR of a target gene transcript in comparison to a reference gene transcript. Therefore, a new mathematical model is presented. The relative expression ratio is calculated only from the real-time PCR efficiencies and the crossing point deviation of an unknown sample versus a control. This model needs no calibration curve. Control levels were included in the model to standardise each reaction run with respect to RNA integrity, sample loading and inter-PCR variations. High accuracy and reproducibility (&lt;2.5% variation) were reached in LightCycler PCR using the established mathematical model.","container-title":"Nucleic Acids Research","DOI":"10.1093/nar/29.9.e45","ISSN":"1362-4962","issue":"9","journalAbbreviation":"Nucleic Acids Res","language":"eng","note":"number: 9\nPMID: 11328886\nPMCID: PMC55695","page":"e45","source":"PubMed","title":"A new mathematical model for relative quantification in real-time RT-PCR","volume":"29","author":[{"family":"Pfaffl","given":"M. W."}],"issued":{"date-parts":[["2001",5,1]]}}}],"schema":"https://github.com/citation-style-language/schema/raw/master/csl-citation.json"} </w:instrText>
      </w:r>
      <w:r w:rsidR="00A70043">
        <w:rPr>
          <w:rFonts w:ascii="Times New Roman" w:eastAsia="Arial" w:hAnsi="Times New Roman" w:cs="Times New Roman"/>
          <w:sz w:val="24"/>
          <w:szCs w:val="24"/>
        </w:rPr>
        <w:fldChar w:fldCharType="separate"/>
      </w:r>
      <w:r w:rsidR="00A70043" w:rsidRPr="00A70043">
        <w:rPr>
          <w:rFonts w:ascii="Times New Roman" w:hAnsi="Times New Roman" w:cs="Times New Roman"/>
          <w:sz w:val="24"/>
          <w:vertAlign w:val="superscript"/>
        </w:rPr>
        <w:t>1,2</w:t>
      </w:r>
      <w:r w:rsidR="00A70043">
        <w:rPr>
          <w:rFonts w:ascii="Times New Roman" w:eastAsia="Arial" w:hAnsi="Times New Roman" w:cs="Times New Roman"/>
          <w:sz w:val="24"/>
          <w:szCs w:val="24"/>
        </w:rPr>
        <w:fldChar w:fldCharType="end"/>
      </w:r>
      <w:bookmarkEnd w:id="0"/>
      <w:r w:rsidR="007C61E9">
        <w:rPr>
          <w:rFonts w:ascii="Times New Roman" w:eastAsia="Arial" w:hAnsi="Times New Roman" w:cs="Times New Roman"/>
          <w:sz w:val="24"/>
          <w:szCs w:val="24"/>
        </w:rPr>
        <w:t>.</w:t>
      </w:r>
      <w:r w:rsidRPr="00E20FCB">
        <w:rPr>
          <w:rFonts w:ascii="Times New Roman" w:eastAsia="Arial" w:hAnsi="Times New Roman" w:cs="Times New Roman"/>
          <w:sz w:val="24"/>
          <w:szCs w:val="24"/>
        </w:rPr>
        <w:t xml:space="preserve">The β2M reference gene was chosen after </w:t>
      </w:r>
      <w:r w:rsidRPr="00E20FCB">
        <w:rPr>
          <w:rFonts w:ascii="Times New Roman" w:eastAsia="Arial" w:hAnsi="Times New Roman" w:cs="Times New Roman"/>
          <w:i/>
          <w:iCs/>
          <w:sz w:val="24"/>
          <w:szCs w:val="24"/>
        </w:rPr>
        <w:t>GeNorm</w:t>
      </w:r>
      <w:r w:rsidRPr="00E20FCB">
        <w:rPr>
          <w:rFonts w:ascii="Times New Roman" w:eastAsia="Arial" w:hAnsi="Times New Roman" w:cs="Times New Roman"/>
          <w:i/>
          <w:iCs/>
          <w:sz w:val="24"/>
          <w:szCs w:val="24"/>
          <w:vertAlign w:val="superscript"/>
        </w:rPr>
        <w:t>TM</w:t>
      </w:r>
      <w:r w:rsidRPr="00E20FCB">
        <w:rPr>
          <w:rFonts w:ascii="Times New Roman" w:eastAsia="Arial" w:hAnsi="Times New Roman" w:cs="Times New Roman"/>
          <w:sz w:val="24"/>
          <w:szCs w:val="24"/>
        </w:rPr>
        <w:t xml:space="preserve"> analysis, as described by </w:t>
      </w:r>
      <w:bookmarkStart w:id="1" w:name="_Hlk131082938"/>
      <w:r w:rsidRPr="00E20FCB">
        <w:rPr>
          <w:rFonts w:ascii="Times New Roman" w:eastAsia="Arial" w:hAnsi="Times New Roman" w:cs="Times New Roman"/>
          <w:sz w:val="24"/>
          <w:szCs w:val="24"/>
        </w:rPr>
        <w:t xml:space="preserve">Vandesompele </w:t>
      </w:r>
      <w:r w:rsidRPr="007C61E9">
        <w:rPr>
          <w:rFonts w:ascii="Times New Roman" w:eastAsia="Arial" w:hAnsi="Times New Roman" w:cs="Times New Roman"/>
          <w:i/>
          <w:iCs/>
          <w:sz w:val="24"/>
          <w:szCs w:val="24"/>
        </w:rPr>
        <w:t>et al</w:t>
      </w:r>
      <w:r w:rsidRPr="00E20FCB">
        <w:rPr>
          <w:rFonts w:ascii="Times New Roman" w:eastAsia="Arial" w:hAnsi="Times New Roman" w:cs="Times New Roman"/>
          <w:sz w:val="24"/>
          <w:szCs w:val="24"/>
        </w:rPr>
        <w:t>.</w:t>
      </w:r>
      <w:r w:rsidR="007C61E9">
        <w:rPr>
          <w:rFonts w:ascii="Times New Roman" w:eastAsia="Arial" w:hAnsi="Times New Roman" w:cs="Times New Roman"/>
          <w:sz w:val="24"/>
          <w:szCs w:val="24"/>
        </w:rPr>
        <w:fldChar w:fldCharType="begin"/>
      </w:r>
      <w:r w:rsidR="007C61E9">
        <w:rPr>
          <w:rFonts w:ascii="Times New Roman" w:eastAsia="Arial" w:hAnsi="Times New Roman" w:cs="Times New Roman"/>
          <w:sz w:val="24"/>
          <w:szCs w:val="24"/>
        </w:rPr>
        <w:instrText xml:space="preserve"> ADDIN ZOTERO_ITEM CSL_CITATION {"citationID":"IxmAAxWZ","properties":{"formattedCitation":"\\super 3\\nosupersub{}","plainCitation":"3","noteIndex":0},"citationItems":[{"id":358,"uris":["http://zotero.org/users/8759776/items/J4DN94Z4"],"itemData":{"id":358,"type":"article-journal","abstract":"Gene-expression analysis is increasingly important in biological research, with real-time reverse transcription PCR (RT-PCR) becoming the method of choice for high-throughput and accurate expression profiling of selected genes. Given the increased sensitivity, reproducibility and large dynamic range of this methodology, the requirements for a proper internal control gene for normalization have become increasingly stringent. Although housekeeping gene expression has been reported to vary considerably, no systematic survey has properly determined the errors related to the common practice of using only one control gene, nor presented an adequate way of working around this problem.","container-title":"Genome Biology","DOI":"10.1186/gb-2002-3-7-research0034","ISSN":"1474-760X","issue":"7","journalAbbreviation":"Genome Biology","note":"number: 7","page":"research0034.1","source":"BioMed Central","title":"Accurate normalization of real-time quantitative RT-PCR data by geometric averaging of multiple internal control genes","volume":"3","author":[{"family":"Vandesompele","given":"Jo"},{"family":"De Preter","given":"Katleen"},{"family":"Pattyn","given":"Filip"},{"family":"Poppe","given":"Bruce"},{"family":"Van Roy","given":"Nadine"},{"family":"De Paepe","given":"Anne"},{"family":"Speleman","given":"Frank"}],"issued":{"date-parts":[["2002",6,18]]}}}],"schema":"https://github.com/citation-style-language/schema/raw/master/csl-citation.json"} </w:instrText>
      </w:r>
      <w:r w:rsidR="007C61E9">
        <w:rPr>
          <w:rFonts w:ascii="Times New Roman" w:eastAsia="Arial" w:hAnsi="Times New Roman" w:cs="Times New Roman"/>
          <w:sz w:val="24"/>
          <w:szCs w:val="24"/>
        </w:rPr>
        <w:fldChar w:fldCharType="separate"/>
      </w:r>
      <w:r w:rsidR="007C61E9" w:rsidRPr="007C61E9">
        <w:rPr>
          <w:rFonts w:ascii="Times New Roman" w:hAnsi="Times New Roman" w:cs="Times New Roman"/>
          <w:sz w:val="24"/>
          <w:vertAlign w:val="superscript"/>
        </w:rPr>
        <w:t>3</w:t>
      </w:r>
      <w:r w:rsidR="007C61E9">
        <w:rPr>
          <w:rFonts w:ascii="Times New Roman" w:eastAsia="Arial" w:hAnsi="Times New Roman" w:cs="Times New Roman"/>
          <w:sz w:val="24"/>
          <w:szCs w:val="24"/>
        </w:rPr>
        <w:fldChar w:fldCharType="end"/>
      </w:r>
      <w:r w:rsidR="007C61E9">
        <w:rPr>
          <w:rFonts w:ascii="Times New Roman" w:eastAsia="Arial" w:hAnsi="Times New Roman" w:cs="Times New Roman"/>
          <w:sz w:val="24"/>
          <w:szCs w:val="24"/>
        </w:rPr>
        <w:t>.</w:t>
      </w:r>
    </w:p>
    <w:bookmarkEnd w:id="1"/>
    <w:p w14:paraId="6B9AF132" w14:textId="77777777" w:rsidR="001E7D2F" w:rsidRPr="005F4577" w:rsidRDefault="001E7D2F" w:rsidP="001E7D2F">
      <w:pPr>
        <w:spacing w:before="6" w:after="6"/>
      </w:pPr>
    </w:p>
    <w:p w14:paraId="3223EE12" w14:textId="397D2CDD" w:rsidR="001E7D2F" w:rsidRPr="007C61E9" w:rsidRDefault="001E7D2F" w:rsidP="001E7D2F">
      <w:pPr>
        <w:spacing w:before="6" w:after="6"/>
        <w:rPr>
          <w:rFonts w:ascii="Times New Roman" w:hAnsi="Times New Roman" w:cs="Times New Roman"/>
          <w:b/>
          <w:bCs/>
          <w:sz w:val="24"/>
          <w:szCs w:val="24"/>
          <w:lang w:val="pt-BR"/>
        </w:rPr>
      </w:pPr>
      <w:r w:rsidRPr="007C61E9">
        <w:rPr>
          <w:rFonts w:ascii="Times New Roman" w:hAnsi="Times New Roman" w:cs="Times New Roman"/>
          <w:b/>
          <w:bCs/>
          <w:sz w:val="24"/>
          <w:szCs w:val="24"/>
          <w:lang w:val="pt-BR"/>
        </w:rPr>
        <w:t>R</w:t>
      </w:r>
      <w:r w:rsidR="0081755B">
        <w:rPr>
          <w:rFonts w:ascii="Times New Roman" w:hAnsi="Times New Roman" w:cs="Times New Roman"/>
          <w:b/>
          <w:bCs/>
          <w:sz w:val="24"/>
          <w:szCs w:val="24"/>
          <w:lang w:val="pt-BR"/>
        </w:rPr>
        <w:t>eferences</w:t>
      </w:r>
    </w:p>
    <w:p w14:paraId="3542AF60" w14:textId="665C9473" w:rsidR="007C61E9" w:rsidRPr="007C61E9" w:rsidRDefault="007C61E9" w:rsidP="007C61E9">
      <w:pPr>
        <w:pStyle w:val="Bibliografia"/>
        <w:rPr>
          <w:rFonts w:ascii="Times New Roman" w:hAnsi="Times New Roman" w:cs="Times New Roman"/>
          <w:sz w:val="24"/>
        </w:rPr>
      </w:pPr>
      <w:r>
        <w:rPr>
          <w:sz w:val="24"/>
        </w:rPr>
        <w:fldChar w:fldCharType="begin"/>
      </w:r>
      <w:r>
        <w:rPr>
          <w:sz w:val="24"/>
        </w:rPr>
        <w:instrText xml:space="preserve"> ADDIN ZOTERO_BIBL {"uncited":[],"omitted":[],"custom":[]} CSL_BIBLIOGRAPHY </w:instrText>
      </w:r>
      <w:r>
        <w:rPr>
          <w:sz w:val="24"/>
        </w:rPr>
        <w:fldChar w:fldCharType="separate"/>
      </w:r>
      <w:r w:rsidRPr="007C61E9">
        <w:rPr>
          <w:rFonts w:ascii="Times New Roman" w:hAnsi="Times New Roman" w:cs="Times New Roman"/>
          <w:sz w:val="24"/>
        </w:rPr>
        <w:t>1.</w:t>
      </w:r>
      <w:r>
        <w:rPr>
          <w:rFonts w:ascii="Times New Roman" w:hAnsi="Times New Roman" w:cs="Times New Roman"/>
          <w:sz w:val="24"/>
        </w:rPr>
        <w:t xml:space="preserve"> </w:t>
      </w:r>
      <w:r w:rsidRPr="007C61E9">
        <w:rPr>
          <w:rFonts w:ascii="Times New Roman" w:hAnsi="Times New Roman" w:cs="Times New Roman"/>
          <w:sz w:val="24"/>
        </w:rPr>
        <w:t xml:space="preserve">Livak, K. J. &amp; Schmittgen, T. D. </w:t>
      </w:r>
      <w:r w:rsidRPr="007C61E9">
        <w:rPr>
          <w:rFonts w:ascii="Times New Roman" w:hAnsi="Times New Roman" w:cs="Times New Roman"/>
          <w:sz w:val="24"/>
        </w:rPr>
        <w:t>(2001)</w:t>
      </w:r>
      <w:r w:rsidRPr="007C61E9">
        <w:rPr>
          <w:rFonts w:ascii="Times New Roman" w:hAnsi="Times New Roman" w:cs="Times New Roman"/>
          <w:sz w:val="24"/>
        </w:rPr>
        <w:t xml:space="preserve"> Analysis of relative gene expression data using real-time quantitative PCR and the 2(-Delta Delta C(T)) Method. </w:t>
      </w:r>
      <w:r w:rsidRPr="007C61E9">
        <w:rPr>
          <w:rFonts w:ascii="Times New Roman" w:hAnsi="Times New Roman" w:cs="Times New Roman"/>
          <w:i/>
          <w:iCs/>
          <w:sz w:val="24"/>
        </w:rPr>
        <w:t>Methods</w:t>
      </w:r>
      <w:r w:rsidRPr="007C61E9">
        <w:rPr>
          <w:rFonts w:ascii="Times New Roman" w:hAnsi="Times New Roman" w:cs="Times New Roman"/>
          <w:sz w:val="24"/>
        </w:rPr>
        <w:t xml:space="preserve"> </w:t>
      </w:r>
      <w:r w:rsidRPr="007C61E9">
        <w:rPr>
          <w:rFonts w:ascii="Times New Roman" w:hAnsi="Times New Roman" w:cs="Times New Roman"/>
          <w:b/>
          <w:bCs/>
          <w:sz w:val="24"/>
        </w:rPr>
        <w:t>25</w:t>
      </w:r>
      <w:r w:rsidRPr="007C61E9">
        <w:rPr>
          <w:rFonts w:ascii="Times New Roman" w:hAnsi="Times New Roman" w:cs="Times New Roman"/>
          <w:sz w:val="24"/>
        </w:rPr>
        <w:t>, 402–408.</w:t>
      </w:r>
    </w:p>
    <w:p w14:paraId="5A4ECE37" w14:textId="04EF5F43" w:rsidR="007C61E9" w:rsidRPr="007C61E9" w:rsidRDefault="007C61E9" w:rsidP="007C61E9">
      <w:pPr>
        <w:pStyle w:val="Bibliografia"/>
        <w:rPr>
          <w:rFonts w:ascii="Times New Roman" w:hAnsi="Times New Roman" w:cs="Times New Roman"/>
          <w:sz w:val="24"/>
        </w:rPr>
      </w:pPr>
      <w:r w:rsidRPr="007C61E9">
        <w:rPr>
          <w:rFonts w:ascii="Times New Roman" w:hAnsi="Times New Roman" w:cs="Times New Roman"/>
          <w:sz w:val="24"/>
        </w:rPr>
        <w:t>2.</w:t>
      </w:r>
      <w:r>
        <w:rPr>
          <w:rFonts w:ascii="Times New Roman" w:hAnsi="Times New Roman" w:cs="Times New Roman"/>
          <w:sz w:val="24"/>
        </w:rPr>
        <w:t xml:space="preserve"> </w:t>
      </w:r>
      <w:r w:rsidRPr="007C61E9">
        <w:rPr>
          <w:rFonts w:ascii="Times New Roman" w:hAnsi="Times New Roman" w:cs="Times New Roman"/>
          <w:sz w:val="24"/>
        </w:rPr>
        <w:t xml:space="preserve">Pfaffl, M. W. </w:t>
      </w:r>
      <w:r w:rsidRPr="007C61E9">
        <w:rPr>
          <w:rFonts w:ascii="Times New Roman" w:hAnsi="Times New Roman" w:cs="Times New Roman"/>
          <w:sz w:val="24"/>
        </w:rPr>
        <w:t>(2001)</w:t>
      </w:r>
      <w:r>
        <w:rPr>
          <w:rFonts w:ascii="Times New Roman" w:hAnsi="Times New Roman" w:cs="Times New Roman"/>
          <w:sz w:val="24"/>
        </w:rPr>
        <w:t xml:space="preserve"> </w:t>
      </w:r>
      <w:r w:rsidRPr="007C61E9">
        <w:rPr>
          <w:rFonts w:ascii="Times New Roman" w:hAnsi="Times New Roman" w:cs="Times New Roman"/>
          <w:sz w:val="24"/>
        </w:rPr>
        <w:t xml:space="preserve">A new mathematical model for relative quantification in real-time RT-PCR. </w:t>
      </w:r>
      <w:r w:rsidRPr="007C61E9">
        <w:rPr>
          <w:rFonts w:ascii="Times New Roman" w:hAnsi="Times New Roman" w:cs="Times New Roman"/>
          <w:i/>
          <w:iCs/>
          <w:sz w:val="24"/>
        </w:rPr>
        <w:t>Nucleic Acids Res</w:t>
      </w:r>
      <w:r w:rsidRPr="007C61E9">
        <w:rPr>
          <w:rFonts w:ascii="Times New Roman" w:hAnsi="Times New Roman" w:cs="Times New Roman"/>
          <w:sz w:val="24"/>
        </w:rPr>
        <w:t xml:space="preserve"> </w:t>
      </w:r>
      <w:r w:rsidRPr="007C61E9">
        <w:rPr>
          <w:rFonts w:ascii="Times New Roman" w:hAnsi="Times New Roman" w:cs="Times New Roman"/>
          <w:b/>
          <w:bCs/>
          <w:sz w:val="24"/>
        </w:rPr>
        <w:t>29</w:t>
      </w:r>
      <w:r w:rsidRPr="007C61E9">
        <w:rPr>
          <w:rFonts w:ascii="Times New Roman" w:hAnsi="Times New Roman" w:cs="Times New Roman"/>
          <w:sz w:val="24"/>
        </w:rPr>
        <w:t>, e45.</w:t>
      </w:r>
    </w:p>
    <w:p w14:paraId="1C49F3BE" w14:textId="10B38F20" w:rsidR="007C61E9" w:rsidRPr="007C61E9" w:rsidRDefault="007C61E9" w:rsidP="007C61E9">
      <w:pPr>
        <w:pStyle w:val="Bibliografia"/>
        <w:rPr>
          <w:rFonts w:ascii="Times New Roman" w:hAnsi="Times New Roman" w:cs="Times New Roman"/>
          <w:sz w:val="24"/>
        </w:rPr>
      </w:pPr>
      <w:r w:rsidRPr="007C61E9">
        <w:rPr>
          <w:rFonts w:ascii="Times New Roman" w:hAnsi="Times New Roman" w:cs="Times New Roman"/>
          <w:sz w:val="24"/>
        </w:rPr>
        <w:t>3.</w:t>
      </w:r>
      <w:r>
        <w:rPr>
          <w:rFonts w:ascii="Times New Roman" w:hAnsi="Times New Roman" w:cs="Times New Roman"/>
          <w:sz w:val="24"/>
        </w:rPr>
        <w:t xml:space="preserve"> </w:t>
      </w:r>
      <w:r w:rsidRPr="007C61E9">
        <w:rPr>
          <w:rFonts w:ascii="Times New Roman" w:hAnsi="Times New Roman" w:cs="Times New Roman"/>
          <w:sz w:val="24"/>
        </w:rPr>
        <w:t xml:space="preserve">Vandesompele, J. </w:t>
      </w:r>
      <w:r w:rsidRPr="007C61E9">
        <w:rPr>
          <w:rFonts w:ascii="Times New Roman" w:hAnsi="Times New Roman" w:cs="Times New Roman"/>
          <w:i/>
          <w:iCs/>
          <w:sz w:val="24"/>
        </w:rPr>
        <w:t>et al.</w:t>
      </w:r>
      <w:r w:rsidRPr="007C61E9">
        <w:rPr>
          <w:rFonts w:ascii="Times New Roman" w:hAnsi="Times New Roman" w:cs="Times New Roman"/>
          <w:sz w:val="24"/>
        </w:rPr>
        <w:t xml:space="preserve"> </w:t>
      </w:r>
      <w:r w:rsidRPr="007C61E9">
        <w:rPr>
          <w:rFonts w:ascii="Times New Roman" w:hAnsi="Times New Roman" w:cs="Times New Roman"/>
          <w:sz w:val="24"/>
        </w:rPr>
        <w:t>(2002)</w:t>
      </w:r>
      <w:r>
        <w:rPr>
          <w:rFonts w:ascii="Times New Roman" w:hAnsi="Times New Roman" w:cs="Times New Roman"/>
          <w:sz w:val="24"/>
        </w:rPr>
        <w:t xml:space="preserve"> </w:t>
      </w:r>
      <w:r w:rsidRPr="007C61E9">
        <w:rPr>
          <w:rFonts w:ascii="Times New Roman" w:hAnsi="Times New Roman" w:cs="Times New Roman"/>
          <w:sz w:val="24"/>
        </w:rPr>
        <w:t xml:space="preserve">Accurate normalization of real-time quantitative RT-PCR data by geometric averaging of multiple internal control genes. </w:t>
      </w:r>
      <w:r w:rsidRPr="007C61E9">
        <w:rPr>
          <w:rFonts w:ascii="Times New Roman" w:hAnsi="Times New Roman" w:cs="Times New Roman"/>
          <w:i/>
          <w:iCs/>
          <w:sz w:val="24"/>
        </w:rPr>
        <w:t>Genome Biology</w:t>
      </w:r>
      <w:r w:rsidRPr="007C61E9">
        <w:rPr>
          <w:rFonts w:ascii="Times New Roman" w:hAnsi="Times New Roman" w:cs="Times New Roman"/>
          <w:sz w:val="24"/>
        </w:rPr>
        <w:t xml:space="preserve"> </w:t>
      </w:r>
      <w:r w:rsidRPr="007C61E9">
        <w:rPr>
          <w:rFonts w:ascii="Times New Roman" w:hAnsi="Times New Roman" w:cs="Times New Roman"/>
          <w:b/>
          <w:bCs/>
          <w:sz w:val="24"/>
        </w:rPr>
        <w:t>3</w:t>
      </w:r>
      <w:r w:rsidRPr="007C61E9">
        <w:rPr>
          <w:rFonts w:ascii="Times New Roman" w:hAnsi="Times New Roman" w:cs="Times New Roman"/>
          <w:sz w:val="24"/>
        </w:rPr>
        <w:t>, research0034.1.</w:t>
      </w:r>
    </w:p>
    <w:p w14:paraId="44C7529C" w14:textId="060DB0B9" w:rsidR="001E7D2F" w:rsidRPr="009E7F78" w:rsidRDefault="007C61E9" w:rsidP="001E7D2F">
      <w:pPr>
        <w:spacing w:before="6" w:after="6"/>
        <w:rPr>
          <w:rFonts w:ascii="Times New Roman" w:hAnsi="Times New Roman" w:cs="Times New Roman"/>
          <w:sz w:val="24"/>
          <w:szCs w:val="24"/>
        </w:rPr>
      </w:pPr>
      <w:r>
        <w:rPr>
          <w:rFonts w:ascii="Times New Roman" w:hAnsi="Times New Roman" w:cs="Times New Roman"/>
          <w:sz w:val="24"/>
        </w:rPr>
        <w:fldChar w:fldCharType="end"/>
      </w:r>
    </w:p>
    <w:p w14:paraId="2DB90809" w14:textId="704A8DD4" w:rsidR="00E76256" w:rsidRDefault="00E76256" w:rsidP="001E7D2F"/>
    <w:sectPr w:rsidR="00E76256" w:rsidSect="00B161F5">
      <w:footerReference w:type="default" r:id="rId12"/>
      <w:pgSz w:w="11906" w:h="16838"/>
      <w:pgMar w:top="1418" w:right="1418" w:bottom="1418" w:left="1418" w:header="709" w:footer="70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2083" w14:textId="77777777" w:rsidR="00B161F5" w:rsidRDefault="00B161F5">
      <w:pPr>
        <w:spacing w:after="0" w:line="240" w:lineRule="auto"/>
      </w:pPr>
      <w:r>
        <w:separator/>
      </w:r>
    </w:p>
  </w:endnote>
  <w:endnote w:type="continuationSeparator" w:id="0">
    <w:p w14:paraId="0542A254" w14:textId="77777777" w:rsidR="00B161F5" w:rsidRDefault="00B1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47006"/>
      <w:docPartObj>
        <w:docPartGallery w:val="Page Numbers (Bottom of Page)"/>
        <w:docPartUnique/>
      </w:docPartObj>
    </w:sdtPr>
    <w:sdtEndPr/>
    <w:sdtContent>
      <w:p w14:paraId="0727ED72" w14:textId="77777777" w:rsidR="00BA3000" w:rsidRDefault="00BA3000">
        <w:pPr>
          <w:pStyle w:val="Rodap"/>
          <w:jc w:val="right"/>
        </w:pPr>
      </w:p>
      <w:p w14:paraId="21CCECDE" w14:textId="77777777" w:rsidR="00BA3000" w:rsidRDefault="0081755B">
        <w:pPr>
          <w:pStyle w:val="Rodap"/>
          <w:jc w:val="right"/>
        </w:pPr>
        <w:r>
          <w:fldChar w:fldCharType="begin"/>
        </w:r>
        <w:r>
          <w:instrText>PAGE   \* MERGEFORMAT</w:instrText>
        </w:r>
        <w:r>
          <w:fldChar w:fldCharType="separate"/>
        </w:r>
        <w:r>
          <w:rPr>
            <w:lang w:val="pt-BR"/>
          </w:rPr>
          <w:t>2</w:t>
        </w:r>
        <w:r>
          <w:fldChar w:fldCharType="end"/>
        </w:r>
      </w:p>
    </w:sdtContent>
  </w:sdt>
  <w:p w14:paraId="4DA7D68E" w14:textId="77777777" w:rsidR="00BA3000" w:rsidRDefault="00BA3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62AC" w14:textId="77777777" w:rsidR="00B161F5" w:rsidRDefault="00B161F5">
      <w:pPr>
        <w:spacing w:after="0" w:line="240" w:lineRule="auto"/>
      </w:pPr>
      <w:r>
        <w:separator/>
      </w:r>
    </w:p>
  </w:footnote>
  <w:footnote w:type="continuationSeparator" w:id="0">
    <w:p w14:paraId="5C87624F" w14:textId="77777777" w:rsidR="00B161F5" w:rsidRDefault="00B16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2F"/>
    <w:rsid w:val="000E03CF"/>
    <w:rsid w:val="001E7D2F"/>
    <w:rsid w:val="004F0B45"/>
    <w:rsid w:val="007534B1"/>
    <w:rsid w:val="007B15D3"/>
    <w:rsid w:val="007C61E9"/>
    <w:rsid w:val="007F4061"/>
    <w:rsid w:val="0081755B"/>
    <w:rsid w:val="008C115D"/>
    <w:rsid w:val="008D29D7"/>
    <w:rsid w:val="00A70043"/>
    <w:rsid w:val="00B161F5"/>
    <w:rsid w:val="00B62415"/>
    <w:rsid w:val="00BA3000"/>
    <w:rsid w:val="00D05250"/>
    <w:rsid w:val="00E70E8E"/>
    <w:rsid w:val="00E76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9E62"/>
  <w15:chartTrackingRefBased/>
  <w15:docId w15:val="{6169DB2C-CB91-4234-83DB-87E6BEFD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before="240" w:after="480" w:line="360" w:lineRule="auto"/>
        <w:ind w:left="851"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D2F"/>
    <w:pPr>
      <w:spacing w:before="0" w:after="160" w:line="259" w:lineRule="auto"/>
      <w:ind w:left="0" w:firstLine="0"/>
      <w:jc w:val="left"/>
    </w:pPr>
    <w:rPr>
      <w:rFonts w:ascii="Calibri" w:eastAsia="Calibri" w:hAnsi="Calibri" w:cs="Calibri"/>
      <w:kern w:val="0"/>
      <w:lang w:val="en-US"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E7D2F"/>
    <w:pPr>
      <w:tabs>
        <w:tab w:val="center" w:pos="4252"/>
        <w:tab w:val="right" w:pos="8504"/>
      </w:tabs>
      <w:spacing w:after="0" w:line="240" w:lineRule="auto"/>
    </w:pPr>
  </w:style>
  <w:style w:type="character" w:customStyle="1" w:styleId="RodapChar">
    <w:name w:val="Rodapé Char"/>
    <w:basedOn w:val="Fontepargpadro"/>
    <w:link w:val="Rodap"/>
    <w:uiPriority w:val="99"/>
    <w:rsid w:val="001E7D2F"/>
    <w:rPr>
      <w:rFonts w:ascii="Calibri" w:eastAsia="Calibri" w:hAnsi="Calibri" w:cs="Calibri"/>
      <w:kern w:val="0"/>
      <w:lang w:val="en-US" w:eastAsia="pt-BR"/>
      <w14:ligatures w14:val="none"/>
    </w:rPr>
  </w:style>
  <w:style w:type="paragraph" w:styleId="Bibliografia">
    <w:name w:val="Bibliography"/>
    <w:basedOn w:val="Normal"/>
    <w:next w:val="Normal"/>
    <w:uiPriority w:val="37"/>
    <w:unhideWhenUsed/>
    <w:rsid w:val="007C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520">
      <w:bodyDiv w:val="1"/>
      <w:marLeft w:val="0"/>
      <w:marRight w:val="0"/>
      <w:marTop w:val="0"/>
      <w:marBottom w:val="0"/>
      <w:divBdr>
        <w:top w:val="none" w:sz="0" w:space="0" w:color="auto"/>
        <w:left w:val="none" w:sz="0" w:space="0" w:color="auto"/>
        <w:bottom w:val="none" w:sz="0" w:space="0" w:color="auto"/>
        <w:right w:val="none" w:sz="0" w:space="0" w:color="auto"/>
      </w:divBdr>
    </w:div>
    <w:div w:id="15933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Nancy Iser Bem</dc:creator>
  <cp:keywords/>
  <dc:description/>
  <cp:lastModifiedBy>Tiago Bertola Lobato</cp:lastModifiedBy>
  <cp:revision>9</cp:revision>
  <dcterms:created xsi:type="dcterms:W3CDTF">2024-02-20T12:40:00Z</dcterms:created>
  <dcterms:modified xsi:type="dcterms:W3CDTF">2024-03-15T02:26:00Z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id="lATL5HRk"/&gt;&lt;style id="http://www.zotero.org/styles/nature" hasBibliography="1" bibliographyStyleHasBeenSet="1"/&gt;&lt;prefs&gt;&lt;pref name="fieldType" value="Field"/&gt;&lt;/prefs&gt;&lt;/data&gt;</vt:lpwstr>
  </property>
</Properties>
</file>