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A8B9F" w14:textId="77777777" w:rsidR="005336C2" w:rsidRPr="00D55079" w:rsidRDefault="005336C2" w:rsidP="005336C2">
      <w:r>
        <w:rPr>
          <w:noProof/>
        </w:rPr>
        <w:drawing>
          <wp:inline distT="0" distB="0" distL="0" distR="0" wp14:anchorId="32933A18" wp14:editId="55287E56">
            <wp:extent cx="5372100" cy="3162300"/>
            <wp:effectExtent l="0" t="0" r="0" b="0"/>
            <wp:docPr id="211366117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330F0E7-21C1-E14F-BC95-38B545343B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8CB324D" w14:textId="77777777" w:rsidR="005336C2" w:rsidRPr="00D55079" w:rsidRDefault="005336C2" w:rsidP="005336C2">
      <w:r>
        <w:rPr>
          <w:noProof/>
        </w:rPr>
        <w:drawing>
          <wp:inline distT="0" distB="0" distL="0" distR="0" wp14:anchorId="0D839E5C" wp14:editId="0D5EDF3B">
            <wp:extent cx="5286375" cy="3619500"/>
            <wp:effectExtent l="0" t="0" r="9525" b="0"/>
            <wp:docPr id="203676100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30A0215-AA45-8A81-DC20-0888919485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65557C9" w14:textId="77777777" w:rsidR="005336C2" w:rsidRPr="00D55079" w:rsidRDefault="005336C2" w:rsidP="005336C2">
      <w:pPr>
        <w:pStyle w:val="Caption"/>
        <w:spacing w:line="276" w:lineRule="auto"/>
        <w:rPr>
          <w:i w:val="0"/>
          <w:iCs w:val="0"/>
          <w:color w:val="auto"/>
          <w:sz w:val="22"/>
          <w:szCs w:val="22"/>
        </w:rPr>
      </w:pPr>
      <w:r w:rsidRPr="00621FE5">
        <w:rPr>
          <w:b/>
          <w:bCs/>
          <w:i w:val="0"/>
          <w:iCs w:val="0"/>
          <w:color w:val="auto"/>
          <w:sz w:val="22"/>
          <w:szCs w:val="22"/>
        </w:rPr>
        <w:t>Supplementary Fig. 1.</w:t>
      </w:r>
      <w:r w:rsidRPr="00D55079">
        <w:rPr>
          <w:i w:val="0"/>
          <w:iCs w:val="0"/>
          <w:color w:val="auto"/>
          <w:sz w:val="22"/>
          <w:szCs w:val="22"/>
        </w:rPr>
        <w:t xml:space="preserve"> Ferritin concentration (µg/L, geometric mean and 95</w:t>
      </w:r>
      <w:r>
        <w:rPr>
          <w:i w:val="0"/>
          <w:iCs w:val="0"/>
          <w:color w:val="auto"/>
          <w:sz w:val="22"/>
          <w:szCs w:val="22"/>
        </w:rPr>
        <w:t xml:space="preserve"> </w:t>
      </w:r>
      <w:r w:rsidRPr="00D55079">
        <w:rPr>
          <w:i w:val="0"/>
          <w:iCs w:val="0"/>
          <w:color w:val="auto"/>
          <w:sz w:val="22"/>
          <w:szCs w:val="22"/>
        </w:rPr>
        <w:t xml:space="preserve">% CI) per CRP decile in </w:t>
      </w:r>
      <w:r>
        <w:rPr>
          <w:i w:val="0"/>
          <w:iCs w:val="0"/>
          <w:color w:val="auto"/>
          <w:sz w:val="22"/>
          <w:szCs w:val="22"/>
        </w:rPr>
        <w:t xml:space="preserve">children with </w:t>
      </w:r>
      <w:r w:rsidRPr="00D55079">
        <w:rPr>
          <w:i w:val="0"/>
          <w:iCs w:val="0"/>
          <w:color w:val="auto"/>
          <w:sz w:val="22"/>
          <w:szCs w:val="22"/>
        </w:rPr>
        <w:t>malaria</w:t>
      </w:r>
      <w:r>
        <w:rPr>
          <w:i w:val="0"/>
          <w:iCs w:val="0"/>
          <w:color w:val="auto"/>
          <w:sz w:val="22"/>
          <w:szCs w:val="22"/>
        </w:rPr>
        <w:t xml:space="preserve"> </w:t>
      </w:r>
      <w:r w:rsidRPr="00D55079">
        <w:rPr>
          <w:i w:val="0"/>
          <w:iCs w:val="0"/>
          <w:color w:val="auto"/>
          <w:sz w:val="22"/>
          <w:szCs w:val="22"/>
        </w:rPr>
        <w:t>infect</w:t>
      </w:r>
      <w:r>
        <w:rPr>
          <w:i w:val="0"/>
          <w:iCs w:val="0"/>
          <w:color w:val="auto"/>
          <w:sz w:val="22"/>
          <w:szCs w:val="22"/>
        </w:rPr>
        <w:t>ion</w:t>
      </w:r>
      <w:r w:rsidRPr="00D55079">
        <w:rPr>
          <w:i w:val="0"/>
          <w:iCs w:val="0"/>
          <w:color w:val="auto"/>
          <w:sz w:val="22"/>
          <w:szCs w:val="22"/>
        </w:rPr>
        <w:t xml:space="preserve"> and </w:t>
      </w:r>
      <w:r>
        <w:rPr>
          <w:i w:val="0"/>
          <w:iCs w:val="0"/>
          <w:color w:val="auto"/>
          <w:sz w:val="22"/>
          <w:szCs w:val="22"/>
        </w:rPr>
        <w:t xml:space="preserve">children not </w:t>
      </w:r>
      <w:r w:rsidRPr="00D55079">
        <w:rPr>
          <w:i w:val="0"/>
          <w:iCs w:val="0"/>
          <w:color w:val="auto"/>
          <w:sz w:val="22"/>
          <w:szCs w:val="22"/>
        </w:rPr>
        <w:t xml:space="preserve">infected, in </w:t>
      </w:r>
      <w:r>
        <w:rPr>
          <w:i w:val="0"/>
          <w:iCs w:val="0"/>
          <w:color w:val="auto"/>
          <w:sz w:val="22"/>
          <w:szCs w:val="22"/>
        </w:rPr>
        <w:t>(</w:t>
      </w:r>
      <w:r w:rsidRPr="00D55079">
        <w:rPr>
          <w:i w:val="0"/>
          <w:iCs w:val="0"/>
          <w:color w:val="auto"/>
          <w:sz w:val="22"/>
          <w:szCs w:val="22"/>
        </w:rPr>
        <w:t>a) moderate</w:t>
      </w:r>
      <w:r>
        <w:rPr>
          <w:i w:val="0"/>
          <w:iCs w:val="0"/>
          <w:color w:val="auto"/>
          <w:sz w:val="22"/>
          <w:szCs w:val="22"/>
        </w:rPr>
        <w:t xml:space="preserve"> (</w:t>
      </w:r>
      <w:r w:rsidRPr="00621FE5">
        <w:rPr>
          <w:color w:val="auto"/>
          <w:sz w:val="22"/>
          <w:szCs w:val="22"/>
        </w:rPr>
        <w:t>n</w:t>
      </w:r>
      <w:r>
        <w:rPr>
          <w:i w:val="0"/>
          <w:iCs w:val="0"/>
          <w:color w:val="auto"/>
          <w:sz w:val="22"/>
          <w:szCs w:val="22"/>
        </w:rPr>
        <w:t xml:space="preserve"> 4486)</w:t>
      </w:r>
      <w:r w:rsidRPr="00D55079">
        <w:rPr>
          <w:i w:val="0"/>
          <w:iCs w:val="0"/>
          <w:color w:val="auto"/>
          <w:sz w:val="22"/>
          <w:szCs w:val="22"/>
        </w:rPr>
        <w:t xml:space="preserve"> and </w:t>
      </w:r>
      <w:r>
        <w:rPr>
          <w:i w:val="0"/>
          <w:iCs w:val="0"/>
          <w:color w:val="auto"/>
          <w:sz w:val="22"/>
          <w:szCs w:val="22"/>
        </w:rPr>
        <w:t>(</w:t>
      </w:r>
      <w:r w:rsidRPr="00D55079">
        <w:rPr>
          <w:i w:val="0"/>
          <w:iCs w:val="0"/>
          <w:color w:val="auto"/>
          <w:sz w:val="22"/>
          <w:szCs w:val="22"/>
        </w:rPr>
        <w:t>b)</w:t>
      </w:r>
      <w:r>
        <w:rPr>
          <w:i w:val="0"/>
          <w:iCs w:val="0"/>
          <w:color w:val="auto"/>
          <w:sz w:val="22"/>
          <w:szCs w:val="22"/>
        </w:rPr>
        <w:t xml:space="preserve"> </w:t>
      </w:r>
      <w:r w:rsidRPr="00D55079">
        <w:rPr>
          <w:i w:val="0"/>
          <w:iCs w:val="0"/>
          <w:color w:val="auto"/>
          <w:sz w:val="22"/>
          <w:szCs w:val="22"/>
        </w:rPr>
        <w:t>high endemicity</w:t>
      </w:r>
      <w:r>
        <w:rPr>
          <w:i w:val="0"/>
          <w:iCs w:val="0"/>
          <w:color w:val="auto"/>
          <w:sz w:val="22"/>
          <w:szCs w:val="22"/>
        </w:rPr>
        <w:t xml:space="preserve"> (</w:t>
      </w:r>
      <w:r w:rsidRPr="00621FE5">
        <w:rPr>
          <w:color w:val="auto"/>
          <w:sz w:val="22"/>
          <w:szCs w:val="22"/>
        </w:rPr>
        <w:t>n</w:t>
      </w:r>
      <w:r>
        <w:rPr>
          <w:i w:val="0"/>
          <w:iCs w:val="0"/>
          <w:color w:val="auto"/>
          <w:sz w:val="22"/>
          <w:szCs w:val="22"/>
        </w:rPr>
        <w:t xml:space="preserve"> 2167)</w:t>
      </w:r>
      <w:r w:rsidRPr="00D55079">
        <w:rPr>
          <w:i w:val="0"/>
          <w:iCs w:val="0"/>
          <w:color w:val="auto"/>
          <w:sz w:val="22"/>
          <w:szCs w:val="22"/>
        </w:rPr>
        <w:t xml:space="preserve"> profile</w:t>
      </w:r>
      <w:r>
        <w:rPr>
          <w:i w:val="0"/>
          <w:iCs w:val="0"/>
          <w:color w:val="auto"/>
          <w:sz w:val="22"/>
          <w:szCs w:val="22"/>
        </w:rPr>
        <w:t xml:space="preserve">, </w:t>
      </w:r>
      <w:r w:rsidRPr="00A045FD">
        <w:rPr>
          <w:i w:val="0"/>
          <w:color w:val="auto"/>
          <w:sz w:val="22"/>
          <w:szCs w:val="22"/>
          <w:lang w:val="en-US"/>
        </w:rPr>
        <w:t xml:space="preserve">among </w:t>
      </w:r>
      <w:r w:rsidRPr="00A045FD">
        <w:rPr>
          <w:rFonts w:cstheme="minorHAnsi"/>
          <w:i w:val="0"/>
          <w:color w:val="auto"/>
          <w:sz w:val="22"/>
          <w:szCs w:val="22"/>
        </w:rPr>
        <w:t>children aged 6</w:t>
      </w:r>
      <w:r>
        <w:rPr>
          <w:rFonts w:cstheme="minorHAnsi"/>
          <w:i w:val="0"/>
          <w:color w:val="auto"/>
          <w:sz w:val="22"/>
          <w:szCs w:val="22"/>
        </w:rPr>
        <w:t>–</w:t>
      </w:r>
      <w:r w:rsidRPr="00A045FD">
        <w:rPr>
          <w:rFonts w:cstheme="minorHAnsi"/>
          <w:i w:val="0"/>
          <w:color w:val="auto"/>
          <w:sz w:val="22"/>
          <w:szCs w:val="22"/>
        </w:rPr>
        <w:t xml:space="preserve">59 months from </w:t>
      </w:r>
      <w:r>
        <w:rPr>
          <w:rFonts w:cstheme="minorHAnsi"/>
          <w:i w:val="0"/>
          <w:color w:val="auto"/>
          <w:sz w:val="22"/>
          <w:szCs w:val="22"/>
        </w:rPr>
        <w:t>eight</w:t>
      </w:r>
      <w:r w:rsidRPr="00A045FD">
        <w:rPr>
          <w:rFonts w:cstheme="minorHAnsi"/>
          <w:i w:val="0"/>
          <w:color w:val="auto"/>
          <w:sz w:val="22"/>
          <w:szCs w:val="22"/>
        </w:rPr>
        <w:t xml:space="preserve"> datasets</w:t>
      </w:r>
      <w:r>
        <w:rPr>
          <w:rFonts w:cstheme="minorHAnsi"/>
          <w:i w:val="0"/>
          <w:color w:val="auto"/>
          <w:sz w:val="22"/>
          <w:szCs w:val="22"/>
        </w:rPr>
        <w:t xml:space="preserve"> from the BRINDA database</w:t>
      </w:r>
      <w:r w:rsidRPr="00A045FD">
        <w:rPr>
          <w:rFonts w:cstheme="minorHAnsi"/>
          <w:i w:val="0"/>
          <w:color w:val="auto"/>
          <w:sz w:val="22"/>
          <w:szCs w:val="22"/>
        </w:rPr>
        <w:t xml:space="preserve"> in malaria endemic countries in Africa</w:t>
      </w:r>
      <w:r w:rsidRPr="00D55079">
        <w:rPr>
          <w:i w:val="0"/>
          <w:iCs w:val="0"/>
          <w:color w:val="auto"/>
          <w:sz w:val="22"/>
          <w:szCs w:val="22"/>
        </w:rPr>
        <w:t xml:space="preserve">.  </w:t>
      </w:r>
    </w:p>
    <w:p w14:paraId="4315B37A" w14:textId="77777777" w:rsidR="005336C2" w:rsidRPr="00D55079" w:rsidRDefault="005336C2" w:rsidP="005336C2">
      <w:pPr>
        <w:rPr>
          <w:sz w:val="20"/>
          <w:szCs w:val="20"/>
        </w:rPr>
      </w:pPr>
      <w:r w:rsidRPr="00D55079">
        <w:rPr>
          <w:sz w:val="20"/>
          <w:szCs w:val="20"/>
        </w:rPr>
        <w:t>CI</w:t>
      </w:r>
      <w:r>
        <w:rPr>
          <w:sz w:val="20"/>
          <w:szCs w:val="20"/>
        </w:rPr>
        <w:t>,</w:t>
      </w:r>
      <w:r w:rsidRPr="00D55079">
        <w:rPr>
          <w:sz w:val="20"/>
          <w:szCs w:val="20"/>
        </w:rPr>
        <w:t xml:space="preserve"> confidence interval</w:t>
      </w:r>
      <w:r>
        <w:rPr>
          <w:sz w:val="20"/>
          <w:szCs w:val="20"/>
        </w:rPr>
        <w:t xml:space="preserve">, </w:t>
      </w:r>
      <w:r w:rsidRPr="00F933E0">
        <w:rPr>
          <w:sz w:val="20"/>
          <w:szCs w:val="20"/>
        </w:rPr>
        <w:t>CRP</w:t>
      </w:r>
      <w:r>
        <w:rPr>
          <w:sz w:val="20"/>
          <w:szCs w:val="20"/>
        </w:rPr>
        <w:t>,</w:t>
      </w:r>
      <w:r w:rsidRPr="00F933E0">
        <w:rPr>
          <w:sz w:val="20"/>
          <w:szCs w:val="20"/>
        </w:rPr>
        <w:t xml:space="preserve"> C-reactive protein</w:t>
      </w:r>
      <w:r>
        <w:rPr>
          <w:sz w:val="20"/>
          <w:szCs w:val="20"/>
        </w:rPr>
        <w:t>.</w:t>
      </w:r>
    </w:p>
    <w:p w14:paraId="65CEFB57" w14:textId="77777777" w:rsidR="003630EC" w:rsidRDefault="003630EC"/>
    <w:sectPr w:rsidR="003630EC" w:rsidSect="005336C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68991" w14:textId="77777777" w:rsidR="005336C2" w:rsidRDefault="005336C2">
    <w:pPr>
      <w:pStyle w:val="Footer"/>
      <w:jc w:val="right"/>
    </w:pPr>
  </w:p>
  <w:p w14:paraId="0EF83CD2" w14:textId="77777777" w:rsidR="005336C2" w:rsidRDefault="005336C2">
    <w:pPr>
      <w:pStyle w:val="Footer"/>
    </w:pPr>
  </w:p>
  <w:p w14:paraId="64420028" w14:textId="77777777" w:rsidR="005336C2" w:rsidRDefault="005336C2"/>
  <w:p w14:paraId="530CDD64" w14:textId="77777777" w:rsidR="005336C2" w:rsidRDefault="005336C2"/>
  <w:p w14:paraId="2F961D85" w14:textId="77777777" w:rsidR="005336C2" w:rsidRDefault="005336C2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C2"/>
    <w:rsid w:val="000C2776"/>
    <w:rsid w:val="002E56CF"/>
    <w:rsid w:val="003630EC"/>
    <w:rsid w:val="005336C2"/>
    <w:rsid w:val="00785D57"/>
    <w:rsid w:val="008B49A9"/>
    <w:rsid w:val="00EA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160A"/>
  <w15:chartTrackingRefBased/>
  <w15:docId w15:val="{64AEFA5B-44B1-40C1-8119-1F53D86E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6C2"/>
  </w:style>
  <w:style w:type="paragraph" w:styleId="Heading1">
    <w:name w:val="heading 1"/>
    <w:basedOn w:val="Normal"/>
    <w:next w:val="Normal"/>
    <w:link w:val="Heading1Char"/>
    <w:uiPriority w:val="9"/>
    <w:qFormat/>
    <w:rsid w:val="00533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6C2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5336C2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33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annySandalinas\OneDrive%20-%20London%20School%20of%20Hygiene%20and%20Tropical%20Medicine\MALARIA\dec.csv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annySandalinas\OneDrive%20-%20London%20School%20of%20Hygiene%20and%20Tropical%20Medicine\MALARIA\dec.csv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a)moderate</a:t>
            </a:r>
            <a:r>
              <a:rPr lang="en-GB" baseline="0"/>
              <a:t> endemicity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dec!$I$1</c:f>
              <c:strCache>
                <c:ptCount val="1"/>
                <c:pt idx="0">
                  <c:v>children not infected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dash"/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cust"/>
            <c:noEndCap val="0"/>
            <c:plus>
              <c:numRef>
                <c:f>dec!$Q$2:$Q$12</c:f>
                <c:numCache>
                  <c:formatCode>General</c:formatCode>
                  <c:ptCount val="11"/>
                  <c:pt idx="0">
                    <c:v>1.8835188139172985</c:v>
                  </c:pt>
                  <c:pt idx="1">
                    <c:v>1.7874724048288009</c:v>
                  </c:pt>
                  <c:pt idx="2">
                    <c:v>1.8212135296954024</c:v>
                  </c:pt>
                  <c:pt idx="3">
                    <c:v>2.0531579781714981</c:v>
                  </c:pt>
                  <c:pt idx="4">
                    <c:v>2.615125970262099</c:v>
                  </c:pt>
                  <c:pt idx="5">
                    <c:v>2.994524465990601</c:v>
                  </c:pt>
                  <c:pt idx="6">
                    <c:v>3.3948497791975001</c:v>
                  </c:pt>
                  <c:pt idx="7">
                    <c:v>3.6875763613060997</c:v>
                  </c:pt>
                  <c:pt idx="8">
                    <c:v>6.702290518195305</c:v>
                  </c:pt>
                  <c:pt idx="9">
                    <c:v>12.795028029964001</c:v>
                  </c:pt>
                </c:numCache>
              </c:numRef>
            </c:plus>
            <c:minus>
              <c:numRef>
                <c:f>dec!$P$2:$P$12</c:f>
                <c:numCache>
                  <c:formatCode>General</c:formatCode>
                  <c:ptCount val="11"/>
                  <c:pt idx="0">
                    <c:v>1.7164811860826994</c:v>
                  </c:pt>
                  <c:pt idx="1">
                    <c:v>1.7125275951711991</c:v>
                  </c:pt>
                  <c:pt idx="2">
                    <c:v>1.6787864703045976</c:v>
                  </c:pt>
                  <c:pt idx="3">
                    <c:v>1.8468420218285004</c:v>
                  </c:pt>
                  <c:pt idx="4">
                    <c:v>2.384874029737901</c:v>
                  </c:pt>
                  <c:pt idx="5">
                    <c:v>2.7054755340094019</c:v>
                  </c:pt>
                  <c:pt idx="6">
                    <c:v>3.0051502208024985</c:v>
                  </c:pt>
                  <c:pt idx="7">
                    <c:v>3.3124236386939039</c:v>
                  </c:pt>
                  <c:pt idx="8">
                    <c:v>5.8977094818046965</c:v>
                  </c:pt>
                  <c:pt idx="9">
                    <c:v>11.004971970035996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dec!$I$2:$I$11</c:f>
              <c:numCache>
                <c:formatCode>General</c:formatCode>
                <c:ptCount val="10"/>
                <c:pt idx="0">
                  <c:v>20.5164811860827</c:v>
                </c:pt>
                <c:pt idx="1">
                  <c:v>19.0125275951712</c:v>
                </c:pt>
                <c:pt idx="2">
                  <c:v>19.978786470304598</c:v>
                </c:pt>
                <c:pt idx="3">
                  <c:v>20.646842021828501</c:v>
                </c:pt>
                <c:pt idx="4">
                  <c:v>24.7848740297379</c:v>
                </c:pt>
                <c:pt idx="5">
                  <c:v>27.6054755340094</c:v>
                </c:pt>
                <c:pt idx="6">
                  <c:v>27.6051502208025</c:v>
                </c:pt>
                <c:pt idx="7">
                  <c:v>34.512423638693903</c:v>
                </c:pt>
                <c:pt idx="8">
                  <c:v>45.997709481804698</c:v>
                </c:pt>
                <c:pt idx="9">
                  <c:v>80.304971970035993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E3-442E-915D-3B3BED8A6239}"/>
            </c:ext>
          </c:extLst>
        </c:ser>
        <c:ser>
          <c:idx val="2"/>
          <c:order val="1"/>
          <c:tx>
            <c:strRef>
              <c:f>dec!$Z$1</c:f>
              <c:strCache>
                <c:ptCount val="1"/>
                <c:pt idx="0">
                  <c:v>children with malaria infection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cust"/>
            <c:noEndCap val="0"/>
            <c:plus>
              <c:numRef>
                <c:f>dec!$AH$2:$AH$11</c:f>
                <c:numCache>
                  <c:formatCode>General</c:formatCode>
                  <c:ptCount val="10"/>
                  <c:pt idx="0">
                    <c:v>16.9394663844351</c:v>
                  </c:pt>
                  <c:pt idx="1">
                    <c:v>10.553663677300499</c:v>
                  </c:pt>
                  <c:pt idx="2">
                    <c:v>11.338836115372303</c:v>
                  </c:pt>
                  <c:pt idx="3">
                    <c:v>6.8287577480620953</c:v>
                  </c:pt>
                  <c:pt idx="4">
                    <c:v>9.1606591476392012</c:v>
                  </c:pt>
                  <c:pt idx="5">
                    <c:v>8.2205372164588937</c:v>
                  </c:pt>
                  <c:pt idx="6">
                    <c:v>7.2870696674489039</c:v>
                  </c:pt>
                  <c:pt idx="7">
                    <c:v>7.4627803545403992</c:v>
                  </c:pt>
                  <c:pt idx="8">
                    <c:v>8.7221977568597993</c:v>
                  </c:pt>
                  <c:pt idx="9">
                    <c:v>11.662199117694016</c:v>
                  </c:pt>
                </c:numCache>
              </c:numRef>
            </c:plus>
            <c:minus>
              <c:numRef>
                <c:f>dec!$AG$2:$AG$11</c:f>
                <c:numCache>
                  <c:formatCode>General</c:formatCode>
                  <c:ptCount val="10"/>
                  <c:pt idx="0">
                    <c:v>11.760533615564903</c:v>
                  </c:pt>
                  <c:pt idx="1">
                    <c:v>7.8463363226995</c:v>
                  </c:pt>
                  <c:pt idx="2">
                    <c:v>8.6611638846276975</c:v>
                  </c:pt>
                  <c:pt idx="3">
                    <c:v>5.7712422519379061</c:v>
                  </c:pt>
                  <c:pt idx="4">
                    <c:v>7.5393408523608016</c:v>
                  </c:pt>
                  <c:pt idx="5">
                    <c:v>6.9794627835411021</c:v>
                  </c:pt>
                  <c:pt idx="6">
                    <c:v>6.4129303325510989</c:v>
                  </c:pt>
                  <c:pt idx="7">
                    <c:v>6.6372196454596022</c:v>
                  </c:pt>
                  <c:pt idx="8">
                    <c:v>7.8778022431401951</c:v>
                  </c:pt>
                  <c:pt idx="9">
                    <c:v>10.637800882305996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dec!$Z$2:$Z$11</c:f>
              <c:numCache>
                <c:formatCode>General</c:formatCode>
                <c:ptCount val="10"/>
                <c:pt idx="0">
                  <c:v>38.160533615564901</c:v>
                </c:pt>
                <c:pt idx="1">
                  <c:v>30.3463363226995</c:v>
                </c:pt>
                <c:pt idx="2">
                  <c:v>37.261163884627699</c:v>
                </c:pt>
                <c:pt idx="3">
                  <c:v>39.071242251937903</c:v>
                </c:pt>
                <c:pt idx="4">
                  <c:v>40.4393408523608</c:v>
                </c:pt>
                <c:pt idx="5">
                  <c:v>43.579462783541103</c:v>
                </c:pt>
                <c:pt idx="6">
                  <c:v>52.912930332551099</c:v>
                </c:pt>
                <c:pt idx="7">
                  <c:v>63.037219645459601</c:v>
                </c:pt>
                <c:pt idx="8">
                  <c:v>80.377802243140195</c:v>
                </c:pt>
                <c:pt idx="9">
                  <c:v>122.137800882306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DE3-442E-915D-3B3BED8A62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65165167"/>
        <c:axId val="265165647"/>
      </c:lineChart>
      <c:catAx>
        <c:axId val="26516516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Decile of C-reactive protein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5165647"/>
        <c:crosses val="autoZero"/>
        <c:auto val="1"/>
        <c:lblAlgn val="ctr"/>
        <c:lblOffset val="100"/>
        <c:noMultiLvlLbl val="0"/>
      </c:catAx>
      <c:valAx>
        <c:axId val="265165647"/>
        <c:scaling>
          <c:orientation val="minMax"/>
          <c:max val="1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mean ferritin concentration (</a:t>
                </a:r>
                <a:r>
                  <a:rPr lang="el-GR"/>
                  <a:t>μ</a:t>
                </a:r>
                <a:r>
                  <a:rPr lang="en-US"/>
                  <a:t>g/L)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51651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b) high endemicity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dec!$I$21</c:f>
              <c:strCache>
                <c:ptCount val="1"/>
                <c:pt idx="0">
                  <c:v>children not infected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dash"/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cust"/>
            <c:noEndCap val="0"/>
            <c:plus>
              <c:numRef>
                <c:f>dec!$Q$22:$Q$31</c:f>
                <c:numCache>
                  <c:formatCode>General</c:formatCode>
                  <c:ptCount val="10"/>
                  <c:pt idx="0">
                    <c:v>2.4664524038346016</c:v>
                  </c:pt>
                  <c:pt idx="1">
                    <c:v>2.5540880243028994</c:v>
                  </c:pt>
                  <c:pt idx="2">
                    <c:v>2.5818434905723997</c:v>
                  </c:pt>
                  <c:pt idx="3">
                    <c:v>2.3529339592117005</c:v>
                  </c:pt>
                  <c:pt idx="4">
                    <c:v>3.4265919160531979</c:v>
                  </c:pt>
                  <c:pt idx="5">
                    <c:v>3.996286931857103</c:v>
                  </c:pt>
                  <c:pt idx="6">
                    <c:v>4.8478473863605984</c:v>
                  </c:pt>
                  <c:pt idx="7">
                    <c:v>7.5258474957850012</c:v>
                  </c:pt>
                  <c:pt idx="8">
                    <c:v>5.5663451025726971</c:v>
                  </c:pt>
                  <c:pt idx="9">
                    <c:v>19.9687080965994</c:v>
                  </c:pt>
                </c:numCache>
              </c:numRef>
            </c:plus>
            <c:minus>
              <c:numRef>
                <c:f>dec!$P$22:$P$31</c:f>
                <c:numCache>
                  <c:formatCode>General</c:formatCode>
                  <c:ptCount val="10"/>
                  <c:pt idx="0">
                    <c:v>2.1335475961653998</c:v>
                  </c:pt>
                  <c:pt idx="1">
                    <c:v>2.2459119756970978</c:v>
                  </c:pt>
                  <c:pt idx="2">
                    <c:v>2.218156509427601</c:v>
                  </c:pt>
                  <c:pt idx="3">
                    <c:v>2.1470660407882995</c:v>
                  </c:pt>
                  <c:pt idx="4">
                    <c:v>2.9734080839468007</c:v>
                  </c:pt>
                  <c:pt idx="5">
                    <c:v>3.503713068142897</c:v>
                  </c:pt>
                  <c:pt idx="6">
                    <c:v>4.2521526136393994</c:v>
                  </c:pt>
                  <c:pt idx="7">
                    <c:v>6.274152504215003</c:v>
                  </c:pt>
                  <c:pt idx="8">
                    <c:v>4.8336548974273015</c:v>
                  </c:pt>
                  <c:pt idx="9">
                    <c:v>16.0312919034006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dec!$I$22:$I$31</c:f>
              <c:numCache>
                <c:formatCode>General</c:formatCode>
                <c:ptCount val="10"/>
                <c:pt idx="0">
                  <c:v>15.1335475961654</c:v>
                </c:pt>
                <c:pt idx="1">
                  <c:v>19.345911975697099</c:v>
                </c:pt>
                <c:pt idx="2">
                  <c:v>19.518156509427602</c:v>
                </c:pt>
                <c:pt idx="3">
                  <c:v>18.847066040788299</c:v>
                </c:pt>
                <c:pt idx="4">
                  <c:v>24.973408083946801</c:v>
                </c:pt>
                <c:pt idx="5">
                  <c:v>29.603713068142898</c:v>
                </c:pt>
                <c:pt idx="6">
                  <c:v>32.5521526136394</c:v>
                </c:pt>
                <c:pt idx="7">
                  <c:v>37.674152504215002</c:v>
                </c:pt>
                <c:pt idx="8">
                  <c:v>39.933654897427303</c:v>
                </c:pt>
                <c:pt idx="9">
                  <c:v>81.231291903400603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756-4B2F-83D5-A4065442CCB3}"/>
            </c:ext>
          </c:extLst>
        </c:ser>
        <c:ser>
          <c:idx val="2"/>
          <c:order val="1"/>
          <c:tx>
            <c:strRef>
              <c:f>dec!$Z$21</c:f>
              <c:strCache>
                <c:ptCount val="1"/>
                <c:pt idx="0">
                  <c:v>children with malaria infection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cust"/>
            <c:noEndCap val="0"/>
            <c:plus>
              <c:numRef>
                <c:f>dec!$AH$22:$AH$31</c:f>
                <c:numCache>
                  <c:formatCode>General</c:formatCode>
                  <c:ptCount val="10"/>
                  <c:pt idx="0">
                    <c:v>8.4982714795125993</c:v>
                  </c:pt>
                  <c:pt idx="1">
                    <c:v>18.563335771329697</c:v>
                  </c:pt>
                  <c:pt idx="2">
                    <c:v>7.3294287475701978</c:v>
                  </c:pt>
                  <c:pt idx="3">
                    <c:v>6.0357114911398</c:v>
                  </c:pt>
                  <c:pt idx="4">
                    <c:v>9.8778196632689017</c:v>
                  </c:pt>
                  <c:pt idx="5">
                    <c:v>9.4781244512894034</c:v>
                  </c:pt>
                  <c:pt idx="6">
                    <c:v>9.1988957833342013</c:v>
                  </c:pt>
                  <c:pt idx="7">
                    <c:v>13.529615091440107</c:v>
                  </c:pt>
                  <c:pt idx="8">
                    <c:v>9.6646952135717044</c:v>
                  </c:pt>
                  <c:pt idx="9">
                    <c:v>21.451336989568006</c:v>
                  </c:pt>
                </c:numCache>
              </c:numRef>
            </c:plus>
            <c:minus>
              <c:numRef>
                <c:f>dec!$AG$22:$AG$31</c:f>
                <c:numCache>
                  <c:formatCode>General</c:formatCode>
                  <c:ptCount val="10"/>
                  <c:pt idx="0">
                    <c:v>5.5017285204873989</c:v>
                  </c:pt>
                  <c:pt idx="1">
                    <c:v>11.436664228670299</c:v>
                  </c:pt>
                  <c:pt idx="2">
                    <c:v>5.1705712524298022</c:v>
                  </c:pt>
                  <c:pt idx="3">
                    <c:v>4.7642885088601972</c:v>
                  </c:pt>
                  <c:pt idx="4">
                    <c:v>7.7221803367310997</c:v>
                  </c:pt>
                  <c:pt idx="5">
                    <c:v>7.8218755487106009</c:v>
                  </c:pt>
                  <c:pt idx="6">
                    <c:v>7.6011042166657958</c:v>
                  </c:pt>
                  <c:pt idx="7">
                    <c:v>11.170384908559896</c:v>
                  </c:pt>
                  <c:pt idx="8">
                    <c:v>8.4353047864282971</c:v>
                  </c:pt>
                  <c:pt idx="9">
                    <c:v>18.248663010431997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dec!$Z$22:$Z$31</c:f>
              <c:numCache>
                <c:formatCode>General</c:formatCode>
                <c:ptCount val="10"/>
                <c:pt idx="0">
                  <c:v>15.901728520487399</c:v>
                </c:pt>
                <c:pt idx="1">
                  <c:v>29.7366642286703</c:v>
                </c:pt>
                <c:pt idx="2">
                  <c:v>18.370571252429801</c:v>
                </c:pt>
                <c:pt idx="3">
                  <c:v>22.364288508860199</c:v>
                </c:pt>
                <c:pt idx="4">
                  <c:v>34.2221803367311</c:v>
                </c:pt>
                <c:pt idx="5">
                  <c:v>42.621875548710598</c:v>
                </c:pt>
                <c:pt idx="6">
                  <c:v>43.801104216665799</c:v>
                </c:pt>
                <c:pt idx="7">
                  <c:v>62.370384908559899</c:v>
                </c:pt>
                <c:pt idx="8">
                  <c:v>64.835304786428296</c:v>
                </c:pt>
                <c:pt idx="9">
                  <c:v>118.948663010432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756-4B2F-83D5-A4065442CC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03055535"/>
        <c:axId val="703075695"/>
      </c:lineChart>
      <c:catAx>
        <c:axId val="703055535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Decile</a:t>
                </a:r>
                <a:r>
                  <a:rPr lang="en-GB" baseline="0"/>
                  <a:t> of C-reactive protein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3075695"/>
        <c:crosses val="autoZero"/>
        <c:auto val="1"/>
        <c:lblAlgn val="ctr"/>
        <c:lblOffset val="100"/>
        <c:noMultiLvlLbl val="0"/>
      </c:catAx>
      <c:valAx>
        <c:axId val="703075695"/>
        <c:scaling>
          <c:orientation val="minMax"/>
          <c:max val="15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Mean</a:t>
                </a:r>
                <a:r>
                  <a:rPr lang="en-GB" baseline="0"/>
                  <a:t> ferritin concentration (</a:t>
                </a:r>
                <a:r>
                  <a:rPr lang="el-GR" baseline="0"/>
                  <a:t>μ</a:t>
                </a:r>
                <a:r>
                  <a:rPr lang="en-US" baseline="0"/>
                  <a:t>g/L)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30555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Sandalinas</dc:creator>
  <cp:keywords/>
  <dc:description/>
  <cp:lastModifiedBy>Fanny Sandalinas</cp:lastModifiedBy>
  <cp:revision>1</cp:revision>
  <dcterms:created xsi:type="dcterms:W3CDTF">2024-07-17T10:04:00Z</dcterms:created>
  <dcterms:modified xsi:type="dcterms:W3CDTF">2024-07-17T10:04:00Z</dcterms:modified>
</cp:coreProperties>
</file>