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36" w:rsidRPr="00941E7C" w:rsidRDefault="00941E7C" w:rsidP="00941E7C">
      <w:pPr>
        <w:spacing w:after="0"/>
        <w:rPr>
          <w:rFonts w:ascii="Arial" w:hAnsi="Arial" w:cs="Arial"/>
          <w:b/>
        </w:rPr>
      </w:pPr>
      <w:r w:rsidRPr="00941E7C">
        <w:rPr>
          <w:rFonts w:ascii="Arial" w:hAnsi="Arial" w:cs="Arial"/>
          <w:b/>
        </w:rPr>
        <w:t xml:space="preserve">Supplementary materials – </w:t>
      </w:r>
      <w:r>
        <w:rPr>
          <w:rFonts w:ascii="Arial" w:hAnsi="Arial" w:cs="Arial"/>
          <w:b/>
        </w:rPr>
        <w:t xml:space="preserve">additional </w:t>
      </w:r>
      <w:r w:rsidRPr="00941E7C">
        <w:rPr>
          <w:rFonts w:ascii="Arial" w:hAnsi="Arial" w:cs="Arial"/>
          <w:b/>
        </w:rPr>
        <w:t xml:space="preserve">references </w:t>
      </w:r>
      <w:r>
        <w:rPr>
          <w:rFonts w:ascii="Arial" w:hAnsi="Arial" w:cs="Arial"/>
          <w:b/>
        </w:rPr>
        <w:t xml:space="preserve">for </w:t>
      </w:r>
      <w:r w:rsidRPr="00941E7C">
        <w:rPr>
          <w:rFonts w:ascii="Arial" w:hAnsi="Arial" w:cs="Arial"/>
          <w:b/>
        </w:rPr>
        <w:t>Table 1</w:t>
      </w:r>
      <w:r>
        <w:rPr>
          <w:rFonts w:ascii="Arial" w:hAnsi="Arial" w:cs="Arial"/>
          <w:b/>
        </w:rPr>
        <w:t>, by antigenic target</w:t>
      </w:r>
    </w:p>
    <w:p w:rsidR="00941E7C" w:rsidRDefault="00941E7C" w:rsidP="00941E7C">
      <w:pPr>
        <w:spacing w:after="0"/>
        <w:rPr>
          <w:rFonts w:ascii="Arial" w:hAnsi="Arial" w:cs="Arial"/>
        </w:rPr>
      </w:pPr>
    </w:p>
    <w:p w:rsidR="00941E7C" w:rsidRPr="00941E7C" w:rsidRDefault="00941E7C" w:rsidP="00941E7C">
      <w:pPr>
        <w:spacing w:after="0"/>
        <w:rPr>
          <w:rFonts w:ascii="Arial" w:hAnsi="Arial" w:cs="Arial"/>
          <w:b/>
        </w:rPr>
      </w:pPr>
      <w:r w:rsidRPr="00941E7C">
        <w:rPr>
          <w:rFonts w:ascii="Arial" w:hAnsi="Arial" w:cs="Arial"/>
          <w:b/>
        </w:rPr>
        <w:t>DPPX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941E7C">
        <w:rPr>
          <w:rFonts w:ascii="Arial" w:hAnsi="Arial" w:cs="Arial"/>
          <w:noProof/>
          <w:szCs w:val="24"/>
        </w:rPr>
        <w:t>Tobin WO, Lennon VA, Komorowski L, Probst C, Cla</w:t>
      </w:r>
      <w:r>
        <w:rPr>
          <w:rFonts w:ascii="Arial" w:hAnsi="Arial" w:cs="Arial"/>
          <w:noProof/>
          <w:szCs w:val="24"/>
        </w:rPr>
        <w:t>rdy SL, Aksamit AJ, et al. DPPX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941E7C">
        <w:rPr>
          <w:rFonts w:ascii="Arial" w:hAnsi="Arial" w:cs="Arial"/>
          <w:noProof/>
          <w:szCs w:val="24"/>
        </w:rPr>
        <w:t>potassium channel antibody: Frequency, clinical acc</w:t>
      </w:r>
      <w:r>
        <w:rPr>
          <w:rFonts w:ascii="Arial" w:hAnsi="Arial" w:cs="Arial"/>
          <w:noProof/>
          <w:szCs w:val="24"/>
        </w:rPr>
        <w:t>ompaniments, and outcomes in 20</w:t>
      </w:r>
    </w:p>
    <w:p w:rsidR="00941E7C" w:rsidRP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941E7C">
        <w:rPr>
          <w:rFonts w:ascii="Arial" w:hAnsi="Arial" w:cs="Arial"/>
          <w:noProof/>
          <w:szCs w:val="24"/>
        </w:rPr>
        <w:t xml:space="preserve">patients. Neurology. 2014;83(20):1797–803. </w:t>
      </w:r>
    </w:p>
    <w:p w:rsidR="00941E7C" w:rsidRDefault="00941E7C" w:rsidP="00941E7C">
      <w:pPr>
        <w:spacing w:after="0"/>
        <w:rPr>
          <w:rFonts w:ascii="Arial" w:hAnsi="Arial" w:cs="Arial"/>
        </w:rPr>
      </w:pPr>
    </w:p>
    <w:p w:rsidR="00941E7C" w:rsidRPr="00941E7C" w:rsidRDefault="00941E7C" w:rsidP="00941E7C">
      <w:pPr>
        <w:spacing w:after="0"/>
        <w:rPr>
          <w:rFonts w:ascii="Arial" w:hAnsi="Arial" w:cs="Arial"/>
          <w:b/>
        </w:rPr>
      </w:pPr>
      <w:r w:rsidRPr="00941E7C">
        <w:rPr>
          <w:rFonts w:ascii="Arial" w:hAnsi="Arial" w:cs="Arial"/>
          <w:b/>
        </w:rPr>
        <w:t>IgLON5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941E7C">
        <w:rPr>
          <w:rFonts w:ascii="Arial" w:hAnsi="Arial" w:cs="Arial"/>
          <w:noProof/>
          <w:szCs w:val="24"/>
        </w:rPr>
        <w:t>Sabater L, Gaig C, Gelpi E, Bataller L, Lewerenz J, Torres-Vega E, et al. A novel non-rapid-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941E7C">
        <w:rPr>
          <w:rFonts w:ascii="Arial" w:hAnsi="Arial" w:cs="Arial"/>
          <w:noProof/>
          <w:szCs w:val="24"/>
        </w:rPr>
        <w:t xml:space="preserve">eye movement and rapid-eye-movement parasomnia with sleep breathing disorder 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941E7C">
        <w:rPr>
          <w:rFonts w:ascii="Arial" w:hAnsi="Arial" w:cs="Arial"/>
          <w:noProof/>
          <w:szCs w:val="24"/>
        </w:rPr>
        <w:t xml:space="preserve">associated with antibodies to IgLON5: A case series, characterisation of the antigen, and 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941E7C">
        <w:rPr>
          <w:rFonts w:ascii="Arial" w:hAnsi="Arial" w:cs="Arial"/>
          <w:noProof/>
          <w:szCs w:val="24"/>
        </w:rPr>
        <w:t xml:space="preserve">post-mortem study. Lancet Neurol. 2014;13(6):575–86. 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941E7C" w:rsidRP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b/>
          <w:noProof/>
          <w:szCs w:val="24"/>
        </w:rPr>
      </w:pPr>
      <w:r w:rsidRPr="00941E7C">
        <w:rPr>
          <w:rFonts w:ascii="Arial" w:hAnsi="Arial" w:cs="Arial"/>
          <w:b/>
          <w:noProof/>
          <w:szCs w:val="24"/>
        </w:rPr>
        <w:t>LGI1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 xml:space="preserve">Binks SNM, Klein CJ, Waters P, Pittock SJ, Irani SR. LGI1, CASPR2 and related antibodies: </w:t>
      </w:r>
    </w:p>
    <w:p w:rsidR="00941E7C" w:rsidRPr="00A461A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>a molecular evolution of the phenotypes. J Neurol Neuro</w:t>
      </w:r>
      <w:r>
        <w:rPr>
          <w:rFonts w:ascii="Arial" w:hAnsi="Arial" w:cs="Arial"/>
          <w:noProof/>
          <w:szCs w:val="24"/>
        </w:rPr>
        <w:t>surg Psychiatry. 2018;89(5):526-</w:t>
      </w:r>
      <w:r w:rsidRPr="00A461AC">
        <w:rPr>
          <w:rFonts w:ascii="Arial" w:hAnsi="Arial" w:cs="Arial"/>
          <w:noProof/>
          <w:szCs w:val="24"/>
        </w:rPr>
        <w:t xml:space="preserve">34. </w:t>
      </w:r>
    </w:p>
    <w:p w:rsidR="00941E7C" w:rsidRP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941E7C" w:rsidRPr="00941E7C" w:rsidRDefault="00941E7C" w:rsidP="00941E7C">
      <w:pPr>
        <w:spacing w:after="0"/>
        <w:rPr>
          <w:rFonts w:ascii="Arial" w:hAnsi="Arial" w:cs="Arial"/>
          <w:b/>
          <w:noProof/>
          <w:szCs w:val="24"/>
        </w:rPr>
      </w:pPr>
      <w:r w:rsidRPr="00941E7C">
        <w:rPr>
          <w:rFonts w:ascii="Arial" w:hAnsi="Arial" w:cs="Arial"/>
          <w:b/>
          <w:noProof/>
          <w:szCs w:val="24"/>
        </w:rPr>
        <w:t>AMPAR</w:t>
      </w:r>
    </w:p>
    <w:p w:rsidR="00941E7C" w:rsidRDefault="00941E7C" w:rsidP="00941E7C">
      <w:pPr>
        <w:spacing w:after="0"/>
        <w:rPr>
          <w:rFonts w:ascii="Arial" w:hAnsi="Arial" w:cs="Arial"/>
          <w:noProof/>
          <w:szCs w:val="24"/>
        </w:rPr>
      </w:pP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>Laurido-Soto O, Brier MR, Simon LE, McCullough</w:t>
      </w:r>
      <w:r>
        <w:rPr>
          <w:rFonts w:ascii="Arial" w:hAnsi="Arial" w:cs="Arial"/>
          <w:noProof/>
          <w:szCs w:val="24"/>
        </w:rPr>
        <w:t xml:space="preserve"> A, Bucelli RC, Day GS. Patient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>characteristics and outcome associations in AMPA receptor enc</w:t>
      </w:r>
      <w:r>
        <w:rPr>
          <w:rFonts w:ascii="Arial" w:hAnsi="Arial" w:cs="Arial"/>
          <w:noProof/>
          <w:szCs w:val="24"/>
        </w:rPr>
        <w:t>ephalitis. J Neurol.</w:t>
      </w:r>
    </w:p>
    <w:p w:rsidR="00941E7C" w:rsidRPr="00A461A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 xml:space="preserve">2019;266(2):450–60. 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 xml:space="preserve">Graus F, Boronat A, Xifro X, Boix M, Svigelj V, Garcia A, et al. </w:t>
      </w:r>
      <w:r>
        <w:rPr>
          <w:rFonts w:ascii="Arial" w:hAnsi="Arial" w:cs="Arial"/>
          <w:noProof/>
          <w:szCs w:val="24"/>
        </w:rPr>
        <w:t>The expanding clinical profile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of anti-AMPA receptor encephalitis. Neurology. 2010 Mar 9;74(10):857–9.</w:t>
      </w:r>
    </w:p>
    <w:p w:rsidR="00941E7C" w:rsidRDefault="00941E7C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941E7C" w:rsidRPr="009D008F" w:rsidRDefault="009D008F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b/>
          <w:noProof/>
          <w:szCs w:val="24"/>
        </w:rPr>
      </w:pPr>
      <w:r w:rsidRPr="009D008F">
        <w:rPr>
          <w:rFonts w:ascii="Arial" w:hAnsi="Arial" w:cs="Arial"/>
          <w:b/>
          <w:noProof/>
          <w:szCs w:val="24"/>
        </w:rPr>
        <w:t>CASPR2</w:t>
      </w:r>
    </w:p>
    <w:p w:rsidR="009D008F" w:rsidRDefault="009D008F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9D008F" w:rsidRDefault="009D008F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>Van Sonderen A, Ariño H, Petit-Pedrol M, Leypoldt F, Körtvélyessy P, Wandinger</w:t>
      </w:r>
      <w:r>
        <w:rPr>
          <w:rFonts w:ascii="Arial" w:hAnsi="Arial" w:cs="Arial"/>
          <w:noProof/>
          <w:szCs w:val="24"/>
        </w:rPr>
        <w:t xml:space="preserve"> KP, et al.</w:t>
      </w:r>
    </w:p>
    <w:p w:rsidR="009D008F" w:rsidRPr="00A461AC" w:rsidRDefault="009D008F" w:rsidP="00941E7C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>The clinical spectrum of Caspr2 antibody-associated disease. Neurology. 2016;87(5):521–8</w:t>
      </w:r>
      <w:r>
        <w:rPr>
          <w:rFonts w:ascii="Arial" w:hAnsi="Arial" w:cs="Arial"/>
          <w:noProof/>
          <w:szCs w:val="24"/>
        </w:rPr>
        <w:t>.</w:t>
      </w:r>
    </w:p>
    <w:p w:rsidR="00941E7C" w:rsidRDefault="00941E7C" w:rsidP="00941E7C">
      <w:pPr>
        <w:spacing w:after="0"/>
        <w:rPr>
          <w:rFonts w:ascii="Arial" w:hAnsi="Arial" w:cs="Arial"/>
          <w:noProof/>
          <w:szCs w:val="24"/>
        </w:rPr>
      </w:pPr>
    </w:p>
    <w:p w:rsidR="00941E7C" w:rsidRPr="00845DBE" w:rsidRDefault="00845DBE" w:rsidP="00941E7C">
      <w:pPr>
        <w:spacing w:after="0"/>
        <w:rPr>
          <w:rFonts w:ascii="Arial" w:hAnsi="Arial" w:cs="Arial"/>
          <w:b/>
          <w:noProof/>
          <w:szCs w:val="24"/>
        </w:rPr>
      </w:pPr>
      <w:r w:rsidRPr="00845DBE">
        <w:rPr>
          <w:rFonts w:ascii="Arial" w:hAnsi="Arial" w:cs="Arial"/>
          <w:b/>
          <w:noProof/>
          <w:szCs w:val="24"/>
        </w:rPr>
        <w:t>GABA</w:t>
      </w:r>
      <w:r w:rsidRPr="00845DBE">
        <w:rPr>
          <w:rFonts w:ascii="Arial" w:hAnsi="Arial" w:cs="Arial"/>
          <w:b/>
          <w:noProof/>
          <w:szCs w:val="24"/>
          <w:vertAlign w:val="subscript"/>
        </w:rPr>
        <w:t>A</w:t>
      </w:r>
    </w:p>
    <w:p w:rsidR="00845DBE" w:rsidRDefault="00845DBE" w:rsidP="00845DBE">
      <w:pPr>
        <w:spacing w:after="0"/>
        <w:rPr>
          <w:rFonts w:ascii="Arial" w:hAnsi="Arial" w:cs="Arial"/>
          <w:noProof/>
          <w:szCs w:val="24"/>
        </w:rPr>
      </w:pPr>
    </w:p>
    <w:p w:rsidR="00845DBE" w:rsidRDefault="00845DBE" w:rsidP="00845DB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>Spatola M, Petit-Pedrol M, Simabukuro MM, Armangue T, Cas</w:t>
      </w:r>
      <w:r>
        <w:rPr>
          <w:rFonts w:ascii="Arial" w:hAnsi="Arial" w:cs="Arial"/>
          <w:noProof/>
          <w:szCs w:val="24"/>
        </w:rPr>
        <w:t>tro FJ, Barcelo Artigues MI, et</w:t>
      </w:r>
    </w:p>
    <w:p w:rsidR="00845DBE" w:rsidRDefault="00845DBE" w:rsidP="00845DB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>al. Investigations in GABA</w:t>
      </w:r>
      <w:r w:rsidRPr="00845DBE">
        <w:rPr>
          <w:rFonts w:ascii="Arial" w:hAnsi="Arial" w:cs="Arial"/>
          <w:noProof/>
          <w:szCs w:val="24"/>
          <w:vertAlign w:val="subscript"/>
        </w:rPr>
        <w:t>A</w:t>
      </w:r>
      <w:r w:rsidRPr="00A461AC">
        <w:rPr>
          <w:rFonts w:ascii="Arial" w:hAnsi="Arial" w:cs="Arial"/>
          <w:noProof/>
          <w:szCs w:val="24"/>
        </w:rPr>
        <w:t xml:space="preserve"> receptor antibody-associated encephalitis. Neurology</w:t>
      </w:r>
      <w:r>
        <w:rPr>
          <w:rFonts w:ascii="Arial" w:hAnsi="Arial" w:cs="Arial"/>
          <w:noProof/>
          <w:szCs w:val="24"/>
        </w:rPr>
        <w:t>. 2017 Mar</w:t>
      </w:r>
    </w:p>
    <w:p w:rsidR="00845DBE" w:rsidRDefault="00845DBE" w:rsidP="00845DB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 xml:space="preserve">14;88(11):1012–20. </w:t>
      </w:r>
    </w:p>
    <w:p w:rsidR="00845DBE" w:rsidRDefault="00845DBE" w:rsidP="00845DB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845DBE" w:rsidRPr="00845DBE" w:rsidRDefault="00845DBE" w:rsidP="00845DBE">
      <w:pPr>
        <w:spacing w:after="0"/>
        <w:rPr>
          <w:rFonts w:ascii="Arial" w:hAnsi="Arial" w:cs="Arial"/>
          <w:b/>
          <w:noProof/>
          <w:szCs w:val="24"/>
        </w:rPr>
      </w:pPr>
      <w:r w:rsidRPr="00845DBE">
        <w:rPr>
          <w:rFonts w:ascii="Arial" w:hAnsi="Arial" w:cs="Arial"/>
          <w:b/>
          <w:noProof/>
          <w:szCs w:val="24"/>
        </w:rPr>
        <w:t>GABA</w:t>
      </w:r>
      <w:r>
        <w:rPr>
          <w:rFonts w:ascii="Arial" w:hAnsi="Arial" w:cs="Arial"/>
          <w:b/>
          <w:noProof/>
          <w:szCs w:val="24"/>
          <w:vertAlign w:val="subscript"/>
        </w:rPr>
        <w:t>B</w:t>
      </w:r>
    </w:p>
    <w:p w:rsidR="00845DBE" w:rsidRDefault="00845DBE" w:rsidP="00845DB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</w:p>
    <w:p w:rsidR="00845DBE" w:rsidRDefault="00845DBE" w:rsidP="00845DB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>Van Coevorden-Hameete MH, De Bruijn MAAM, De Graaf</w:t>
      </w:r>
      <w:r>
        <w:rPr>
          <w:rFonts w:ascii="Arial" w:hAnsi="Arial" w:cs="Arial"/>
          <w:noProof/>
          <w:szCs w:val="24"/>
        </w:rPr>
        <w:t>f E, Bastiaansen DAEM, Schreurs</w:t>
      </w:r>
    </w:p>
    <w:p w:rsidR="00845DBE" w:rsidRDefault="00845DBE" w:rsidP="00845DB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r w:rsidRPr="00A461AC">
        <w:rPr>
          <w:rFonts w:ascii="Arial" w:hAnsi="Arial" w:cs="Arial"/>
          <w:noProof/>
          <w:szCs w:val="24"/>
        </w:rPr>
        <w:t>MWJ, Demmers JAA, et al. The expanded clinical spect</w:t>
      </w:r>
      <w:r>
        <w:rPr>
          <w:rFonts w:ascii="Arial" w:hAnsi="Arial" w:cs="Arial"/>
          <w:noProof/>
          <w:szCs w:val="24"/>
        </w:rPr>
        <w:t>rum of anti-GABABR encephalitis</w:t>
      </w:r>
    </w:p>
    <w:p w:rsidR="00845DBE" w:rsidRPr="00A461AC" w:rsidRDefault="00845DBE" w:rsidP="00845DBE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Arial" w:hAnsi="Arial" w:cs="Arial"/>
          <w:noProof/>
          <w:szCs w:val="24"/>
        </w:rPr>
      </w:pPr>
      <w:bookmarkStart w:id="0" w:name="_GoBack"/>
      <w:bookmarkEnd w:id="0"/>
      <w:r w:rsidRPr="00A461AC">
        <w:rPr>
          <w:rFonts w:ascii="Arial" w:hAnsi="Arial" w:cs="Arial"/>
          <w:noProof/>
          <w:szCs w:val="24"/>
        </w:rPr>
        <w:t xml:space="preserve">and added value of KCTD16 autoantibodies. Brain. 2019;142(6):1631–43. </w:t>
      </w:r>
    </w:p>
    <w:p w:rsidR="00941E7C" w:rsidRPr="00941E7C" w:rsidRDefault="00941E7C" w:rsidP="00941E7C">
      <w:pPr>
        <w:spacing w:after="0"/>
        <w:rPr>
          <w:rFonts w:ascii="Arial" w:hAnsi="Arial" w:cs="Arial"/>
          <w:b/>
        </w:rPr>
      </w:pPr>
    </w:p>
    <w:sectPr w:rsidR="00941E7C" w:rsidRPr="00941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7C"/>
    <w:rsid w:val="00687536"/>
    <w:rsid w:val="00845DBE"/>
    <w:rsid w:val="00941E7C"/>
    <w:rsid w:val="009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B7B70-9402-4A10-A8AB-59CE38AB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1781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3</cp:revision>
  <dcterms:created xsi:type="dcterms:W3CDTF">2023-08-14T15:37:00Z</dcterms:created>
  <dcterms:modified xsi:type="dcterms:W3CDTF">2023-08-14T15:50:00Z</dcterms:modified>
</cp:coreProperties>
</file>