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FCE1" w14:textId="5D3FA2DF" w:rsidR="00E3737E" w:rsidRDefault="00E3737E" w:rsidP="00E3737E">
      <w:pPr>
        <w:pStyle w:val="Header"/>
      </w:pPr>
      <w:r w:rsidRPr="0024245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Table S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Pr="0024245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E3737E">
        <w:rPr>
          <w:rFonts w:ascii="Arial" w:eastAsia="Arial" w:hAnsi="Arial" w:cs="Arial"/>
          <w:color w:val="000000" w:themeColor="text1"/>
          <w:sz w:val="22"/>
          <w:szCs w:val="22"/>
        </w:rPr>
        <w:t>Primers used in the study and thermocycling conditions</w:t>
      </w:r>
    </w:p>
    <w:p w14:paraId="46A643E2" w14:textId="77777777" w:rsidR="00E3737E" w:rsidRDefault="00E3737E" w:rsidP="00864CED">
      <w:pPr>
        <w:spacing w:before="57" w:after="120"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102"/>
        <w:tblW w:w="13985" w:type="dxa"/>
        <w:tblLook w:val="04A0" w:firstRow="1" w:lastRow="0" w:firstColumn="1" w:lastColumn="0" w:noHBand="0" w:noVBand="1"/>
      </w:tblPr>
      <w:tblGrid>
        <w:gridCol w:w="1965"/>
        <w:gridCol w:w="1265"/>
        <w:gridCol w:w="1306"/>
        <w:gridCol w:w="2977"/>
        <w:gridCol w:w="1348"/>
        <w:gridCol w:w="1548"/>
        <w:gridCol w:w="1788"/>
        <w:gridCol w:w="1788"/>
      </w:tblGrid>
      <w:tr w:rsidR="00E3737E" w:rsidRPr="00FB51B6" w14:paraId="4398A40E" w14:textId="77777777" w:rsidTr="00E3737E">
        <w:trPr>
          <w:trHeight w:val="519"/>
        </w:trPr>
        <w:tc>
          <w:tcPr>
            <w:tcW w:w="196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C550B46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Endosymbiont target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9E323B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Target gene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F9C4F2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Primer name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0544A4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Primer sequence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A27216B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Concentration in </w:t>
            </w:r>
            <w:proofErr w:type="spellStart"/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mastermix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39D78C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Estimated size (bp)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0EC8E2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Multiplex experiment 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3D7AB1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Thermocycling conditions</w:t>
            </w:r>
          </w:p>
        </w:tc>
      </w:tr>
      <w:tr w:rsidR="00E3737E" w:rsidRPr="00FB51B6" w14:paraId="065116EA" w14:textId="77777777" w:rsidTr="00E3737E">
        <w:trPr>
          <w:trHeight w:val="262"/>
        </w:trPr>
        <w:tc>
          <w:tcPr>
            <w:tcW w:w="1965" w:type="dxa"/>
            <w:vMerge w:val="restart"/>
            <w:tcBorders>
              <w:top w:val="single" w:sz="12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1DA791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B. </w:t>
            </w:r>
            <w:proofErr w:type="spellStart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aphidicola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12" w:space="0" w:color="auto"/>
            </w:tcBorders>
            <w:vAlign w:val="center"/>
          </w:tcPr>
          <w:p w14:paraId="45633BB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14:paraId="0AF5F03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80C10B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vAlign w:val="center"/>
          </w:tcPr>
          <w:p w14:paraId="21EA2DE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14:paraId="2FF090B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AECE8D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1 </w:t>
            </w:r>
          </w:p>
          <w:p w14:paraId="2DAC6B1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9486E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Denaturation at 94°C for 3 min</w:t>
            </w:r>
          </w:p>
          <w:p w14:paraId="3F072A7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35 cycles of: 94°C for 30 s, 58°C for 30 s and 72°C for 60 s</w:t>
            </w:r>
          </w:p>
          <w:p w14:paraId="10F446E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Final step at 72°C for 10 min</w:t>
            </w:r>
          </w:p>
        </w:tc>
      </w:tr>
      <w:tr w:rsidR="00E3737E" w:rsidRPr="00FB51B6" w14:paraId="69BD4035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FE8C04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4F26847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13B4CD7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Buch_R_CV2</w:t>
            </w:r>
          </w:p>
        </w:tc>
        <w:tc>
          <w:tcPr>
            <w:tcW w:w="2977" w:type="dxa"/>
            <w:vAlign w:val="center"/>
          </w:tcPr>
          <w:p w14:paraId="1A3BB20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CCC CCA CTT TRG TTT TTC AAC </w:t>
            </w:r>
          </w:p>
        </w:tc>
        <w:tc>
          <w:tcPr>
            <w:tcW w:w="1348" w:type="dxa"/>
            <w:vAlign w:val="center"/>
          </w:tcPr>
          <w:p w14:paraId="7F28FE1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62A9CDB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2745D96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3DB1D17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5C4964A7" w14:textId="77777777" w:rsidTr="00E3737E">
        <w:trPr>
          <w:trHeight w:val="256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550EC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Arsenophonus</w:t>
            </w:r>
            <w:proofErr w:type="spellEnd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r w:rsidRPr="00465958">
              <w:rPr>
                <w:rFonts w:ascii="Arial" w:eastAsia="Arial" w:hAnsi="Arial" w:cs="Arial"/>
                <w:iCs/>
                <w:color w:val="000000" w:themeColor="text1"/>
                <w:sz w:val="16"/>
                <w:szCs w:val="16"/>
              </w:rPr>
              <w:t>spp</w:t>
            </w:r>
            <w:bookmarkEnd w:id="0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265" w:type="dxa"/>
            <w:vMerge w:val="restart"/>
            <w:vAlign w:val="center"/>
          </w:tcPr>
          <w:p w14:paraId="0624430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382D3F5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3AE48D0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6D023E5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0A1FA8A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456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7B95653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2D59777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5643C08D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6A732A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574E542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72FE69A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Ars16S_R2</w:t>
            </w:r>
          </w:p>
        </w:tc>
        <w:tc>
          <w:tcPr>
            <w:tcW w:w="2977" w:type="dxa"/>
            <w:vAlign w:val="center"/>
          </w:tcPr>
          <w:p w14:paraId="2528FD1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CCT TAA CAC CTT CCT CAC GAC </w:t>
            </w:r>
          </w:p>
        </w:tc>
        <w:tc>
          <w:tcPr>
            <w:tcW w:w="1348" w:type="dxa"/>
            <w:vAlign w:val="center"/>
          </w:tcPr>
          <w:p w14:paraId="308172A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7119609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759A6EF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40A0074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787ED7CC" w14:textId="77777777" w:rsidTr="00E3737E">
        <w:trPr>
          <w:trHeight w:val="256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3EBCF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Spiroplasma</w:t>
            </w:r>
            <w:proofErr w:type="spellEnd"/>
          </w:p>
        </w:tc>
        <w:tc>
          <w:tcPr>
            <w:tcW w:w="1265" w:type="dxa"/>
            <w:vMerge w:val="restart"/>
            <w:vAlign w:val="center"/>
          </w:tcPr>
          <w:p w14:paraId="01E3034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7D0093B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1A2F465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22AAF34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13443CB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1788" w:type="dxa"/>
            <w:vMerge w:val="restart"/>
            <w:tcBorders>
              <w:right w:val="nil"/>
            </w:tcBorders>
            <w:vAlign w:val="center"/>
          </w:tcPr>
          <w:p w14:paraId="3BDB1D3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88" w:type="dxa"/>
            <w:vMerge/>
            <w:tcBorders>
              <w:right w:val="nil"/>
            </w:tcBorders>
          </w:tcPr>
          <w:p w14:paraId="5FFC98C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5641BD28" w14:textId="77777777" w:rsidTr="00E3737E">
        <w:trPr>
          <w:trHeight w:val="262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529997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17F0EA2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1053D36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Spi500R</w:t>
            </w:r>
          </w:p>
        </w:tc>
        <w:tc>
          <w:tcPr>
            <w:tcW w:w="2977" w:type="dxa"/>
            <w:vAlign w:val="center"/>
          </w:tcPr>
          <w:p w14:paraId="7AE1EC3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ATC ATC AAC CCT GCC TTT GG </w:t>
            </w:r>
          </w:p>
        </w:tc>
        <w:tc>
          <w:tcPr>
            <w:tcW w:w="1348" w:type="dxa"/>
            <w:vAlign w:val="center"/>
          </w:tcPr>
          <w:p w14:paraId="482FACA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67FE949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2C9791F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4DC694A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43B4F0C4" w14:textId="77777777" w:rsidTr="00E3737E">
        <w:trPr>
          <w:trHeight w:val="256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02965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R. insecticola</w:t>
            </w:r>
          </w:p>
        </w:tc>
        <w:tc>
          <w:tcPr>
            <w:tcW w:w="1265" w:type="dxa"/>
            <w:vMerge w:val="restart"/>
            <w:vAlign w:val="center"/>
          </w:tcPr>
          <w:p w14:paraId="054EC6F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3A3414D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7B10B33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4AB8B59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0.1 µM</w:t>
            </w:r>
          </w:p>
        </w:tc>
        <w:tc>
          <w:tcPr>
            <w:tcW w:w="1548" w:type="dxa"/>
            <w:vMerge w:val="restart"/>
            <w:vAlign w:val="center"/>
          </w:tcPr>
          <w:p w14:paraId="2B1AABD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840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393EE5A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3CFCA78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65A32057" w14:textId="77777777" w:rsidTr="00E3737E">
        <w:trPr>
          <w:trHeight w:val="262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85648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0B6F246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41D5541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PAUS16SR</w:t>
            </w:r>
          </w:p>
        </w:tc>
        <w:tc>
          <w:tcPr>
            <w:tcW w:w="2977" w:type="dxa"/>
            <w:vAlign w:val="center"/>
          </w:tcPr>
          <w:p w14:paraId="300714A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TCG GAC GCC ATA ACA CTA GG </w:t>
            </w:r>
          </w:p>
        </w:tc>
        <w:tc>
          <w:tcPr>
            <w:tcW w:w="1348" w:type="dxa"/>
            <w:vAlign w:val="center"/>
          </w:tcPr>
          <w:p w14:paraId="1AB0038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6D8499C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130D310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7C1FA8F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3C389050" w14:textId="77777777" w:rsidTr="00E3737E">
        <w:trPr>
          <w:trHeight w:val="256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1CA46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H. defensa</w:t>
            </w:r>
          </w:p>
        </w:tc>
        <w:tc>
          <w:tcPr>
            <w:tcW w:w="1265" w:type="dxa"/>
            <w:vMerge w:val="restart"/>
            <w:vAlign w:val="center"/>
          </w:tcPr>
          <w:p w14:paraId="6BDC452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7C56EB4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2D8CB61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0A33871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75D1A62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06DF7C7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46B5819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0434239F" w14:textId="77777777" w:rsidTr="00E3737E">
        <w:trPr>
          <w:trHeight w:val="262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05117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1A7C229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2747568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PABS480R</w:t>
            </w:r>
          </w:p>
        </w:tc>
        <w:tc>
          <w:tcPr>
            <w:tcW w:w="2977" w:type="dxa"/>
            <w:vAlign w:val="center"/>
          </w:tcPr>
          <w:p w14:paraId="76CEDC1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e-DE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de-DE"/>
              </w:rPr>
              <w:t>GGT ATT CGC ATT TAT CGC TTC </w:t>
            </w:r>
          </w:p>
        </w:tc>
        <w:tc>
          <w:tcPr>
            <w:tcW w:w="1348" w:type="dxa"/>
            <w:vAlign w:val="center"/>
          </w:tcPr>
          <w:p w14:paraId="78DF66C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2D75DDB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1DC6B89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6BA3C11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66DC86B5" w14:textId="77777777" w:rsidTr="00E3737E">
        <w:trPr>
          <w:trHeight w:val="256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7332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Rickettsiella</w:t>
            </w:r>
            <w:proofErr w:type="spellEnd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65958">
              <w:rPr>
                <w:rFonts w:ascii="Arial" w:eastAsia="Arial" w:hAnsi="Arial" w:cs="Arial"/>
                <w:iCs/>
                <w:color w:val="000000" w:themeColor="text1"/>
                <w:sz w:val="16"/>
                <w:szCs w:val="16"/>
              </w:rPr>
              <w:t>spp</w:t>
            </w: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65" w:type="dxa"/>
            <w:vMerge w:val="restart"/>
            <w:vAlign w:val="center"/>
          </w:tcPr>
          <w:p w14:paraId="49820EF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1D853BF4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P136F</w:t>
            </w:r>
          </w:p>
        </w:tc>
        <w:tc>
          <w:tcPr>
            <w:tcW w:w="2977" w:type="dxa"/>
            <w:vAlign w:val="center"/>
          </w:tcPr>
          <w:p w14:paraId="1B59BCC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GGG CCT TGC GCT CTA GGT </w:t>
            </w:r>
          </w:p>
        </w:tc>
        <w:tc>
          <w:tcPr>
            <w:tcW w:w="1348" w:type="dxa"/>
            <w:vAlign w:val="center"/>
          </w:tcPr>
          <w:p w14:paraId="5CAC26E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535CB15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260B955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256D22C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5E1EFA73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528BA1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767843F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7ED3863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P136Ric-470R</w:t>
            </w:r>
          </w:p>
        </w:tc>
        <w:tc>
          <w:tcPr>
            <w:tcW w:w="2977" w:type="dxa"/>
            <w:vAlign w:val="center"/>
          </w:tcPr>
          <w:p w14:paraId="13D0A3A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TGG GTA CCG TCA CAG TAA TCG A </w:t>
            </w:r>
          </w:p>
        </w:tc>
        <w:tc>
          <w:tcPr>
            <w:tcW w:w="1348" w:type="dxa"/>
            <w:vAlign w:val="center"/>
          </w:tcPr>
          <w:p w14:paraId="4623160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4B102A7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463AB62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5569FD1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2A74C972" w14:textId="77777777" w:rsidTr="00E3737E">
        <w:trPr>
          <w:trHeight w:val="262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7AF63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symbiotica</w:t>
            </w:r>
            <w:proofErr w:type="spellEnd"/>
          </w:p>
        </w:tc>
        <w:tc>
          <w:tcPr>
            <w:tcW w:w="1265" w:type="dxa"/>
            <w:vMerge w:val="restart"/>
            <w:vAlign w:val="center"/>
          </w:tcPr>
          <w:p w14:paraId="3944F0D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24D8B69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PAXS_F</w:t>
            </w:r>
          </w:p>
        </w:tc>
        <w:tc>
          <w:tcPr>
            <w:tcW w:w="2977" w:type="dxa"/>
            <w:vAlign w:val="center"/>
          </w:tcPr>
          <w:p w14:paraId="28E2493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AGT TTG ATC ATG GCT CAG ATT G </w:t>
            </w:r>
          </w:p>
        </w:tc>
        <w:tc>
          <w:tcPr>
            <w:tcW w:w="1348" w:type="dxa"/>
            <w:vAlign w:val="center"/>
          </w:tcPr>
          <w:p w14:paraId="0C2005A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4385610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788" w:type="dxa"/>
            <w:vMerge w:val="restart"/>
            <w:tcBorders>
              <w:right w:val="nil"/>
            </w:tcBorders>
            <w:vAlign w:val="center"/>
          </w:tcPr>
          <w:p w14:paraId="6EE864C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88" w:type="dxa"/>
            <w:vMerge/>
            <w:tcBorders>
              <w:right w:val="nil"/>
            </w:tcBorders>
          </w:tcPr>
          <w:p w14:paraId="646FA75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390670F7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60DD6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681A7AB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5AE3284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PAXS_R</w:t>
            </w:r>
          </w:p>
        </w:tc>
        <w:tc>
          <w:tcPr>
            <w:tcW w:w="2977" w:type="dxa"/>
            <w:vAlign w:val="center"/>
          </w:tcPr>
          <w:p w14:paraId="578C3B0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GCA ACA CTC TTT GCA TTG CT </w:t>
            </w:r>
          </w:p>
        </w:tc>
        <w:tc>
          <w:tcPr>
            <w:tcW w:w="1348" w:type="dxa"/>
            <w:vAlign w:val="center"/>
          </w:tcPr>
          <w:p w14:paraId="39C1473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46D61AB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1ECBC37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0A17403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070DE4DE" w14:textId="77777777" w:rsidTr="00E3737E">
        <w:trPr>
          <w:trHeight w:val="262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728936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symbiotica</w:t>
            </w:r>
            <w:proofErr w:type="spellEnd"/>
          </w:p>
        </w:tc>
        <w:tc>
          <w:tcPr>
            <w:tcW w:w="1265" w:type="dxa"/>
            <w:vMerge w:val="restart"/>
            <w:vAlign w:val="center"/>
          </w:tcPr>
          <w:p w14:paraId="7AAC219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3892C1F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71287F5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39AA1F8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4E8909E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1140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7A4E177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20E8338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10CB9915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B11C0D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331EACD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3AD8FC8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PASS1140R</w:t>
            </w:r>
          </w:p>
        </w:tc>
        <w:tc>
          <w:tcPr>
            <w:tcW w:w="2977" w:type="dxa"/>
            <w:vAlign w:val="center"/>
          </w:tcPr>
          <w:p w14:paraId="315BE99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TTT GAG TTC CCG ACT TTA TCG </w:t>
            </w:r>
          </w:p>
        </w:tc>
        <w:tc>
          <w:tcPr>
            <w:tcW w:w="1348" w:type="dxa"/>
            <w:vAlign w:val="center"/>
          </w:tcPr>
          <w:p w14:paraId="2E1DCC1B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482BF7C2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59CCA00C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1A24CCA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79391263" w14:textId="77777777" w:rsidTr="00E3737E">
        <w:trPr>
          <w:trHeight w:val="262"/>
        </w:trPr>
        <w:tc>
          <w:tcPr>
            <w:tcW w:w="1965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C648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Rickettsia </w:t>
            </w:r>
            <w:r w:rsidRPr="00465958">
              <w:rPr>
                <w:rFonts w:ascii="Arial" w:eastAsia="Arial" w:hAnsi="Arial" w:cs="Arial"/>
                <w:iCs/>
                <w:color w:val="000000" w:themeColor="text1"/>
                <w:sz w:val="16"/>
                <w:szCs w:val="16"/>
              </w:rPr>
              <w:t>spp</w:t>
            </w:r>
            <w:r w:rsidRPr="00FB51B6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65" w:type="dxa"/>
            <w:vMerge w:val="restart"/>
            <w:vAlign w:val="center"/>
          </w:tcPr>
          <w:p w14:paraId="6F68E40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306" w:type="dxa"/>
            <w:vAlign w:val="center"/>
          </w:tcPr>
          <w:p w14:paraId="2600FD38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16SA1</w:t>
            </w:r>
          </w:p>
        </w:tc>
        <w:tc>
          <w:tcPr>
            <w:tcW w:w="2977" w:type="dxa"/>
            <w:vAlign w:val="center"/>
          </w:tcPr>
          <w:p w14:paraId="0EFF1FF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AGA GTT TGA TCM TGG CTC AG </w:t>
            </w:r>
          </w:p>
        </w:tc>
        <w:tc>
          <w:tcPr>
            <w:tcW w:w="1348" w:type="dxa"/>
            <w:vAlign w:val="center"/>
          </w:tcPr>
          <w:p w14:paraId="6C7B142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 w:val="restart"/>
            <w:vAlign w:val="center"/>
          </w:tcPr>
          <w:p w14:paraId="48C14E4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3AE4A421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7079518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4A5EFF56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834D4A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14:paraId="5138C3F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09C27110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Ric600R</w:t>
            </w:r>
          </w:p>
        </w:tc>
        <w:tc>
          <w:tcPr>
            <w:tcW w:w="2977" w:type="dxa"/>
            <w:vAlign w:val="center"/>
          </w:tcPr>
          <w:p w14:paraId="03782B3D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TTT GAA AGC AAT TCC GAG GT </w:t>
            </w:r>
          </w:p>
        </w:tc>
        <w:tc>
          <w:tcPr>
            <w:tcW w:w="1348" w:type="dxa"/>
            <w:vAlign w:val="center"/>
          </w:tcPr>
          <w:p w14:paraId="341F6E0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0.2 µM</w:t>
            </w:r>
          </w:p>
        </w:tc>
        <w:tc>
          <w:tcPr>
            <w:tcW w:w="1548" w:type="dxa"/>
            <w:vMerge/>
            <w:vAlign w:val="center"/>
          </w:tcPr>
          <w:p w14:paraId="34CC8BC3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  <w:vAlign w:val="center"/>
          </w:tcPr>
          <w:p w14:paraId="261A786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right w:val="nil"/>
            </w:tcBorders>
          </w:tcPr>
          <w:p w14:paraId="608ADD7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3737E" w:rsidRPr="00FB51B6" w14:paraId="0424C9A6" w14:textId="77777777" w:rsidTr="00E3737E">
        <w:trPr>
          <w:trHeight w:val="256"/>
        </w:trPr>
        <w:tc>
          <w:tcPr>
            <w:tcW w:w="1965" w:type="dxa"/>
            <w:vMerge/>
            <w:tcBorders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7F7DEE5" w14:textId="77777777" w:rsidR="00E3737E" w:rsidRPr="00FB51B6" w:rsidRDefault="00E3737E" w:rsidP="00E3737E">
            <w:pPr>
              <w:spacing w:before="57"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14:paraId="5B2EE46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vAlign w:val="center"/>
          </w:tcPr>
          <w:p w14:paraId="30FE7015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ParG-A435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1EB5D7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CAT GGT AGG CRY AGA ACC TAC CA</w:t>
            </w: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14:paraId="3132B546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B51B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0.5 µM</w:t>
            </w:r>
          </w:p>
        </w:tc>
        <w:tc>
          <w:tcPr>
            <w:tcW w:w="1548" w:type="dxa"/>
            <w:vMerge/>
            <w:tcBorders>
              <w:bottom w:val="single" w:sz="12" w:space="0" w:color="auto"/>
            </w:tcBorders>
          </w:tcPr>
          <w:p w14:paraId="016112CE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41B0A2F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bottom w:val="single" w:sz="12" w:space="0" w:color="auto"/>
              <w:right w:val="nil"/>
            </w:tcBorders>
          </w:tcPr>
          <w:p w14:paraId="1C625A09" w14:textId="77777777" w:rsidR="00E3737E" w:rsidRPr="00FB51B6" w:rsidRDefault="00E3737E" w:rsidP="00E3737E">
            <w:pPr>
              <w:spacing w:before="57"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F1A4DE9" w14:textId="391DFD51" w:rsidR="00A40630" w:rsidRDefault="00864CED" w:rsidP="007B17C3">
      <w:pPr>
        <w:spacing w:before="57" w:after="120" w:line="276" w:lineRule="auto"/>
        <w:jc w:val="both"/>
      </w:pPr>
      <w:r w:rsidRPr="00EE535F">
        <w:rPr>
          <w:rFonts w:ascii="Arial" w:eastAsia="Arial" w:hAnsi="Arial" w:cs="Arial"/>
          <w:color w:val="000000" w:themeColor="text1"/>
          <w:sz w:val="18"/>
          <w:szCs w:val="18"/>
        </w:rPr>
        <w:t>Positive controls were included in each assay</w:t>
      </w:r>
      <w:r w:rsidR="00593BD8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</w:p>
    <w:sectPr w:rsidR="00A40630" w:rsidSect="00E71506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D77A" w14:textId="77777777" w:rsidR="00555F03" w:rsidRDefault="00555F03" w:rsidP="00356870">
      <w:r>
        <w:separator/>
      </w:r>
    </w:p>
  </w:endnote>
  <w:endnote w:type="continuationSeparator" w:id="0">
    <w:p w14:paraId="023B4935" w14:textId="77777777" w:rsidR="00555F03" w:rsidRDefault="00555F03" w:rsidP="0035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394D" w14:textId="77777777" w:rsidR="00555F03" w:rsidRDefault="00555F03" w:rsidP="00356870">
      <w:r>
        <w:separator/>
      </w:r>
    </w:p>
  </w:footnote>
  <w:footnote w:type="continuationSeparator" w:id="0">
    <w:p w14:paraId="011173E4" w14:textId="77777777" w:rsidR="00555F03" w:rsidRDefault="00555F03" w:rsidP="0035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26880"/>
    <w:rsid w:val="00224567"/>
    <w:rsid w:val="00231348"/>
    <w:rsid w:val="002E0D06"/>
    <w:rsid w:val="002E550E"/>
    <w:rsid w:val="00356870"/>
    <w:rsid w:val="00416137"/>
    <w:rsid w:val="00420AC4"/>
    <w:rsid w:val="00465958"/>
    <w:rsid w:val="00555F03"/>
    <w:rsid w:val="00593BD8"/>
    <w:rsid w:val="0061497A"/>
    <w:rsid w:val="00662A96"/>
    <w:rsid w:val="007323CA"/>
    <w:rsid w:val="00770452"/>
    <w:rsid w:val="007B17C3"/>
    <w:rsid w:val="007B79B4"/>
    <w:rsid w:val="00864CED"/>
    <w:rsid w:val="00891193"/>
    <w:rsid w:val="00912D3B"/>
    <w:rsid w:val="009539EF"/>
    <w:rsid w:val="00994BE1"/>
    <w:rsid w:val="00A40630"/>
    <w:rsid w:val="00AA001E"/>
    <w:rsid w:val="00B1595F"/>
    <w:rsid w:val="00B42081"/>
    <w:rsid w:val="00C84D14"/>
    <w:rsid w:val="00D116FD"/>
    <w:rsid w:val="00D33C80"/>
    <w:rsid w:val="00D66B0D"/>
    <w:rsid w:val="00DD7133"/>
    <w:rsid w:val="00E17FC7"/>
    <w:rsid w:val="00E3737E"/>
    <w:rsid w:val="00E71506"/>
    <w:rsid w:val="00EE535F"/>
    <w:rsid w:val="00F0447D"/>
    <w:rsid w:val="00F04FC6"/>
    <w:rsid w:val="00F10508"/>
    <w:rsid w:val="00F265C6"/>
    <w:rsid w:val="00FB4F02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E7F7"/>
  <w15:chartTrackingRefBased/>
  <w15:docId w15:val="{FE75892C-1F85-4DA6-BD40-6A24355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ED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4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7D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F0447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87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56870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5687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56870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E5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0E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0E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Leybourne</dc:creator>
  <cp:keywords/>
  <dc:description/>
  <cp:lastModifiedBy>Leybourne, Daniel</cp:lastModifiedBy>
  <cp:revision>38</cp:revision>
  <dcterms:created xsi:type="dcterms:W3CDTF">2022-11-21T08:50:00Z</dcterms:created>
  <dcterms:modified xsi:type="dcterms:W3CDTF">2024-01-19T13:41:00Z</dcterms:modified>
</cp:coreProperties>
</file>