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FBFE" w14:textId="77777777" w:rsidR="000069B6" w:rsidRPr="0044336A" w:rsidRDefault="000069B6" w:rsidP="000069B6">
      <w:pPr>
        <w:pStyle w:val="Heading1"/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</w:pPr>
      <w:bookmarkStart w:id="0" w:name="_Ref51396069"/>
      <w:r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Supplementary</w:t>
      </w:r>
      <w:r w:rsidRPr="0044336A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 xml:space="preserve"> file 2</w:t>
      </w:r>
    </w:p>
    <w:p w14:paraId="4B56F7EB" w14:textId="77777777" w:rsidR="000069B6" w:rsidRPr="0044336A" w:rsidRDefault="000069B6" w:rsidP="000069B6">
      <w:pPr>
        <w:rPr>
          <w:szCs w:val="24"/>
          <w:lang w:val="en-US"/>
        </w:rPr>
      </w:pPr>
    </w:p>
    <w:p w14:paraId="6271D87F" w14:textId="77777777" w:rsidR="000069B6" w:rsidRDefault="000069B6" w:rsidP="000069B6">
      <w:pPr>
        <w:spacing w:before="120" w:after="0" w:line="480" w:lineRule="auto"/>
        <w:ind w:right="-330"/>
        <w:rPr>
          <w:rFonts w:eastAsia="Calibri" w:cs="Times New Roman"/>
          <w:b/>
          <w:bCs w:val="0"/>
        </w:rPr>
      </w:pPr>
      <w:r>
        <w:rPr>
          <w:rFonts w:eastAsia="Calibri" w:cs="Times New Roman"/>
          <w:b/>
          <w:bCs w:val="0"/>
        </w:rPr>
        <w:t xml:space="preserve">Undernutrition among children and its determinants across the parliamentary constituencies of India: A geospatial analysis </w:t>
      </w:r>
    </w:p>
    <w:p w14:paraId="448B7014" w14:textId="77777777" w:rsidR="000069B6" w:rsidRDefault="000069B6" w:rsidP="000069B6">
      <w:pPr>
        <w:spacing w:before="120" w:after="0" w:line="480" w:lineRule="auto"/>
        <w:ind w:right="-330"/>
        <w:rPr>
          <w:rFonts w:eastAsia="Calibri" w:cs="Times New Roman"/>
          <w:b/>
          <w:bCs w:val="0"/>
        </w:rPr>
      </w:pPr>
      <w:r>
        <w:rPr>
          <w:rFonts w:eastAsia="Calibri" w:cs="Times New Roman"/>
          <w:b/>
          <w:bCs w:val="0"/>
        </w:rPr>
        <w:t xml:space="preserve"> </w:t>
      </w:r>
    </w:p>
    <w:p w14:paraId="31E5DE90" w14:textId="7259A5C5" w:rsidR="000069B6" w:rsidRDefault="000069B6" w:rsidP="000069B6">
      <w:pPr>
        <w:pStyle w:val="Caption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Spatial Regression Model Results</w:t>
      </w:r>
    </w:p>
    <w:p w14:paraId="157E0289" w14:textId="77777777" w:rsidR="000069B6" w:rsidRDefault="000069B6" w:rsidP="00A56055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</w:p>
    <w:p w14:paraId="2E75556A" w14:textId="4845D004" w:rsidR="00A56055" w:rsidRDefault="00A56055" w:rsidP="00A56055">
      <w:pPr>
        <w:pStyle w:val="Caption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1B07A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bookmarkEnd w:id="0"/>
      <w:r w:rsidR="000069B6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1</w:t>
      </w:r>
      <w:r w:rsidRPr="00544D6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OLS</w:t>
      </w:r>
      <w:r w:rsidR="000069B6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Model Results</w:t>
      </w:r>
      <w:r w:rsidRPr="00544D6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for children </w:t>
      </w:r>
      <w:r w:rsidR="000069B6">
        <w:rPr>
          <w:rFonts w:ascii="Times New Roman" w:hAnsi="Times New Roman"/>
          <w:i w:val="0"/>
          <w:iCs w:val="0"/>
          <w:color w:val="auto"/>
          <w:sz w:val="24"/>
          <w:szCs w:val="24"/>
        </w:rPr>
        <w:t>undernourished</w:t>
      </w:r>
      <w:r w:rsidRPr="00544D6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and its predictors for parliamentary constituencies</w:t>
      </w:r>
      <w:r w:rsidR="000069B6">
        <w:rPr>
          <w:rFonts w:ascii="Times New Roman" w:hAnsi="Times New Roman"/>
          <w:i w:val="0"/>
          <w:iCs w:val="0"/>
          <w:color w:val="auto"/>
          <w:sz w:val="24"/>
          <w:szCs w:val="24"/>
        </w:rPr>
        <w:t>, India, 2015-16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175"/>
        <w:gridCol w:w="837"/>
        <w:gridCol w:w="780"/>
        <w:gridCol w:w="837"/>
        <w:gridCol w:w="780"/>
        <w:gridCol w:w="837"/>
        <w:gridCol w:w="780"/>
      </w:tblGrid>
      <w:tr w:rsidR="000069B6" w:rsidRPr="00101728" w14:paraId="1ECA18DD" w14:textId="77777777" w:rsidTr="000069B6">
        <w:trPr>
          <w:trHeight w:val="300"/>
          <w:tblHeader/>
        </w:trPr>
        <w:tc>
          <w:tcPr>
            <w:tcW w:w="2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6C146A" w14:textId="77777777" w:rsidR="000069B6" w:rsidRPr="00101728" w:rsidRDefault="000069B6" w:rsidP="00EE5975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PC- level </w:t>
            </w:r>
            <w:r w:rsidRPr="006123A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predictor variables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8194C" w14:textId="3F8FF3A0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Stunted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F5CF0" w14:textId="64BA5C9A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Underweight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D4557" w14:textId="49ED12C8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Wasted</w:t>
            </w:r>
          </w:p>
        </w:tc>
      </w:tr>
      <w:tr w:rsidR="000069B6" w:rsidRPr="00101728" w14:paraId="065B9ECB" w14:textId="77777777" w:rsidTr="000069B6">
        <w:trPr>
          <w:trHeight w:val="300"/>
          <w:tblHeader/>
        </w:trPr>
        <w:tc>
          <w:tcPr>
            <w:tcW w:w="2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288C4F" w14:textId="77777777" w:rsidR="000069B6" w:rsidRPr="00101728" w:rsidRDefault="000069B6" w:rsidP="00EE5975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8B1E" w14:textId="77777777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Coefficients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BE43" w14:textId="77777777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Probability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EB4E" w14:textId="77777777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Coefficients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D671" w14:textId="77777777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Probability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955B" w14:textId="77777777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Coefficients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718B" w14:textId="77777777" w:rsidR="000069B6" w:rsidRPr="00101728" w:rsidRDefault="000069B6" w:rsidP="00EE5975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Probability</w:t>
            </w:r>
          </w:p>
        </w:tc>
      </w:tr>
      <w:tr w:rsidR="000069B6" w:rsidRPr="00101728" w14:paraId="1FE240DB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7531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Poverty Head Count Ratio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890E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B707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5253" w14:textId="4A7F3EE6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F846" w14:textId="31ACB31D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A38CD" w14:textId="73556C53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1D0C0" w14:textId="2A9D5C7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0.035</w:t>
            </w:r>
          </w:p>
        </w:tc>
      </w:tr>
      <w:tr w:rsidR="000069B6" w:rsidRPr="00101728" w14:paraId="4A4AB4EA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C735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Households using improved sanitation facility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D1832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-0.054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E4C5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32A7" w14:textId="0C1E42B2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-0.068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2FC0" w14:textId="6ACDF53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E8EA0" w14:textId="6C86B3A6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25A9A" w14:textId="6F2EE30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-0.001</w:t>
            </w:r>
          </w:p>
        </w:tc>
      </w:tr>
      <w:tr w:rsidR="000069B6" w:rsidRPr="00101728" w14:paraId="2310A9BF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4F4C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Women with </w:t>
            </w: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ten</w:t>
            </w: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 or more years of schooling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DEBBA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92599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2F0E" w14:textId="52024CD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0912" w14:textId="1C5DE92C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EE157" w14:textId="495D36CF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8C5D" w14:textId="231DD8AD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0.085</w:t>
            </w:r>
          </w:p>
        </w:tc>
      </w:tr>
      <w:tr w:rsidR="000069B6" w:rsidRPr="00101728" w14:paraId="37D74CEE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D5AF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Institutional births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777D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-0.133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AB2E1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D2B9E" w14:textId="4220183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29FC" w14:textId="2839040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7D5E" w14:textId="303470A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84A4D" w14:textId="76F5F7C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0.06</w:t>
            </w:r>
          </w:p>
        </w:tc>
      </w:tr>
      <w:tr w:rsidR="000069B6" w:rsidRPr="00101728" w14:paraId="338436C5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2219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Mothers who had at least </w:t>
            </w: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four</w:t>
            </w: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 antenatal care visits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F88B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AFB4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389F8" w14:textId="246C5CA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0D96A" w14:textId="5BF94EA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AE1E" w14:textId="5CC749B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A357" w14:textId="75A2908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0.056</w:t>
            </w:r>
          </w:p>
        </w:tc>
      </w:tr>
      <w:tr w:rsidR="000069B6" w:rsidRPr="00101728" w14:paraId="0BA3289C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E833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Women whose Body Mass Index (BMI) is below normal (BMI &lt; 18.5 kg/m2)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D50E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F3C8D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A51E" w14:textId="6C03F7AB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0.651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5D11" w14:textId="36CFAE2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47F7" w14:textId="666FD872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B310" w14:textId="435A063D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0.404</w:t>
            </w:r>
          </w:p>
        </w:tc>
      </w:tr>
      <w:tr w:rsidR="000069B6" w:rsidRPr="00101728" w14:paraId="22E22699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9A34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Women aged 20-24 years married before age 18 years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72D7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B738E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D312" w14:textId="4020582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A3421" w14:textId="20FE8B9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EA09D" w14:textId="12F4A98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A3F1" w14:textId="07B84F3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0.027</w:t>
            </w:r>
          </w:p>
        </w:tc>
      </w:tr>
      <w:tr w:rsidR="000069B6" w:rsidRPr="00101728" w14:paraId="0C74F658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9173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Children aged 6-59 months who are anaemic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C8C2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1AE77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EEBF6" w14:textId="199FA2A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2950" w14:textId="7074437B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0BFF3" w14:textId="7BDD042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0979B" w14:textId="336614E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</w:tr>
      <w:tr w:rsidR="000069B6" w:rsidRPr="00101728" w14:paraId="1D708231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4A0F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Children aged 6-23 months receiving an adequate diet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1536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-0.124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AAE3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77A17" w14:textId="3929DB34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3A3F8" w14:textId="2BD4E96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0BE2" w14:textId="4D45203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85B6" w14:textId="33B82E8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-0.017</w:t>
            </w:r>
          </w:p>
        </w:tc>
      </w:tr>
      <w:tr w:rsidR="000069B6" w:rsidRPr="00101728" w14:paraId="19904118" w14:textId="77777777" w:rsidTr="00EE5975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F5AEF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</w:tr>
      <w:tr w:rsidR="000069B6" w:rsidRPr="00101728" w14:paraId="22D2B7A3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E706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R- squared value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4A6F4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5BF86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4C47" w14:textId="2704A323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F60B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6CAF4" w14:textId="7D13098B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D881" w14:textId="3BDE012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0.33</w:t>
            </w:r>
          </w:p>
        </w:tc>
      </w:tr>
      <w:tr w:rsidR="000069B6" w:rsidRPr="00101728" w14:paraId="610608AC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BBD7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Lambda Value (Lag Coefficient)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CF7D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EAF1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F532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4A3E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0683" w14:textId="5E620684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8AF33" w14:textId="4EDE3424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</w:tr>
      <w:tr w:rsidR="000069B6" w:rsidRPr="00101728" w14:paraId="4FA5CAC7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A3D3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Rho Value (Lag coefficient)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9A5C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AAEB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B7A2" w14:textId="77F3503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8BFE3" w14:textId="4C59AB1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08A9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00C7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</w:p>
        </w:tc>
      </w:tr>
      <w:tr w:rsidR="000069B6" w:rsidRPr="00101728" w14:paraId="3756B07D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1122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Log likelihood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FAD9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-1645.39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4B33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F9A74" w14:textId="1BD06B12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-1637.11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50D17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E0A2" w14:textId="42F9DD4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-1651.19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D5FF2" w14:textId="3D832B2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-1651.19</w:t>
            </w:r>
          </w:p>
        </w:tc>
      </w:tr>
      <w:tr w:rsidR="000069B6" w:rsidRPr="00101728" w14:paraId="5C85E445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82B4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AIC value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BFE51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3310.78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85BD7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2EF5" w14:textId="47718DD4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3294.23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3D66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66E71" w14:textId="611D005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3322.39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863E" w14:textId="6C1B94D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3322.39</w:t>
            </w:r>
          </w:p>
        </w:tc>
      </w:tr>
      <w:tr w:rsidR="000069B6" w:rsidRPr="00101728" w14:paraId="488243CF" w14:textId="77777777" w:rsidTr="001F4968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0CB3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No. of PCs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5AFC80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95B3A8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1A294B" w14:textId="3765DD45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543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AF065B" w14:textId="59E6711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9377F2" w14:textId="5086B67F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543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6D632B" w14:textId="337FF892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543</w:t>
            </w:r>
          </w:p>
        </w:tc>
      </w:tr>
    </w:tbl>
    <w:p w14:paraId="357DA188" w14:textId="77777777" w:rsidR="000069B6" w:rsidRDefault="000069B6" w:rsidP="000069B6"/>
    <w:p w14:paraId="04152BE8" w14:textId="77777777" w:rsidR="000069B6" w:rsidRDefault="000069B6" w:rsidP="000069B6">
      <w:pPr>
        <w:pStyle w:val="Caption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br w:type="page"/>
      </w:r>
    </w:p>
    <w:p w14:paraId="36C3CB53" w14:textId="1D97062E" w:rsidR="000069B6" w:rsidRPr="000069B6" w:rsidRDefault="000069B6" w:rsidP="000069B6">
      <w:pPr>
        <w:pStyle w:val="Caption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1B07A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2</w:t>
      </w:r>
      <w:r w:rsidRPr="00544D6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Spatial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Lag Model Results </w:t>
      </w:r>
      <w:r w:rsidRPr="00544D6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for children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undernourished</w:t>
      </w:r>
      <w:r w:rsidRPr="00544D6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and its predictors for parliamentary constituencies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, India, 2015-16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175"/>
        <w:gridCol w:w="837"/>
        <w:gridCol w:w="780"/>
        <w:gridCol w:w="837"/>
        <w:gridCol w:w="780"/>
        <w:gridCol w:w="837"/>
        <w:gridCol w:w="780"/>
      </w:tblGrid>
      <w:tr w:rsidR="000069B6" w:rsidRPr="00101728" w14:paraId="18439ED6" w14:textId="77777777" w:rsidTr="000069B6">
        <w:trPr>
          <w:trHeight w:val="300"/>
          <w:tblHeader/>
        </w:trPr>
        <w:tc>
          <w:tcPr>
            <w:tcW w:w="2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5A8FA2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PC- level </w:t>
            </w:r>
            <w:r w:rsidRPr="006123A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predictor variables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528AC" w14:textId="36E87F9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Stunted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61AC2" w14:textId="45299A2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Underweight</w:t>
            </w:r>
          </w:p>
        </w:tc>
        <w:tc>
          <w:tcPr>
            <w:tcW w:w="8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D813C" w14:textId="7E4F692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Wasted</w:t>
            </w:r>
          </w:p>
        </w:tc>
      </w:tr>
      <w:tr w:rsidR="00A56055" w:rsidRPr="00101728" w14:paraId="43D45D27" w14:textId="77777777" w:rsidTr="000069B6">
        <w:trPr>
          <w:trHeight w:val="300"/>
          <w:tblHeader/>
        </w:trPr>
        <w:tc>
          <w:tcPr>
            <w:tcW w:w="2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312885" w14:textId="77777777" w:rsidR="00A56055" w:rsidRPr="00101728" w:rsidRDefault="00A56055" w:rsidP="007855D8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59AB" w14:textId="77777777" w:rsidR="00A56055" w:rsidRPr="00101728" w:rsidRDefault="00A56055" w:rsidP="007855D8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Coefficients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EFED" w14:textId="77777777" w:rsidR="00A56055" w:rsidRPr="00101728" w:rsidRDefault="00A56055" w:rsidP="007855D8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Probability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4C36" w14:textId="77777777" w:rsidR="00A56055" w:rsidRPr="00101728" w:rsidRDefault="00A56055" w:rsidP="007855D8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Coefficients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89DC" w14:textId="77777777" w:rsidR="00A56055" w:rsidRPr="00101728" w:rsidRDefault="00A56055" w:rsidP="007855D8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Probability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9962" w14:textId="77777777" w:rsidR="00A56055" w:rsidRPr="00101728" w:rsidRDefault="00A56055" w:rsidP="007855D8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Coefficients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23FC" w14:textId="77777777" w:rsidR="00A56055" w:rsidRPr="00101728" w:rsidRDefault="00A56055" w:rsidP="007855D8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Probability</w:t>
            </w:r>
          </w:p>
        </w:tc>
      </w:tr>
      <w:tr w:rsidR="000069B6" w:rsidRPr="00101728" w14:paraId="21EDCEED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7C81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Poverty Head Count Ratio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34AD0" w14:textId="0399FF2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9E142" w14:textId="0371DA3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76B1" w14:textId="6794050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5CB6" w14:textId="37AA308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A880F" w14:textId="57496BCB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28E66" w14:textId="76B7CBE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0.271</w:t>
            </w:r>
          </w:p>
        </w:tc>
      </w:tr>
      <w:tr w:rsidR="000069B6" w:rsidRPr="00101728" w14:paraId="55DA2D01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14D8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Households using improved sanitation facility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46588" w14:textId="7310111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7DBB0" w14:textId="69AFF2F3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3BB24" w14:textId="0CC41B0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F2380" w14:textId="7E9113E2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1D406" w14:textId="0FE1A03B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F9A95" w14:textId="11C8072C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0.795</w:t>
            </w:r>
          </w:p>
        </w:tc>
      </w:tr>
      <w:tr w:rsidR="000069B6" w:rsidRPr="00101728" w14:paraId="38D2DED3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6844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Women with </w:t>
            </w: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ten</w:t>
            </w: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 or more years of schooling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5B791" w14:textId="3EB7FA36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01EBA" w14:textId="265707BD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0.791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9286" w14:textId="166145E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E70F" w14:textId="6F776C8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0.153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1620" w14:textId="2919AE73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27DD9" w14:textId="743812F6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0.082</w:t>
            </w:r>
          </w:p>
        </w:tc>
      </w:tr>
      <w:tr w:rsidR="000069B6" w:rsidRPr="00101728" w14:paraId="229CC627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1B33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Institutional births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F1F24" w14:textId="243453B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-0.085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509D" w14:textId="45DAC85D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7B24" w14:textId="7FF5AF84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7ECCC" w14:textId="3EEFFD6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403FB" w14:textId="75EE02C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A506" w14:textId="7AFB19B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0.338</w:t>
            </w:r>
          </w:p>
        </w:tc>
      </w:tr>
      <w:tr w:rsidR="000069B6" w:rsidRPr="00101728" w14:paraId="2F14207B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7A17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Mothers who had at least </w:t>
            </w:r>
            <w:r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four</w:t>
            </w: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 antenatal care visits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ABFD6" w14:textId="0213F09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E5BC5" w14:textId="29598E2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3650A" w14:textId="122ACA35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0D9E" w14:textId="1450536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F5033" w14:textId="6B8BB1BF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47A4A" w14:textId="4645E50D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0.015</w:t>
            </w:r>
          </w:p>
        </w:tc>
      </w:tr>
      <w:tr w:rsidR="000069B6" w:rsidRPr="00101728" w14:paraId="2BD6030E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DFFB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Women whose Body Mass Index (BMI) is below normal (BMI &lt; 18.5 kg/m2)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7D18" w14:textId="4962A80C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E48C" w14:textId="68C2299C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6BF19" w14:textId="25A4A1D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2607" w14:textId="672C5DEF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D5CD" w14:textId="435D734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7EB97" w14:textId="79546FB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069B6" w:rsidRPr="00101728" w14:paraId="02EA82FF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0C06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Women aged 20-24 years married before age 18 years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1726" w14:textId="0C70BEA8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E5E6" w14:textId="58C2E85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0.981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E5AE9" w14:textId="5AF2ADE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5285" w14:textId="2DA54505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0.766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482CC" w14:textId="6B548FA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AABB8" w14:textId="7E30707B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0.913</w:t>
            </w:r>
          </w:p>
        </w:tc>
      </w:tr>
      <w:tr w:rsidR="000069B6" w:rsidRPr="00101728" w14:paraId="3CB688C9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193F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 xml:space="preserve">Children aged 6-59 months who are anaemic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70F5" w14:textId="05F2B70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6D7F" w14:textId="087FA51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4A324" w14:textId="462B071D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5540" w14:textId="121BC4A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426E" w14:textId="058EE8D6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3490F" w14:textId="14C29E26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069B6" w:rsidRPr="00101728" w14:paraId="600720FC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53AC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Children aged 6-23 months receiving an adequate diet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C05B" w14:textId="5A2CF411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38D9" w14:textId="434D00B6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9DC36" w14:textId="158D9332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-0.064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1D55D" w14:textId="12BDB73B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3125" w14:textId="0C6B95F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228D" w14:textId="436BBDCC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0.498</w:t>
            </w:r>
          </w:p>
        </w:tc>
      </w:tr>
      <w:tr w:rsidR="000069B6" w:rsidRPr="00101728" w14:paraId="0B29AC6E" w14:textId="77777777" w:rsidTr="007855D8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525F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</w:tr>
      <w:tr w:rsidR="000069B6" w:rsidRPr="00101728" w14:paraId="41155B89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A7FD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R- squared value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17F4F" w14:textId="1BF6A125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DD0D6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AB76" w14:textId="76E4726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BA250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EA5BC" w14:textId="65EE82FF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912DB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</w:tr>
      <w:tr w:rsidR="000069B6" w:rsidRPr="00101728" w14:paraId="2D66D67B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79E6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Lambda Value (Lag Coefficient)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524F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6DF4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E787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92798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0CE3C" w14:textId="0A244E4D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48960" w14:textId="2DDC9566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</w:tr>
      <w:tr w:rsidR="000069B6" w:rsidRPr="00101728" w14:paraId="2BCB98EE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05C6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Rho Value (Lag coefficient)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55A5" w14:textId="5F90DB63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0.521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772E" w14:textId="533D41BA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EA30" w14:textId="4BAE8B6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2267" w14:textId="23425025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CA13" w14:textId="025C311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0.593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8E9BB" w14:textId="25D3FA53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069B6" w:rsidRPr="00101728" w14:paraId="6D898C4D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AED0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Log likelihood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D3EEC" w14:textId="16B5145B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-1561.78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3CA03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9AC9B" w14:textId="7C27FEE5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-1554.06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F9624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FC921" w14:textId="6CF1EB2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-1563.88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3E01D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</w:tr>
      <w:tr w:rsidR="000069B6" w:rsidRPr="00101728" w14:paraId="2E20DD55" w14:textId="77777777" w:rsidTr="000069B6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6906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AIC value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D92F" w14:textId="4CDA4645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3145.56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596ED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B413" w14:textId="02816EFF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3130.12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1CA9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05E7A" w14:textId="5B765F00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3149.76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5B6A" w14:textId="7777777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</w:tr>
      <w:tr w:rsidR="000069B6" w:rsidRPr="00101728" w14:paraId="6C462EE0" w14:textId="77777777" w:rsidTr="0023577E">
        <w:trPr>
          <w:trHeight w:val="340"/>
        </w:trPr>
        <w:tc>
          <w:tcPr>
            <w:tcW w:w="2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C7F7" w14:textId="77777777" w:rsidR="000069B6" w:rsidRPr="00101728" w:rsidRDefault="000069B6" w:rsidP="000069B6">
            <w:pPr>
              <w:spacing w:after="0" w:line="240" w:lineRule="auto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No. of PCs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1F3084" w14:textId="1904D064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94ED01" w14:textId="72521617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5509EB" w14:textId="255210FE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543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6A4BF2" w14:textId="5862AC53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F05902" w14:textId="6CBF8EA9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  <w:r w:rsidRPr="00101728"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  <w:t>543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937041" w14:textId="0BD0ECAC" w:rsidR="000069B6" w:rsidRPr="00101728" w:rsidRDefault="000069B6" w:rsidP="000069B6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159D486A" w14:textId="77777777" w:rsidR="001B5944" w:rsidRDefault="001B5944" w:rsidP="000069B6"/>
    <w:sectPr w:rsidR="001B594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2517" w14:textId="77777777" w:rsidR="00A045A8" w:rsidRDefault="00A045A8" w:rsidP="000069B6">
      <w:pPr>
        <w:spacing w:after="0" w:line="240" w:lineRule="auto"/>
      </w:pPr>
      <w:r>
        <w:separator/>
      </w:r>
    </w:p>
  </w:endnote>
  <w:endnote w:type="continuationSeparator" w:id="0">
    <w:p w14:paraId="4B3BCA1C" w14:textId="77777777" w:rsidR="00A045A8" w:rsidRDefault="00A045A8" w:rsidP="0000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0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D8ED4" w14:textId="43DD367A" w:rsidR="000069B6" w:rsidRDefault="000069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A95BE" w14:textId="77777777" w:rsidR="000069B6" w:rsidRDefault="00006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6810" w14:textId="77777777" w:rsidR="00A045A8" w:rsidRDefault="00A045A8" w:rsidP="000069B6">
      <w:pPr>
        <w:spacing w:after="0" w:line="240" w:lineRule="auto"/>
      </w:pPr>
      <w:r>
        <w:separator/>
      </w:r>
    </w:p>
  </w:footnote>
  <w:footnote w:type="continuationSeparator" w:id="0">
    <w:p w14:paraId="7EDDC39C" w14:textId="77777777" w:rsidR="00A045A8" w:rsidRDefault="00A045A8" w:rsidP="00006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5"/>
    <w:rsid w:val="000069B6"/>
    <w:rsid w:val="00053A48"/>
    <w:rsid w:val="001B5944"/>
    <w:rsid w:val="00A045A8"/>
    <w:rsid w:val="00A56055"/>
    <w:rsid w:val="00CE7410"/>
    <w:rsid w:val="00F21327"/>
    <w:rsid w:val="00F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F479"/>
  <w15:chartTrackingRefBased/>
  <w15:docId w15:val="{D9F6FF60-9794-4860-ABAD-E8F83D95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55"/>
    <w:pPr>
      <w:spacing w:line="360" w:lineRule="auto"/>
    </w:pPr>
    <w:rPr>
      <w:rFonts w:ascii="Times New Roman" w:hAnsi="Times New Roman"/>
      <w:bCs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6055"/>
    <w:pPr>
      <w:spacing w:after="200" w:line="240" w:lineRule="auto"/>
    </w:pPr>
    <w:rPr>
      <w:rFonts w:ascii="Calibri" w:eastAsia="Calibri" w:hAnsi="Calibri" w:cs="Times New Roman"/>
      <w:bCs w:val="0"/>
      <w:i/>
      <w:iCs/>
      <w:color w:val="44546A" w:themeColor="text2"/>
      <w:sz w:val="18"/>
      <w:szCs w:val="18"/>
    </w:rPr>
  </w:style>
  <w:style w:type="table" w:styleId="PlainTable3">
    <w:name w:val="Plain Table 3"/>
    <w:basedOn w:val="TableNormal"/>
    <w:uiPriority w:val="43"/>
    <w:rsid w:val="001B5944"/>
    <w:pPr>
      <w:spacing w:after="0" w:line="240" w:lineRule="auto"/>
    </w:pPr>
    <w:rPr>
      <w:rFonts w:ascii="Times New Roman" w:hAnsi="Times New Roman"/>
      <w:bCs/>
      <w:kern w:val="0"/>
      <w:sz w:val="24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069B6"/>
    <w:rPr>
      <w:rFonts w:asciiTheme="majorHAnsi" w:eastAsiaTheme="majorEastAsia" w:hAnsiTheme="majorHAnsi" w:cstheme="majorBidi"/>
      <w:bCs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B6"/>
    <w:rPr>
      <w:rFonts w:ascii="Times New Roman" w:hAnsi="Times New Roman"/>
      <w:bCs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B6"/>
    <w:rPr>
      <w:rFonts w:ascii="Times New Roman" w:hAnsi="Times New Roman"/>
      <w:bCs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Apoorva Nambiar</dc:creator>
  <cp:keywords/>
  <dc:description/>
  <cp:lastModifiedBy>Apoorva Nambiar</cp:lastModifiedBy>
  <cp:revision>2</cp:revision>
  <dcterms:created xsi:type="dcterms:W3CDTF">2023-08-17T11:06:00Z</dcterms:created>
  <dcterms:modified xsi:type="dcterms:W3CDTF">2023-08-19T05:20:00Z</dcterms:modified>
</cp:coreProperties>
</file>