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A1A1" w14:textId="77777777" w:rsidR="009B03C8" w:rsidRDefault="009B03C8" w:rsidP="009B03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Effects of feeding pasteurized waste milk or saleable milk to calves on weight, health, and fecal </w:t>
      </w:r>
      <w:r>
        <w:rPr>
          <w:rFonts w:ascii="Times New Roman" w:hAnsi="Times New Roman" w:cs="Times New Roman"/>
          <w:i/>
          <w:sz w:val="24"/>
          <w:szCs w:val="24"/>
        </w:rPr>
        <w:t>E. coli</w:t>
      </w:r>
      <w:r>
        <w:rPr>
          <w:rFonts w:ascii="Times New Roman" w:hAnsi="Times New Roman" w:cs="Times New Roman"/>
          <w:sz w:val="24"/>
          <w:szCs w:val="24"/>
        </w:rPr>
        <w:t xml:space="preserve"> antimicrobial resistance</w:t>
      </w:r>
    </w:p>
    <w:p w14:paraId="6AAA7454" w14:textId="14643C4A" w:rsidR="009B03C8" w:rsidRDefault="009B03C8" w:rsidP="009B03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Cellone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Ivana, </w:t>
      </w:r>
      <w:r w:rsidR="0032385D">
        <w:rPr>
          <w:rFonts w:ascii="Times New Roman" w:hAnsi="Times New Roman" w:cs="Times New Roman"/>
          <w:sz w:val="24"/>
          <w:szCs w:val="24"/>
          <w:lang w:val="es-ES"/>
        </w:rPr>
        <w:t>Russi</w:t>
      </w:r>
      <w:r w:rsidR="0032385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Norma, </w:t>
      </w:r>
      <w:r w:rsidR="0032385D">
        <w:rPr>
          <w:rFonts w:ascii="Times New Roman" w:hAnsi="Times New Roman" w:cs="Times New Roman"/>
          <w:sz w:val="24"/>
          <w:szCs w:val="24"/>
          <w:lang w:val="es-ES"/>
        </w:rPr>
        <w:t>Calvinho</w:t>
      </w:r>
      <w:r w:rsidR="0032385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Luis F., Signorini, Marcelo, Molineri, Ana</w:t>
      </w:r>
    </w:p>
    <w:p w14:paraId="661BEC8E" w14:textId="77777777" w:rsidR="009B03C8" w:rsidRPr="009B03C8" w:rsidRDefault="009B03C8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6E82468" w14:textId="55A9973D" w:rsidR="00C875E3" w:rsidRPr="003854A3" w:rsidRDefault="00C875E3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A3">
        <w:rPr>
          <w:rFonts w:ascii="Times New Roman" w:hAnsi="Times New Roman" w:cs="Times New Roman"/>
          <w:sz w:val="24"/>
          <w:szCs w:val="24"/>
        </w:rPr>
        <w:t>MATERIALS AND METHODS</w:t>
      </w:r>
    </w:p>
    <w:p w14:paraId="72C99DB1" w14:textId="77777777" w:rsidR="00C875E3" w:rsidRPr="003854A3" w:rsidRDefault="00C875E3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A3">
        <w:rPr>
          <w:rFonts w:ascii="Times New Roman" w:hAnsi="Times New Roman" w:cs="Times New Roman"/>
          <w:sz w:val="24"/>
          <w:szCs w:val="24"/>
        </w:rPr>
        <w:t>Experimental design</w:t>
      </w:r>
    </w:p>
    <w:p w14:paraId="3BB38F6E" w14:textId="55357ADB" w:rsidR="00C875E3" w:rsidRPr="003854A3" w:rsidRDefault="00C875E3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A3">
        <w:rPr>
          <w:rFonts w:ascii="Times New Roman" w:hAnsi="Times New Roman" w:cs="Times New Roman"/>
          <w:sz w:val="24"/>
          <w:szCs w:val="24"/>
        </w:rPr>
        <w:t xml:space="preserve">An experimental study under field conditions on a commercial dairy farm was performed. Holstein calves from a dairy farm located in </w:t>
      </w:r>
      <w:proofErr w:type="spellStart"/>
      <w:r w:rsidRPr="003854A3">
        <w:rPr>
          <w:rFonts w:ascii="Times New Roman" w:hAnsi="Times New Roman" w:cs="Times New Roman"/>
          <w:sz w:val="24"/>
          <w:szCs w:val="24"/>
        </w:rPr>
        <w:t>Grütly</w:t>
      </w:r>
      <w:proofErr w:type="spellEnd"/>
      <w:r w:rsidRPr="003854A3">
        <w:rPr>
          <w:rFonts w:ascii="Times New Roman" w:hAnsi="Times New Roman" w:cs="Times New Roman"/>
          <w:sz w:val="24"/>
          <w:szCs w:val="24"/>
        </w:rPr>
        <w:t xml:space="preserve"> (31°15'16.5"S 61°07'47.0"W, Santa Fe, Argentina) were used. F</w:t>
      </w:r>
      <w:r w:rsidR="00FD222A">
        <w:rPr>
          <w:rFonts w:ascii="Times New Roman" w:hAnsi="Times New Roman" w:cs="Times New Roman"/>
          <w:sz w:val="24"/>
          <w:szCs w:val="24"/>
        </w:rPr>
        <w:t xml:space="preserve">ifty </w:t>
      </w:r>
      <w:r w:rsidRPr="003854A3">
        <w:rPr>
          <w:rFonts w:ascii="Times New Roman" w:hAnsi="Times New Roman" w:cs="Times New Roman"/>
          <w:sz w:val="24"/>
          <w:szCs w:val="24"/>
        </w:rPr>
        <w:t xml:space="preserve">calves were </w:t>
      </w:r>
      <w:r w:rsidR="00FD222A">
        <w:rPr>
          <w:rFonts w:ascii="Times New Roman" w:hAnsi="Times New Roman" w:cs="Times New Roman"/>
          <w:sz w:val="24"/>
          <w:szCs w:val="24"/>
        </w:rPr>
        <w:t xml:space="preserve">initially </w:t>
      </w:r>
      <w:r w:rsidRPr="003854A3">
        <w:rPr>
          <w:rFonts w:ascii="Times New Roman" w:hAnsi="Times New Roman" w:cs="Times New Roman"/>
          <w:sz w:val="24"/>
          <w:szCs w:val="24"/>
        </w:rPr>
        <w:t>selected according to the inclusion criteria and assigned randomly to two treatment groups directly after birth: pasteurized waste milk (PWM) and non-pasteurized saleable milk (SM). Male and female calves were assigned proportionally to both groups. Each calf was identified with a number and color ear tag according to sex and date of birth.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82">
        <w:rPr>
          <w:rFonts w:ascii="Times New Roman" w:hAnsi="Times New Roman" w:cs="Times New Roman"/>
          <w:sz w:val="24"/>
          <w:szCs w:val="24"/>
        </w:rPr>
        <w:t xml:space="preserve">Sample size was determined to detect a significant difference </w:t>
      </w:r>
      <w:r>
        <w:rPr>
          <w:rFonts w:ascii="Times New Roman" w:hAnsi="Times New Roman" w:cs="Times New Roman"/>
          <w:sz w:val="24"/>
          <w:szCs w:val="24"/>
        </w:rPr>
        <w:t xml:space="preserve">of 45% </w:t>
      </w:r>
      <w:r w:rsidRPr="00923F82">
        <w:rPr>
          <w:rFonts w:ascii="Times New Roman" w:hAnsi="Times New Roman" w:cs="Times New Roman"/>
          <w:sz w:val="24"/>
          <w:szCs w:val="24"/>
        </w:rPr>
        <w:t xml:space="preserve">between proportions </w:t>
      </w:r>
      <w:r>
        <w:rPr>
          <w:rFonts w:ascii="Times New Roman" w:hAnsi="Times New Roman" w:cs="Times New Roman"/>
          <w:sz w:val="24"/>
          <w:szCs w:val="24"/>
        </w:rPr>
        <w:t xml:space="preserve">of resistance in each treatment group </w:t>
      </w:r>
      <w:r w:rsidRPr="00923F82">
        <w:rPr>
          <w:rFonts w:ascii="Times New Roman" w:hAnsi="Times New Roman" w:cs="Times New Roman"/>
          <w:sz w:val="24"/>
          <w:szCs w:val="24"/>
        </w:rPr>
        <w:t>with 95% of confidence and 80% power</w:t>
      </w:r>
      <w:r w:rsidRPr="00545E0A">
        <w:rPr>
          <w:rFonts w:ascii="Times New Roman" w:hAnsi="Times New Roman" w:cs="Times New Roman"/>
          <w:sz w:val="24"/>
          <w:szCs w:val="24"/>
        </w:rPr>
        <w:t xml:space="preserve">. The calculated n was 38 calves, 19 per group of treatment. </w:t>
      </w:r>
      <w:r>
        <w:rPr>
          <w:rFonts w:ascii="Times New Roman" w:hAnsi="Times New Roman" w:cs="Times New Roman"/>
          <w:sz w:val="24"/>
          <w:szCs w:val="24"/>
        </w:rPr>
        <w:t xml:space="preserve">More calves were enrolled to guarantee the estimated n at the end of the study (22 calves in SM group and 21 in PWM group reached the end of the study). </w:t>
      </w:r>
    </w:p>
    <w:p w14:paraId="729239D0" w14:textId="126A7054" w:rsidR="00C875E3" w:rsidRPr="003854A3" w:rsidRDefault="00C875E3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A3">
        <w:rPr>
          <w:rFonts w:ascii="Times New Roman" w:hAnsi="Times New Roman" w:cs="Times New Roman"/>
          <w:sz w:val="24"/>
          <w:szCs w:val="24"/>
        </w:rPr>
        <w:t xml:space="preserve">The inclusion criteria were calves born in normal labor (with no human-assistance), clinically healthy, and that had received </w:t>
      </w:r>
      <w:r w:rsidR="00862B31">
        <w:rPr>
          <w:rFonts w:ascii="Times New Roman" w:hAnsi="Times New Roman" w:cs="Times New Roman"/>
          <w:sz w:val="24"/>
          <w:szCs w:val="24"/>
        </w:rPr>
        <w:t xml:space="preserve">good quality </w:t>
      </w:r>
      <w:r w:rsidRPr="003854A3">
        <w:rPr>
          <w:rFonts w:ascii="Times New Roman" w:hAnsi="Times New Roman" w:cs="Times New Roman"/>
          <w:sz w:val="24"/>
          <w:szCs w:val="24"/>
        </w:rPr>
        <w:t>colostrum (4 l) through an esophageal tube within 4-6 h after birth (</w:t>
      </w:r>
      <w:r w:rsidR="00862B31">
        <w:rPr>
          <w:rFonts w:ascii="Times New Roman" w:hAnsi="Times New Roman" w:cs="Times New Roman"/>
          <w:sz w:val="24"/>
          <w:szCs w:val="24"/>
        </w:rPr>
        <w:t xml:space="preserve">which was further </w:t>
      </w:r>
      <w:r w:rsidRPr="003854A3">
        <w:rPr>
          <w:rFonts w:ascii="Times New Roman" w:hAnsi="Times New Roman" w:cs="Times New Roman"/>
          <w:sz w:val="24"/>
          <w:szCs w:val="24"/>
        </w:rPr>
        <w:t>evaluated by whole-blood glutaraldehyde coagulation test (Sandholm, 1974)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854A3">
        <w:rPr>
          <w:rFonts w:ascii="Times New Roman" w:hAnsi="Times New Roman" w:cs="Times New Roman"/>
          <w:sz w:val="24"/>
          <w:szCs w:val="24"/>
        </w:rPr>
        <w:t xml:space="preserve">. All calves assigned to the study were followed for 14 weeks. </w:t>
      </w:r>
    </w:p>
    <w:p w14:paraId="6EC0CC02" w14:textId="2FA47F2B" w:rsidR="00C875E3" w:rsidRPr="003854A3" w:rsidRDefault="00C875E3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A3">
        <w:rPr>
          <w:rFonts w:ascii="Times New Roman" w:hAnsi="Times New Roman" w:cs="Times New Roman"/>
          <w:sz w:val="24"/>
          <w:szCs w:val="24"/>
        </w:rPr>
        <w:lastRenderedPageBreak/>
        <w:t xml:space="preserve">Calves were reared outdoors, tethered by a chain to a stake that held the feeding bucket (stake system). The experimental groups of calves (PWM and SM) were 20 meters apart from each other </w:t>
      </w:r>
      <w:r>
        <w:rPr>
          <w:rFonts w:ascii="Times New Roman" w:hAnsi="Times New Roman" w:cs="Times New Roman"/>
          <w:sz w:val="24"/>
          <w:szCs w:val="24"/>
        </w:rPr>
        <w:t xml:space="preserve">and were fed and sampled by a different operator </w:t>
      </w:r>
      <w:r w:rsidRPr="003854A3">
        <w:rPr>
          <w:rFonts w:ascii="Times New Roman" w:hAnsi="Times New Roman" w:cs="Times New Roman"/>
          <w:sz w:val="24"/>
          <w:szCs w:val="24"/>
        </w:rPr>
        <w:t>to avoid horizontal bacteria transmission. Within each group, calves were separated by a distance that did not allow contact between them. All calves received four liters of milk at 37°C ± 1ºC daily (PWM or SM) divided into two equal volumes until weaning time (approximately eight weeks)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7BE6">
        <w:t xml:space="preserve"> </w:t>
      </w:r>
      <w:r w:rsidR="00B1550C" w:rsidRPr="00F216F1">
        <w:rPr>
          <w:rFonts w:ascii="Times New Roman" w:hAnsi="Times New Roman" w:cs="Times New Roman"/>
          <w:sz w:val="24"/>
          <w:szCs w:val="24"/>
        </w:rPr>
        <w:t>according to</w:t>
      </w:r>
      <w:r w:rsidR="00B1550C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usual </w:t>
      </w:r>
      <w:r w:rsidR="00B1550C">
        <w:rPr>
          <w:rFonts w:ascii="Times New Roman" w:hAnsi="Times New Roman" w:cs="Times New Roman"/>
          <w:sz w:val="24"/>
          <w:szCs w:val="24"/>
        </w:rPr>
        <w:t xml:space="preserve">management practice </w:t>
      </w:r>
      <w:r>
        <w:rPr>
          <w:rFonts w:ascii="Times New Roman" w:hAnsi="Times New Roman" w:cs="Times New Roman"/>
          <w:sz w:val="24"/>
          <w:szCs w:val="24"/>
        </w:rPr>
        <w:t>used at</w:t>
      </w:r>
      <w:r w:rsidRPr="00817BE6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farm</w:t>
      </w:r>
      <w:r w:rsidRPr="003854A3">
        <w:rPr>
          <w:rFonts w:ascii="Times New Roman" w:hAnsi="Times New Roman" w:cs="Times New Roman"/>
          <w:sz w:val="24"/>
          <w:szCs w:val="24"/>
        </w:rPr>
        <w:t xml:space="preserve">. Group PWM received waste milk collected daily into a specific tank and pasteurized at 73-75 ºC per 30 seconds (pasteurizer Alfa Laval®, Argentina). Waste milk consisted of transition milk, milk from cows </w:t>
      </w:r>
      <w:r w:rsidR="00B1550C">
        <w:rPr>
          <w:rFonts w:ascii="Times New Roman" w:hAnsi="Times New Roman" w:cs="Times New Roman"/>
          <w:sz w:val="24"/>
          <w:szCs w:val="24"/>
        </w:rPr>
        <w:t xml:space="preserve">with clinical mastitis and milk from cows </w:t>
      </w:r>
      <w:r w:rsidRPr="003854A3">
        <w:rPr>
          <w:rFonts w:ascii="Times New Roman" w:hAnsi="Times New Roman" w:cs="Times New Roman"/>
          <w:sz w:val="24"/>
          <w:szCs w:val="24"/>
        </w:rPr>
        <w:t xml:space="preserve">treated </w:t>
      </w:r>
      <w:r w:rsidRPr="00817BE6">
        <w:rPr>
          <w:rFonts w:ascii="Times New Roman" w:hAnsi="Times New Roman" w:cs="Times New Roman"/>
          <w:sz w:val="24"/>
          <w:szCs w:val="24"/>
        </w:rPr>
        <w:t>with AM</w:t>
      </w:r>
      <w:r w:rsidR="00B1550C">
        <w:rPr>
          <w:rFonts w:ascii="Times New Roman" w:hAnsi="Times New Roman" w:cs="Times New Roman"/>
          <w:sz w:val="24"/>
          <w:szCs w:val="24"/>
        </w:rPr>
        <w:t xml:space="preserve"> due to mastitis or other diseases</w:t>
      </w:r>
      <w:r w:rsidRPr="003854A3">
        <w:rPr>
          <w:rFonts w:ascii="Times New Roman" w:hAnsi="Times New Roman" w:cs="Times New Roman"/>
          <w:sz w:val="24"/>
          <w:szCs w:val="24"/>
        </w:rPr>
        <w:t xml:space="preserve">. Group SM received non-pasteurized milk suitable for sale collected daily from the milking line. Additionally, from day seven of life, </w:t>
      </w:r>
      <w:r w:rsidR="00B1550C">
        <w:rPr>
          <w:rFonts w:ascii="Times New Roman" w:hAnsi="Times New Roman" w:cs="Times New Roman"/>
          <w:sz w:val="24"/>
          <w:szCs w:val="24"/>
        </w:rPr>
        <w:t xml:space="preserve">calves </w:t>
      </w:r>
      <w:r w:rsidRPr="003854A3">
        <w:rPr>
          <w:rFonts w:ascii="Times New Roman" w:hAnsi="Times New Roman" w:cs="Times New Roman"/>
          <w:sz w:val="24"/>
          <w:szCs w:val="24"/>
        </w:rPr>
        <w:t xml:space="preserve">received water </w:t>
      </w:r>
      <w:r w:rsidRPr="002B352B">
        <w:rPr>
          <w:rFonts w:ascii="Times New Roman" w:hAnsi="Times New Roman" w:cs="Times New Roman"/>
          <w:i/>
          <w:sz w:val="24"/>
          <w:szCs w:val="24"/>
        </w:rPr>
        <w:t>ad libitum</w:t>
      </w:r>
      <w:r w:rsidRPr="003854A3">
        <w:rPr>
          <w:rFonts w:ascii="Times New Roman" w:hAnsi="Times New Roman" w:cs="Times New Roman"/>
          <w:sz w:val="24"/>
          <w:szCs w:val="24"/>
        </w:rPr>
        <w:t xml:space="preserve"> and a commercial calf starter twice per day (20.89% crude protein, 2.5% crude fat, 6.15% crude fiber; AB </w:t>
      </w:r>
      <w:proofErr w:type="spellStart"/>
      <w:r w:rsidRPr="003854A3">
        <w:rPr>
          <w:rFonts w:ascii="Times New Roman" w:hAnsi="Times New Roman" w:cs="Times New Roman"/>
          <w:sz w:val="24"/>
          <w:szCs w:val="24"/>
        </w:rPr>
        <w:t>Iniciador</w:t>
      </w:r>
      <w:proofErr w:type="spellEnd"/>
      <w:r w:rsidRPr="003854A3">
        <w:rPr>
          <w:rFonts w:ascii="Times New Roman" w:hAnsi="Times New Roman" w:cs="Times New Roman"/>
          <w:sz w:val="24"/>
          <w:szCs w:val="24"/>
        </w:rPr>
        <w:t xml:space="preserve">® Guillermo Lehmann </w:t>
      </w:r>
      <w:proofErr w:type="spellStart"/>
      <w:r w:rsidRPr="003854A3">
        <w:rPr>
          <w:rFonts w:ascii="Times New Roman" w:hAnsi="Times New Roman" w:cs="Times New Roman"/>
          <w:sz w:val="24"/>
          <w:szCs w:val="24"/>
        </w:rPr>
        <w:t>Cooperativa</w:t>
      </w:r>
      <w:proofErr w:type="spellEnd"/>
      <w:r w:rsidRPr="00385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4A3">
        <w:rPr>
          <w:rFonts w:ascii="Times New Roman" w:hAnsi="Times New Roman" w:cs="Times New Roman"/>
          <w:sz w:val="24"/>
          <w:szCs w:val="24"/>
        </w:rPr>
        <w:t>Agrícola</w:t>
      </w:r>
      <w:proofErr w:type="spellEnd"/>
      <w:r w:rsidRPr="003854A3">
        <w:rPr>
          <w:rFonts w:ascii="Times New Roman" w:hAnsi="Times New Roman" w:cs="Times New Roman"/>
          <w:sz w:val="24"/>
          <w:szCs w:val="24"/>
        </w:rPr>
        <w:t xml:space="preserve"> Ltda., Santa Fe, Argentina). The commercial calf starter was gradually increased according to the intake up to a maximum of 2 Kg/day. Experimental conditions were similar for both groups; being the only difference between treatment groups the milk they were fed. </w:t>
      </w:r>
    </w:p>
    <w:p w14:paraId="755F54D8" w14:textId="77777777" w:rsidR="00C875E3" w:rsidRPr="003854A3" w:rsidRDefault="00C875E3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A3">
        <w:rPr>
          <w:rFonts w:ascii="Times New Roman" w:hAnsi="Times New Roman" w:cs="Times New Roman"/>
          <w:sz w:val="24"/>
          <w:szCs w:val="24"/>
        </w:rPr>
        <w:t xml:space="preserve">Each group was composed of male and female calves that were kept together until weaning time. Then, male calves and female calves were allocated to separate feed-lot pens, with differential diets. Male calves’ diet included corn, soy expeller and vitamins, while female calves’ diet included corn, soy expeller and alfalfa hay. </w:t>
      </w:r>
    </w:p>
    <w:p w14:paraId="6546E6DD" w14:textId="6F72D66B" w:rsidR="00C875E3" w:rsidRPr="003854A3" w:rsidRDefault="00C875E3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A3">
        <w:rPr>
          <w:rFonts w:ascii="Times New Roman" w:hAnsi="Times New Roman" w:cs="Times New Roman"/>
          <w:sz w:val="24"/>
          <w:szCs w:val="24"/>
        </w:rPr>
        <w:t>All procedures used in this study were consistent with the Guide for the Care and Use of Agricultural Animals in Agricultural Research and Teaching (Federation of Animal Science Societies, 2010).</w:t>
      </w:r>
      <w:r w:rsidR="00FD222A" w:rsidRPr="00FD222A">
        <w:t xml:space="preserve"> </w:t>
      </w:r>
      <w:r w:rsidR="00FD222A" w:rsidRPr="00FD222A">
        <w:rPr>
          <w:rFonts w:ascii="Times New Roman" w:hAnsi="Times New Roman" w:cs="Times New Roman"/>
          <w:sz w:val="24"/>
          <w:szCs w:val="24"/>
        </w:rPr>
        <w:t xml:space="preserve">This study was approved by the Ethics and Security Committee </w:t>
      </w:r>
      <w:r w:rsidR="00FD222A" w:rsidRPr="00FD222A">
        <w:rPr>
          <w:rFonts w:ascii="Times New Roman" w:hAnsi="Times New Roman" w:cs="Times New Roman"/>
          <w:sz w:val="24"/>
          <w:szCs w:val="24"/>
        </w:rPr>
        <w:lastRenderedPageBreak/>
        <w:t xml:space="preserve">of the Facultad de </w:t>
      </w:r>
      <w:proofErr w:type="spellStart"/>
      <w:r w:rsidR="00FD222A" w:rsidRPr="00FD222A">
        <w:rPr>
          <w:rFonts w:ascii="Times New Roman" w:hAnsi="Times New Roman" w:cs="Times New Roman"/>
          <w:sz w:val="24"/>
          <w:szCs w:val="24"/>
        </w:rPr>
        <w:t>Ciencias</w:t>
      </w:r>
      <w:proofErr w:type="spellEnd"/>
      <w:r w:rsidR="00FD222A" w:rsidRPr="00FD2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22A" w:rsidRPr="00FD222A">
        <w:rPr>
          <w:rFonts w:ascii="Times New Roman" w:hAnsi="Times New Roman" w:cs="Times New Roman"/>
          <w:sz w:val="24"/>
          <w:szCs w:val="24"/>
        </w:rPr>
        <w:t>Veterinarias</w:t>
      </w:r>
      <w:proofErr w:type="spellEnd"/>
      <w:r w:rsidR="00FD222A" w:rsidRPr="00FD222A">
        <w:rPr>
          <w:rFonts w:ascii="Times New Roman" w:hAnsi="Times New Roman" w:cs="Times New Roman"/>
          <w:sz w:val="24"/>
          <w:szCs w:val="24"/>
        </w:rPr>
        <w:t xml:space="preserve">, Universidad Nacional del </w:t>
      </w:r>
      <w:proofErr w:type="spellStart"/>
      <w:r w:rsidR="00FD222A" w:rsidRPr="00FD222A">
        <w:rPr>
          <w:rFonts w:ascii="Times New Roman" w:hAnsi="Times New Roman" w:cs="Times New Roman"/>
          <w:sz w:val="24"/>
          <w:szCs w:val="24"/>
        </w:rPr>
        <w:t>Litoral</w:t>
      </w:r>
      <w:proofErr w:type="spellEnd"/>
      <w:r w:rsidR="00FD222A" w:rsidRPr="00FD222A">
        <w:rPr>
          <w:rFonts w:ascii="Times New Roman" w:hAnsi="Times New Roman" w:cs="Times New Roman"/>
          <w:sz w:val="24"/>
          <w:szCs w:val="24"/>
        </w:rPr>
        <w:t xml:space="preserve">, Argentina with the protocol number: </w:t>
      </w:r>
      <w:proofErr w:type="spellStart"/>
      <w:r w:rsidR="00FD222A" w:rsidRPr="00FD222A">
        <w:rPr>
          <w:rFonts w:ascii="Times New Roman" w:hAnsi="Times New Roman" w:cs="Times New Roman"/>
          <w:sz w:val="24"/>
          <w:szCs w:val="24"/>
        </w:rPr>
        <w:t>Expte</w:t>
      </w:r>
      <w:proofErr w:type="spellEnd"/>
      <w:r w:rsidR="00FD222A" w:rsidRPr="00FD222A">
        <w:rPr>
          <w:rFonts w:ascii="Times New Roman" w:hAnsi="Times New Roman" w:cs="Times New Roman"/>
          <w:sz w:val="24"/>
          <w:szCs w:val="24"/>
        </w:rPr>
        <w:t xml:space="preserve"> 12345/001. </w:t>
      </w:r>
      <w:proofErr w:type="spellStart"/>
      <w:r w:rsidR="00FD222A" w:rsidRPr="00FD222A">
        <w:rPr>
          <w:rFonts w:ascii="Times New Roman" w:hAnsi="Times New Roman" w:cs="Times New Roman"/>
          <w:sz w:val="24"/>
          <w:szCs w:val="24"/>
        </w:rPr>
        <w:t>Protocolo</w:t>
      </w:r>
      <w:proofErr w:type="spellEnd"/>
      <w:r w:rsidR="00FD222A" w:rsidRPr="00FD222A">
        <w:rPr>
          <w:rFonts w:ascii="Times New Roman" w:hAnsi="Times New Roman" w:cs="Times New Roman"/>
          <w:sz w:val="24"/>
          <w:szCs w:val="24"/>
        </w:rPr>
        <w:t xml:space="preserve"> 064/10. </w:t>
      </w:r>
      <w:r w:rsidR="00FD22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3AAFD" w14:textId="77777777" w:rsidR="00C875E3" w:rsidRPr="003854A3" w:rsidRDefault="00C875E3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89">
        <w:rPr>
          <w:rFonts w:ascii="Times New Roman" w:hAnsi="Times New Roman" w:cs="Times New Roman"/>
          <w:sz w:val="24"/>
          <w:szCs w:val="24"/>
        </w:rPr>
        <w:t>The AM agents</w:t>
      </w:r>
      <w:r w:rsidRPr="003854A3">
        <w:rPr>
          <w:rFonts w:ascii="Times New Roman" w:hAnsi="Times New Roman" w:cs="Times New Roman"/>
          <w:sz w:val="24"/>
          <w:szCs w:val="24"/>
        </w:rPr>
        <w:t xml:space="preserve"> used on the farm, both to treat or prevent diseases, were recorded. Cows with clinical mastitis were treated with intramammary amoxicillin-clavulanic acid (</w:t>
      </w:r>
      <w:proofErr w:type="spellStart"/>
      <w:r w:rsidRPr="003854A3">
        <w:rPr>
          <w:rFonts w:ascii="Times New Roman" w:hAnsi="Times New Roman" w:cs="Times New Roman"/>
          <w:sz w:val="24"/>
          <w:szCs w:val="24"/>
        </w:rPr>
        <w:t>Clavamox</w:t>
      </w:r>
      <w:proofErr w:type="spellEnd"/>
      <w:r w:rsidRPr="003854A3">
        <w:rPr>
          <w:rFonts w:ascii="Times New Roman" w:hAnsi="Times New Roman" w:cs="Times New Roman"/>
          <w:sz w:val="24"/>
          <w:szCs w:val="24"/>
        </w:rPr>
        <w:t>®, Zoetis). All cows received blanket dry cow therapy with cloxacillin (</w:t>
      </w:r>
      <w:proofErr w:type="spellStart"/>
      <w:r w:rsidRPr="003854A3">
        <w:rPr>
          <w:rFonts w:ascii="Times New Roman" w:hAnsi="Times New Roman" w:cs="Times New Roman"/>
          <w:sz w:val="24"/>
          <w:szCs w:val="24"/>
        </w:rPr>
        <w:t>Orbenin</w:t>
      </w:r>
      <w:proofErr w:type="spellEnd"/>
      <w:r w:rsidRPr="003854A3">
        <w:rPr>
          <w:rFonts w:ascii="Times New Roman" w:hAnsi="Times New Roman" w:cs="Times New Roman"/>
          <w:sz w:val="24"/>
          <w:szCs w:val="24"/>
        </w:rPr>
        <w:t xml:space="preserve"> Extra®, Zoetis) at the end of lactation. The 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3854A3">
        <w:rPr>
          <w:rFonts w:ascii="Times New Roman" w:hAnsi="Times New Roman" w:cs="Times New Roman"/>
          <w:sz w:val="24"/>
          <w:szCs w:val="24"/>
        </w:rPr>
        <w:t xml:space="preserve"> used to treat calves’ infectious diseases were </w:t>
      </w:r>
      <w:proofErr w:type="spellStart"/>
      <w:r w:rsidRPr="003854A3">
        <w:rPr>
          <w:rFonts w:ascii="Times New Roman" w:hAnsi="Times New Roman" w:cs="Times New Roman"/>
          <w:sz w:val="24"/>
          <w:szCs w:val="24"/>
        </w:rPr>
        <w:t>tilmicosin</w:t>
      </w:r>
      <w:proofErr w:type="spellEnd"/>
      <w:r w:rsidRPr="003854A3">
        <w:rPr>
          <w:rFonts w:ascii="Times New Roman" w:hAnsi="Times New Roman" w:cs="Times New Roman"/>
          <w:sz w:val="24"/>
          <w:szCs w:val="24"/>
        </w:rPr>
        <w:t xml:space="preserve">, danofloxacin, penicillin-streptomycin, trimethoprim sulfamethoxazole (TMS) and gentamicin, administered parenterally at recommended doses. All calves that received 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3854A3">
        <w:rPr>
          <w:rFonts w:ascii="Times New Roman" w:hAnsi="Times New Roman" w:cs="Times New Roman"/>
          <w:sz w:val="24"/>
          <w:szCs w:val="24"/>
        </w:rPr>
        <w:t xml:space="preserve"> treatment were excluded from the study.</w:t>
      </w:r>
    </w:p>
    <w:p w14:paraId="49938BAB" w14:textId="77777777" w:rsidR="00C875E3" w:rsidRPr="003854A3" w:rsidRDefault="00C875E3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A3">
        <w:rPr>
          <w:rFonts w:ascii="Times New Roman" w:hAnsi="Times New Roman" w:cs="Times New Roman"/>
          <w:sz w:val="24"/>
          <w:szCs w:val="24"/>
        </w:rPr>
        <w:t>Variables measured</w:t>
      </w:r>
    </w:p>
    <w:p w14:paraId="3C61FE5B" w14:textId="77777777" w:rsidR="00C875E3" w:rsidRPr="003854A3" w:rsidRDefault="00C875E3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A3">
        <w:rPr>
          <w:rFonts w:ascii="Times New Roman" w:hAnsi="Times New Roman" w:cs="Times New Roman"/>
          <w:sz w:val="24"/>
          <w:szCs w:val="24"/>
        </w:rPr>
        <w:t xml:space="preserve">-Passive </w:t>
      </w:r>
      <w:proofErr w:type="spellStart"/>
      <w:r w:rsidRPr="003854A3">
        <w:rPr>
          <w:rFonts w:ascii="Times New Roman" w:hAnsi="Times New Roman" w:cs="Times New Roman"/>
          <w:sz w:val="24"/>
          <w:szCs w:val="24"/>
        </w:rPr>
        <w:t>inmunity</w:t>
      </w:r>
      <w:proofErr w:type="spellEnd"/>
      <w:r w:rsidRPr="003854A3">
        <w:rPr>
          <w:rFonts w:ascii="Times New Roman" w:hAnsi="Times New Roman" w:cs="Times New Roman"/>
          <w:sz w:val="24"/>
          <w:szCs w:val="24"/>
        </w:rPr>
        <w:t>: before entering the study whole-blood glutaraldehyde coagulation test (Sandholm, 1974) was performed to calves to detect hypogammaglobulinemia on day 2 – 5 of life. Only calves that received an adequate intake of colostrum and acquired passive immunity properly (serum IgG levels &gt;18 g/l) were included in the study (Lombard et al., 2020).</w:t>
      </w:r>
    </w:p>
    <w:p w14:paraId="1667BDBB" w14:textId="77777777" w:rsidR="00C875E3" w:rsidRPr="003854A3" w:rsidRDefault="00C875E3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A3">
        <w:rPr>
          <w:rFonts w:ascii="Times New Roman" w:hAnsi="Times New Roman" w:cs="Times New Roman"/>
          <w:sz w:val="24"/>
          <w:szCs w:val="24"/>
        </w:rPr>
        <w:t xml:space="preserve">-Weight: all calves were weighed weekly during the pre-weaning period (first eight weeks of life, approximately) </w:t>
      </w:r>
      <w:r>
        <w:rPr>
          <w:rFonts w:ascii="Times New Roman" w:hAnsi="Times New Roman" w:cs="Times New Roman"/>
          <w:sz w:val="24"/>
          <w:szCs w:val="24"/>
        </w:rPr>
        <w:t xml:space="preserve">and once at the end of their tenth week of age </w:t>
      </w:r>
      <w:r w:rsidRPr="003854A3">
        <w:rPr>
          <w:rFonts w:ascii="Times New Roman" w:hAnsi="Times New Roman" w:cs="Times New Roman"/>
          <w:sz w:val="24"/>
          <w:szCs w:val="24"/>
        </w:rPr>
        <w:t xml:space="preserve">using a calibrated livestock scale (Hook, AT-100, precision= 0.1 kg). Average daily gain was estimated for each individual calf by dividing weekly weight by seven. </w:t>
      </w:r>
    </w:p>
    <w:p w14:paraId="24E66C27" w14:textId="137842B7" w:rsidR="00C875E3" w:rsidRPr="003854A3" w:rsidRDefault="00C875E3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A3">
        <w:rPr>
          <w:rFonts w:ascii="Times New Roman" w:hAnsi="Times New Roman" w:cs="Times New Roman"/>
          <w:sz w:val="24"/>
          <w:szCs w:val="24"/>
        </w:rPr>
        <w:t xml:space="preserve">-Antimicrobial presence in milk: three times per week during the preweaning period 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3854A3">
        <w:rPr>
          <w:rFonts w:ascii="Times New Roman" w:hAnsi="Times New Roman" w:cs="Times New Roman"/>
          <w:sz w:val="24"/>
          <w:szCs w:val="24"/>
        </w:rPr>
        <w:t xml:space="preserve"> residues presence on the milk feed to calves (PWM and SM) was determined with a commercial microbiological test (</w:t>
      </w:r>
      <w:proofErr w:type="spellStart"/>
      <w:r w:rsidRPr="003854A3">
        <w:rPr>
          <w:rFonts w:ascii="Times New Roman" w:hAnsi="Times New Roman" w:cs="Times New Roman"/>
          <w:sz w:val="24"/>
          <w:szCs w:val="24"/>
        </w:rPr>
        <w:t>ResScreen</w:t>
      </w:r>
      <w:proofErr w:type="spellEnd"/>
      <w:r w:rsidRPr="003854A3">
        <w:rPr>
          <w:rFonts w:ascii="Times New Roman" w:hAnsi="Times New Roman" w:cs="Times New Roman"/>
          <w:sz w:val="24"/>
          <w:szCs w:val="24"/>
        </w:rPr>
        <w:t xml:space="preserve">®, Argentina). Two kinds of </w:t>
      </w:r>
      <w:proofErr w:type="spellStart"/>
      <w:r w:rsidRPr="003854A3">
        <w:rPr>
          <w:rFonts w:ascii="Times New Roman" w:hAnsi="Times New Roman" w:cs="Times New Roman"/>
          <w:sz w:val="24"/>
          <w:szCs w:val="24"/>
        </w:rPr>
        <w:t>ReScreen</w:t>
      </w:r>
      <w:proofErr w:type="spellEnd"/>
      <w:r w:rsidRPr="003854A3">
        <w:rPr>
          <w:rFonts w:ascii="Times New Roman" w:hAnsi="Times New Roman" w:cs="Times New Roman"/>
          <w:sz w:val="24"/>
          <w:szCs w:val="24"/>
        </w:rPr>
        <w:t>® tests were used: BT and BS</w:t>
      </w:r>
      <w:r w:rsidR="00953C34">
        <w:rPr>
          <w:rFonts w:ascii="Times New Roman" w:hAnsi="Times New Roman" w:cs="Times New Roman"/>
          <w:sz w:val="24"/>
          <w:szCs w:val="24"/>
        </w:rPr>
        <w:t xml:space="preserve"> (Nagel et al., 2011)</w:t>
      </w:r>
      <w:r w:rsidRPr="003854A3">
        <w:rPr>
          <w:rFonts w:ascii="Times New Roman" w:hAnsi="Times New Roman" w:cs="Times New Roman"/>
          <w:sz w:val="24"/>
          <w:szCs w:val="24"/>
        </w:rPr>
        <w:t xml:space="preserve">. The </w:t>
      </w:r>
      <w:r w:rsidR="002745B2">
        <w:rPr>
          <w:rFonts w:ascii="Times New Roman" w:hAnsi="Times New Roman" w:cs="Times New Roman"/>
          <w:sz w:val="24"/>
          <w:szCs w:val="24"/>
        </w:rPr>
        <w:t xml:space="preserve">BT test </w:t>
      </w:r>
      <w:r w:rsidRPr="003854A3">
        <w:rPr>
          <w:rFonts w:ascii="Times New Roman" w:hAnsi="Times New Roman" w:cs="Times New Roman"/>
          <w:sz w:val="24"/>
          <w:szCs w:val="24"/>
        </w:rPr>
        <w:t xml:space="preserve">detected beta lactams (amoxicillin, ampicillin, cloxacillin, oxacillin, penicillin G, cefalexin, </w:t>
      </w:r>
      <w:proofErr w:type="spellStart"/>
      <w:r w:rsidRPr="003854A3">
        <w:rPr>
          <w:rFonts w:ascii="Times New Roman" w:hAnsi="Times New Roman" w:cs="Times New Roman"/>
          <w:sz w:val="24"/>
          <w:szCs w:val="24"/>
        </w:rPr>
        <w:t>cefoperazone</w:t>
      </w:r>
      <w:proofErr w:type="spellEnd"/>
      <w:r w:rsidRPr="003854A3">
        <w:rPr>
          <w:rFonts w:ascii="Times New Roman" w:hAnsi="Times New Roman" w:cs="Times New Roman"/>
          <w:sz w:val="24"/>
          <w:szCs w:val="24"/>
        </w:rPr>
        <w:t xml:space="preserve">, </w:t>
      </w:r>
      <w:r w:rsidRPr="003854A3">
        <w:rPr>
          <w:rFonts w:ascii="Times New Roman" w:hAnsi="Times New Roman" w:cs="Times New Roman"/>
          <w:sz w:val="24"/>
          <w:szCs w:val="24"/>
        </w:rPr>
        <w:lastRenderedPageBreak/>
        <w:t xml:space="preserve">cefadroxil, cefuroxime, and ceftiofur) and tetracyclines (chlortetracycline, oxytetracycline, and tetracycline). The </w:t>
      </w:r>
      <w:r w:rsidR="002745B2">
        <w:rPr>
          <w:rFonts w:ascii="Times New Roman" w:hAnsi="Times New Roman" w:cs="Times New Roman"/>
          <w:sz w:val="24"/>
          <w:szCs w:val="24"/>
        </w:rPr>
        <w:t xml:space="preserve">BS </w:t>
      </w:r>
      <w:r w:rsidRPr="003854A3">
        <w:rPr>
          <w:rFonts w:ascii="Times New Roman" w:hAnsi="Times New Roman" w:cs="Times New Roman"/>
          <w:sz w:val="24"/>
          <w:szCs w:val="24"/>
        </w:rPr>
        <w:t xml:space="preserve">test detected the same beta lactams and sulfonamides (sulfadiazine, </w:t>
      </w:r>
      <w:proofErr w:type="spellStart"/>
      <w:r w:rsidRPr="003854A3">
        <w:rPr>
          <w:rFonts w:ascii="Times New Roman" w:hAnsi="Times New Roman" w:cs="Times New Roman"/>
          <w:sz w:val="24"/>
          <w:szCs w:val="24"/>
        </w:rPr>
        <w:t>sulfadimetoxin</w:t>
      </w:r>
      <w:proofErr w:type="spellEnd"/>
      <w:r w:rsidRPr="00385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4A3">
        <w:rPr>
          <w:rFonts w:ascii="Times New Roman" w:hAnsi="Times New Roman" w:cs="Times New Roman"/>
          <w:sz w:val="24"/>
          <w:szCs w:val="24"/>
        </w:rPr>
        <w:t>sulfamerazine</w:t>
      </w:r>
      <w:proofErr w:type="spellEnd"/>
      <w:r w:rsidRPr="00385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4A3">
        <w:rPr>
          <w:rFonts w:ascii="Times New Roman" w:hAnsi="Times New Roman" w:cs="Times New Roman"/>
          <w:sz w:val="24"/>
          <w:szCs w:val="24"/>
        </w:rPr>
        <w:t>sulfametazine</w:t>
      </w:r>
      <w:proofErr w:type="spellEnd"/>
      <w:r w:rsidRPr="003854A3">
        <w:rPr>
          <w:rFonts w:ascii="Times New Roman" w:hAnsi="Times New Roman" w:cs="Times New Roman"/>
          <w:sz w:val="24"/>
          <w:szCs w:val="24"/>
        </w:rPr>
        <w:t xml:space="preserve">, sulfamethoxazole, and sulfathiazole). These tests provide a qualitative detection of the 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3854A3">
        <w:rPr>
          <w:rFonts w:ascii="Times New Roman" w:hAnsi="Times New Roman" w:cs="Times New Roman"/>
          <w:sz w:val="24"/>
          <w:szCs w:val="24"/>
        </w:rPr>
        <w:t xml:space="preserve"> in milk at levels </w:t>
      </w:r>
      <w:r w:rsidR="00953C34">
        <w:rPr>
          <w:rFonts w:ascii="Times New Roman" w:hAnsi="Times New Roman" w:cs="Times New Roman"/>
          <w:sz w:val="24"/>
          <w:szCs w:val="24"/>
        </w:rPr>
        <w:t>below</w:t>
      </w:r>
      <w:r w:rsidRPr="003854A3">
        <w:rPr>
          <w:rFonts w:ascii="Times New Roman" w:hAnsi="Times New Roman" w:cs="Times New Roman"/>
          <w:sz w:val="24"/>
          <w:szCs w:val="24"/>
        </w:rPr>
        <w:t xml:space="preserve"> their maximum residue limits (MRLs) according to Codex Alimentarius (Argentina). </w:t>
      </w:r>
    </w:p>
    <w:p w14:paraId="36CFD701" w14:textId="77777777" w:rsidR="00C875E3" w:rsidRPr="003854A3" w:rsidRDefault="00C875E3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A3">
        <w:rPr>
          <w:rFonts w:ascii="Times New Roman" w:hAnsi="Times New Roman" w:cs="Times New Roman"/>
          <w:sz w:val="24"/>
          <w:szCs w:val="24"/>
        </w:rPr>
        <w:t>-Clinical examination: calves were examined daily for clinical signs of illness (general condition, diarrhea, posture, attitude, respiratory symptoms, fever, and dehydration). Diarrhea was defined as augmentation of frequency of deposition, with a decreased consistency of feces (</w:t>
      </w:r>
      <w:proofErr w:type="spellStart"/>
      <w:r w:rsidRPr="003854A3">
        <w:rPr>
          <w:rFonts w:ascii="Times New Roman" w:hAnsi="Times New Roman" w:cs="Times New Roman"/>
          <w:sz w:val="24"/>
          <w:szCs w:val="24"/>
        </w:rPr>
        <w:t>Windeyer</w:t>
      </w:r>
      <w:proofErr w:type="spellEnd"/>
      <w:r w:rsidRPr="003854A3">
        <w:rPr>
          <w:rFonts w:ascii="Times New Roman" w:hAnsi="Times New Roman" w:cs="Times New Roman"/>
          <w:sz w:val="24"/>
          <w:szCs w:val="24"/>
        </w:rPr>
        <w:t xml:space="preserve"> et al., 2014). Calves that presented clinical signs of illness were excluded from the study and treated. </w:t>
      </w:r>
    </w:p>
    <w:p w14:paraId="5E781C1A" w14:textId="6F46AB49" w:rsidR="00C875E3" w:rsidRPr="003854A3" w:rsidRDefault="00C875E3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A3">
        <w:rPr>
          <w:rFonts w:ascii="Times New Roman" w:hAnsi="Times New Roman" w:cs="Times New Roman"/>
          <w:sz w:val="24"/>
          <w:szCs w:val="24"/>
        </w:rPr>
        <w:t xml:space="preserve">-Isolation and identification of </w:t>
      </w:r>
      <w:r w:rsidRPr="003854A3">
        <w:rPr>
          <w:rFonts w:ascii="Times New Roman" w:hAnsi="Times New Roman" w:cs="Times New Roman"/>
          <w:i/>
          <w:iCs/>
          <w:sz w:val="24"/>
          <w:szCs w:val="24"/>
        </w:rPr>
        <w:t>E. coli</w:t>
      </w:r>
      <w:r w:rsidRPr="003854A3">
        <w:rPr>
          <w:rFonts w:ascii="Times New Roman" w:hAnsi="Times New Roman" w:cs="Times New Roman"/>
          <w:sz w:val="24"/>
          <w:szCs w:val="24"/>
        </w:rPr>
        <w:t xml:space="preserve">: an individual fecal sample was taken every </w:t>
      </w:r>
      <w:r>
        <w:rPr>
          <w:rFonts w:ascii="Times New Roman" w:hAnsi="Times New Roman" w:cs="Times New Roman"/>
          <w:sz w:val="24"/>
          <w:szCs w:val="24"/>
        </w:rPr>
        <w:t>15 days</w:t>
      </w:r>
      <w:r w:rsidRPr="003854A3">
        <w:rPr>
          <w:rFonts w:ascii="Times New Roman" w:hAnsi="Times New Roman" w:cs="Times New Roman"/>
          <w:sz w:val="24"/>
          <w:szCs w:val="24"/>
        </w:rPr>
        <w:t xml:space="preserve">, four times from each calf during pre-weaning period (first </w:t>
      </w:r>
      <w:r>
        <w:rPr>
          <w:rFonts w:ascii="Times New Roman" w:hAnsi="Times New Roman" w:cs="Times New Roman"/>
          <w:sz w:val="24"/>
          <w:szCs w:val="24"/>
        </w:rPr>
        <w:t>60 days</w:t>
      </w:r>
      <w:r w:rsidRPr="003854A3">
        <w:rPr>
          <w:rFonts w:ascii="Times New Roman" w:hAnsi="Times New Roman" w:cs="Times New Roman"/>
          <w:sz w:val="24"/>
          <w:szCs w:val="24"/>
        </w:rPr>
        <w:t xml:space="preserve"> of life). After weaning, an individual fecal sample was taken every </w:t>
      </w:r>
      <w:r>
        <w:rPr>
          <w:rFonts w:ascii="Times New Roman" w:hAnsi="Times New Roman" w:cs="Times New Roman"/>
          <w:sz w:val="24"/>
          <w:szCs w:val="24"/>
        </w:rPr>
        <w:t>15 days</w:t>
      </w:r>
      <w:r w:rsidRPr="003854A3">
        <w:rPr>
          <w:rFonts w:ascii="Times New Roman" w:hAnsi="Times New Roman" w:cs="Times New Roman"/>
          <w:sz w:val="24"/>
          <w:szCs w:val="24"/>
        </w:rPr>
        <w:t xml:space="preserve">, two times, giving a total of six fecal samples per </w:t>
      </w:r>
      <w:proofErr w:type="spellStart"/>
      <w:r w:rsidRPr="003854A3">
        <w:rPr>
          <w:rFonts w:ascii="Times New Roman" w:hAnsi="Times New Roman" w:cs="Times New Roman"/>
          <w:sz w:val="24"/>
          <w:szCs w:val="24"/>
        </w:rPr>
        <w:t>calf</w:t>
      </w:r>
      <w:proofErr w:type="spellEnd"/>
      <w:r w:rsidRPr="003854A3">
        <w:rPr>
          <w:rFonts w:ascii="Times New Roman" w:hAnsi="Times New Roman" w:cs="Times New Roman"/>
          <w:sz w:val="24"/>
          <w:szCs w:val="24"/>
        </w:rPr>
        <w:t xml:space="preserve"> (15/30/45/60/75/90 days of age). Samples were taken directly from the rectum and placed into sterile plastic bags. All samples were immediately refrigerated, transported to the laboratory, and cultured within 6 h. Samples were cultured in selective media (M</w:t>
      </w:r>
      <w:r w:rsidR="00B71B49">
        <w:rPr>
          <w:rFonts w:ascii="Times New Roman" w:hAnsi="Times New Roman" w:cs="Times New Roman"/>
          <w:sz w:val="24"/>
          <w:szCs w:val="24"/>
        </w:rPr>
        <w:t>a</w:t>
      </w:r>
      <w:r w:rsidRPr="003854A3">
        <w:rPr>
          <w:rFonts w:ascii="Times New Roman" w:hAnsi="Times New Roman" w:cs="Times New Roman"/>
          <w:sz w:val="24"/>
          <w:szCs w:val="24"/>
        </w:rPr>
        <w:t xml:space="preserve">cConkey Agar, Britania®, Argentina) at 37°C for 24 h. </w:t>
      </w:r>
      <w:r w:rsidRPr="003854A3">
        <w:rPr>
          <w:rFonts w:ascii="Times New Roman" w:hAnsi="Times New Roman" w:cs="Times New Roman"/>
          <w:i/>
          <w:iCs/>
          <w:sz w:val="24"/>
          <w:szCs w:val="24"/>
        </w:rPr>
        <w:t>E. coli</w:t>
      </w:r>
      <w:r w:rsidRPr="003854A3">
        <w:rPr>
          <w:rFonts w:ascii="Times New Roman" w:hAnsi="Times New Roman" w:cs="Times New Roman"/>
          <w:sz w:val="24"/>
          <w:szCs w:val="24"/>
        </w:rPr>
        <w:t xml:space="preserve"> presumptive colonies were </w:t>
      </w:r>
      <w:r w:rsidR="00B71B49">
        <w:rPr>
          <w:rFonts w:ascii="Times New Roman" w:hAnsi="Times New Roman" w:cs="Times New Roman"/>
          <w:sz w:val="24"/>
          <w:szCs w:val="24"/>
        </w:rPr>
        <w:t>identified</w:t>
      </w:r>
      <w:r w:rsidRPr="003854A3">
        <w:rPr>
          <w:rFonts w:ascii="Times New Roman" w:hAnsi="Times New Roman" w:cs="Times New Roman"/>
          <w:sz w:val="24"/>
          <w:szCs w:val="24"/>
        </w:rPr>
        <w:t xml:space="preserve"> by biochemical tests according to standardized procedures (</w:t>
      </w:r>
      <w:proofErr w:type="spellStart"/>
      <w:r w:rsidRPr="003854A3">
        <w:rPr>
          <w:rFonts w:ascii="Times New Roman" w:hAnsi="Times New Roman" w:cs="Times New Roman"/>
          <w:sz w:val="24"/>
          <w:szCs w:val="24"/>
        </w:rPr>
        <w:t>Koneman</w:t>
      </w:r>
      <w:proofErr w:type="spellEnd"/>
      <w:r w:rsidRPr="003854A3"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sz w:val="24"/>
          <w:szCs w:val="24"/>
        </w:rPr>
        <w:t xml:space="preserve">al., 1999) </w:t>
      </w:r>
      <w:r w:rsidRPr="002535AD">
        <w:rPr>
          <w:rFonts w:ascii="Times New Roman" w:hAnsi="Times New Roman" w:cs="Times New Roman"/>
          <w:sz w:val="24"/>
          <w:szCs w:val="24"/>
        </w:rPr>
        <w:t>and preserved in</w:t>
      </w:r>
      <w:r>
        <w:rPr>
          <w:rFonts w:ascii="Times New Roman" w:hAnsi="Times New Roman" w:cs="Times New Roman"/>
          <w:sz w:val="24"/>
          <w:szCs w:val="24"/>
        </w:rPr>
        <w:t xml:space="preserve"> cryoprotective medium at -80°C.</w:t>
      </w:r>
    </w:p>
    <w:p w14:paraId="40DAEA03" w14:textId="62F1EBBF" w:rsidR="00C875E3" w:rsidRPr="003854A3" w:rsidRDefault="00C875E3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A3">
        <w:rPr>
          <w:rFonts w:ascii="Times New Roman" w:hAnsi="Times New Roman" w:cs="Times New Roman"/>
          <w:sz w:val="24"/>
          <w:szCs w:val="24"/>
        </w:rPr>
        <w:t>-Antimicrobial susceptibility tests: Antimicrobial susceptibility was evaluated by disc diffusion test (DDT) and agar dilution test (minimal inhibitory concentration -MIC-) in accordance with the Clinical and Laboratory</w:t>
      </w:r>
      <w:r w:rsidR="004113D0">
        <w:rPr>
          <w:rFonts w:ascii="Times New Roman" w:hAnsi="Times New Roman" w:cs="Times New Roman"/>
          <w:sz w:val="24"/>
          <w:szCs w:val="24"/>
        </w:rPr>
        <w:t xml:space="preserve"> Standards Institute (CLSI, 2013</w:t>
      </w:r>
      <w:r w:rsidRPr="003854A3">
        <w:rPr>
          <w:rFonts w:ascii="Times New Roman" w:hAnsi="Times New Roman" w:cs="Times New Roman"/>
          <w:sz w:val="24"/>
          <w:szCs w:val="24"/>
        </w:rPr>
        <w:t>).</w:t>
      </w:r>
    </w:p>
    <w:p w14:paraId="29504364" w14:textId="5833032B" w:rsidR="00C875E3" w:rsidRPr="003854A3" w:rsidRDefault="00C875E3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A3">
        <w:rPr>
          <w:rFonts w:ascii="Times New Roman" w:hAnsi="Times New Roman" w:cs="Times New Roman"/>
          <w:sz w:val="24"/>
          <w:szCs w:val="24"/>
        </w:rPr>
        <w:lastRenderedPageBreak/>
        <w:t xml:space="preserve">Disc diffusion test: briefly, </w:t>
      </w:r>
      <w:r>
        <w:rPr>
          <w:rFonts w:ascii="Times New Roman" w:hAnsi="Times New Roman" w:cs="Times New Roman"/>
          <w:sz w:val="24"/>
          <w:szCs w:val="24"/>
        </w:rPr>
        <w:t>the isolates kept at -80° C were reactivated on M</w:t>
      </w:r>
      <w:r w:rsidR="00B71B4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cConkey agar, </w:t>
      </w:r>
      <w:r w:rsidRPr="003854A3">
        <w:rPr>
          <w:rFonts w:ascii="Times New Roman" w:hAnsi="Times New Roman" w:cs="Times New Roman"/>
          <w:sz w:val="24"/>
          <w:szCs w:val="24"/>
        </w:rPr>
        <w:t>four to five colonies were suspended in tryptic soy broth (Laboratorio Britania®, Buenos Aires, Argentina) and adjusted to a turbidity equivalent to a 0.5 McFarland standard. A swab with the inoculum was streaked over a Mueller-Hinton agar plate (Laboratorio Britania®, Buenos Aires, Argentina). The following disks were used: amoxicillin/clavulanic acid (AMC) 20/10 µg; ampicillin</w:t>
      </w:r>
      <w:r>
        <w:rPr>
          <w:rFonts w:ascii="Times New Roman" w:hAnsi="Times New Roman" w:cs="Times New Roman"/>
          <w:sz w:val="24"/>
          <w:szCs w:val="24"/>
        </w:rPr>
        <w:t xml:space="preserve"> (AMP)</w:t>
      </w:r>
      <w:r w:rsidRPr="003854A3">
        <w:rPr>
          <w:rFonts w:ascii="Times New Roman" w:hAnsi="Times New Roman" w:cs="Times New Roman"/>
          <w:sz w:val="24"/>
          <w:szCs w:val="24"/>
        </w:rPr>
        <w:t xml:space="preserve"> 10 µg; tetracycline (TET) 30 µg; trimethoprim sulfamethoxazole (TMS) 25 µg</w:t>
      </w:r>
      <w:r>
        <w:rPr>
          <w:rFonts w:ascii="Times New Roman" w:hAnsi="Times New Roman" w:cs="Times New Roman"/>
          <w:sz w:val="24"/>
          <w:szCs w:val="24"/>
        </w:rPr>
        <w:t>; gentami</w:t>
      </w:r>
      <w:r w:rsidRPr="003854A3">
        <w:rPr>
          <w:rFonts w:ascii="Times New Roman" w:hAnsi="Times New Roman" w:cs="Times New Roman"/>
          <w:sz w:val="24"/>
          <w:szCs w:val="24"/>
        </w:rPr>
        <w:t xml:space="preserve">cin (GEN) 10 µg (Britania®); enrofloxacin 5 µg (ENRO) (Neo- </w:t>
      </w:r>
      <w:proofErr w:type="spellStart"/>
      <w:r w:rsidRPr="003854A3">
        <w:rPr>
          <w:rFonts w:ascii="Times New Roman" w:hAnsi="Times New Roman" w:cs="Times New Roman"/>
          <w:sz w:val="24"/>
          <w:szCs w:val="24"/>
        </w:rPr>
        <w:t>Sensitabs</w:t>
      </w:r>
      <w:proofErr w:type="spellEnd"/>
      <w:r w:rsidRPr="003854A3">
        <w:rPr>
          <w:rFonts w:ascii="Times New Roman" w:hAnsi="Times New Roman" w:cs="Times New Roman"/>
          <w:sz w:val="24"/>
          <w:szCs w:val="24"/>
        </w:rPr>
        <w:t xml:space="preserve"> ®, Rosco, Denmark). </w:t>
      </w:r>
      <w:r w:rsidRPr="003854A3">
        <w:rPr>
          <w:rFonts w:ascii="Times New Roman" w:hAnsi="Times New Roman" w:cs="Times New Roman"/>
          <w:i/>
          <w:iCs/>
          <w:sz w:val="24"/>
          <w:szCs w:val="24"/>
        </w:rPr>
        <w:t>E. coli</w:t>
      </w:r>
      <w:r w:rsidRPr="003854A3">
        <w:rPr>
          <w:rFonts w:ascii="Times New Roman" w:hAnsi="Times New Roman" w:cs="Times New Roman"/>
          <w:sz w:val="24"/>
          <w:szCs w:val="24"/>
        </w:rPr>
        <w:t xml:space="preserve"> ATCC 35218 was used as control strain. Isolates were categorized as susceptible, intermediate and resistant based on CLSI i</w:t>
      </w:r>
      <w:r w:rsidR="004113D0">
        <w:rPr>
          <w:rFonts w:ascii="Times New Roman" w:hAnsi="Times New Roman" w:cs="Times New Roman"/>
          <w:sz w:val="24"/>
          <w:szCs w:val="24"/>
        </w:rPr>
        <w:t>nterpretive criteria (CLSI, 2013</w:t>
      </w:r>
      <w:r w:rsidRPr="003854A3">
        <w:rPr>
          <w:rFonts w:ascii="Times New Roman" w:hAnsi="Times New Roman" w:cs="Times New Roman"/>
          <w:sz w:val="24"/>
          <w:szCs w:val="24"/>
        </w:rPr>
        <w:t xml:space="preserve">). For ENRO, interpretive criteria developed by the laboratory producer of the discs were used (Rosco, Denmark). </w:t>
      </w:r>
    </w:p>
    <w:p w14:paraId="0736260E" w14:textId="1B698537" w:rsidR="00C875E3" w:rsidRPr="003854A3" w:rsidRDefault="004113D0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Agar dilution test (CLSI, 2013</w:t>
      </w:r>
      <w:r w:rsidR="00C875E3" w:rsidRPr="003854A3">
        <w:rPr>
          <w:rFonts w:ascii="Times New Roman" w:hAnsi="Times New Roman" w:cs="Times New Roman"/>
          <w:sz w:val="24"/>
          <w:szCs w:val="24"/>
        </w:rPr>
        <w:t>): briefly, isolates were suspended in tryptic soy broth and adjusted to a turbidity equivalent to a 0.5 McFarland standard. This inoculum was then diluted in tryptic-soy broth 1:10 to obtain an inoculum of 10</w:t>
      </w:r>
      <w:r w:rsidR="00C875E3" w:rsidRPr="0082584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C875E3" w:rsidRPr="003854A3">
        <w:rPr>
          <w:rFonts w:ascii="Times New Roman" w:hAnsi="Times New Roman" w:cs="Times New Roman"/>
          <w:sz w:val="24"/>
          <w:szCs w:val="24"/>
        </w:rPr>
        <w:t xml:space="preserve"> UFC/ml that was inoculated in Mueller-Hinton agar plates containing serial 2-fold dilutions from 126.56 to 0.025 µg (or units)/ml for each </w:t>
      </w:r>
      <w:r w:rsidR="00C875E3">
        <w:rPr>
          <w:rFonts w:ascii="Times New Roman" w:hAnsi="Times New Roman" w:cs="Times New Roman"/>
          <w:sz w:val="24"/>
          <w:szCs w:val="24"/>
        </w:rPr>
        <w:t>AM</w:t>
      </w:r>
      <w:r w:rsidR="00C875E3" w:rsidRPr="003854A3">
        <w:rPr>
          <w:rFonts w:ascii="Times New Roman" w:hAnsi="Times New Roman" w:cs="Times New Roman"/>
          <w:sz w:val="24"/>
          <w:szCs w:val="24"/>
        </w:rPr>
        <w:t xml:space="preserve">, using a multipoint inoculum replicator that delivered 1 µl. Plates were incubated at 37°C for 20 h. </w:t>
      </w:r>
      <w:r w:rsidR="00C875E3" w:rsidRPr="003854A3">
        <w:rPr>
          <w:rFonts w:ascii="Times New Roman" w:hAnsi="Times New Roman" w:cs="Times New Roman"/>
          <w:i/>
          <w:iCs/>
          <w:sz w:val="24"/>
          <w:szCs w:val="24"/>
        </w:rPr>
        <w:t>E. coli</w:t>
      </w:r>
      <w:r w:rsidR="00C875E3" w:rsidRPr="003854A3">
        <w:rPr>
          <w:rFonts w:ascii="Times New Roman" w:hAnsi="Times New Roman" w:cs="Times New Roman"/>
          <w:sz w:val="24"/>
          <w:szCs w:val="24"/>
        </w:rPr>
        <w:t xml:space="preserve"> ATCC 35218 was used as control strain. Mueller-Hinton plates without AM drugs were incubated each time as controls. The MIC was defined as the lowest concentration at which no bacterial growth</w:t>
      </w:r>
      <w:r w:rsidR="00B71B49">
        <w:rPr>
          <w:rFonts w:ascii="Times New Roman" w:hAnsi="Times New Roman" w:cs="Times New Roman"/>
          <w:sz w:val="24"/>
          <w:szCs w:val="24"/>
        </w:rPr>
        <w:t xml:space="preserve"> was detected</w:t>
      </w:r>
      <w:r w:rsidR="00C875E3" w:rsidRPr="003854A3">
        <w:rPr>
          <w:rFonts w:ascii="Times New Roman" w:hAnsi="Times New Roman" w:cs="Times New Roman"/>
          <w:sz w:val="24"/>
          <w:szCs w:val="24"/>
        </w:rPr>
        <w:t xml:space="preserve">. The </w:t>
      </w:r>
      <w:r w:rsidR="00C875E3">
        <w:rPr>
          <w:rFonts w:ascii="Times New Roman" w:hAnsi="Times New Roman" w:cs="Times New Roman"/>
          <w:sz w:val="24"/>
          <w:szCs w:val="24"/>
        </w:rPr>
        <w:t>AM</w:t>
      </w:r>
      <w:r w:rsidR="00C875E3" w:rsidRPr="003854A3">
        <w:rPr>
          <w:rFonts w:ascii="Times New Roman" w:hAnsi="Times New Roman" w:cs="Times New Roman"/>
          <w:sz w:val="24"/>
          <w:szCs w:val="24"/>
        </w:rPr>
        <w:t xml:space="preserve"> agents tested were </w:t>
      </w:r>
      <w:r w:rsidR="00C875E3">
        <w:rPr>
          <w:rFonts w:ascii="Times New Roman" w:hAnsi="Times New Roman" w:cs="Times New Roman"/>
          <w:sz w:val="24"/>
          <w:szCs w:val="24"/>
        </w:rPr>
        <w:t>AMP</w:t>
      </w:r>
      <w:r w:rsidR="00C875E3" w:rsidRPr="003854A3">
        <w:rPr>
          <w:rFonts w:ascii="Times New Roman" w:hAnsi="Times New Roman" w:cs="Times New Roman"/>
          <w:sz w:val="24"/>
          <w:szCs w:val="24"/>
        </w:rPr>
        <w:t>, TET, TMS, GEN, and ENRO (Sigma-Aldrich, Germany). Isolates were categorized as susceptible, intermediate, and r</w:t>
      </w:r>
      <w:r>
        <w:rPr>
          <w:rFonts w:ascii="Times New Roman" w:hAnsi="Times New Roman" w:cs="Times New Roman"/>
          <w:sz w:val="24"/>
          <w:szCs w:val="24"/>
        </w:rPr>
        <w:t>esistant based on the CLSI (2013</w:t>
      </w:r>
      <w:r w:rsidR="00C875E3" w:rsidRPr="003854A3">
        <w:rPr>
          <w:rFonts w:ascii="Times New Roman" w:hAnsi="Times New Roman" w:cs="Times New Roman"/>
          <w:sz w:val="24"/>
          <w:szCs w:val="24"/>
        </w:rPr>
        <w:t xml:space="preserve">) criteria. </w:t>
      </w:r>
    </w:p>
    <w:p w14:paraId="435E8894" w14:textId="77777777" w:rsidR="00C875E3" w:rsidRPr="003854A3" w:rsidRDefault="00C875E3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A3">
        <w:rPr>
          <w:rFonts w:ascii="Times New Roman" w:hAnsi="Times New Roman" w:cs="Times New Roman"/>
          <w:sz w:val="24"/>
          <w:szCs w:val="24"/>
        </w:rPr>
        <w:t>Statistical analysis</w:t>
      </w:r>
    </w:p>
    <w:p w14:paraId="1CAA7706" w14:textId="44D50B22" w:rsidR="00C875E3" w:rsidRDefault="00C875E3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A3">
        <w:rPr>
          <w:rFonts w:ascii="Times New Roman" w:hAnsi="Times New Roman" w:cs="Times New Roman"/>
          <w:sz w:val="24"/>
          <w:szCs w:val="24"/>
        </w:rPr>
        <w:lastRenderedPageBreak/>
        <w:t>First, a descriptive analysis of data was performed. Differences in mortality rates between treatment groups were evaluated by means of chi-squared test</w:t>
      </w:r>
      <w:r>
        <w:rPr>
          <w:rFonts w:ascii="Times New Roman" w:hAnsi="Times New Roman" w:cs="Times New Roman"/>
          <w:sz w:val="24"/>
          <w:szCs w:val="24"/>
        </w:rPr>
        <w:t xml:space="preserve"> to ensure </w:t>
      </w:r>
      <w:r w:rsidR="00B71B49">
        <w:rPr>
          <w:rFonts w:ascii="Times New Roman" w:hAnsi="Times New Roman" w:cs="Times New Roman"/>
          <w:sz w:val="24"/>
          <w:szCs w:val="24"/>
        </w:rPr>
        <w:t xml:space="preserve">that there were </w:t>
      </w:r>
      <w:r>
        <w:rPr>
          <w:rFonts w:ascii="Times New Roman" w:hAnsi="Times New Roman" w:cs="Times New Roman"/>
          <w:sz w:val="24"/>
          <w:szCs w:val="24"/>
        </w:rPr>
        <w:t>no differences between treatment groups in th</w:t>
      </w:r>
      <w:r w:rsidR="00B71B49">
        <w:rPr>
          <w:rFonts w:ascii="Times New Roman" w:hAnsi="Times New Roman" w:cs="Times New Roman"/>
          <w:sz w:val="24"/>
          <w:szCs w:val="24"/>
        </w:rPr>
        <w:t>is regard</w:t>
      </w:r>
      <w:r w:rsidRPr="003854A3">
        <w:rPr>
          <w:rFonts w:ascii="Times New Roman" w:hAnsi="Times New Roman" w:cs="Times New Roman"/>
          <w:sz w:val="24"/>
          <w:szCs w:val="24"/>
        </w:rPr>
        <w:t>.</w:t>
      </w:r>
    </w:p>
    <w:p w14:paraId="52A4F22D" w14:textId="77777777" w:rsidR="00C875E3" w:rsidRPr="003854A3" w:rsidRDefault="00C875E3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854A3">
        <w:rPr>
          <w:rFonts w:ascii="Times New Roman" w:hAnsi="Times New Roman" w:cs="Times New Roman"/>
          <w:sz w:val="24"/>
          <w:szCs w:val="24"/>
        </w:rPr>
        <w:t xml:space="preserve">o evaluate weight differences between treatment groups, a </w:t>
      </w:r>
      <w:r w:rsidRPr="00825841">
        <w:rPr>
          <w:rFonts w:ascii="Times New Roman" w:hAnsi="Times New Roman" w:cs="Times New Roman"/>
          <w:sz w:val="24"/>
          <w:szCs w:val="24"/>
        </w:rPr>
        <w:t>Generalized Estimating Equation</w:t>
      </w:r>
      <w:r w:rsidRPr="003854A3">
        <w:rPr>
          <w:rFonts w:ascii="Times New Roman" w:hAnsi="Times New Roman" w:cs="Times New Roman"/>
          <w:sz w:val="24"/>
          <w:szCs w:val="24"/>
        </w:rPr>
        <w:t xml:space="preserve"> with treatment group (PWM/SM) as fixed factor, sex as a covariable, and weight as dependent variable was performed (using gamma distribution and log link function). </w:t>
      </w:r>
      <w:r>
        <w:rPr>
          <w:rFonts w:ascii="Times New Roman" w:hAnsi="Times New Roman" w:cs="Times New Roman"/>
          <w:sz w:val="24"/>
          <w:szCs w:val="24"/>
        </w:rPr>
        <w:t>A gamma distribution was used because weight was not normally distributed.</w:t>
      </w:r>
    </w:p>
    <w:p w14:paraId="1CEB8FC0" w14:textId="77777777" w:rsidR="00C875E3" w:rsidRPr="003854A3" w:rsidRDefault="00C875E3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25841">
        <w:rPr>
          <w:rFonts w:ascii="Times New Roman" w:hAnsi="Times New Roman" w:cs="Times New Roman"/>
          <w:sz w:val="24"/>
          <w:szCs w:val="24"/>
        </w:rPr>
        <w:t>Generalized Estimating Equation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4A3">
        <w:rPr>
          <w:rFonts w:ascii="Times New Roman" w:hAnsi="Times New Roman" w:cs="Times New Roman"/>
          <w:sz w:val="24"/>
          <w:szCs w:val="24"/>
        </w:rPr>
        <w:t xml:space="preserve">with treatment group (PWM/SM) as fixed factor and AMR </w:t>
      </w:r>
      <w:r>
        <w:rPr>
          <w:rFonts w:ascii="Times New Roman" w:hAnsi="Times New Roman" w:cs="Times New Roman"/>
          <w:sz w:val="24"/>
          <w:szCs w:val="24"/>
        </w:rPr>
        <w:t xml:space="preserve">(resistant/susceptible) </w:t>
      </w:r>
      <w:r w:rsidRPr="003854A3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54A3">
        <w:rPr>
          <w:rFonts w:ascii="Times New Roman" w:hAnsi="Times New Roman" w:cs="Times New Roman"/>
          <w:sz w:val="24"/>
          <w:szCs w:val="24"/>
        </w:rPr>
        <w:t xml:space="preserve"> specific drug as dependent variable w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3854A3">
        <w:rPr>
          <w:rFonts w:ascii="Times New Roman" w:hAnsi="Times New Roman" w:cs="Times New Roman"/>
          <w:sz w:val="24"/>
          <w:szCs w:val="24"/>
        </w:rPr>
        <w:t xml:space="preserve"> performed </w:t>
      </w:r>
      <w:r>
        <w:rPr>
          <w:rFonts w:ascii="Times New Roman" w:hAnsi="Times New Roman" w:cs="Times New Roman"/>
          <w:sz w:val="24"/>
          <w:szCs w:val="24"/>
        </w:rPr>
        <w:t xml:space="preserve">for each antibiotic analyzed in the study </w:t>
      </w:r>
      <w:r w:rsidRPr="003854A3">
        <w:rPr>
          <w:rFonts w:ascii="Times New Roman" w:hAnsi="Times New Roman" w:cs="Times New Roman"/>
          <w:sz w:val="24"/>
          <w:szCs w:val="24"/>
        </w:rPr>
        <w:t xml:space="preserve">(using binomial distribution and probit link function). </w:t>
      </w:r>
      <w:r>
        <w:rPr>
          <w:rFonts w:ascii="Times New Roman" w:hAnsi="Times New Roman" w:cs="Times New Roman"/>
          <w:sz w:val="24"/>
          <w:szCs w:val="24"/>
        </w:rPr>
        <w:t xml:space="preserve">If, as a result of DDT or MIC, an isolate was categorized as intermediate, it was considered as resistant for analyses purposes. </w:t>
      </w:r>
      <w:r w:rsidRPr="003854A3">
        <w:rPr>
          <w:rFonts w:ascii="Times New Roman" w:hAnsi="Times New Roman" w:cs="Times New Roman"/>
          <w:sz w:val="24"/>
          <w:szCs w:val="24"/>
        </w:rPr>
        <w:t xml:space="preserve">In addition,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854A3">
        <w:rPr>
          <w:rFonts w:ascii="Times New Roman" w:hAnsi="Times New Roman" w:cs="Times New Roman"/>
          <w:sz w:val="24"/>
          <w:szCs w:val="24"/>
        </w:rPr>
        <w:t>generalized linear model (GLM) per</w:t>
      </w:r>
      <w:r>
        <w:rPr>
          <w:rFonts w:ascii="Times New Roman" w:hAnsi="Times New Roman" w:cs="Times New Roman"/>
          <w:sz w:val="24"/>
          <w:szCs w:val="24"/>
        </w:rPr>
        <w:t xml:space="preserve"> moment</w:t>
      </w:r>
      <w:r w:rsidRPr="003854A3">
        <w:rPr>
          <w:rFonts w:ascii="Times New Roman" w:hAnsi="Times New Roman" w:cs="Times New Roman"/>
          <w:sz w:val="24"/>
          <w:szCs w:val="24"/>
        </w:rPr>
        <w:t xml:space="preserve"> (15/30/45/60/75/90 days</w:t>
      </w:r>
      <w:r>
        <w:rPr>
          <w:rFonts w:ascii="Times New Roman" w:hAnsi="Times New Roman" w:cs="Times New Roman"/>
          <w:sz w:val="24"/>
          <w:szCs w:val="24"/>
        </w:rPr>
        <w:t xml:space="preserve"> of age</w:t>
      </w:r>
      <w:r w:rsidRPr="003854A3">
        <w:rPr>
          <w:rFonts w:ascii="Times New Roman" w:hAnsi="Times New Roman" w:cs="Times New Roman"/>
          <w:sz w:val="24"/>
          <w:szCs w:val="24"/>
        </w:rPr>
        <w:t xml:space="preserve">) with treatment group (PWM/SM) as fixed factor and AMR </w:t>
      </w:r>
      <w:r>
        <w:rPr>
          <w:rFonts w:ascii="Times New Roman" w:hAnsi="Times New Roman" w:cs="Times New Roman"/>
          <w:sz w:val="24"/>
          <w:szCs w:val="24"/>
        </w:rPr>
        <w:t xml:space="preserve">(resistant/susceptible) </w:t>
      </w:r>
      <w:r w:rsidRPr="003854A3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54A3">
        <w:rPr>
          <w:rFonts w:ascii="Times New Roman" w:hAnsi="Times New Roman" w:cs="Times New Roman"/>
          <w:sz w:val="24"/>
          <w:szCs w:val="24"/>
        </w:rPr>
        <w:t xml:space="preserve"> specific drug as dependent variables were performed </w:t>
      </w:r>
      <w:r>
        <w:rPr>
          <w:rFonts w:ascii="Times New Roman" w:hAnsi="Times New Roman" w:cs="Times New Roman"/>
          <w:sz w:val="24"/>
          <w:szCs w:val="24"/>
        </w:rPr>
        <w:t xml:space="preserve">for each antibiotic analyzed in the study </w:t>
      </w:r>
      <w:r w:rsidRPr="003854A3">
        <w:rPr>
          <w:rFonts w:ascii="Times New Roman" w:hAnsi="Times New Roman" w:cs="Times New Roman"/>
          <w:sz w:val="24"/>
          <w:szCs w:val="24"/>
        </w:rPr>
        <w:t>(using binomial distribution and probit link function).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685B4" w14:textId="15CD186F" w:rsidR="00C875E3" w:rsidRDefault="00C875E3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A3">
        <w:rPr>
          <w:rFonts w:ascii="Times New Roman" w:hAnsi="Times New Roman" w:cs="Times New Roman"/>
          <w:sz w:val="24"/>
          <w:szCs w:val="24"/>
        </w:rPr>
        <w:t>Concordance between DDT and agar dilution test (MIC) results was assessed by means of Cohen concordance test and kappa coefficient calculation.</w:t>
      </w:r>
      <w:r>
        <w:rPr>
          <w:rFonts w:ascii="Times New Roman" w:hAnsi="Times New Roman" w:cs="Times New Roman"/>
          <w:sz w:val="24"/>
          <w:szCs w:val="24"/>
        </w:rPr>
        <w:t xml:space="preserve"> If, as a result of DDT or MIC an isolate was categorized as intermediate, it was considered as resistant for analyses purposes.</w:t>
      </w:r>
      <w:r w:rsidRPr="003854A3">
        <w:rPr>
          <w:rFonts w:ascii="Times New Roman" w:hAnsi="Times New Roman" w:cs="Times New Roman"/>
          <w:sz w:val="24"/>
          <w:szCs w:val="24"/>
        </w:rPr>
        <w:t xml:space="preserve"> All statistical analyses were carried out using </w:t>
      </w:r>
      <w:proofErr w:type="spellStart"/>
      <w:r w:rsidRPr="003854A3">
        <w:rPr>
          <w:rFonts w:ascii="Times New Roman" w:hAnsi="Times New Roman" w:cs="Times New Roman"/>
          <w:sz w:val="24"/>
          <w:szCs w:val="24"/>
        </w:rPr>
        <w:t>InfoStat</w:t>
      </w:r>
      <w:proofErr w:type="spellEnd"/>
      <w:r w:rsidRPr="003854A3">
        <w:rPr>
          <w:rFonts w:ascii="Times New Roman" w:hAnsi="Times New Roman" w:cs="Times New Roman"/>
          <w:sz w:val="24"/>
          <w:szCs w:val="24"/>
        </w:rPr>
        <w:t xml:space="preserve"> software (Universidad Nacional de Córdoba, Argentina).</w:t>
      </w:r>
    </w:p>
    <w:p w14:paraId="782F0508" w14:textId="61211AB5" w:rsidR="00CA30BB" w:rsidRPr="003854A3" w:rsidRDefault="00CA30BB" w:rsidP="00C875E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14:paraId="76818A39" w14:textId="12320A2E" w:rsidR="004113D0" w:rsidRDefault="004113D0" w:rsidP="004113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CLSI (201</w:t>
      </w:r>
      <w:r w:rsidR="00A554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 Clinical and Laboratory Standards Institute</w:t>
      </w:r>
      <w:r w:rsidR="00A554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Performance </w:t>
      </w:r>
      <w:r w:rsidR="00A5547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tandards for </w:t>
      </w:r>
      <w:r w:rsidR="00A5547D">
        <w:rPr>
          <w:rFonts w:ascii="Times New Roman" w:hAnsi="Times New Roman" w:cs="Times New Roman"/>
          <w:sz w:val="24"/>
          <w:szCs w:val="24"/>
        </w:rPr>
        <w:t>antimicrobial disk and dilution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47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usceptibility </w:t>
      </w:r>
      <w:r w:rsidR="00A5547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ests</w:t>
      </w:r>
      <w:r w:rsidR="00A5547D">
        <w:rPr>
          <w:rFonts w:ascii="Times New Roman" w:hAnsi="Times New Roman" w:cs="Times New Roman"/>
          <w:sz w:val="24"/>
          <w:szCs w:val="24"/>
        </w:rPr>
        <w:t xml:space="preserve"> for bacteria isolated from animals.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500">
        <w:rPr>
          <w:rFonts w:ascii="Times New Roman" w:hAnsi="Times New Roman" w:cs="Times New Roman"/>
          <w:sz w:val="24"/>
          <w:szCs w:val="24"/>
        </w:rPr>
        <w:t>4</w:t>
      </w:r>
      <w:r w:rsidR="00847500" w:rsidRPr="008475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47500">
        <w:rPr>
          <w:rFonts w:ascii="Times New Roman" w:hAnsi="Times New Roman" w:cs="Times New Roman"/>
          <w:sz w:val="24"/>
          <w:szCs w:val="24"/>
        </w:rPr>
        <w:t xml:space="preserve"> ed. CLSI Supplement VET 08</w:t>
      </w:r>
      <w:r>
        <w:rPr>
          <w:rFonts w:ascii="Times New Roman" w:hAnsi="Times New Roman" w:cs="Times New Roman"/>
          <w:sz w:val="24"/>
          <w:szCs w:val="24"/>
        </w:rPr>
        <w:t xml:space="preserve"> Wayne, PA</w:t>
      </w:r>
      <w:r w:rsidR="008475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Clinical and Laboratory Standards Institute</w:t>
      </w:r>
    </w:p>
    <w:p w14:paraId="0A53DDAC" w14:textId="7036524E" w:rsidR="00CA30BB" w:rsidRPr="00F216F1" w:rsidRDefault="00CA30BB" w:rsidP="00CA30B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proofErr w:type="spellStart"/>
      <w:r w:rsidRPr="0032385D">
        <w:rPr>
          <w:rFonts w:ascii="Times New Roman" w:hAnsi="Times New Roman" w:cs="Times New Roman"/>
          <w:sz w:val="24"/>
          <w:szCs w:val="24"/>
          <w:lang w:val="es-AR"/>
        </w:rPr>
        <w:t>Koneman</w:t>
      </w:r>
      <w:proofErr w:type="spellEnd"/>
      <w:r w:rsidRPr="0032385D">
        <w:rPr>
          <w:rFonts w:ascii="Times New Roman" w:hAnsi="Times New Roman" w:cs="Times New Roman"/>
          <w:sz w:val="24"/>
          <w:szCs w:val="24"/>
          <w:lang w:val="es-AR"/>
        </w:rPr>
        <w:t xml:space="preserve"> E, Allen S, Janda W, </w:t>
      </w:r>
      <w:proofErr w:type="spellStart"/>
      <w:r w:rsidRPr="0032385D">
        <w:rPr>
          <w:rFonts w:ascii="Times New Roman" w:hAnsi="Times New Roman" w:cs="Times New Roman"/>
          <w:sz w:val="24"/>
          <w:szCs w:val="24"/>
          <w:lang w:val="es-AR"/>
        </w:rPr>
        <w:t>Schreckenberge</w:t>
      </w:r>
      <w:proofErr w:type="spellEnd"/>
      <w:r w:rsidRPr="0032385D">
        <w:rPr>
          <w:rFonts w:ascii="Times New Roman" w:hAnsi="Times New Roman" w:cs="Times New Roman"/>
          <w:sz w:val="24"/>
          <w:szCs w:val="24"/>
          <w:lang w:val="es-AR"/>
        </w:rPr>
        <w:t xml:space="preserve">, P, </w:t>
      </w:r>
      <w:proofErr w:type="spellStart"/>
      <w:r w:rsidRPr="0032385D">
        <w:rPr>
          <w:rFonts w:ascii="Times New Roman" w:hAnsi="Times New Roman" w:cs="Times New Roman"/>
          <w:sz w:val="24"/>
          <w:szCs w:val="24"/>
          <w:lang w:val="es-AR"/>
        </w:rPr>
        <w:t>Winn</w:t>
      </w:r>
      <w:proofErr w:type="spellEnd"/>
      <w:r w:rsidRPr="0032385D">
        <w:rPr>
          <w:rFonts w:ascii="Times New Roman" w:hAnsi="Times New Roman" w:cs="Times New Roman"/>
          <w:sz w:val="24"/>
          <w:szCs w:val="24"/>
          <w:lang w:val="es-AR"/>
        </w:rPr>
        <w:t xml:space="preserve"> W (1999) Diagnóstico Microbiológico. </w:t>
      </w:r>
      <w:r w:rsidRPr="00F216F1">
        <w:rPr>
          <w:rFonts w:ascii="Times New Roman" w:hAnsi="Times New Roman" w:cs="Times New Roman"/>
          <w:sz w:val="24"/>
          <w:szCs w:val="24"/>
          <w:lang w:val="es-AR"/>
        </w:rPr>
        <w:t>Editorial Médica panamericana, Buenos Aires, Argentina.</w:t>
      </w:r>
    </w:p>
    <w:p w14:paraId="6F006674" w14:textId="14B68A29" w:rsidR="00953C34" w:rsidRPr="00862B31" w:rsidRDefault="00953C34" w:rsidP="00CA30B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85D">
        <w:rPr>
          <w:rFonts w:ascii="Times New Roman" w:hAnsi="Times New Roman" w:cs="Times New Roman"/>
          <w:sz w:val="24"/>
          <w:szCs w:val="24"/>
        </w:rPr>
        <w:t xml:space="preserve">Nagel, OG, Molina Pons M, Althaus RL (2011). </w:t>
      </w:r>
      <w:r w:rsidRPr="00953C34">
        <w:rPr>
          <w:rFonts w:ascii="Times New Roman" w:hAnsi="Times New Roman" w:cs="Times New Roman"/>
          <w:sz w:val="24"/>
          <w:szCs w:val="24"/>
        </w:rPr>
        <w:t>Microbial system for identification of antibiotic residues in milk. Journal of Food and Drug Analysis, 19, 369-375.</w:t>
      </w:r>
    </w:p>
    <w:p w14:paraId="212CAE86" w14:textId="77777777" w:rsidR="00C05884" w:rsidRDefault="00C05884" w:rsidP="00C058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Sandholm M (1974) A preliminary report of a rapid method for the demonstration of abnormal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gammaglobulin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levels in bovine whole blood. Res. Vet. Sci. 17, 32–35. </w:t>
      </w:r>
      <w:hyperlink r:id="rId4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https://doi.org/10.1016/s0034-5288(18)33703-2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35781" w14:textId="46444075" w:rsidR="00C05884" w:rsidRDefault="00C05884" w:rsidP="00C058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Windeyer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MC, Leslie KE, Godden SM, Hodgins DC, Lissemore KD, LeBlanc SJ (2014) Factors associated with morbidity, mortality, and growth of dairy heifer calves up to 3 months of age. Preventive Veterinary Medicine 113, 231–240. </w:t>
      </w:r>
      <w:hyperlink r:id="rId5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https://doi.org/10.1016/j.prevetmed.2013.10.019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7B6CD" w14:textId="77777777" w:rsidR="00C05884" w:rsidRPr="00C05884" w:rsidRDefault="00C05884" w:rsidP="00CA30B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92629" w14:textId="4E6BBA0B" w:rsidR="00FC2301" w:rsidRPr="00C05884" w:rsidRDefault="00CA30BB" w:rsidP="00CA30BB">
      <w:pPr>
        <w:rPr>
          <w:rFonts w:ascii="Times New Roman" w:hAnsi="Times New Roman" w:cs="Times New Roman"/>
          <w:b/>
          <w:sz w:val="24"/>
          <w:szCs w:val="24"/>
        </w:rPr>
      </w:pPr>
      <w:r w:rsidRPr="00C05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301" w:rsidRPr="00C0588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7E78AE5" w14:textId="618AE154" w:rsidR="00FC2301" w:rsidRDefault="00FC2301" w:rsidP="00FC230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DD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Table </w:t>
      </w:r>
      <w:r w:rsidR="00D64486">
        <w:rPr>
          <w:rFonts w:ascii="Times New Roman" w:hAnsi="Times New Roman" w:cs="Times New Roman"/>
          <w:bCs/>
          <w:sz w:val="24"/>
          <w:szCs w:val="24"/>
        </w:rPr>
        <w:t>1</w:t>
      </w:r>
      <w:r w:rsidR="00CF7A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A80">
        <w:rPr>
          <w:rFonts w:ascii="Times New Roman" w:hAnsi="Times New Roman" w:cs="Times New Roman"/>
          <w:sz w:val="24"/>
          <w:szCs w:val="24"/>
        </w:rPr>
        <w:t>supplementary file</w:t>
      </w:r>
      <w:r w:rsidRPr="006B7D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Results of Generalized Estimating Equation with treatment group (pasteurized waste milk -PWM- or sal</w:t>
      </w:r>
      <w:r w:rsidR="002F533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able milk -SM) as fixed factor and antimicrobial resistance of </w:t>
      </w:r>
      <w:r>
        <w:rPr>
          <w:rFonts w:ascii="Times New Roman" w:hAnsi="Times New Roman" w:cs="Times New Roman"/>
          <w:i/>
          <w:iCs/>
          <w:sz w:val="24"/>
          <w:szCs w:val="24"/>
        </w:rPr>
        <w:t>E. coli</w:t>
      </w:r>
      <w:r>
        <w:rPr>
          <w:rFonts w:ascii="Times New Roman" w:hAnsi="Times New Roman" w:cs="Times New Roman"/>
          <w:sz w:val="24"/>
          <w:szCs w:val="24"/>
        </w:rPr>
        <w:t xml:space="preserve"> isolated from Holstein calves to each specific drug by disc diffusion test (DDT) or agar dilution test (MIC) as dependent variables (using binomial distribution and probit link function).</w:t>
      </w: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2073"/>
        <w:gridCol w:w="2086"/>
        <w:gridCol w:w="2055"/>
      </w:tblGrid>
      <w:tr w:rsidR="00FC2301" w14:paraId="7B0650AD" w14:textId="77777777" w:rsidTr="00FC2301">
        <w:tc>
          <w:tcPr>
            <w:tcW w:w="85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DDBF71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MIC</w:t>
            </w:r>
          </w:p>
        </w:tc>
      </w:tr>
      <w:tr w:rsidR="00FC2301" w14:paraId="62B4AA59" w14:textId="77777777" w:rsidTr="00FC2301"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51FC00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Antimicrobial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6F48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Group</w:t>
            </w:r>
            <w:proofErr w:type="spell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E2EA7C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OR (CI 95%)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4A5BE7" w14:textId="77777777" w:rsidR="00FC2301" w:rsidRDefault="00FC230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 w:eastAsia="es-AR"/>
              </w:rPr>
              <w:t>P</w:t>
            </w:r>
          </w:p>
        </w:tc>
      </w:tr>
      <w:tr w:rsidR="00FC2301" w14:paraId="0E4F01E8" w14:textId="77777777" w:rsidTr="00FC2301">
        <w:tc>
          <w:tcPr>
            <w:tcW w:w="22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F7F4DE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Tetracycline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79CF01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PWM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07117B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0.854 (0.575-1.268)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369DC3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0.434</w:t>
            </w:r>
          </w:p>
        </w:tc>
      </w:tr>
      <w:tr w:rsidR="00FC2301" w14:paraId="69C67559" w14:textId="77777777" w:rsidTr="00FC2301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08E060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  <w:tc>
          <w:tcPr>
            <w:tcW w:w="2073" w:type="dxa"/>
            <w:hideMark/>
          </w:tcPr>
          <w:p w14:paraId="5794741A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SM (Ref.)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36F03E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AB82D1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</w:tr>
      <w:tr w:rsidR="00FC2301" w14:paraId="2D58E1E4" w14:textId="77777777" w:rsidTr="00FC2301">
        <w:tc>
          <w:tcPr>
            <w:tcW w:w="2290" w:type="dxa"/>
            <w:vMerge w:val="restart"/>
            <w:vAlign w:val="center"/>
            <w:hideMark/>
          </w:tcPr>
          <w:p w14:paraId="7D90C6F9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Ampicillin</w:t>
            </w:r>
            <w:proofErr w:type="spellEnd"/>
          </w:p>
        </w:tc>
        <w:tc>
          <w:tcPr>
            <w:tcW w:w="2073" w:type="dxa"/>
            <w:hideMark/>
          </w:tcPr>
          <w:p w14:paraId="362E3106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PWM</w:t>
            </w:r>
          </w:p>
        </w:tc>
        <w:tc>
          <w:tcPr>
            <w:tcW w:w="2086" w:type="dxa"/>
            <w:vMerge w:val="restart"/>
            <w:vAlign w:val="center"/>
            <w:hideMark/>
          </w:tcPr>
          <w:p w14:paraId="251B82AE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0.860 (0.624-1.186)</w:t>
            </w:r>
          </w:p>
        </w:tc>
        <w:tc>
          <w:tcPr>
            <w:tcW w:w="2055" w:type="dxa"/>
            <w:vMerge w:val="restart"/>
            <w:vAlign w:val="center"/>
            <w:hideMark/>
          </w:tcPr>
          <w:p w14:paraId="2B711C56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0.358</w:t>
            </w:r>
          </w:p>
        </w:tc>
      </w:tr>
      <w:tr w:rsidR="00FC2301" w14:paraId="3EC4126E" w14:textId="77777777" w:rsidTr="00FC2301">
        <w:tc>
          <w:tcPr>
            <w:tcW w:w="0" w:type="auto"/>
            <w:vMerge/>
            <w:vAlign w:val="center"/>
            <w:hideMark/>
          </w:tcPr>
          <w:p w14:paraId="45DEA8B7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  <w:tc>
          <w:tcPr>
            <w:tcW w:w="2073" w:type="dxa"/>
            <w:hideMark/>
          </w:tcPr>
          <w:p w14:paraId="09FB59DD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SM (Ref.)</w:t>
            </w:r>
          </w:p>
        </w:tc>
        <w:tc>
          <w:tcPr>
            <w:tcW w:w="0" w:type="auto"/>
            <w:vMerge/>
            <w:vAlign w:val="center"/>
            <w:hideMark/>
          </w:tcPr>
          <w:p w14:paraId="0AB31D8C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81486C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</w:tr>
      <w:tr w:rsidR="00FC2301" w14:paraId="1302EB29" w14:textId="77777777" w:rsidTr="00FC2301">
        <w:tc>
          <w:tcPr>
            <w:tcW w:w="2290" w:type="dxa"/>
            <w:vMerge w:val="restart"/>
            <w:vAlign w:val="center"/>
            <w:hideMark/>
          </w:tcPr>
          <w:p w14:paraId="0303CC79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TMS</w:t>
            </w:r>
          </w:p>
        </w:tc>
        <w:tc>
          <w:tcPr>
            <w:tcW w:w="2073" w:type="dxa"/>
            <w:hideMark/>
          </w:tcPr>
          <w:p w14:paraId="43C7EE83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PWM</w:t>
            </w:r>
          </w:p>
        </w:tc>
        <w:tc>
          <w:tcPr>
            <w:tcW w:w="2086" w:type="dxa"/>
            <w:vMerge w:val="restart"/>
            <w:vAlign w:val="center"/>
            <w:hideMark/>
          </w:tcPr>
          <w:p w14:paraId="6815E60A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1.024 (0.715-1.467)</w:t>
            </w:r>
          </w:p>
        </w:tc>
        <w:tc>
          <w:tcPr>
            <w:tcW w:w="2055" w:type="dxa"/>
            <w:vMerge w:val="restart"/>
            <w:vAlign w:val="center"/>
            <w:hideMark/>
          </w:tcPr>
          <w:p w14:paraId="2B27054B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0.897</w:t>
            </w:r>
          </w:p>
        </w:tc>
      </w:tr>
      <w:tr w:rsidR="00FC2301" w14:paraId="635E8451" w14:textId="77777777" w:rsidTr="00FC2301">
        <w:tc>
          <w:tcPr>
            <w:tcW w:w="0" w:type="auto"/>
            <w:vMerge/>
            <w:vAlign w:val="center"/>
            <w:hideMark/>
          </w:tcPr>
          <w:p w14:paraId="7204405C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  <w:tc>
          <w:tcPr>
            <w:tcW w:w="2073" w:type="dxa"/>
            <w:hideMark/>
          </w:tcPr>
          <w:p w14:paraId="2825F9AB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SM (Ref.)</w:t>
            </w:r>
          </w:p>
        </w:tc>
        <w:tc>
          <w:tcPr>
            <w:tcW w:w="0" w:type="auto"/>
            <w:vMerge/>
            <w:vAlign w:val="center"/>
            <w:hideMark/>
          </w:tcPr>
          <w:p w14:paraId="53E7CC7E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9CE087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</w:tr>
      <w:tr w:rsidR="00FC2301" w14:paraId="562DB032" w14:textId="77777777" w:rsidTr="00FC2301">
        <w:tc>
          <w:tcPr>
            <w:tcW w:w="22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06F935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Enrofloxacin</w:t>
            </w:r>
            <w:proofErr w:type="spellEnd"/>
          </w:p>
        </w:tc>
        <w:tc>
          <w:tcPr>
            <w:tcW w:w="2073" w:type="dxa"/>
            <w:hideMark/>
          </w:tcPr>
          <w:p w14:paraId="729341AA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PWM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4B07AD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0.916 (0.634-1.323)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72477F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0.640</w:t>
            </w:r>
          </w:p>
        </w:tc>
      </w:tr>
      <w:tr w:rsidR="00FC2301" w14:paraId="65C5ED6D" w14:textId="77777777" w:rsidTr="00FC2301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CD5EEF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BFB876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SM (Ref.)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146535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7B49AC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</w:tr>
      <w:tr w:rsidR="00FC2301" w14:paraId="26B28F9C" w14:textId="77777777" w:rsidTr="00FC2301">
        <w:tc>
          <w:tcPr>
            <w:tcW w:w="8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32534C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DDT</w:t>
            </w:r>
          </w:p>
        </w:tc>
      </w:tr>
      <w:tr w:rsidR="00FC2301" w14:paraId="1828C8F3" w14:textId="77777777" w:rsidTr="00FC2301">
        <w:tc>
          <w:tcPr>
            <w:tcW w:w="2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B3C1709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Antimicrobial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4C730F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Group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E6E887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OR (CI 95%)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737A53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" w:eastAsia="es-AR"/>
              </w:rPr>
              <w:t>P</w:t>
            </w:r>
          </w:p>
        </w:tc>
      </w:tr>
      <w:tr w:rsidR="00FC2301" w14:paraId="2501622B" w14:textId="77777777" w:rsidTr="00FC2301">
        <w:tc>
          <w:tcPr>
            <w:tcW w:w="22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B1E36C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AMC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6E9B93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PWM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531B43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0.980 (0.563-1.705)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49B069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0.942</w:t>
            </w:r>
          </w:p>
        </w:tc>
      </w:tr>
      <w:tr w:rsidR="00FC2301" w14:paraId="1C86E1C4" w14:textId="77777777" w:rsidTr="00FC2301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1FE409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  <w:tc>
          <w:tcPr>
            <w:tcW w:w="2073" w:type="dxa"/>
            <w:hideMark/>
          </w:tcPr>
          <w:p w14:paraId="7F7C13FE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SM (Ref.)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17F899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A8F333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</w:tr>
      <w:tr w:rsidR="00FC2301" w14:paraId="5C294517" w14:textId="77777777" w:rsidTr="00FC2301">
        <w:tc>
          <w:tcPr>
            <w:tcW w:w="2290" w:type="dxa"/>
            <w:vMerge w:val="restart"/>
            <w:vAlign w:val="center"/>
            <w:hideMark/>
          </w:tcPr>
          <w:p w14:paraId="7D8FE7F4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Tetracycline</w:t>
            </w:r>
            <w:proofErr w:type="spellEnd"/>
          </w:p>
        </w:tc>
        <w:tc>
          <w:tcPr>
            <w:tcW w:w="2073" w:type="dxa"/>
            <w:hideMark/>
          </w:tcPr>
          <w:p w14:paraId="14C26DFC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PWM</w:t>
            </w:r>
          </w:p>
        </w:tc>
        <w:tc>
          <w:tcPr>
            <w:tcW w:w="2086" w:type="dxa"/>
            <w:vMerge w:val="restart"/>
            <w:vAlign w:val="center"/>
            <w:hideMark/>
          </w:tcPr>
          <w:p w14:paraId="02021738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1.024 (0.777-1.351)</w:t>
            </w:r>
          </w:p>
        </w:tc>
        <w:tc>
          <w:tcPr>
            <w:tcW w:w="2055" w:type="dxa"/>
            <w:vMerge w:val="restart"/>
            <w:vAlign w:val="center"/>
            <w:hideMark/>
          </w:tcPr>
          <w:p w14:paraId="25417B70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0.864</w:t>
            </w:r>
          </w:p>
        </w:tc>
      </w:tr>
      <w:tr w:rsidR="00FC2301" w14:paraId="38D076CC" w14:textId="77777777" w:rsidTr="00FC2301">
        <w:tc>
          <w:tcPr>
            <w:tcW w:w="0" w:type="auto"/>
            <w:vMerge/>
            <w:vAlign w:val="center"/>
            <w:hideMark/>
          </w:tcPr>
          <w:p w14:paraId="364C6630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  <w:tc>
          <w:tcPr>
            <w:tcW w:w="2073" w:type="dxa"/>
            <w:hideMark/>
          </w:tcPr>
          <w:p w14:paraId="2BF90951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SM (Ref.)</w:t>
            </w:r>
          </w:p>
        </w:tc>
        <w:tc>
          <w:tcPr>
            <w:tcW w:w="0" w:type="auto"/>
            <w:vMerge/>
            <w:vAlign w:val="center"/>
            <w:hideMark/>
          </w:tcPr>
          <w:p w14:paraId="0BE74604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75B5E9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</w:tr>
      <w:tr w:rsidR="00FC2301" w14:paraId="606B5F23" w14:textId="77777777" w:rsidTr="00FC2301">
        <w:tc>
          <w:tcPr>
            <w:tcW w:w="2290" w:type="dxa"/>
            <w:vMerge w:val="restart"/>
            <w:vAlign w:val="center"/>
            <w:hideMark/>
          </w:tcPr>
          <w:p w14:paraId="306A5111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Ampicillin</w:t>
            </w:r>
            <w:proofErr w:type="spellEnd"/>
          </w:p>
        </w:tc>
        <w:tc>
          <w:tcPr>
            <w:tcW w:w="2073" w:type="dxa"/>
            <w:hideMark/>
          </w:tcPr>
          <w:p w14:paraId="79B4D4A9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PWM</w:t>
            </w:r>
          </w:p>
        </w:tc>
        <w:tc>
          <w:tcPr>
            <w:tcW w:w="2086" w:type="dxa"/>
            <w:vMerge w:val="restart"/>
            <w:vAlign w:val="center"/>
            <w:hideMark/>
          </w:tcPr>
          <w:p w14:paraId="294F4F48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0.790 (0.603-1.036)</w:t>
            </w:r>
          </w:p>
        </w:tc>
        <w:tc>
          <w:tcPr>
            <w:tcW w:w="2055" w:type="dxa"/>
            <w:vMerge w:val="restart"/>
            <w:vAlign w:val="center"/>
            <w:hideMark/>
          </w:tcPr>
          <w:p w14:paraId="62A1489B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0.088</w:t>
            </w:r>
          </w:p>
        </w:tc>
      </w:tr>
      <w:tr w:rsidR="00FC2301" w14:paraId="7B31795C" w14:textId="77777777" w:rsidTr="00FC2301">
        <w:tc>
          <w:tcPr>
            <w:tcW w:w="0" w:type="auto"/>
            <w:vMerge/>
            <w:vAlign w:val="center"/>
            <w:hideMark/>
          </w:tcPr>
          <w:p w14:paraId="122DB316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  <w:tc>
          <w:tcPr>
            <w:tcW w:w="2073" w:type="dxa"/>
            <w:hideMark/>
          </w:tcPr>
          <w:p w14:paraId="7E3BFFA5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SM (Ref.)</w:t>
            </w:r>
          </w:p>
        </w:tc>
        <w:tc>
          <w:tcPr>
            <w:tcW w:w="0" w:type="auto"/>
            <w:vMerge/>
            <w:vAlign w:val="center"/>
            <w:hideMark/>
          </w:tcPr>
          <w:p w14:paraId="5ECB6708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3C951E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</w:tr>
      <w:tr w:rsidR="00FC2301" w14:paraId="145376A7" w14:textId="77777777" w:rsidTr="00FC2301">
        <w:tc>
          <w:tcPr>
            <w:tcW w:w="2290" w:type="dxa"/>
            <w:vMerge w:val="restart"/>
            <w:vAlign w:val="center"/>
            <w:hideMark/>
          </w:tcPr>
          <w:p w14:paraId="3409B9FB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TMS</w:t>
            </w:r>
          </w:p>
        </w:tc>
        <w:tc>
          <w:tcPr>
            <w:tcW w:w="2073" w:type="dxa"/>
            <w:hideMark/>
          </w:tcPr>
          <w:p w14:paraId="743099E3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PWM</w:t>
            </w:r>
          </w:p>
        </w:tc>
        <w:tc>
          <w:tcPr>
            <w:tcW w:w="2086" w:type="dxa"/>
            <w:vMerge w:val="restart"/>
            <w:vAlign w:val="center"/>
            <w:hideMark/>
          </w:tcPr>
          <w:p w14:paraId="078C9327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1.058 (0.728-1.537)</w:t>
            </w:r>
          </w:p>
        </w:tc>
        <w:tc>
          <w:tcPr>
            <w:tcW w:w="2055" w:type="dxa"/>
            <w:vMerge w:val="restart"/>
            <w:vAlign w:val="center"/>
            <w:hideMark/>
          </w:tcPr>
          <w:p w14:paraId="36F5F20C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0.769</w:t>
            </w:r>
          </w:p>
        </w:tc>
      </w:tr>
      <w:tr w:rsidR="00FC2301" w14:paraId="1210C920" w14:textId="77777777" w:rsidTr="00FC2301">
        <w:tc>
          <w:tcPr>
            <w:tcW w:w="0" w:type="auto"/>
            <w:vMerge/>
            <w:vAlign w:val="center"/>
            <w:hideMark/>
          </w:tcPr>
          <w:p w14:paraId="60FB924C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  <w:tc>
          <w:tcPr>
            <w:tcW w:w="2073" w:type="dxa"/>
            <w:hideMark/>
          </w:tcPr>
          <w:p w14:paraId="2E285F34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SM (Ref.)</w:t>
            </w:r>
          </w:p>
        </w:tc>
        <w:tc>
          <w:tcPr>
            <w:tcW w:w="0" w:type="auto"/>
            <w:vMerge/>
            <w:vAlign w:val="center"/>
            <w:hideMark/>
          </w:tcPr>
          <w:p w14:paraId="5DD90F74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32AC81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</w:tr>
      <w:tr w:rsidR="00FC2301" w14:paraId="674D2107" w14:textId="77777777" w:rsidTr="00FC2301">
        <w:tc>
          <w:tcPr>
            <w:tcW w:w="22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0098A2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Enrofloxacin</w:t>
            </w:r>
            <w:proofErr w:type="spellEnd"/>
          </w:p>
        </w:tc>
        <w:tc>
          <w:tcPr>
            <w:tcW w:w="2073" w:type="dxa"/>
            <w:hideMark/>
          </w:tcPr>
          <w:p w14:paraId="16EC47AF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PWM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86CD55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1.080 (0.823-1.417)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7FF7AB" w14:textId="77777777" w:rsidR="00FC2301" w:rsidRDefault="00FC2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0.578</w:t>
            </w:r>
          </w:p>
        </w:tc>
      </w:tr>
      <w:tr w:rsidR="00FC2301" w14:paraId="25781AAD" w14:textId="77777777" w:rsidTr="00FC2301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F900F2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A5F538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  <w:t>SM (Ref.)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BD2CC1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6A9F8F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val="es-ES" w:eastAsia="es-AR"/>
              </w:rPr>
            </w:pPr>
          </w:p>
        </w:tc>
      </w:tr>
    </w:tbl>
    <w:p w14:paraId="0BA41DA4" w14:textId="77777777" w:rsidR="00FC2301" w:rsidRDefault="00FC2301" w:rsidP="00FC23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References: PWM: pasteurized waste milk; SM: saleable milk; TMS: </w:t>
      </w:r>
      <w:proofErr w:type="spellStart"/>
      <w:r>
        <w:rPr>
          <w:rFonts w:ascii="Times New Roman" w:hAnsi="Times New Roman" w:cs="Times New Roman"/>
          <w:sz w:val="20"/>
          <w:szCs w:val="20"/>
        </w:rPr>
        <w:t>Trimethoprin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sulfamethoxazole; AMC: Amoxicillin/clavulanic acid; OR: odds ratio; CI95%: confidence interval 95%</w:t>
      </w:r>
    </w:p>
    <w:p w14:paraId="50DB6265" w14:textId="77777777" w:rsidR="00FC2301" w:rsidRDefault="00FC23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500190E" w14:textId="053314CD" w:rsidR="00FC2301" w:rsidRDefault="00CF7A80" w:rsidP="00FC2301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D644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supplementary file</w:t>
      </w:r>
      <w:r w:rsidR="00FC2301">
        <w:rPr>
          <w:rFonts w:ascii="Times New Roman" w:hAnsi="Times New Roman" w:cs="Times New Roman"/>
          <w:sz w:val="24"/>
          <w:szCs w:val="24"/>
        </w:rPr>
        <w:t xml:space="preserve">. Concordance analysis between minimal inhibitory concentration (MIC) and disc diffusion test (DDT) results for </w:t>
      </w:r>
      <w:r w:rsidR="00FC2301">
        <w:rPr>
          <w:rFonts w:ascii="Times New Roman" w:hAnsi="Times New Roman" w:cs="Times New Roman"/>
          <w:i/>
          <w:iCs/>
          <w:sz w:val="24"/>
          <w:szCs w:val="24"/>
        </w:rPr>
        <w:t>E. coli</w:t>
      </w:r>
      <w:r w:rsidR="00FC2301">
        <w:rPr>
          <w:rFonts w:ascii="Times New Roman" w:hAnsi="Times New Roman" w:cs="Times New Roman"/>
          <w:sz w:val="24"/>
          <w:szCs w:val="24"/>
        </w:rPr>
        <w:t xml:space="preserve"> strains isolated from Holstein calves</w:t>
      </w:r>
      <w:r w:rsidR="002F5336">
        <w:rPr>
          <w:rFonts w:ascii="Times New Roman" w:hAnsi="Times New Roman" w:cs="Times New Roman"/>
          <w:sz w:val="24"/>
          <w:szCs w:val="24"/>
        </w:rPr>
        <w:t>’</w:t>
      </w:r>
      <w:r w:rsidR="00FC2301">
        <w:rPr>
          <w:rFonts w:ascii="Times New Roman" w:hAnsi="Times New Roman" w:cs="Times New Roman"/>
          <w:sz w:val="24"/>
          <w:szCs w:val="24"/>
        </w:rPr>
        <w:t xml:space="preserve"> feces.</w:t>
      </w:r>
    </w:p>
    <w:tbl>
      <w:tblPr>
        <w:tblStyle w:val="Tablaconcuadrcula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1502"/>
        <w:gridCol w:w="1803"/>
        <w:gridCol w:w="1803"/>
        <w:gridCol w:w="1592"/>
      </w:tblGrid>
      <w:tr w:rsidR="00FC2301" w14:paraId="10D95427" w14:textId="77777777" w:rsidTr="00FC2301">
        <w:trPr>
          <w:trHeight w:val="227"/>
          <w:jc w:val="center"/>
        </w:trPr>
        <w:tc>
          <w:tcPr>
            <w:tcW w:w="194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CE0B39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Tetracycline</w:t>
            </w:r>
          </w:p>
        </w:tc>
        <w:tc>
          <w:tcPr>
            <w:tcW w:w="2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915B15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DDT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5FF226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Total</w:t>
            </w:r>
          </w:p>
        </w:tc>
      </w:tr>
      <w:tr w:rsidR="00FC2301" w14:paraId="76370B82" w14:textId="77777777" w:rsidTr="00FC2301">
        <w:trPr>
          <w:trHeight w:val="51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7E266B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94D74D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S n (%)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146555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R n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806F34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C2301" w14:paraId="6FD7B4AC" w14:textId="77777777" w:rsidTr="00FC2301">
        <w:trPr>
          <w:trHeight w:val="469"/>
          <w:jc w:val="center"/>
        </w:trPr>
        <w:tc>
          <w:tcPr>
            <w:tcW w:w="10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C17077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MIC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0450FB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S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A39F86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21 (63.6%)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BB8B6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12 (36.4%)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5A00A6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33 (100%)</w:t>
            </w:r>
          </w:p>
        </w:tc>
      </w:tr>
      <w:tr w:rsidR="00FC2301" w14:paraId="7E1151F3" w14:textId="77777777" w:rsidTr="00FC2301">
        <w:trPr>
          <w:trHeight w:val="227"/>
          <w:jc w:val="center"/>
        </w:trPr>
        <w:tc>
          <w:tcPr>
            <w:tcW w:w="1061" w:type="pct"/>
            <w:vAlign w:val="center"/>
            <w:hideMark/>
          </w:tcPr>
          <w:p w14:paraId="413B188E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883" w:type="pct"/>
            <w:vAlign w:val="center"/>
            <w:hideMark/>
          </w:tcPr>
          <w:p w14:paraId="1329D2FC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 xml:space="preserve">R  </w:t>
            </w:r>
          </w:p>
        </w:tc>
        <w:tc>
          <w:tcPr>
            <w:tcW w:w="1060" w:type="pct"/>
            <w:noWrap/>
            <w:vAlign w:val="center"/>
            <w:hideMark/>
          </w:tcPr>
          <w:p w14:paraId="468FC764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72 (32%)</w:t>
            </w:r>
          </w:p>
        </w:tc>
        <w:tc>
          <w:tcPr>
            <w:tcW w:w="1060" w:type="pct"/>
            <w:noWrap/>
            <w:vAlign w:val="center"/>
            <w:hideMark/>
          </w:tcPr>
          <w:p w14:paraId="14E129DD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153 (68%)</w:t>
            </w:r>
          </w:p>
        </w:tc>
        <w:tc>
          <w:tcPr>
            <w:tcW w:w="936" w:type="pct"/>
            <w:noWrap/>
            <w:vAlign w:val="center"/>
            <w:hideMark/>
          </w:tcPr>
          <w:p w14:paraId="1D0FB14B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225 (100%)</w:t>
            </w:r>
          </w:p>
        </w:tc>
      </w:tr>
      <w:tr w:rsidR="00FC2301" w14:paraId="4DF45938" w14:textId="77777777" w:rsidTr="00FC2301">
        <w:trPr>
          <w:trHeight w:val="227"/>
          <w:jc w:val="center"/>
        </w:trPr>
        <w:tc>
          <w:tcPr>
            <w:tcW w:w="1061" w:type="pct"/>
            <w:vAlign w:val="center"/>
            <w:hideMark/>
          </w:tcPr>
          <w:p w14:paraId="7981D0F5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Total</w:t>
            </w:r>
          </w:p>
        </w:tc>
        <w:tc>
          <w:tcPr>
            <w:tcW w:w="883" w:type="pct"/>
            <w:vAlign w:val="center"/>
            <w:hideMark/>
          </w:tcPr>
          <w:p w14:paraId="043A469C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60" w:type="pct"/>
            <w:noWrap/>
            <w:vAlign w:val="center"/>
            <w:hideMark/>
          </w:tcPr>
          <w:p w14:paraId="4AB38F09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93 (36%)</w:t>
            </w:r>
          </w:p>
        </w:tc>
        <w:tc>
          <w:tcPr>
            <w:tcW w:w="1060" w:type="pct"/>
            <w:noWrap/>
            <w:vAlign w:val="center"/>
            <w:hideMark/>
          </w:tcPr>
          <w:p w14:paraId="6583273B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165 (64%)</w:t>
            </w:r>
          </w:p>
        </w:tc>
        <w:tc>
          <w:tcPr>
            <w:tcW w:w="936" w:type="pct"/>
            <w:noWrap/>
            <w:vAlign w:val="center"/>
            <w:hideMark/>
          </w:tcPr>
          <w:p w14:paraId="7384EFE7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258 (100%)</w:t>
            </w:r>
          </w:p>
        </w:tc>
      </w:tr>
      <w:tr w:rsidR="00FC2301" w14:paraId="7EDAD313" w14:textId="77777777" w:rsidTr="00FC2301">
        <w:trPr>
          <w:trHeight w:val="373"/>
          <w:jc w:val="center"/>
        </w:trPr>
        <w:tc>
          <w:tcPr>
            <w:tcW w:w="1061" w:type="pct"/>
            <w:noWrap/>
            <w:vAlign w:val="center"/>
            <w:hideMark/>
          </w:tcPr>
          <w:p w14:paraId="320F8D31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s-AR"/>
              </w:rPr>
              <w:t>P</w:t>
            </w:r>
          </w:p>
        </w:tc>
        <w:tc>
          <w:tcPr>
            <w:tcW w:w="883" w:type="pct"/>
            <w:vAlign w:val="center"/>
            <w:hideMark/>
          </w:tcPr>
          <w:p w14:paraId="19A84E18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&lt;0.001</w:t>
            </w:r>
          </w:p>
        </w:tc>
        <w:tc>
          <w:tcPr>
            <w:tcW w:w="1060" w:type="pct"/>
            <w:noWrap/>
            <w:vAlign w:val="center"/>
            <w:hideMark/>
          </w:tcPr>
          <w:p w14:paraId="68C8B885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60" w:type="pct"/>
            <w:noWrap/>
            <w:vAlign w:val="center"/>
            <w:hideMark/>
          </w:tcPr>
          <w:p w14:paraId="775BC34B" w14:textId="77777777" w:rsidR="00FC2301" w:rsidRDefault="00FC2301">
            <w:pPr>
              <w:rPr>
                <w:rFonts w:asciiTheme="minorHAnsi" w:eastAsiaTheme="minorHAnsi" w:hAnsiTheme="minorHAnsi" w:cstheme="minorBidi"/>
                <w:lang w:val="es-AR" w:eastAsia="es-AR"/>
              </w:rPr>
            </w:pPr>
          </w:p>
        </w:tc>
        <w:tc>
          <w:tcPr>
            <w:tcW w:w="936" w:type="pct"/>
            <w:noWrap/>
            <w:vAlign w:val="center"/>
            <w:hideMark/>
          </w:tcPr>
          <w:p w14:paraId="1660138D" w14:textId="77777777" w:rsidR="00FC2301" w:rsidRDefault="00FC2301">
            <w:pPr>
              <w:rPr>
                <w:rFonts w:asciiTheme="minorHAnsi" w:eastAsiaTheme="minorHAnsi" w:hAnsiTheme="minorHAnsi" w:cstheme="minorBidi"/>
                <w:lang w:val="es-AR" w:eastAsia="es-AR"/>
              </w:rPr>
            </w:pPr>
          </w:p>
        </w:tc>
      </w:tr>
      <w:tr w:rsidR="00FC2301" w14:paraId="7E3BABA7" w14:textId="77777777" w:rsidTr="00FC2301">
        <w:trPr>
          <w:trHeight w:val="227"/>
          <w:jc w:val="center"/>
        </w:trPr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E06B5A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s-AR"/>
              </w:rPr>
              <w:t>Kappa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832174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0.178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A73D1A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DFDFBE" w14:textId="77777777" w:rsidR="00FC2301" w:rsidRDefault="00FC2301">
            <w:pPr>
              <w:rPr>
                <w:rFonts w:asciiTheme="minorHAnsi" w:eastAsiaTheme="minorHAnsi" w:hAnsiTheme="minorHAnsi" w:cstheme="minorBidi"/>
                <w:lang w:val="es-AR" w:eastAsia="es-AR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9758EF" w14:textId="77777777" w:rsidR="00FC2301" w:rsidRDefault="00FC2301">
            <w:pPr>
              <w:rPr>
                <w:rFonts w:asciiTheme="minorHAnsi" w:eastAsiaTheme="minorHAnsi" w:hAnsiTheme="minorHAnsi" w:cstheme="minorBidi"/>
                <w:lang w:val="es-AR" w:eastAsia="es-AR"/>
              </w:rPr>
            </w:pPr>
          </w:p>
        </w:tc>
      </w:tr>
      <w:tr w:rsidR="00FC2301" w14:paraId="3FA8498C" w14:textId="77777777" w:rsidTr="00FC2301">
        <w:trPr>
          <w:trHeight w:val="227"/>
          <w:jc w:val="center"/>
        </w:trPr>
        <w:tc>
          <w:tcPr>
            <w:tcW w:w="194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3515E9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Ampicillin</w:t>
            </w:r>
          </w:p>
        </w:tc>
        <w:tc>
          <w:tcPr>
            <w:tcW w:w="21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966961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DDT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5590FE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Total</w:t>
            </w:r>
          </w:p>
        </w:tc>
      </w:tr>
      <w:tr w:rsidR="00FC2301" w14:paraId="7C67BBF2" w14:textId="77777777" w:rsidTr="00FC2301">
        <w:trPr>
          <w:trHeight w:val="2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1A61A4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20ABFE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S n (%)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72F9D3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R n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E70997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C2301" w14:paraId="0321D8E9" w14:textId="77777777" w:rsidTr="00FC2301">
        <w:trPr>
          <w:trHeight w:val="227"/>
          <w:jc w:val="center"/>
        </w:trPr>
        <w:tc>
          <w:tcPr>
            <w:tcW w:w="10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A227CE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MIC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DDCB1A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S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C55FF1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155 (87.6%)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FE5C92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22 (12.4%)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2137A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177 (100%)</w:t>
            </w:r>
          </w:p>
        </w:tc>
      </w:tr>
      <w:tr w:rsidR="00FC2301" w14:paraId="64350807" w14:textId="77777777" w:rsidTr="00FC2301">
        <w:trPr>
          <w:trHeight w:val="227"/>
          <w:jc w:val="center"/>
        </w:trPr>
        <w:tc>
          <w:tcPr>
            <w:tcW w:w="1061" w:type="pct"/>
            <w:vAlign w:val="center"/>
            <w:hideMark/>
          </w:tcPr>
          <w:p w14:paraId="448B0EDA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883" w:type="pct"/>
            <w:vAlign w:val="center"/>
            <w:hideMark/>
          </w:tcPr>
          <w:p w14:paraId="25C5A17C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 xml:space="preserve">R  </w:t>
            </w:r>
          </w:p>
        </w:tc>
        <w:tc>
          <w:tcPr>
            <w:tcW w:w="1060" w:type="pct"/>
            <w:noWrap/>
            <w:vAlign w:val="center"/>
            <w:hideMark/>
          </w:tcPr>
          <w:p w14:paraId="29D0C5D3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18 (22.2%)</w:t>
            </w:r>
          </w:p>
        </w:tc>
        <w:tc>
          <w:tcPr>
            <w:tcW w:w="1060" w:type="pct"/>
            <w:noWrap/>
            <w:vAlign w:val="center"/>
            <w:hideMark/>
          </w:tcPr>
          <w:p w14:paraId="4941F6D5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63 (77.8%)</w:t>
            </w:r>
          </w:p>
        </w:tc>
        <w:tc>
          <w:tcPr>
            <w:tcW w:w="936" w:type="pct"/>
            <w:noWrap/>
            <w:vAlign w:val="center"/>
            <w:hideMark/>
          </w:tcPr>
          <w:p w14:paraId="02A738A7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81 (100%)</w:t>
            </w:r>
          </w:p>
        </w:tc>
      </w:tr>
      <w:tr w:rsidR="00FC2301" w14:paraId="07E9CF4B" w14:textId="77777777" w:rsidTr="00FC2301">
        <w:trPr>
          <w:trHeight w:val="227"/>
          <w:jc w:val="center"/>
        </w:trPr>
        <w:tc>
          <w:tcPr>
            <w:tcW w:w="1061" w:type="pct"/>
            <w:vAlign w:val="center"/>
            <w:hideMark/>
          </w:tcPr>
          <w:p w14:paraId="6181D893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Total</w:t>
            </w:r>
          </w:p>
        </w:tc>
        <w:tc>
          <w:tcPr>
            <w:tcW w:w="883" w:type="pct"/>
            <w:vAlign w:val="center"/>
            <w:hideMark/>
          </w:tcPr>
          <w:p w14:paraId="4D5E5CB0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60" w:type="pct"/>
            <w:noWrap/>
            <w:vAlign w:val="center"/>
            <w:hideMark/>
          </w:tcPr>
          <w:p w14:paraId="3816AB3F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173 (67.1%)</w:t>
            </w:r>
          </w:p>
        </w:tc>
        <w:tc>
          <w:tcPr>
            <w:tcW w:w="1060" w:type="pct"/>
            <w:noWrap/>
            <w:vAlign w:val="center"/>
            <w:hideMark/>
          </w:tcPr>
          <w:p w14:paraId="58B46B86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85 (32.9%)</w:t>
            </w:r>
          </w:p>
        </w:tc>
        <w:tc>
          <w:tcPr>
            <w:tcW w:w="936" w:type="pct"/>
            <w:noWrap/>
            <w:vAlign w:val="center"/>
            <w:hideMark/>
          </w:tcPr>
          <w:p w14:paraId="1C8DD324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258 (100%)</w:t>
            </w:r>
          </w:p>
        </w:tc>
      </w:tr>
      <w:tr w:rsidR="00FC2301" w14:paraId="0115BD8E" w14:textId="77777777" w:rsidTr="00FC2301">
        <w:trPr>
          <w:trHeight w:val="227"/>
          <w:jc w:val="center"/>
        </w:trPr>
        <w:tc>
          <w:tcPr>
            <w:tcW w:w="1061" w:type="pct"/>
            <w:noWrap/>
            <w:vAlign w:val="center"/>
            <w:hideMark/>
          </w:tcPr>
          <w:p w14:paraId="2FC2211A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s-AR"/>
              </w:rPr>
              <w:t>P</w:t>
            </w:r>
          </w:p>
        </w:tc>
        <w:tc>
          <w:tcPr>
            <w:tcW w:w="883" w:type="pct"/>
            <w:vAlign w:val="center"/>
            <w:hideMark/>
          </w:tcPr>
          <w:p w14:paraId="457CA668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&lt;0.001</w:t>
            </w:r>
          </w:p>
        </w:tc>
        <w:tc>
          <w:tcPr>
            <w:tcW w:w="1060" w:type="pct"/>
            <w:noWrap/>
            <w:vAlign w:val="center"/>
            <w:hideMark/>
          </w:tcPr>
          <w:p w14:paraId="5A08B3F4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60" w:type="pct"/>
            <w:noWrap/>
            <w:vAlign w:val="center"/>
            <w:hideMark/>
          </w:tcPr>
          <w:p w14:paraId="1AEC7F1F" w14:textId="77777777" w:rsidR="00FC2301" w:rsidRDefault="00FC2301">
            <w:pPr>
              <w:rPr>
                <w:rFonts w:asciiTheme="minorHAnsi" w:eastAsiaTheme="minorHAnsi" w:hAnsiTheme="minorHAnsi" w:cstheme="minorBidi"/>
                <w:lang w:val="es-AR" w:eastAsia="es-AR"/>
              </w:rPr>
            </w:pPr>
          </w:p>
        </w:tc>
        <w:tc>
          <w:tcPr>
            <w:tcW w:w="936" w:type="pct"/>
            <w:noWrap/>
            <w:vAlign w:val="center"/>
            <w:hideMark/>
          </w:tcPr>
          <w:p w14:paraId="7DD575D1" w14:textId="77777777" w:rsidR="00FC2301" w:rsidRDefault="00FC2301">
            <w:pPr>
              <w:rPr>
                <w:rFonts w:asciiTheme="minorHAnsi" w:eastAsiaTheme="minorHAnsi" w:hAnsiTheme="minorHAnsi" w:cstheme="minorBidi"/>
                <w:lang w:val="es-AR" w:eastAsia="es-AR"/>
              </w:rPr>
            </w:pPr>
          </w:p>
        </w:tc>
      </w:tr>
      <w:tr w:rsidR="00FC2301" w14:paraId="484E7BEA" w14:textId="77777777" w:rsidTr="00FC2301">
        <w:trPr>
          <w:trHeight w:val="227"/>
          <w:jc w:val="center"/>
        </w:trPr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158FFB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s-AR"/>
              </w:rPr>
              <w:t>Kappa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416E25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0.645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2B5E34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C9C5C8" w14:textId="77777777" w:rsidR="00FC2301" w:rsidRDefault="00FC2301">
            <w:pPr>
              <w:rPr>
                <w:rFonts w:asciiTheme="minorHAnsi" w:eastAsiaTheme="minorHAnsi" w:hAnsiTheme="minorHAnsi" w:cstheme="minorBidi"/>
                <w:lang w:val="es-AR" w:eastAsia="es-AR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B58224" w14:textId="77777777" w:rsidR="00FC2301" w:rsidRDefault="00FC2301">
            <w:pPr>
              <w:rPr>
                <w:rFonts w:asciiTheme="minorHAnsi" w:eastAsiaTheme="minorHAnsi" w:hAnsiTheme="minorHAnsi" w:cstheme="minorBidi"/>
                <w:lang w:val="es-AR" w:eastAsia="es-AR"/>
              </w:rPr>
            </w:pPr>
          </w:p>
        </w:tc>
      </w:tr>
      <w:tr w:rsidR="00FC2301" w14:paraId="5F0D3A50" w14:textId="77777777" w:rsidTr="00FC2301">
        <w:trPr>
          <w:trHeight w:val="227"/>
          <w:jc w:val="center"/>
        </w:trPr>
        <w:tc>
          <w:tcPr>
            <w:tcW w:w="194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F49BE0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Trimethoprim sulfamethoxazole (TMS)</w:t>
            </w:r>
          </w:p>
        </w:tc>
        <w:tc>
          <w:tcPr>
            <w:tcW w:w="2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0C8804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DDT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CAB84D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Total</w:t>
            </w:r>
          </w:p>
        </w:tc>
      </w:tr>
      <w:tr w:rsidR="00FC2301" w14:paraId="63EBDA70" w14:textId="77777777" w:rsidTr="00FC2301">
        <w:trPr>
          <w:trHeight w:val="2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82EED3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10CD5F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S n (%)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A3A29B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R n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A20021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C2301" w14:paraId="196E4DD0" w14:textId="77777777" w:rsidTr="00FC2301">
        <w:trPr>
          <w:trHeight w:val="227"/>
          <w:jc w:val="center"/>
        </w:trPr>
        <w:tc>
          <w:tcPr>
            <w:tcW w:w="10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27DC77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CIM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41C302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S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E2EE47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201 (96.6%)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DC0FBA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7 (3.4%)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544F2E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208 (100%)</w:t>
            </w:r>
          </w:p>
        </w:tc>
      </w:tr>
      <w:tr w:rsidR="00FC2301" w14:paraId="6875A556" w14:textId="77777777" w:rsidTr="00FC2301">
        <w:trPr>
          <w:trHeight w:val="227"/>
          <w:jc w:val="center"/>
        </w:trPr>
        <w:tc>
          <w:tcPr>
            <w:tcW w:w="1061" w:type="pct"/>
            <w:vAlign w:val="center"/>
            <w:hideMark/>
          </w:tcPr>
          <w:p w14:paraId="37ABDD95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883" w:type="pct"/>
            <w:vAlign w:val="center"/>
            <w:hideMark/>
          </w:tcPr>
          <w:p w14:paraId="57607FBC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 xml:space="preserve">R  </w:t>
            </w:r>
          </w:p>
        </w:tc>
        <w:tc>
          <w:tcPr>
            <w:tcW w:w="1060" w:type="pct"/>
            <w:noWrap/>
            <w:vAlign w:val="center"/>
            <w:hideMark/>
          </w:tcPr>
          <w:p w14:paraId="2C112AA3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10 (20%)</w:t>
            </w:r>
          </w:p>
        </w:tc>
        <w:tc>
          <w:tcPr>
            <w:tcW w:w="1060" w:type="pct"/>
            <w:noWrap/>
            <w:vAlign w:val="center"/>
            <w:hideMark/>
          </w:tcPr>
          <w:p w14:paraId="299D72CD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40 (80%)</w:t>
            </w:r>
          </w:p>
        </w:tc>
        <w:tc>
          <w:tcPr>
            <w:tcW w:w="936" w:type="pct"/>
            <w:noWrap/>
            <w:vAlign w:val="center"/>
            <w:hideMark/>
          </w:tcPr>
          <w:p w14:paraId="1849F62C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50 (100%)</w:t>
            </w:r>
          </w:p>
        </w:tc>
      </w:tr>
      <w:tr w:rsidR="00FC2301" w14:paraId="19D92C47" w14:textId="77777777" w:rsidTr="00FC2301">
        <w:trPr>
          <w:trHeight w:val="227"/>
          <w:jc w:val="center"/>
        </w:trPr>
        <w:tc>
          <w:tcPr>
            <w:tcW w:w="1061" w:type="pct"/>
            <w:vAlign w:val="center"/>
            <w:hideMark/>
          </w:tcPr>
          <w:p w14:paraId="0454CCA8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Total</w:t>
            </w:r>
          </w:p>
        </w:tc>
        <w:tc>
          <w:tcPr>
            <w:tcW w:w="883" w:type="pct"/>
            <w:vAlign w:val="center"/>
            <w:hideMark/>
          </w:tcPr>
          <w:p w14:paraId="443BF889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60" w:type="pct"/>
            <w:noWrap/>
            <w:vAlign w:val="center"/>
            <w:hideMark/>
          </w:tcPr>
          <w:p w14:paraId="4BBA7FC1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211 (81.8%)</w:t>
            </w:r>
          </w:p>
        </w:tc>
        <w:tc>
          <w:tcPr>
            <w:tcW w:w="1060" w:type="pct"/>
            <w:noWrap/>
            <w:vAlign w:val="center"/>
            <w:hideMark/>
          </w:tcPr>
          <w:p w14:paraId="4CC3DCBD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47 (18.2%)</w:t>
            </w:r>
          </w:p>
        </w:tc>
        <w:tc>
          <w:tcPr>
            <w:tcW w:w="936" w:type="pct"/>
            <w:noWrap/>
            <w:vAlign w:val="center"/>
            <w:hideMark/>
          </w:tcPr>
          <w:p w14:paraId="10F81F65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258 (100%)</w:t>
            </w:r>
          </w:p>
        </w:tc>
      </w:tr>
      <w:tr w:rsidR="00FC2301" w14:paraId="078194A7" w14:textId="77777777" w:rsidTr="00FC2301">
        <w:trPr>
          <w:trHeight w:val="227"/>
          <w:jc w:val="center"/>
        </w:trPr>
        <w:tc>
          <w:tcPr>
            <w:tcW w:w="1061" w:type="pct"/>
            <w:noWrap/>
            <w:vAlign w:val="center"/>
            <w:hideMark/>
          </w:tcPr>
          <w:p w14:paraId="3B845751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s-AR"/>
              </w:rPr>
              <w:t>P</w:t>
            </w:r>
          </w:p>
        </w:tc>
        <w:tc>
          <w:tcPr>
            <w:tcW w:w="883" w:type="pct"/>
            <w:vAlign w:val="center"/>
            <w:hideMark/>
          </w:tcPr>
          <w:p w14:paraId="5F1688C1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&lt;0.001</w:t>
            </w:r>
          </w:p>
        </w:tc>
        <w:tc>
          <w:tcPr>
            <w:tcW w:w="1060" w:type="pct"/>
            <w:noWrap/>
            <w:vAlign w:val="center"/>
            <w:hideMark/>
          </w:tcPr>
          <w:p w14:paraId="7E893524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60" w:type="pct"/>
            <w:noWrap/>
            <w:vAlign w:val="center"/>
            <w:hideMark/>
          </w:tcPr>
          <w:p w14:paraId="70C8AEE5" w14:textId="77777777" w:rsidR="00FC2301" w:rsidRDefault="00FC2301">
            <w:pPr>
              <w:rPr>
                <w:rFonts w:asciiTheme="minorHAnsi" w:eastAsiaTheme="minorHAnsi" w:hAnsiTheme="minorHAnsi" w:cstheme="minorBidi"/>
                <w:lang w:val="es-AR" w:eastAsia="es-AR"/>
              </w:rPr>
            </w:pPr>
          </w:p>
        </w:tc>
        <w:tc>
          <w:tcPr>
            <w:tcW w:w="936" w:type="pct"/>
            <w:noWrap/>
            <w:vAlign w:val="center"/>
            <w:hideMark/>
          </w:tcPr>
          <w:p w14:paraId="5DEA7B1B" w14:textId="77777777" w:rsidR="00FC2301" w:rsidRDefault="00FC2301">
            <w:pPr>
              <w:rPr>
                <w:rFonts w:asciiTheme="minorHAnsi" w:eastAsiaTheme="minorHAnsi" w:hAnsiTheme="minorHAnsi" w:cstheme="minorBidi"/>
                <w:lang w:val="es-AR" w:eastAsia="es-AR"/>
              </w:rPr>
            </w:pPr>
          </w:p>
        </w:tc>
      </w:tr>
      <w:tr w:rsidR="00FC2301" w14:paraId="327F6C75" w14:textId="77777777" w:rsidTr="00FC2301">
        <w:trPr>
          <w:trHeight w:val="227"/>
          <w:jc w:val="center"/>
        </w:trPr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3075FB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s-AR"/>
              </w:rPr>
              <w:t>Kappa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2AD137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0.784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A8D2D9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AD7438" w14:textId="77777777" w:rsidR="00FC2301" w:rsidRDefault="00FC2301">
            <w:pPr>
              <w:rPr>
                <w:rFonts w:asciiTheme="minorHAnsi" w:eastAsiaTheme="minorHAnsi" w:hAnsiTheme="minorHAnsi" w:cstheme="minorBidi"/>
                <w:lang w:val="es-AR" w:eastAsia="es-AR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507AB0" w14:textId="77777777" w:rsidR="00FC2301" w:rsidRDefault="00FC2301">
            <w:pPr>
              <w:rPr>
                <w:rFonts w:asciiTheme="minorHAnsi" w:eastAsiaTheme="minorHAnsi" w:hAnsiTheme="minorHAnsi" w:cstheme="minorBidi"/>
                <w:lang w:val="es-AR" w:eastAsia="es-AR"/>
              </w:rPr>
            </w:pPr>
          </w:p>
        </w:tc>
      </w:tr>
      <w:tr w:rsidR="00FC2301" w14:paraId="5D72D4EC" w14:textId="77777777" w:rsidTr="00FC2301">
        <w:trPr>
          <w:trHeight w:val="227"/>
          <w:jc w:val="center"/>
        </w:trPr>
        <w:tc>
          <w:tcPr>
            <w:tcW w:w="1944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709906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Enrofloxacin</w:t>
            </w:r>
          </w:p>
        </w:tc>
        <w:tc>
          <w:tcPr>
            <w:tcW w:w="2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AB50D3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DDT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4879BC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Total</w:t>
            </w:r>
          </w:p>
        </w:tc>
      </w:tr>
      <w:tr w:rsidR="00FC2301" w14:paraId="2A529DDD" w14:textId="77777777" w:rsidTr="00FC2301">
        <w:trPr>
          <w:trHeight w:val="2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95F4158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5A9E1D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S n (%)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70B3E0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R n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B15D3C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FC2301" w14:paraId="7F186272" w14:textId="77777777" w:rsidTr="00FC2301">
        <w:trPr>
          <w:trHeight w:val="227"/>
          <w:jc w:val="center"/>
        </w:trPr>
        <w:tc>
          <w:tcPr>
            <w:tcW w:w="1061" w:type="pct"/>
            <w:vAlign w:val="center"/>
            <w:hideMark/>
          </w:tcPr>
          <w:p w14:paraId="3E7F03AC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MIC</w:t>
            </w:r>
          </w:p>
        </w:tc>
        <w:tc>
          <w:tcPr>
            <w:tcW w:w="883" w:type="pct"/>
            <w:vAlign w:val="center"/>
            <w:hideMark/>
          </w:tcPr>
          <w:p w14:paraId="29BCB5E7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S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9B1F48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192 (94.1%)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BE81F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12 (5.9%)</w:t>
            </w:r>
          </w:p>
        </w:tc>
        <w:tc>
          <w:tcPr>
            <w:tcW w:w="936" w:type="pct"/>
            <w:noWrap/>
            <w:vAlign w:val="center"/>
            <w:hideMark/>
          </w:tcPr>
          <w:p w14:paraId="54D4B45E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204 (100%)</w:t>
            </w:r>
          </w:p>
        </w:tc>
      </w:tr>
      <w:tr w:rsidR="00FC2301" w14:paraId="69278121" w14:textId="77777777" w:rsidTr="00FC2301">
        <w:trPr>
          <w:trHeight w:val="227"/>
          <w:jc w:val="center"/>
        </w:trPr>
        <w:tc>
          <w:tcPr>
            <w:tcW w:w="1061" w:type="pct"/>
            <w:vAlign w:val="center"/>
            <w:hideMark/>
          </w:tcPr>
          <w:p w14:paraId="6585A99F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883" w:type="pct"/>
            <w:vAlign w:val="center"/>
            <w:hideMark/>
          </w:tcPr>
          <w:p w14:paraId="53C91C7E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 xml:space="preserve">R  </w:t>
            </w:r>
          </w:p>
        </w:tc>
        <w:tc>
          <w:tcPr>
            <w:tcW w:w="1060" w:type="pct"/>
            <w:noWrap/>
            <w:vAlign w:val="center"/>
            <w:hideMark/>
          </w:tcPr>
          <w:p w14:paraId="6556DE8B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14 (25.9%)</w:t>
            </w:r>
          </w:p>
        </w:tc>
        <w:tc>
          <w:tcPr>
            <w:tcW w:w="1060" w:type="pct"/>
            <w:noWrap/>
            <w:vAlign w:val="center"/>
            <w:hideMark/>
          </w:tcPr>
          <w:p w14:paraId="50A4735B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40 (74.1%)</w:t>
            </w:r>
          </w:p>
        </w:tc>
        <w:tc>
          <w:tcPr>
            <w:tcW w:w="936" w:type="pct"/>
            <w:noWrap/>
            <w:vAlign w:val="center"/>
            <w:hideMark/>
          </w:tcPr>
          <w:p w14:paraId="4FEA435F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54 (100%)</w:t>
            </w:r>
          </w:p>
        </w:tc>
      </w:tr>
      <w:tr w:rsidR="00FC2301" w14:paraId="6EB0DEC1" w14:textId="77777777" w:rsidTr="00FC2301">
        <w:trPr>
          <w:trHeight w:val="227"/>
          <w:jc w:val="center"/>
        </w:trPr>
        <w:tc>
          <w:tcPr>
            <w:tcW w:w="1061" w:type="pct"/>
            <w:vAlign w:val="center"/>
            <w:hideMark/>
          </w:tcPr>
          <w:p w14:paraId="2B91C53A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Total</w:t>
            </w:r>
          </w:p>
        </w:tc>
        <w:tc>
          <w:tcPr>
            <w:tcW w:w="883" w:type="pct"/>
            <w:vAlign w:val="center"/>
            <w:hideMark/>
          </w:tcPr>
          <w:p w14:paraId="12480DAD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60" w:type="pct"/>
            <w:noWrap/>
            <w:vAlign w:val="center"/>
            <w:hideMark/>
          </w:tcPr>
          <w:p w14:paraId="714163E3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206 (79.8%)</w:t>
            </w:r>
          </w:p>
        </w:tc>
        <w:tc>
          <w:tcPr>
            <w:tcW w:w="1060" w:type="pct"/>
            <w:noWrap/>
            <w:vAlign w:val="center"/>
            <w:hideMark/>
          </w:tcPr>
          <w:p w14:paraId="74A1E496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52 (20.2%)</w:t>
            </w:r>
          </w:p>
        </w:tc>
        <w:tc>
          <w:tcPr>
            <w:tcW w:w="936" w:type="pct"/>
            <w:noWrap/>
            <w:vAlign w:val="center"/>
            <w:hideMark/>
          </w:tcPr>
          <w:p w14:paraId="01CB48B4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258 (100%)</w:t>
            </w:r>
          </w:p>
        </w:tc>
      </w:tr>
      <w:tr w:rsidR="00FC2301" w14:paraId="179863F8" w14:textId="77777777" w:rsidTr="00FC2301">
        <w:trPr>
          <w:trHeight w:val="227"/>
          <w:jc w:val="center"/>
        </w:trPr>
        <w:tc>
          <w:tcPr>
            <w:tcW w:w="1061" w:type="pct"/>
            <w:noWrap/>
            <w:vAlign w:val="center"/>
            <w:hideMark/>
          </w:tcPr>
          <w:p w14:paraId="125E8941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s-AR"/>
              </w:rPr>
              <w:t>P</w:t>
            </w:r>
          </w:p>
        </w:tc>
        <w:tc>
          <w:tcPr>
            <w:tcW w:w="883" w:type="pct"/>
            <w:vAlign w:val="center"/>
            <w:hideMark/>
          </w:tcPr>
          <w:p w14:paraId="4FC445D3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&lt;0.001</w:t>
            </w:r>
          </w:p>
        </w:tc>
        <w:tc>
          <w:tcPr>
            <w:tcW w:w="1060" w:type="pct"/>
            <w:noWrap/>
            <w:vAlign w:val="center"/>
            <w:hideMark/>
          </w:tcPr>
          <w:p w14:paraId="37B786DF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60" w:type="pct"/>
            <w:noWrap/>
            <w:vAlign w:val="center"/>
            <w:hideMark/>
          </w:tcPr>
          <w:p w14:paraId="16BDDCF9" w14:textId="77777777" w:rsidR="00FC2301" w:rsidRDefault="00FC2301">
            <w:pPr>
              <w:rPr>
                <w:rFonts w:asciiTheme="minorHAnsi" w:eastAsiaTheme="minorHAnsi" w:hAnsiTheme="minorHAnsi" w:cstheme="minorBidi"/>
                <w:lang w:val="es-AR" w:eastAsia="es-AR"/>
              </w:rPr>
            </w:pPr>
          </w:p>
        </w:tc>
        <w:tc>
          <w:tcPr>
            <w:tcW w:w="936" w:type="pct"/>
            <w:noWrap/>
            <w:vAlign w:val="center"/>
            <w:hideMark/>
          </w:tcPr>
          <w:p w14:paraId="0CD30CA2" w14:textId="77777777" w:rsidR="00FC2301" w:rsidRDefault="00FC2301">
            <w:pPr>
              <w:rPr>
                <w:rFonts w:asciiTheme="minorHAnsi" w:eastAsiaTheme="minorHAnsi" w:hAnsiTheme="minorHAnsi" w:cstheme="minorBidi"/>
                <w:lang w:val="es-AR" w:eastAsia="es-AR"/>
              </w:rPr>
            </w:pPr>
          </w:p>
        </w:tc>
      </w:tr>
      <w:tr w:rsidR="00FC2301" w14:paraId="0A3C5290" w14:textId="77777777" w:rsidTr="00FC2301">
        <w:trPr>
          <w:trHeight w:val="227"/>
          <w:jc w:val="center"/>
        </w:trPr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3FCEA6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s-AR"/>
              </w:rPr>
              <w:t>Kappa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E7A0ED" w14:textId="77777777" w:rsidR="00FC2301" w:rsidRDefault="00FC2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0.691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159025" w14:textId="77777777" w:rsidR="00FC2301" w:rsidRDefault="00FC2301">
            <w:pP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47B26F" w14:textId="77777777" w:rsidR="00FC2301" w:rsidRDefault="00FC2301">
            <w:pPr>
              <w:rPr>
                <w:rFonts w:asciiTheme="minorHAnsi" w:eastAsiaTheme="minorHAnsi" w:hAnsiTheme="minorHAnsi" w:cstheme="minorBidi"/>
                <w:lang w:val="es-AR" w:eastAsia="es-AR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9521BF" w14:textId="77777777" w:rsidR="00FC2301" w:rsidRDefault="00FC2301">
            <w:pPr>
              <w:rPr>
                <w:rFonts w:asciiTheme="minorHAnsi" w:eastAsiaTheme="minorHAnsi" w:hAnsiTheme="minorHAnsi" w:cstheme="minorBidi"/>
                <w:lang w:val="es-AR" w:eastAsia="es-AR"/>
              </w:rPr>
            </w:pPr>
          </w:p>
        </w:tc>
      </w:tr>
    </w:tbl>
    <w:p w14:paraId="47381E4D" w14:textId="77777777" w:rsidR="00FC2301" w:rsidRDefault="00FC2301" w:rsidP="00FC2301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Reference: S= Susceptible, R= Resistant</w:t>
      </w:r>
    </w:p>
    <w:p w14:paraId="03147761" w14:textId="77777777" w:rsidR="00FC2301" w:rsidRDefault="00FC2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32DF34" w14:textId="63560FAA" w:rsidR="00FC2301" w:rsidRDefault="00FC2301" w:rsidP="00FC230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Figure 1</w:t>
      </w:r>
      <w:r w:rsidR="00CF7A80">
        <w:rPr>
          <w:rFonts w:ascii="Times New Roman" w:hAnsi="Times New Roman" w:cs="Times New Roman"/>
          <w:sz w:val="24"/>
          <w:szCs w:val="24"/>
        </w:rPr>
        <w:t xml:space="preserve"> supplementary file</w:t>
      </w:r>
      <w:r>
        <w:rPr>
          <w:rFonts w:ascii="Times New Roman" w:hAnsi="Times New Roman" w:cs="Times New Roman"/>
          <w:sz w:val="24"/>
          <w:szCs w:val="24"/>
        </w:rPr>
        <w:t>. Holstein calves weight in SM (saleable milk) and PWM (pasteurized waste milk) treatment groups throughout the study.</w:t>
      </w:r>
    </w:p>
    <w:p w14:paraId="0FA9BF1C" w14:textId="3869D9E7" w:rsidR="00FC2301" w:rsidRDefault="00FC2301" w:rsidP="00FC230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w:drawing>
          <wp:inline distT="0" distB="0" distL="0" distR="0" wp14:anchorId="319D6864" wp14:editId="1B9B85D4">
            <wp:extent cx="4362450" cy="539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412C5" w14:textId="291BBE60" w:rsidR="00765399" w:rsidRPr="00FC2301" w:rsidRDefault="00765399">
      <w:pPr>
        <w:rPr>
          <w:rFonts w:ascii="Times New Roman" w:hAnsi="Times New Roman" w:cs="Times New Roman"/>
          <w:sz w:val="24"/>
          <w:szCs w:val="24"/>
        </w:rPr>
      </w:pPr>
    </w:p>
    <w:sectPr w:rsidR="00765399" w:rsidRPr="00FC2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E3"/>
    <w:rsid w:val="00242F71"/>
    <w:rsid w:val="002745B2"/>
    <w:rsid w:val="002F5336"/>
    <w:rsid w:val="00310EF6"/>
    <w:rsid w:val="0032385D"/>
    <w:rsid w:val="004113D0"/>
    <w:rsid w:val="00582E71"/>
    <w:rsid w:val="00584807"/>
    <w:rsid w:val="006B7DD9"/>
    <w:rsid w:val="00743B0D"/>
    <w:rsid w:val="00765399"/>
    <w:rsid w:val="00847500"/>
    <w:rsid w:val="00862B31"/>
    <w:rsid w:val="00953C34"/>
    <w:rsid w:val="009B03C8"/>
    <w:rsid w:val="00A5547D"/>
    <w:rsid w:val="00AE5849"/>
    <w:rsid w:val="00B1550C"/>
    <w:rsid w:val="00B71B49"/>
    <w:rsid w:val="00B733BF"/>
    <w:rsid w:val="00BD320E"/>
    <w:rsid w:val="00C05884"/>
    <w:rsid w:val="00C875E3"/>
    <w:rsid w:val="00CA30BB"/>
    <w:rsid w:val="00CF7A80"/>
    <w:rsid w:val="00D30FF8"/>
    <w:rsid w:val="00D64486"/>
    <w:rsid w:val="00F216F1"/>
    <w:rsid w:val="00FC2301"/>
    <w:rsid w:val="00F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EB9E"/>
  <w15:chartTrackingRefBased/>
  <w15:docId w15:val="{C45CB724-3239-4C8D-BD47-B13FEF1C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5E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FC2301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0588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0C"/>
    <w:rPr>
      <w:rFonts w:ascii="Segoe UI" w:hAnsi="Segoe UI" w:cs="Segoe UI"/>
      <w:sz w:val="18"/>
      <w:szCs w:val="18"/>
      <w:lang w:val="en-US"/>
    </w:rPr>
  </w:style>
  <w:style w:type="paragraph" w:styleId="Revisin">
    <w:name w:val="Revision"/>
    <w:hidden/>
    <w:uiPriority w:val="99"/>
    <w:semiHidden/>
    <w:rsid w:val="00F216F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i.org/10.1016/j.prevetmed.2013.10.019" TargetMode="External"/><Relationship Id="rId4" Type="http://schemas.openxmlformats.org/officeDocument/2006/relationships/hyperlink" Target="https://doi.org/10.1016/s0034-5288(18)33703-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2203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INTA</Company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Ines Molineri</dc:creator>
  <cp:keywords/>
  <dc:description/>
  <cp:lastModifiedBy>Ana Molineri</cp:lastModifiedBy>
  <cp:revision>5</cp:revision>
  <dcterms:created xsi:type="dcterms:W3CDTF">2023-12-29T14:45:00Z</dcterms:created>
  <dcterms:modified xsi:type="dcterms:W3CDTF">2023-12-29T17:07:00Z</dcterms:modified>
</cp:coreProperties>
</file>