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A37F" w14:textId="18C86CC8" w:rsidR="00A84E9A" w:rsidRPr="00A84E9A" w:rsidRDefault="00A84E9A" w:rsidP="00780051">
      <w:pPr>
        <w:spacing w:line="480" w:lineRule="auto"/>
        <w:jc w:val="center"/>
        <w:rPr>
          <w:b/>
          <w:bCs/>
        </w:rPr>
      </w:pPr>
      <w:r w:rsidRPr="00A84E9A">
        <w:rPr>
          <w:b/>
          <w:bCs/>
        </w:rPr>
        <w:t>Supplementary Online Appendix for:</w:t>
      </w:r>
    </w:p>
    <w:p w14:paraId="179795C3" w14:textId="3443779E" w:rsidR="00A84E9A" w:rsidRDefault="00A84E9A" w:rsidP="00780051">
      <w:pPr>
        <w:spacing w:line="480" w:lineRule="auto"/>
        <w:jc w:val="center"/>
        <w:rPr>
          <w:b/>
          <w:bCs/>
        </w:rPr>
      </w:pPr>
      <w:r w:rsidRPr="004605A4">
        <w:rPr>
          <w:b/>
          <w:bCs/>
        </w:rPr>
        <w:t>Policing Neighborhood Boundaries and the Racialized Social Control of Spaces</w:t>
      </w:r>
    </w:p>
    <w:p w14:paraId="15FE1499" w14:textId="77777777" w:rsidR="00780051" w:rsidRDefault="00780051" w:rsidP="00780051">
      <w:pPr>
        <w:spacing w:line="480" w:lineRule="auto"/>
        <w:jc w:val="center"/>
        <w:rPr>
          <w:b/>
          <w:bCs/>
        </w:rPr>
      </w:pPr>
    </w:p>
    <w:p w14:paraId="3DC38C58" w14:textId="5F6D2B5F" w:rsidR="0028702F" w:rsidRPr="004605A4" w:rsidRDefault="0028702F" w:rsidP="0028702F">
      <w:pPr>
        <w:spacing w:line="480" w:lineRule="auto"/>
        <w:rPr>
          <w:b/>
          <w:bCs/>
        </w:rPr>
      </w:pPr>
      <w:r w:rsidRPr="004605A4">
        <w:rPr>
          <w:b/>
          <w:bCs/>
        </w:rPr>
        <w:t>F</w:t>
      </w:r>
      <w:r w:rsidR="00780051">
        <w:rPr>
          <w:b/>
          <w:bCs/>
        </w:rPr>
        <w:t>urther Details on the Mediation Analysis</w:t>
      </w:r>
    </w:p>
    <w:p w14:paraId="11EBD40E" w14:textId="77777777" w:rsidR="0028702F" w:rsidRPr="004605A4" w:rsidRDefault="0028702F" w:rsidP="0028702F">
      <w:pPr>
        <w:spacing w:line="480" w:lineRule="auto"/>
        <w:jc w:val="both"/>
      </w:pPr>
      <w:r w:rsidRPr="004605A4">
        <w:rPr>
          <w:color w:val="000000" w:themeColor="text1"/>
        </w:rPr>
        <w:t>Controlled Direct Effects (CDEs)</w:t>
      </w:r>
      <w:r w:rsidRPr="004605A4">
        <w:t xml:space="preserve"> focus on the causal relationship between a treatment and outcome while fixing a mediator at a particular value for all units </w:t>
      </w:r>
      <w:r w:rsidRPr="004605A4">
        <w:fldChar w:fldCharType="begin"/>
      </w:r>
      <w:r>
        <w:instrText xml:space="preserve"> ADDIN ZOTERO_ITEM CSL_CITATION {"citationID":"6JlLrg30","properties":{"formattedCitation":"(Acharya, Blackwell, and Sen 2016; 2018; Robins 2003; Zhou and Wodtke 2019)","plainCitation":"(Acharya, Blackwell, and Sen 2016; 2018; Robins 2003; Zhou and Wodtke 2019)","noteIndex":0},"citationItems":[{"id":"DgdHTbUt/H3T8JxNa","uris":["http://zotero.org/users/10268/items/4J7CTYZ2"],"itemData":{"id":17944,"type":"article-journal","abstract":"Researchers seeking to establish causal relationships frequently control for variables on the purported causal pathway, checking whether the original treatment effect then disappears. Unfortunately, this common approach may lead to biased estimates. In this article, we show that the bias can be avoided by focusing on a quantity of interest called the controlled direct effect. Under certain conditions, the controlled direct effect enables researchers to rule out competing explanations—an important objective for political scientists. To estimate the controlled direct effect without bias, we describe an easy-to-implement estimation strategy from the biostatistics literature. We extend this approach by deriving a consistent variance estimator and demonstrating how to conduct a sensitivity analysis. Two examples—one on ethnic fractionalization’s effect on civil war and one on the impact of historical plough use on contemporary female political participation—illustrate the framework and methodology.","container-title":"American Political Science Review","DOI":"10.1017/S0003055416000216","ISSN":"0003-0554, 1537-5943","issue":"3","page":"512-529","source":"Cambridge Core","title":"Explaining Causal Findings Without Bias: Detecting and Assessing Direct Effects","title-short":"Explaining Causal Findings Without Bias","volume":"110","author":[{"family":"Acharya","given":"Avidit"},{"family":"Blackwell","given":"Matthew"},{"family":"Sen","given":"Maya"}],"issued":{"date-parts":[["2016",8]]}}},{"id":"DgdHTbUt/J0i76r6y","uris":["http://zotero.org/users/10268/items/8AJ3UWIZ"],"itemData":{"id":19354,"type":"article-journal","abstract":"Researchers investigating causal mechanisms in survey experiments often rely on nonrandomized quantities to isolate the indirect effect of treatment through these variables. Such an approach, however, requires a “selection-on-observables” assumption, which undermines the advantages of a randomized experiment. In this paper, we show what can be learned about casual mechanisms through experimental design alone. We propose a factorial design that provides or withholds information on mediating variables and allows for the identification of the overall average treatment effect and the controlled direct effect of treatment fixing a potential mediator. While this design cannot identify indirect effects on its own, it avoids making the selection-on-observable assumption of the standard mediation approach while providing evidence for a broader understanding of causal mechanisms that encompasses both indirect effects and interactions. We illustrate these approaches via two examples: one on evaluations of US Supreme Court nominees and the other on perceptions of the democratic peace.","container-title":"Political Analysis","DOI":"10.1017/pan.2018.19","ISSN":"1047-1987, 1476-4989","issue":"4","language":"en","page":"357-378","source":"Cambridge Core","title":"Analyzing Causal Mechanisms in Survey Experiments","volume":"26","author":[{"family":"Acharya","given":"Avidit"},{"family":"Blackwell","given":"Matthew"},{"family":"Sen","given":"Maya"}],"issued":{"date-parts":[["2018",10]]}}},{"id":"DgdHTbUt/wAPNDDXX","uris":["http://zotero.org/users/10268/items/IJ6GFUQL"],"itemData":{"id":18336,"type":"chapter","container-title":"Highly Structured Stochastic Systems","event-place":"Oxford University Press","page":"70–81","publisher":"Oxford","publisher-place":"Oxford University Press","source":"Google Scholar","title":"Semantics of causal DAG models and the identification of direct and indirect effects","URL":"https://cdn1.sph.harvard.edu/wp-content/uploads/sites/343/2013/03/semantics.pdf","author":[{"family":"Robins","given":"James M."}],"editor":[{"family":"Green","given":"Peter J."},{"family":"Hjort","given":"Nils Lid"},{"family":"Richardson","given":"Sylvia"}],"accessed":{"date-parts":[["2017",9,6]]},"issued":{"date-parts":[["2003"]]}}},{"id":"DgdHTbUt/yoWTvtWQ","uris":["http://zotero.org/users/10268/items/8QRQ7M67"],"itemData":{"id":19900,"type":"article-journal","container-title":"Political Analysis","DOI":"10.1017/pan.2018.53","ISSN":"1047-1987, 1476-4989","issue":"3","language":"en","page":"360-369","source":"Crossref","title":"A Regression-with-Residuals Method for Estimating Controlled Direct Effects","volume":"27","author":[{"family":"Zhou","given":"Xiang"},{"family":"Wodtke","given":"Geoffrey T."}],"issued":{"date-parts":[["2019"]]}}}],"schema":"https://github.com/citation-style-language/schema/raw/master/csl-citation.json"} </w:instrText>
      </w:r>
      <w:r w:rsidRPr="004605A4">
        <w:fldChar w:fldCharType="separate"/>
      </w:r>
      <w:r>
        <w:rPr>
          <w:noProof/>
        </w:rPr>
        <w:t>(Acharya, Blackwell, and Sen 2016; 2018; Robins 2003; Zhou and Wodtke 2019)</w:t>
      </w:r>
      <w:r w:rsidRPr="004605A4">
        <w:fldChar w:fldCharType="end"/>
      </w:r>
      <w:r w:rsidRPr="004605A4">
        <w:t xml:space="preserve">. While CDEs do not allow us to decompose the total effect of boundaries into the direct and indirect effect through the three mediators, they enable two key interpretations (Acharya et al. 2016, 2018; Zhou and </w:t>
      </w:r>
      <w:proofErr w:type="spellStart"/>
      <w:r w:rsidRPr="004605A4">
        <w:t>Wodtke</w:t>
      </w:r>
      <w:proofErr w:type="spellEnd"/>
      <w:r w:rsidRPr="004605A4">
        <w:t xml:space="preserve"> 2019). First, a CDE can tell us whether the causal effect of a treatment on the outcome does (zero CDE) or does not (nonzero CDE) solely operate through the mediator. Second, comparing the total effect and the CDE makes it possible to determine the extent to which the mediator accounts for the relationship between the treatment and outcome. The key advantage of CDEs is that they are identified under weaker assumptions.</w:t>
      </w:r>
    </w:p>
    <w:p w14:paraId="1F32C686" w14:textId="5BF751F0" w:rsidR="0028702F" w:rsidRDefault="0028702F" w:rsidP="0028702F">
      <w:pPr>
        <w:spacing w:line="480" w:lineRule="auto"/>
        <w:ind w:firstLine="720"/>
        <w:jc w:val="both"/>
      </w:pPr>
      <w:r w:rsidRPr="004605A4">
        <w:rPr>
          <w:color w:val="000000" w:themeColor="text1"/>
        </w:rPr>
        <w:t xml:space="preserve">The estimates are based on regression-based causal mediation analysis using a negative binominal regression for the outcome model (i.e., stop counts) and a linear regression for the mediator model (i.e., the crime measures) with the same set of covariates used in Model 2 </w:t>
      </w:r>
      <w:r w:rsidRPr="004605A4">
        <w:rPr>
          <w:color w:val="000000" w:themeColor="text1"/>
        </w:rPr>
        <w:fldChar w:fldCharType="begin"/>
      </w:r>
      <w:r>
        <w:rPr>
          <w:color w:val="000000" w:themeColor="text1"/>
        </w:rPr>
        <w:instrText xml:space="preserve"> ADDIN ZOTERO_ITEM CSL_CITATION {"citationID":"KR8zmt80","properties":{"formattedCitation":"(Valeri and VanderWeele 2013)","plainCitation":"(Valeri and VanderWeele 2013)","noteIndex":0},"citationItems":[{"id":"DgdHTbUt/PDjwhbm1","uris":["http://zotero.org/users/10268/items/E7UUDID2"],"itemData":{"id":20199,"type":"article-journal","abstract":"Mediation analysis is a useful and widely employed approach to studies in the field of psychology and in the social and biomedical sciences. The contributions of this article are several-fold. First we seek to bring the developments in mediation analysis for nonlinear models within the counterfactual framework to the psychology audience in an accessible format and compare the sorts of inferences about mediation that are possible in the presence of exposure–mediator interaction when using a counterfactual versus the standard statistical approach. Second, the work by VanderWeele and Vansteelandt (2009, 2010) is extended here to allow for dichotomous mediators and count outcomes. Third, we provide SAS and SPSS macros to implement all of these mediation analysis techniques automatically, and we compare the types of inferences about mediation that are allowed by a variety of software macros.","container-title":"Psychological Methods","DOI":"10.1037/a0031034","ISSN":"1939-1463, 1082-989X","issue":"2","journalAbbreviation":"Psychological Methods","language":"en","page":"137-150","source":"DOI.org (Crossref)","title":"Mediation analysis allowing for exposure–mediator interactions and causal interpretation: Theoretical assumptions and implementation with SAS and SPSS macros.","title-short":"Mediation analysis allowing for exposure–mediator interactions and causal interpretation","volume":"18","author":[{"family":"Valeri","given":"Linda"},{"family":"VanderWeele","given":"Tyler J."}],"issued":{"date-parts":[["2013",6]]}}}],"schema":"https://github.com/citation-style-language/schema/raw/master/csl-citation.json"} </w:instrText>
      </w:r>
      <w:r w:rsidRPr="004605A4">
        <w:rPr>
          <w:color w:val="000000" w:themeColor="text1"/>
        </w:rPr>
        <w:fldChar w:fldCharType="separate"/>
      </w:r>
      <w:r>
        <w:rPr>
          <w:noProof/>
          <w:color w:val="000000" w:themeColor="text1"/>
        </w:rPr>
        <w:t>(Valeri and VanderWeele 2013)</w:t>
      </w:r>
      <w:r w:rsidRPr="004605A4">
        <w:rPr>
          <w:color w:val="000000" w:themeColor="text1"/>
        </w:rPr>
        <w:fldChar w:fldCharType="end"/>
      </w:r>
      <w:r w:rsidRPr="004605A4">
        <w:rPr>
          <w:color w:val="000000" w:themeColor="text1"/>
        </w:rPr>
        <w:t xml:space="preserve">. The procedure was originally implemented by </w:t>
      </w:r>
      <w:r w:rsidRPr="004605A4">
        <w:rPr>
          <w:noProof/>
          <w:color w:val="000000" w:themeColor="text1"/>
        </w:rPr>
        <w:t xml:space="preserve">Valeri and VanderWeele </w:t>
      </w:r>
      <w:r w:rsidRPr="004605A4">
        <w:rPr>
          <w:color w:val="000000" w:themeColor="text1"/>
        </w:rPr>
        <w:fldChar w:fldCharType="begin"/>
      </w:r>
      <w:r>
        <w:rPr>
          <w:color w:val="000000" w:themeColor="text1"/>
        </w:rPr>
        <w:instrText xml:space="preserve"> ADDIN ZOTERO_ITEM CSL_CITATION {"citationID":"VndE4hhB","properties":{"formattedCitation":"(2013)","plainCitation":"(2013)","noteIndex":0},"citationItems":[{"id":"DgdHTbUt/PDjwhbm1","uris":["http://zotero.org/users/10268/items/E7UUDID2"],"itemData":{"id":20199,"type":"article-journal","abstract":"Mediation analysis is a useful and widely employed approach to studies in the field of psychology and in the social and biomedical sciences. The contributions of this article are several-fold. First we seek to bring the developments in mediation analysis for nonlinear models within the counterfactual framework to the psychology audience in an accessible format and compare the sorts of inferences about mediation that are possible in the presence of exposure–mediator interaction when using a counterfactual versus the standard statistical approach. Second, the work by VanderWeele and Vansteelandt (2009, 2010) is extended here to allow for dichotomous mediators and count outcomes. Third, we provide SAS and SPSS macros to implement all of these mediation analysis techniques automatically, and we compare the types of inferences about mediation that are allowed by a variety of software macros.","container-title":"Psychological Methods","DOI":"10.1037/a0031034","ISSN":"1939-1463, 1082-989X","issue":"2","journalAbbreviation":"Psychological Methods","language":"en","page":"137-150","source":"DOI.org (Crossref)","title":"Mediation analysis allowing for exposure–mediator interactions and causal interpretation: Theoretical assumptions and implementation with SAS and SPSS macros.","title-short":"Mediation analysis allowing for exposure–mediator interactions and causal interpretation","volume":"18","author":[{"family":"Valeri","given":"Linda"},{"family":"VanderWeele","given":"Tyler J."}],"issued":{"date-parts":[["2013",6]]}},"suppress-author":true}],"schema":"https://github.com/citation-style-language/schema/raw/master/csl-citation.json"} </w:instrText>
      </w:r>
      <w:r w:rsidRPr="004605A4">
        <w:rPr>
          <w:color w:val="000000" w:themeColor="text1"/>
        </w:rPr>
        <w:fldChar w:fldCharType="separate"/>
      </w:r>
      <w:r>
        <w:rPr>
          <w:noProof/>
          <w:color w:val="000000" w:themeColor="text1"/>
        </w:rPr>
        <w:t>(2013)</w:t>
      </w:r>
      <w:r w:rsidRPr="004605A4">
        <w:rPr>
          <w:color w:val="000000" w:themeColor="text1"/>
        </w:rPr>
        <w:fldChar w:fldCharType="end"/>
      </w:r>
      <w:r w:rsidRPr="004605A4">
        <w:rPr>
          <w:color w:val="000000" w:themeColor="text1"/>
        </w:rPr>
        <w:t xml:space="preserve"> and ported to R by Yoshida and collaborators </w:t>
      </w:r>
      <w:r w:rsidRPr="004605A4">
        <w:rPr>
          <w:color w:val="000000" w:themeColor="text1"/>
        </w:rPr>
        <w:fldChar w:fldCharType="begin"/>
      </w:r>
      <w:r>
        <w:rPr>
          <w:color w:val="000000" w:themeColor="text1"/>
        </w:rPr>
        <w:instrText xml:space="preserve"> ADDIN ZOTERO_ITEM CSL_CITATION {"citationID":"0rdEqXfE","properties":{"formattedCitation":"(2020)","plainCitation":"(2020)","noteIndex":0},"citationItems":[{"id":"DgdHTbUt/Bajw58ec","uris":["http://zotero.org/users/10268/items/ANHE7GBZ"],"itemData":{"id":20212,"type":"report","abstract":"The R package regmedint is a complete implementation of the regression formula-based causal mediation analysis.","note":"DOI: 10.31219/osf.io/6c79f\ntype: article","publisher":"OSF Preprints","source":"OSF Preprints","title":"Conducting Regression-based Causal Mediation Analysis Using the R Package \"regmedint\"","URL":"https://osf.io/6c79f/","author":[{"family":"Yoshida","given":"Kazuki"},{"family":"Mathur","given":"Maya"},{"family":"Glynn","given":"Robert J."}],"accessed":{"date-parts":[["2021",8,23]]},"issued":{"date-parts":[["2020",11,14]]}},"suppress-author":true}],"schema":"https://github.com/citation-style-language/schema/raw/master/csl-citation.json"} </w:instrText>
      </w:r>
      <w:r w:rsidRPr="004605A4">
        <w:rPr>
          <w:color w:val="000000" w:themeColor="text1"/>
        </w:rPr>
        <w:fldChar w:fldCharType="separate"/>
      </w:r>
      <w:r>
        <w:rPr>
          <w:noProof/>
          <w:color w:val="000000" w:themeColor="text1"/>
        </w:rPr>
        <w:t>(2020)</w:t>
      </w:r>
      <w:r w:rsidRPr="004605A4">
        <w:rPr>
          <w:color w:val="000000" w:themeColor="text1"/>
        </w:rPr>
        <w:fldChar w:fldCharType="end"/>
      </w:r>
      <w:r w:rsidRPr="004605A4">
        <w:rPr>
          <w:color w:val="000000" w:themeColor="text1"/>
        </w:rPr>
        <w:t xml:space="preserve">. Our model allows for treatment-mediator interactions and evaluates the conditional effects at the median of all covariates. The CDE of neighborhood boundaries is identified under the assumption of sequential ignorability </w:t>
      </w:r>
      <w:r w:rsidRPr="004605A4">
        <w:rPr>
          <w:color w:val="000000" w:themeColor="text1"/>
        </w:rPr>
        <w:fldChar w:fldCharType="begin"/>
      </w:r>
      <w:r>
        <w:rPr>
          <w:color w:val="000000" w:themeColor="text1"/>
        </w:rPr>
        <w:instrText xml:space="preserve"> ADDIN ZOTERO_ITEM CSL_CITATION {"citationID":"CUikqt5T","properties":{"formattedCitation":"(Imai et al. 2011; Wang and Sobel 2013)","plainCitation":"(Imai et al. 2011; Wang and Sobel 2013)","noteIndex":0},"citationItems":[{"id":"DgdHTbUt/ce0P2EKY","uris":["http://zotero.org/users/10268/items/AURTHBXX"],"itemData":{"id":8301,"type":"article-journal","abstract":"Identifying causal mechanisms is a fundamental goal of social science. Researchers seek to study not only whether one variable affects another but also how such a causal relationship arises. Yet commonly used statistical methods for identifying causal mechanisms rely upon untestable assumptions and are often inappropriate even under those assumptions. Randomizing treatment and intermediate variables is also insufficient. Despite these difficulties, the study of causal mechanisms is too important to abandon. We make three contributions to improve research on causal mechanisms. First, we present a minimum set of assumptions required under standard designs of experimental and observational studies and develop a general algorithm for estimating causal mediation effects. Second, we provide a method for assessing the sensitivity of conclusions to potential violations of a key assumption. Third, we offer alternative research designs for identifying causal mechanisms under weaker assumptions. The proposed approach is illustrated using media framing experiments and incumbency advantage studies. [PUBLICATION ABSTRACT]","container-title":"The American Political Science Review","DOI":"http://dx.doi.org.ezproxy.cul.columbia.edu/10.1017/S0003055411000414","ISSN":"00030554","issue":"4","language":"English","page":"765-789","source":"ProQuest","title":"Unpacking the Black Box of Causality: Learning about Causal Mechanisms from Experimental and Observational Studies","title-short":"Unpacking the Black Box of Causality","volume":"105","author":[{"family":"Imai","given":"Kosuke"},{"family":"Keele","given":"Luke"},{"family":"Tingley","given":"Dustin"},{"family":"Yamamoto","given":"Teppei"}],"issued":{"date-parts":[["2011",11]]}}},{"id":"DgdHTbUt/2E97IH9j","uris":["http://zotero.org/users/10268/items/5D6NI58C"],"itemData":{"id":8324,"type":"chapter","abstract":"Social and behavioral scientists have long used path analysis and related linear structural equation models (SEMs) to decompose parameters of ordered systems of equations into “direct effects” and “indirect effects” through mediating variables. These decompositions have been used to address substantive questions of fundamental interest, for example, how a person’s social background affects his/her earnings through education. However, in general, the “direct effects” and “indirect effects” defined in and estimated from these models should not be given causal interpretations, even in randomized experiments. To illustrate this, we first define various direct and indirect effects using potential outcomes notation and discuss situations where an investigator might want to consider these. Second, we consider identification of these effects: the required identifying assumptions are more often than not implausible for the kinds of data collected and questions considered in social and behavioral research. Third, we present other identifying assumptions that might be used to identify direct and indirect effects, and then briefly discuss different methods to estimate these effects, including regression, instrumental variables, marginal structural models, and weighting methods.Finally, we introduce an alternative approach to mediation (principal stratification), define several possible effects of interest, and briefly discuss identifying assumptions and estimation.","container-title":"Handbook of Causal Analysis for Social Research","ISBN":"978-94-007-6093-6","language":"en","page":"215-242","publisher":"Springer","source":"link.springer.com.ezproxy.cul.columbia.edu","title":"New Perspectives on Causal Mediation Analysis","URL":"http://link.springer.com/chapter/10.1007/978-94-007-6094-3_12","author":[{"family":"Wang","given":"Xiaolu"},{"family":"Sobel","given":"Michael E."}],"editor":[{"family":"Morgan","given":"Stephen L."}],"accessed":{"date-parts":[["2013",7,16]]},"issued":{"date-parts":[["2013",1,1]]}}}],"schema":"https://github.com/citation-style-language/schema/raw/master/csl-citation.json"} </w:instrText>
      </w:r>
      <w:r w:rsidRPr="004605A4">
        <w:rPr>
          <w:color w:val="000000" w:themeColor="text1"/>
        </w:rPr>
        <w:fldChar w:fldCharType="separate"/>
      </w:r>
      <w:r>
        <w:rPr>
          <w:noProof/>
          <w:color w:val="000000" w:themeColor="text1"/>
        </w:rPr>
        <w:t>(Imai et al. 2011; Wang and Sobel 2013)</w:t>
      </w:r>
      <w:r w:rsidRPr="004605A4">
        <w:rPr>
          <w:color w:val="000000" w:themeColor="text1"/>
        </w:rPr>
        <w:fldChar w:fldCharType="end"/>
      </w:r>
      <w:r w:rsidRPr="004605A4">
        <w:rPr>
          <w:color w:val="000000" w:themeColor="text1"/>
        </w:rPr>
        <w:t xml:space="preserve">. This </w:t>
      </w:r>
      <w:r w:rsidRPr="004605A4">
        <w:t xml:space="preserve">assumption requires that (a) the main independent variable is conditionally independent of unobserved covariates conditional on observed covariates, </w:t>
      </w:r>
      <w:r w:rsidRPr="004605A4">
        <w:lastRenderedPageBreak/>
        <w:t xml:space="preserve">and (b) the mediators are independent of unobserved covariates conditional on covariates and the main independent variable. While these assumptions are strong, we believe that the results are informative about the role of crime in explaining the observed relation between neighborhood boundaries and policing. </w:t>
      </w:r>
    </w:p>
    <w:p w14:paraId="3A0F466B" w14:textId="770D55BA" w:rsidR="00780051" w:rsidRDefault="00780051" w:rsidP="0028702F">
      <w:pPr>
        <w:spacing w:line="480" w:lineRule="auto"/>
        <w:ind w:firstLine="720"/>
        <w:jc w:val="both"/>
      </w:pPr>
    </w:p>
    <w:tbl>
      <w:tblPr>
        <w:tblW w:w="0" w:type="auto"/>
        <w:tblCellSpacing w:w="15" w:type="dxa"/>
        <w:tblCellMar>
          <w:left w:w="15" w:type="dxa"/>
          <w:right w:w="15" w:type="dxa"/>
        </w:tblCellMar>
        <w:tblLook w:val="04A0" w:firstRow="1" w:lastRow="0" w:firstColumn="1" w:lastColumn="0" w:noHBand="0" w:noVBand="1"/>
      </w:tblPr>
      <w:tblGrid>
        <w:gridCol w:w="4320"/>
        <w:gridCol w:w="5040"/>
      </w:tblGrid>
      <w:tr w:rsidR="00780051" w:rsidRPr="004605A4" w14:paraId="59CB34E5" w14:textId="77777777" w:rsidTr="007870AC">
        <w:trPr>
          <w:trHeight w:val="20"/>
          <w:tblCellSpacing w:w="15" w:type="dxa"/>
        </w:trPr>
        <w:tc>
          <w:tcPr>
            <w:tcW w:w="0" w:type="auto"/>
            <w:gridSpan w:val="2"/>
            <w:tcBorders>
              <w:top w:val="nil"/>
              <w:left w:val="nil"/>
              <w:bottom w:val="nil"/>
              <w:right w:val="nil"/>
            </w:tcBorders>
            <w:vAlign w:val="center"/>
            <w:hideMark/>
          </w:tcPr>
          <w:p w14:paraId="46170086" w14:textId="77777777" w:rsidR="00780051" w:rsidRPr="004605A4" w:rsidRDefault="00780051" w:rsidP="007870AC">
            <w:pPr>
              <w:jc w:val="center"/>
            </w:pPr>
          </w:p>
          <w:p w14:paraId="7B7BDC9C" w14:textId="77777777" w:rsidR="00780051" w:rsidRPr="004605A4" w:rsidRDefault="00780051" w:rsidP="007870AC">
            <w:pPr>
              <w:jc w:val="center"/>
            </w:pPr>
            <w:r w:rsidRPr="004605A4">
              <w:t>Table A1</w:t>
            </w:r>
            <w:r>
              <w:t>.</w:t>
            </w:r>
            <w:r w:rsidRPr="004605A4">
              <w:t xml:space="preserve"> Full Regression Output for Model 2, Predicting Number of Stop</w:t>
            </w:r>
            <w:r>
              <w:t>s</w:t>
            </w:r>
          </w:p>
        </w:tc>
      </w:tr>
      <w:tr w:rsidR="00780051" w:rsidRPr="004605A4" w14:paraId="5153CB9B" w14:textId="77777777" w:rsidTr="007870AC">
        <w:trPr>
          <w:trHeight w:val="20"/>
          <w:tblCellSpacing w:w="15" w:type="dxa"/>
        </w:trPr>
        <w:tc>
          <w:tcPr>
            <w:tcW w:w="0" w:type="auto"/>
            <w:gridSpan w:val="2"/>
            <w:tcBorders>
              <w:bottom w:val="single" w:sz="6" w:space="0" w:color="000000"/>
            </w:tcBorders>
            <w:vAlign w:val="center"/>
            <w:hideMark/>
          </w:tcPr>
          <w:p w14:paraId="63B92881" w14:textId="77777777" w:rsidR="00780051" w:rsidRPr="004605A4" w:rsidRDefault="00780051" w:rsidP="007870AC">
            <w:pPr>
              <w:jc w:val="center"/>
            </w:pPr>
          </w:p>
        </w:tc>
      </w:tr>
      <w:tr w:rsidR="00780051" w:rsidRPr="004605A4" w14:paraId="7213D5AF" w14:textId="77777777" w:rsidTr="007870AC">
        <w:trPr>
          <w:trHeight w:val="20"/>
          <w:tblCellSpacing w:w="15" w:type="dxa"/>
        </w:trPr>
        <w:tc>
          <w:tcPr>
            <w:tcW w:w="4275" w:type="dxa"/>
            <w:vAlign w:val="center"/>
            <w:hideMark/>
          </w:tcPr>
          <w:p w14:paraId="16B6E4FC" w14:textId="77777777" w:rsidR="00780051" w:rsidRPr="004605A4" w:rsidRDefault="00780051" w:rsidP="007870AC">
            <w:r w:rsidRPr="004605A4">
              <w:t>Boundary Value</w:t>
            </w:r>
          </w:p>
        </w:tc>
        <w:tc>
          <w:tcPr>
            <w:tcW w:w="4995" w:type="dxa"/>
            <w:vAlign w:val="center"/>
            <w:hideMark/>
          </w:tcPr>
          <w:p w14:paraId="017B4BB3" w14:textId="77777777" w:rsidR="00780051" w:rsidRPr="004605A4" w:rsidRDefault="00780051" w:rsidP="007870AC">
            <w:pPr>
              <w:jc w:val="center"/>
            </w:pPr>
            <w:r w:rsidRPr="004605A4">
              <w:t>1.078</w:t>
            </w:r>
            <w:r w:rsidRPr="004605A4">
              <w:rPr>
                <w:vertAlign w:val="superscript"/>
              </w:rPr>
              <w:t>***</w:t>
            </w:r>
          </w:p>
        </w:tc>
      </w:tr>
      <w:tr w:rsidR="00780051" w:rsidRPr="004605A4" w14:paraId="224E3714" w14:textId="77777777" w:rsidTr="007870AC">
        <w:trPr>
          <w:trHeight w:val="20"/>
          <w:tblCellSpacing w:w="15" w:type="dxa"/>
        </w:trPr>
        <w:tc>
          <w:tcPr>
            <w:tcW w:w="4275" w:type="dxa"/>
            <w:vAlign w:val="center"/>
            <w:hideMark/>
          </w:tcPr>
          <w:p w14:paraId="7DF99B99" w14:textId="77777777" w:rsidR="00780051" w:rsidRPr="004605A4" w:rsidRDefault="00780051" w:rsidP="007870AC">
            <w:pPr>
              <w:jc w:val="center"/>
            </w:pPr>
          </w:p>
        </w:tc>
        <w:tc>
          <w:tcPr>
            <w:tcW w:w="4995" w:type="dxa"/>
            <w:vAlign w:val="center"/>
            <w:hideMark/>
          </w:tcPr>
          <w:p w14:paraId="6BD34014" w14:textId="77777777" w:rsidR="00780051" w:rsidRPr="004605A4" w:rsidRDefault="00780051" w:rsidP="007870AC">
            <w:pPr>
              <w:jc w:val="center"/>
            </w:pPr>
            <w:r w:rsidRPr="004605A4">
              <w:t>(0.255)</w:t>
            </w:r>
          </w:p>
        </w:tc>
      </w:tr>
      <w:tr w:rsidR="00780051" w:rsidRPr="004605A4" w14:paraId="10158C21" w14:textId="77777777" w:rsidTr="007870AC">
        <w:trPr>
          <w:trHeight w:val="20"/>
          <w:tblCellSpacing w:w="15" w:type="dxa"/>
        </w:trPr>
        <w:tc>
          <w:tcPr>
            <w:tcW w:w="4275" w:type="dxa"/>
            <w:vAlign w:val="center"/>
            <w:hideMark/>
          </w:tcPr>
          <w:p w14:paraId="2DA3BED4" w14:textId="77777777" w:rsidR="00780051" w:rsidRPr="004605A4" w:rsidRDefault="00780051" w:rsidP="007870AC">
            <w:r w:rsidRPr="004605A4">
              <w:t>Prop</w:t>
            </w:r>
            <w:r>
              <w:t>.</w:t>
            </w:r>
            <w:r w:rsidRPr="004605A4">
              <w:t xml:space="preserve"> Black/Hispanic</w:t>
            </w:r>
          </w:p>
        </w:tc>
        <w:tc>
          <w:tcPr>
            <w:tcW w:w="4995" w:type="dxa"/>
            <w:vAlign w:val="center"/>
            <w:hideMark/>
          </w:tcPr>
          <w:p w14:paraId="7DDC8635" w14:textId="77777777" w:rsidR="00780051" w:rsidRPr="004605A4" w:rsidRDefault="00780051" w:rsidP="007870AC">
            <w:pPr>
              <w:jc w:val="center"/>
            </w:pPr>
            <w:r w:rsidRPr="004605A4">
              <w:t>1.786</w:t>
            </w:r>
            <w:r w:rsidRPr="004605A4">
              <w:rPr>
                <w:vertAlign w:val="superscript"/>
              </w:rPr>
              <w:t>***</w:t>
            </w:r>
          </w:p>
        </w:tc>
      </w:tr>
      <w:tr w:rsidR="00780051" w:rsidRPr="004605A4" w14:paraId="0FF95677" w14:textId="77777777" w:rsidTr="007870AC">
        <w:trPr>
          <w:trHeight w:val="20"/>
          <w:tblCellSpacing w:w="15" w:type="dxa"/>
        </w:trPr>
        <w:tc>
          <w:tcPr>
            <w:tcW w:w="4275" w:type="dxa"/>
            <w:vAlign w:val="center"/>
            <w:hideMark/>
          </w:tcPr>
          <w:p w14:paraId="25AD7E9E" w14:textId="77777777" w:rsidR="00780051" w:rsidRPr="004605A4" w:rsidRDefault="00780051" w:rsidP="007870AC">
            <w:pPr>
              <w:jc w:val="center"/>
            </w:pPr>
          </w:p>
        </w:tc>
        <w:tc>
          <w:tcPr>
            <w:tcW w:w="4995" w:type="dxa"/>
            <w:vAlign w:val="center"/>
            <w:hideMark/>
          </w:tcPr>
          <w:p w14:paraId="0BDF48D2" w14:textId="77777777" w:rsidR="00780051" w:rsidRPr="004605A4" w:rsidRDefault="00780051" w:rsidP="007870AC">
            <w:pPr>
              <w:jc w:val="center"/>
            </w:pPr>
            <w:r w:rsidRPr="004605A4">
              <w:t>(0.086)</w:t>
            </w:r>
          </w:p>
        </w:tc>
      </w:tr>
      <w:tr w:rsidR="00780051" w:rsidRPr="004605A4" w14:paraId="20C445CE" w14:textId="77777777" w:rsidTr="007870AC">
        <w:trPr>
          <w:trHeight w:val="20"/>
          <w:tblCellSpacing w:w="15" w:type="dxa"/>
        </w:trPr>
        <w:tc>
          <w:tcPr>
            <w:tcW w:w="4275" w:type="dxa"/>
            <w:vAlign w:val="center"/>
            <w:hideMark/>
          </w:tcPr>
          <w:p w14:paraId="6B76D338" w14:textId="77777777" w:rsidR="00780051" w:rsidRPr="004605A4" w:rsidRDefault="00780051" w:rsidP="007870AC">
            <w:r w:rsidRPr="004605A4">
              <w:t>Prop</w:t>
            </w:r>
            <w:r>
              <w:t>.</w:t>
            </w:r>
            <w:r w:rsidRPr="004605A4">
              <w:t xml:space="preserve"> Black/Hispanic*Boundary Value</w:t>
            </w:r>
          </w:p>
        </w:tc>
        <w:tc>
          <w:tcPr>
            <w:tcW w:w="4995" w:type="dxa"/>
            <w:vAlign w:val="center"/>
            <w:hideMark/>
          </w:tcPr>
          <w:p w14:paraId="4891E9D4" w14:textId="77777777" w:rsidR="00780051" w:rsidRPr="004605A4" w:rsidRDefault="00780051" w:rsidP="007870AC">
            <w:pPr>
              <w:jc w:val="center"/>
            </w:pPr>
            <w:r w:rsidRPr="004605A4">
              <w:t>-1.344</w:t>
            </w:r>
            <w:r w:rsidRPr="004605A4">
              <w:rPr>
                <w:vertAlign w:val="superscript"/>
              </w:rPr>
              <w:t>***</w:t>
            </w:r>
          </w:p>
        </w:tc>
      </w:tr>
      <w:tr w:rsidR="00780051" w:rsidRPr="004605A4" w14:paraId="5646CC26" w14:textId="77777777" w:rsidTr="007870AC">
        <w:trPr>
          <w:trHeight w:val="20"/>
          <w:tblCellSpacing w:w="15" w:type="dxa"/>
        </w:trPr>
        <w:tc>
          <w:tcPr>
            <w:tcW w:w="4275" w:type="dxa"/>
            <w:vAlign w:val="center"/>
            <w:hideMark/>
          </w:tcPr>
          <w:p w14:paraId="24B6B6DF" w14:textId="77777777" w:rsidR="00780051" w:rsidRPr="004605A4" w:rsidRDefault="00780051" w:rsidP="007870AC">
            <w:pPr>
              <w:jc w:val="center"/>
            </w:pPr>
          </w:p>
        </w:tc>
        <w:tc>
          <w:tcPr>
            <w:tcW w:w="4995" w:type="dxa"/>
            <w:vAlign w:val="center"/>
            <w:hideMark/>
          </w:tcPr>
          <w:p w14:paraId="109243FC" w14:textId="77777777" w:rsidR="00780051" w:rsidRPr="004605A4" w:rsidRDefault="00780051" w:rsidP="007870AC">
            <w:pPr>
              <w:jc w:val="center"/>
            </w:pPr>
            <w:r w:rsidRPr="004605A4">
              <w:t>(0.353)</w:t>
            </w:r>
          </w:p>
        </w:tc>
      </w:tr>
      <w:tr w:rsidR="00780051" w:rsidRPr="004605A4" w14:paraId="1B021CA7" w14:textId="77777777" w:rsidTr="007870AC">
        <w:trPr>
          <w:trHeight w:val="20"/>
          <w:tblCellSpacing w:w="15" w:type="dxa"/>
        </w:trPr>
        <w:tc>
          <w:tcPr>
            <w:tcW w:w="4275" w:type="dxa"/>
            <w:vAlign w:val="center"/>
            <w:hideMark/>
          </w:tcPr>
          <w:p w14:paraId="7512B115" w14:textId="77777777" w:rsidR="00780051" w:rsidRPr="004605A4" w:rsidRDefault="00780051" w:rsidP="007870AC">
            <w:r w:rsidRPr="004605A4">
              <w:t>Population</w:t>
            </w:r>
          </w:p>
        </w:tc>
        <w:tc>
          <w:tcPr>
            <w:tcW w:w="4995" w:type="dxa"/>
            <w:vAlign w:val="center"/>
            <w:hideMark/>
          </w:tcPr>
          <w:p w14:paraId="69206651" w14:textId="77777777" w:rsidR="00780051" w:rsidRPr="004605A4" w:rsidRDefault="00780051" w:rsidP="007870AC">
            <w:pPr>
              <w:jc w:val="center"/>
            </w:pPr>
            <w:r w:rsidRPr="004605A4">
              <w:t>0.001</w:t>
            </w:r>
            <w:r w:rsidRPr="004605A4">
              <w:rPr>
                <w:vertAlign w:val="superscript"/>
              </w:rPr>
              <w:t>***</w:t>
            </w:r>
          </w:p>
        </w:tc>
      </w:tr>
      <w:tr w:rsidR="00780051" w:rsidRPr="004605A4" w14:paraId="6C3942F8" w14:textId="77777777" w:rsidTr="007870AC">
        <w:trPr>
          <w:trHeight w:val="20"/>
          <w:tblCellSpacing w:w="15" w:type="dxa"/>
        </w:trPr>
        <w:tc>
          <w:tcPr>
            <w:tcW w:w="4275" w:type="dxa"/>
            <w:vAlign w:val="center"/>
            <w:hideMark/>
          </w:tcPr>
          <w:p w14:paraId="3B11E35F" w14:textId="77777777" w:rsidR="00780051" w:rsidRPr="004605A4" w:rsidRDefault="00780051" w:rsidP="007870AC">
            <w:pPr>
              <w:jc w:val="center"/>
            </w:pPr>
          </w:p>
        </w:tc>
        <w:tc>
          <w:tcPr>
            <w:tcW w:w="4995" w:type="dxa"/>
            <w:vAlign w:val="center"/>
            <w:hideMark/>
          </w:tcPr>
          <w:p w14:paraId="384C8FE6" w14:textId="77777777" w:rsidR="00780051" w:rsidRPr="004605A4" w:rsidRDefault="00780051" w:rsidP="007870AC">
            <w:pPr>
              <w:jc w:val="center"/>
            </w:pPr>
            <w:r w:rsidRPr="004605A4">
              <w:t>(0.00003)</w:t>
            </w:r>
          </w:p>
        </w:tc>
      </w:tr>
      <w:tr w:rsidR="00780051" w:rsidRPr="004605A4" w14:paraId="0D5265AB" w14:textId="77777777" w:rsidTr="007870AC">
        <w:trPr>
          <w:trHeight w:val="20"/>
          <w:tblCellSpacing w:w="15" w:type="dxa"/>
        </w:trPr>
        <w:tc>
          <w:tcPr>
            <w:tcW w:w="4275" w:type="dxa"/>
            <w:vAlign w:val="center"/>
            <w:hideMark/>
          </w:tcPr>
          <w:p w14:paraId="6BCB0AD1" w14:textId="77777777" w:rsidR="00780051" w:rsidRPr="004605A4" w:rsidRDefault="00780051" w:rsidP="007870AC">
            <w:r w:rsidRPr="004605A4">
              <w:t>Youth</w:t>
            </w:r>
          </w:p>
        </w:tc>
        <w:tc>
          <w:tcPr>
            <w:tcW w:w="4995" w:type="dxa"/>
            <w:vAlign w:val="center"/>
            <w:hideMark/>
          </w:tcPr>
          <w:p w14:paraId="676AF553" w14:textId="77777777" w:rsidR="00780051" w:rsidRPr="004605A4" w:rsidRDefault="00780051" w:rsidP="007870AC">
            <w:pPr>
              <w:jc w:val="center"/>
            </w:pPr>
            <w:r w:rsidRPr="004605A4">
              <w:t>-0.00005</w:t>
            </w:r>
          </w:p>
        </w:tc>
      </w:tr>
      <w:tr w:rsidR="00780051" w:rsidRPr="004605A4" w14:paraId="30D8AABF" w14:textId="77777777" w:rsidTr="007870AC">
        <w:trPr>
          <w:trHeight w:val="20"/>
          <w:tblCellSpacing w:w="15" w:type="dxa"/>
        </w:trPr>
        <w:tc>
          <w:tcPr>
            <w:tcW w:w="4275" w:type="dxa"/>
            <w:vAlign w:val="center"/>
            <w:hideMark/>
          </w:tcPr>
          <w:p w14:paraId="2D1315E8" w14:textId="77777777" w:rsidR="00780051" w:rsidRPr="004605A4" w:rsidRDefault="00780051" w:rsidP="007870AC">
            <w:pPr>
              <w:jc w:val="center"/>
            </w:pPr>
          </w:p>
        </w:tc>
        <w:tc>
          <w:tcPr>
            <w:tcW w:w="4995" w:type="dxa"/>
            <w:vAlign w:val="center"/>
            <w:hideMark/>
          </w:tcPr>
          <w:p w14:paraId="503C3561" w14:textId="77777777" w:rsidR="00780051" w:rsidRPr="004605A4" w:rsidRDefault="00780051" w:rsidP="007870AC">
            <w:pPr>
              <w:jc w:val="center"/>
            </w:pPr>
            <w:r w:rsidRPr="004605A4">
              <w:t>(0.0001)</w:t>
            </w:r>
          </w:p>
        </w:tc>
      </w:tr>
      <w:tr w:rsidR="00780051" w:rsidRPr="004605A4" w14:paraId="5C9BF20A" w14:textId="77777777" w:rsidTr="007870AC">
        <w:trPr>
          <w:trHeight w:val="20"/>
          <w:tblCellSpacing w:w="15" w:type="dxa"/>
        </w:trPr>
        <w:tc>
          <w:tcPr>
            <w:tcW w:w="4275" w:type="dxa"/>
            <w:vAlign w:val="center"/>
            <w:hideMark/>
          </w:tcPr>
          <w:p w14:paraId="031B396E" w14:textId="77777777" w:rsidR="00780051" w:rsidRPr="004605A4" w:rsidRDefault="00780051" w:rsidP="007870AC">
            <w:r w:rsidRPr="004605A4">
              <w:t>Males</w:t>
            </w:r>
          </w:p>
        </w:tc>
        <w:tc>
          <w:tcPr>
            <w:tcW w:w="4995" w:type="dxa"/>
            <w:vAlign w:val="center"/>
            <w:hideMark/>
          </w:tcPr>
          <w:p w14:paraId="4676F4D9" w14:textId="77777777" w:rsidR="00780051" w:rsidRPr="004605A4" w:rsidRDefault="00780051" w:rsidP="007870AC">
            <w:pPr>
              <w:jc w:val="center"/>
            </w:pPr>
            <w:r w:rsidRPr="004605A4">
              <w:t>-1.048</w:t>
            </w:r>
            <w:r w:rsidRPr="004605A4">
              <w:rPr>
                <w:vertAlign w:val="superscript"/>
              </w:rPr>
              <w:t>***</w:t>
            </w:r>
          </w:p>
        </w:tc>
      </w:tr>
      <w:tr w:rsidR="00780051" w:rsidRPr="004605A4" w14:paraId="2D571861" w14:textId="77777777" w:rsidTr="007870AC">
        <w:trPr>
          <w:trHeight w:val="20"/>
          <w:tblCellSpacing w:w="15" w:type="dxa"/>
        </w:trPr>
        <w:tc>
          <w:tcPr>
            <w:tcW w:w="4275" w:type="dxa"/>
            <w:vAlign w:val="center"/>
            <w:hideMark/>
          </w:tcPr>
          <w:p w14:paraId="65A145DE" w14:textId="77777777" w:rsidR="00780051" w:rsidRPr="004605A4" w:rsidRDefault="00780051" w:rsidP="007870AC">
            <w:pPr>
              <w:jc w:val="center"/>
            </w:pPr>
          </w:p>
        </w:tc>
        <w:tc>
          <w:tcPr>
            <w:tcW w:w="4995" w:type="dxa"/>
            <w:vAlign w:val="center"/>
            <w:hideMark/>
          </w:tcPr>
          <w:p w14:paraId="7702467D" w14:textId="77777777" w:rsidR="00780051" w:rsidRPr="004605A4" w:rsidRDefault="00780051" w:rsidP="007870AC">
            <w:pPr>
              <w:jc w:val="center"/>
            </w:pPr>
            <w:r w:rsidRPr="004605A4">
              <w:t>(0.406)</w:t>
            </w:r>
          </w:p>
        </w:tc>
      </w:tr>
      <w:tr w:rsidR="00780051" w:rsidRPr="004605A4" w14:paraId="71810EEB" w14:textId="77777777" w:rsidTr="007870AC">
        <w:trPr>
          <w:trHeight w:val="20"/>
          <w:tblCellSpacing w:w="15" w:type="dxa"/>
        </w:trPr>
        <w:tc>
          <w:tcPr>
            <w:tcW w:w="4275" w:type="dxa"/>
            <w:vAlign w:val="center"/>
            <w:hideMark/>
          </w:tcPr>
          <w:p w14:paraId="014F1B88" w14:textId="77777777" w:rsidR="00780051" w:rsidRPr="004605A4" w:rsidRDefault="00780051" w:rsidP="007870AC">
            <w:r w:rsidRPr="004605A4">
              <w:t>Household Size</w:t>
            </w:r>
          </w:p>
        </w:tc>
        <w:tc>
          <w:tcPr>
            <w:tcW w:w="4995" w:type="dxa"/>
            <w:vAlign w:val="center"/>
            <w:hideMark/>
          </w:tcPr>
          <w:p w14:paraId="52DFDF29" w14:textId="77777777" w:rsidR="00780051" w:rsidRPr="004605A4" w:rsidRDefault="00780051" w:rsidP="007870AC">
            <w:pPr>
              <w:jc w:val="center"/>
            </w:pPr>
            <w:r w:rsidRPr="004605A4">
              <w:t>1.972</w:t>
            </w:r>
            <w:r w:rsidRPr="004605A4">
              <w:rPr>
                <w:vertAlign w:val="superscript"/>
              </w:rPr>
              <w:t>***</w:t>
            </w:r>
          </w:p>
        </w:tc>
      </w:tr>
      <w:tr w:rsidR="00780051" w:rsidRPr="004605A4" w14:paraId="4190712D" w14:textId="77777777" w:rsidTr="007870AC">
        <w:trPr>
          <w:trHeight w:val="20"/>
          <w:tblCellSpacing w:w="15" w:type="dxa"/>
        </w:trPr>
        <w:tc>
          <w:tcPr>
            <w:tcW w:w="4275" w:type="dxa"/>
            <w:vAlign w:val="center"/>
            <w:hideMark/>
          </w:tcPr>
          <w:p w14:paraId="7F264FAB" w14:textId="77777777" w:rsidR="00780051" w:rsidRPr="004605A4" w:rsidRDefault="00780051" w:rsidP="007870AC">
            <w:pPr>
              <w:jc w:val="center"/>
            </w:pPr>
          </w:p>
        </w:tc>
        <w:tc>
          <w:tcPr>
            <w:tcW w:w="4995" w:type="dxa"/>
            <w:vAlign w:val="center"/>
            <w:hideMark/>
          </w:tcPr>
          <w:p w14:paraId="7BCB4E86" w14:textId="77777777" w:rsidR="00780051" w:rsidRPr="004605A4" w:rsidRDefault="00780051" w:rsidP="007870AC">
            <w:pPr>
              <w:jc w:val="center"/>
            </w:pPr>
            <w:r w:rsidRPr="004605A4">
              <w:t>(0.681)</w:t>
            </w:r>
          </w:p>
        </w:tc>
      </w:tr>
      <w:tr w:rsidR="00780051" w:rsidRPr="004605A4" w14:paraId="25169CF0" w14:textId="77777777" w:rsidTr="007870AC">
        <w:trPr>
          <w:trHeight w:val="20"/>
          <w:tblCellSpacing w:w="15" w:type="dxa"/>
        </w:trPr>
        <w:tc>
          <w:tcPr>
            <w:tcW w:w="4275" w:type="dxa"/>
            <w:vAlign w:val="center"/>
            <w:hideMark/>
          </w:tcPr>
          <w:p w14:paraId="5D52A6FC" w14:textId="77777777" w:rsidR="00780051" w:rsidRPr="004605A4" w:rsidRDefault="00780051" w:rsidP="007870AC">
            <w:r w:rsidRPr="004605A4">
              <w:t>Vacancy Rate</w:t>
            </w:r>
          </w:p>
        </w:tc>
        <w:tc>
          <w:tcPr>
            <w:tcW w:w="4995" w:type="dxa"/>
            <w:vAlign w:val="center"/>
            <w:hideMark/>
          </w:tcPr>
          <w:p w14:paraId="46DCF101" w14:textId="77777777" w:rsidR="00780051" w:rsidRPr="004605A4" w:rsidRDefault="00780051" w:rsidP="007870AC">
            <w:pPr>
              <w:jc w:val="center"/>
            </w:pPr>
            <w:r w:rsidRPr="004605A4">
              <w:t>0.016</w:t>
            </w:r>
          </w:p>
        </w:tc>
      </w:tr>
      <w:tr w:rsidR="00780051" w:rsidRPr="004605A4" w14:paraId="34646846" w14:textId="77777777" w:rsidTr="007870AC">
        <w:trPr>
          <w:trHeight w:val="20"/>
          <w:tblCellSpacing w:w="15" w:type="dxa"/>
        </w:trPr>
        <w:tc>
          <w:tcPr>
            <w:tcW w:w="4275" w:type="dxa"/>
            <w:vAlign w:val="center"/>
            <w:hideMark/>
          </w:tcPr>
          <w:p w14:paraId="6F8F7A67" w14:textId="77777777" w:rsidR="00780051" w:rsidRPr="004605A4" w:rsidRDefault="00780051" w:rsidP="007870AC">
            <w:pPr>
              <w:jc w:val="center"/>
            </w:pPr>
          </w:p>
        </w:tc>
        <w:tc>
          <w:tcPr>
            <w:tcW w:w="4995" w:type="dxa"/>
            <w:vAlign w:val="center"/>
            <w:hideMark/>
          </w:tcPr>
          <w:p w14:paraId="6E57ABBD" w14:textId="77777777" w:rsidR="00780051" w:rsidRPr="004605A4" w:rsidRDefault="00780051" w:rsidP="007870AC">
            <w:pPr>
              <w:jc w:val="center"/>
            </w:pPr>
            <w:r w:rsidRPr="004605A4">
              <w:t>(0.057)</w:t>
            </w:r>
          </w:p>
        </w:tc>
      </w:tr>
      <w:tr w:rsidR="00780051" w:rsidRPr="004605A4" w14:paraId="525D6CDA" w14:textId="77777777" w:rsidTr="007870AC">
        <w:trPr>
          <w:trHeight w:val="20"/>
          <w:tblCellSpacing w:w="15" w:type="dxa"/>
        </w:trPr>
        <w:tc>
          <w:tcPr>
            <w:tcW w:w="4275" w:type="dxa"/>
            <w:vAlign w:val="center"/>
            <w:hideMark/>
          </w:tcPr>
          <w:p w14:paraId="0B010D97" w14:textId="77777777" w:rsidR="00780051" w:rsidRPr="004605A4" w:rsidRDefault="00780051" w:rsidP="007870AC">
            <w:r w:rsidRPr="004605A4">
              <w:t>Home Ownership</w:t>
            </w:r>
          </w:p>
        </w:tc>
        <w:tc>
          <w:tcPr>
            <w:tcW w:w="4995" w:type="dxa"/>
            <w:vAlign w:val="center"/>
            <w:hideMark/>
          </w:tcPr>
          <w:p w14:paraId="42730A42" w14:textId="77777777" w:rsidR="00780051" w:rsidRPr="004605A4" w:rsidRDefault="00780051" w:rsidP="007870AC">
            <w:pPr>
              <w:jc w:val="center"/>
            </w:pPr>
            <w:r w:rsidRPr="004605A4">
              <w:t>2.221</w:t>
            </w:r>
            <w:r w:rsidRPr="004605A4">
              <w:rPr>
                <w:vertAlign w:val="superscript"/>
              </w:rPr>
              <w:t>***</w:t>
            </w:r>
          </w:p>
        </w:tc>
      </w:tr>
      <w:tr w:rsidR="00780051" w:rsidRPr="004605A4" w14:paraId="67FCE5F6" w14:textId="77777777" w:rsidTr="007870AC">
        <w:trPr>
          <w:trHeight w:val="20"/>
          <w:tblCellSpacing w:w="15" w:type="dxa"/>
        </w:trPr>
        <w:tc>
          <w:tcPr>
            <w:tcW w:w="4275" w:type="dxa"/>
            <w:vAlign w:val="center"/>
            <w:hideMark/>
          </w:tcPr>
          <w:p w14:paraId="6525D018" w14:textId="77777777" w:rsidR="00780051" w:rsidRPr="004605A4" w:rsidRDefault="00780051" w:rsidP="007870AC">
            <w:pPr>
              <w:jc w:val="center"/>
            </w:pPr>
          </w:p>
        </w:tc>
        <w:tc>
          <w:tcPr>
            <w:tcW w:w="4995" w:type="dxa"/>
            <w:vAlign w:val="center"/>
            <w:hideMark/>
          </w:tcPr>
          <w:p w14:paraId="76AD0DF2" w14:textId="77777777" w:rsidR="00780051" w:rsidRPr="004605A4" w:rsidRDefault="00780051" w:rsidP="007870AC">
            <w:pPr>
              <w:jc w:val="center"/>
            </w:pPr>
            <w:r w:rsidRPr="004605A4">
              <w:t>(0.326)</w:t>
            </w:r>
          </w:p>
        </w:tc>
      </w:tr>
      <w:tr w:rsidR="00780051" w:rsidRPr="004605A4" w14:paraId="6D07A276" w14:textId="77777777" w:rsidTr="007870AC">
        <w:trPr>
          <w:trHeight w:val="20"/>
          <w:tblCellSpacing w:w="15" w:type="dxa"/>
        </w:trPr>
        <w:tc>
          <w:tcPr>
            <w:tcW w:w="4275" w:type="dxa"/>
            <w:vAlign w:val="center"/>
            <w:hideMark/>
          </w:tcPr>
          <w:p w14:paraId="6C0F01AE" w14:textId="77777777" w:rsidR="00780051" w:rsidRPr="004605A4" w:rsidRDefault="00780051" w:rsidP="007870AC">
            <w:r w:rsidRPr="004605A4">
              <w:t>Residential Mobility</w:t>
            </w:r>
          </w:p>
        </w:tc>
        <w:tc>
          <w:tcPr>
            <w:tcW w:w="4995" w:type="dxa"/>
            <w:vAlign w:val="center"/>
            <w:hideMark/>
          </w:tcPr>
          <w:p w14:paraId="16C05EF5" w14:textId="77777777" w:rsidR="00780051" w:rsidRPr="004605A4" w:rsidRDefault="00780051" w:rsidP="007870AC">
            <w:pPr>
              <w:jc w:val="center"/>
            </w:pPr>
            <w:r w:rsidRPr="004605A4">
              <w:t>-0.252</w:t>
            </w:r>
            <w:r w:rsidRPr="004605A4">
              <w:rPr>
                <w:vertAlign w:val="superscript"/>
              </w:rPr>
              <w:t>***</w:t>
            </w:r>
          </w:p>
        </w:tc>
      </w:tr>
      <w:tr w:rsidR="00780051" w:rsidRPr="004605A4" w14:paraId="51251668" w14:textId="77777777" w:rsidTr="007870AC">
        <w:trPr>
          <w:trHeight w:val="20"/>
          <w:tblCellSpacing w:w="15" w:type="dxa"/>
        </w:trPr>
        <w:tc>
          <w:tcPr>
            <w:tcW w:w="4275" w:type="dxa"/>
            <w:vAlign w:val="center"/>
            <w:hideMark/>
          </w:tcPr>
          <w:p w14:paraId="58F07151" w14:textId="77777777" w:rsidR="00780051" w:rsidRPr="004605A4" w:rsidRDefault="00780051" w:rsidP="007870AC">
            <w:pPr>
              <w:jc w:val="center"/>
            </w:pPr>
          </w:p>
        </w:tc>
        <w:tc>
          <w:tcPr>
            <w:tcW w:w="4995" w:type="dxa"/>
            <w:vAlign w:val="center"/>
            <w:hideMark/>
          </w:tcPr>
          <w:p w14:paraId="1B38125C" w14:textId="77777777" w:rsidR="00780051" w:rsidRPr="004605A4" w:rsidRDefault="00780051" w:rsidP="007870AC">
            <w:pPr>
              <w:jc w:val="center"/>
            </w:pPr>
            <w:r w:rsidRPr="004605A4">
              <w:t>(0.095)</w:t>
            </w:r>
          </w:p>
        </w:tc>
      </w:tr>
      <w:tr w:rsidR="00780051" w:rsidRPr="004605A4" w14:paraId="7B90E810" w14:textId="77777777" w:rsidTr="007870AC">
        <w:trPr>
          <w:trHeight w:val="20"/>
          <w:tblCellSpacing w:w="15" w:type="dxa"/>
        </w:trPr>
        <w:tc>
          <w:tcPr>
            <w:tcW w:w="4275" w:type="dxa"/>
            <w:vAlign w:val="center"/>
            <w:hideMark/>
          </w:tcPr>
          <w:p w14:paraId="16D97C75" w14:textId="77777777" w:rsidR="00780051" w:rsidRPr="004605A4" w:rsidRDefault="00780051" w:rsidP="007870AC">
            <w:r w:rsidRPr="004605A4">
              <w:t>Population Change</w:t>
            </w:r>
          </w:p>
        </w:tc>
        <w:tc>
          <w:tcPr>
            <w:tcW w:w="4995" w:type="dxa"/>
            <w:vAlign w:val="center"/>
            <w:hideMark/>
          </w:tcPr>
          <w:p w14:paraId="308864D4" w14:textId="77777777" w:rsidR="00780051" w:rsidRPr="004605A4" w:rsidRDefault="00780051" w:rsidP="007870AC">
            <w:pPr>
              <w:jc w:val="center"/>
            </w:pPr>
            <w:r w:rsidRPr="004605A4">
              <w:t>0.038</w:t>
            </w:r>
          </w:p>
        </w:tc>
      </w:tr>
      <w:tr w:rsidR="00780051" w:rsidRPr="004605A4" w14:paraId="1156B46D" w14:textId="77777777" w:rsidTr="007870AC">
        <w:trPr>
          <w:trHeight w:val="20"/>
          <w:tblCellSpacing w:w="15" w:type="dxa"/>
        </w:trPr>
        <w:tc>
          <w:tcPr>
            <w:tcW w:w="4275" w:type="dxa"/>
            <w:vAlign w:val="center"/>
            <w:hideMark/>
          </w:tcPr>
          <w:p w14:paraId="01239FDC" w14:textId="77777777" w:rsidR="00780051" w:rsidRPr="004605A4" w:rsidRDefault="00780051" w:rsidP="007870AC">
            <w:pPr>
              <w:jc w:val="center"/>
            </w:pPr>
          </w:p>
        </w:tc>
        <w:tc>
          <w:tcPr>
            <w:tcW w:w="4995" w:type="dxa"/>
            <w:vAlign w:val="center"/>
            <w:hideMark/>
          </w:tcPr>
          <w:p w14:paraId="4EB859B8" w14:textId="77777777" w:rsidR="00780051" w:rsidRPr="004605A4" w:rsidRDefault="00780051" w:rsidP="007870AC">
            <w:pPr>
              <w:jc w:val="center"/>
            </w:pPr>
            <w:r w:rsidRPr="004605A4">
              <w:t>(0.196)</w:t>
            </w:r>
          </w:p>
        </w:tc>
      </w:tr>
      <w:tr w:rsidR="00780051" w:rsidRPr="004605A4" w14:paraId="6BBE9166" w14:textId="77777777" w:rsidTr="007870AC">
        <w:trPr>
          <w:trHeight w:val="20"/>
          <w:tblCellSpacing w:w="15" w:type="dxa"/>
        </w:trPr>
        <w:tc>
          <w:tcPr>
            <w:tcW w:w="4275" w:type="dxa"/>
            <w:vAlign w:val="center"/>
            <w:hideMark/>
          </w:tcPr>
          <w:p w14:paraId="46546A9A" w14:textId="77777777" w:rsidR="00780051" w:rsidRPr="004605A4" w:rsidRDefault="00780051" w:rsidP="007870AC">
            <w:r w:rsidRPr="004605A4">
              <w:t>Concentrated Disadvantage</w:t>
            </w:r>
          </w:p>
        </w:tc>
        <w:tc>
          <w:tcPr>
            <w:tcW w:w="4995" w:type="dxa"/>
            <w:vAlign w:val="center"/>
            <w:hideMark/>
          </w:tcPr>
          <w:p w14:paraId="2F8A67D8" w14:textId="77777777" w:rsidR="00780051" w:rsidRPr="004605A4" w:rsidRDefault="00780051" w:rsidP="007870AC">
            <w:pPr>
              <w:jc w:val="center"/>
            </w:pPr>
            <w:r w:rsidRPr="004605A4">
              <w:t>-0.039</w:t>
            </w:r>
            <w:r w:rsidRPr="004605A4">
              <w:rPr>
                <w:vertAlign w:val="superscript"/>
              </w:rPr>
              <w:t>**</w:t>
            </w:r>
          </w:p>
        </w:tc>
      </w:tr>
      <w:tr w:rsidR="00780051" w:rsidRPr="004605A4" w14:paraId="1A5D238E" w14:textId="77777777" w:rsidTr="007870AC">
        <w:trPr>
          <w:trHeight w:val="20"/>
          <w:tblCellSpacing w:w="15" w:type="dxa"/>
        </w:trPr>
        <w:tc>
          <w:tcPr>
            <w:tcW w:w="4275" w:type="dxa"/>
            <w:vAlign w:val="center"/>
            <w:hideMark/>
          </w:tcPr>
          <w:p w14:paraId="08DCDE49" w14:textId="77777777" w:rsidR="00780051" w:rsidRPr="004605A4" w:rsidRDefault="00780051" w:rsidP="007870AC">
            <w:pPr>
              <w:jc w:val="center"/>
            </w:pPr>
          </w:p>
        </w:tc>
        <w:tc>
          <w:tcPr>
            <w:tcW w:w="4995" w:type="dxa"/>
            <w:vAlign w:val="center"/>
            <w:hideMark/>
          </w:tcPr>
          <w:p w14:paraId="1C483D1C" w14:textId="77777777" w:rsidR="00780051" w:rsidRPr="004605A4" w:rsidRDefault="00780051" w:rsidP="007870AC">
            <w:pPr>
              <w:jc w:val="center"/>
            </w:pPr>
            <w:r w:rsidRPr="004605A4">
              <w:t>(0.015)</w:t>
            </w:r>
          </w:p>
        </w:tc>
      </w:tr>
      <w:tr w:rsidR="00780051" w:rsidRPr="004605A4" w14:paraId="006D9D6C" w14:textId="77777777" w:rsidTr="007870AC">
        <w:trPr>
          <w:trHeight w:val="20"/>
          <w:tblCellSpacing w:w="15" w:type="dxa"/>
        </w:trPr>
        <w:tc>
          <w:tcPr>
            <w:tcW w:w="4275" w:type="dxa"/>
            <w:vAlign w:val="center"/>
            <w:hideMark/>
          </w:tcPr>
          <w:p w14:paraId="0229C3E6" w14:textId="77777777" w:rsidR="00780051" w:rsidRPr="004605A4" w:rsidRDefault="00780051" w:rsidP="007870AC">
            <w:r w:rsidRPr="004605A4">
              <w:t>Land Area</w:t>
            </w:r>
          </w:p>
        </w:tc>
        <w:tc>
          <w:tcPr>
            <w:tcW w:w="4995" w:type="dxa"/>
            <w:vAlign w:val="center"/>
            <w:hideMark/>
          </w:tcPr>
          <w:p w14:paraId="174D02B5" w14:textId="77777777" w:rsidR="00780051" w:rsidRPr="004605A4" w:rsidRDefault="00780051" w:rsidP="007870AC">
            <w:pPr>
              <w:jc w:val="center"/>
            </w:pPr>
            <w:r w:rsidRPr="004605A4">
              <w:t>0.00000</w:t>
            </w:r>
            <w:r w:rsidRPr="004605A4">
              <w:rPr>
                <w:vertAlign w:val="superscript"/>
              </w:rPr>
              <w:t>***</w:t>
            </w:r>
          </w:p>
        </w:tc>
      </w:tr>
      <w:tr w:rsidR="00780051" w:rsidRPr="004605A4" w14:paraId="211CC97D" w14:textId="77777777" w:rsidTr="007870AC">
        <w:trPr>
          <w:trHeight w:val="20"/>
          <w:tblCellSpacing w:w="15" w:type="dxa"/>
        </w:trPr>
        <w:tc>
          <w:tcPr>
            <w:tcW w:w="4275" w:type="dxa"/>
            <w:vAlign w:val="center"/>
            <w:hideMark/>
          </w:tcPr>
          <w:p w14:paraId="083CDD2E" w14:textId="77777777" w:rsidR="00780051" w:rsidRPr="004605A4" w:rsidRDefault="00780051" w:rsidP="007870AC">
            <w:pPr>
              <w:jc w:val="center"/>
            </w:pPr>
          </w:p>
        </w:tc>
        <w:tc>
          <w:tcPr>
            <w:tcW w:w="4995" w:type="dxa"/>
            <w:vAlign w:val="center"/>
            <w:hideMark/>
          </w:tcPr>
          <w:p w14:paraId="21FDCFE2" w14:textId="77777777" w:rsidR="00780051" w:rsidRPr="004605A4" w:rsidRDefault="00780051" w:rsidP="007870AC">
            <w:pPr>
              <w:jc w:val="center"/>
            </w:pPr>
            <w:r w:rsidRPr="004605A4">
              <w:t>(0.000)</w:t>
            </w:r>
          </w:p>
        </w:tc>
      </w:tr>
      <w:tr w:rsidR="00780051" w:rsidRPr="004605A4" w14:paraId="035337D0" w14:textId="77777777" w:rsidTr="007870AC">
        <w:trPr>
          <w:trHeight w:val="20"/>
          <w:tblCellSpacing w:w="15" w:type="dxa"/>
        </w:trPr>
        <w:tc>
          <w:tcPr>
            <w:tcW w:w="4275" w:type="dxa"/>
            <w:vAlign w:val="center"/>
            <w:hideMark/>
          </w:tcPr>
          <w:p w14:paraId="686A7AF7" w14:textId="77777777" w:rsidR="00780051" w:rsidRPr="004605A4" w:rsidRDefault="00780051" w:rsidP="007870AC">
            <w:r w:rsidRPr="004605A4">
              <w:t>Building Height</w:t>
            </w:r>
          </w:p>
        </w:tc>
        <w:tc>
          <w:tcPr>
            <w:tcW w:w="4995" w:type="dxa"/>
            <w:vAlign w:val="center"/>
            <w:hideMark/>
          </w:tcPr>
          <w:p w14:paraId="57FC40EA" w14:textId="77777777" w:rsidR="00780051" w:rsidRPr="004605A4" w:rsidRDefault="00780051" w:rsidP="007870AC">
            <w:pPr>
              <w:jc w:val="center"/>
            </w:pPr>
            <w:r w:rsidRPr="004605A4">
              <w:t>-0.037</w:t>
            </w:r>
            <w:r w:rsidRPr="004605A4">
              <w:rPr>
                <w:vertAlign w:val="superscript"/>
              </w:rPr>
              <w:t>***</w:t>
            </w:r>
          </w:p>
        </w:tc>
      </w:tr>
      <w:tr w:rsidR="00780051" w:rsidRPr="004605A4" w14:paraId="17B3E3EC" w14:textId="77777777" w:rsidTr="007870AC">
        <w:trPr>
          <w:trHeight w:val="20"/>
          <w:tblCellSpacing w:w="15" w:type="dxa"/>
        </w:trPr>
        <w:tc>
          <w:tcPr>
            <w:tcW w:w="4275" w:type="dxa"/>
            <w:vAlign w:val="center"/>
            <w:hideMark/>
          </w:tcPr>
          <w:p w14:paraId="2A90E222" w14:textId="77777777" w:rsidR="00780051" w:rsidRPr="004605A4" w:rsidRDefault="00780051" w:rsidP="007870AC">
            <w:pPr>
              <w:jc w:val="center"/>
            </w:pPr>
          </w:p>
        </w:tc>
        <w:tc>
          <w:tcPr>
            <w:tcW w:w="4995" w:type="dxa"/>
            <w:vAlign w:val="center"/>
            <w:hideMark/>
          </w:tcPr>
          <w:p w14:paraId="133FF558" w14:textId="77777777" w:rsidR="00780051" w:rsidRPr="004605A4" w:rsidRDefault="00780051" w:rsidP="007870AC">
            <w:pPr>
              <w:jc w:val="center"/>
            </w:pPr>
            <w:r w:rsidRPr="004605A4">
              <w:t>(0.007)</w:t>
            </w:r>
          </w:p>
        </w:tc>
      </w:tr>
      <w:tr w:rsidR="00780051" w:rsidRPr="004605A4" w14:paraId="6209908E" w14:textId="77777777" w:rsidTr="007870AC">
        <w:trPr>
          <w:trHeight w:val="20"/>
          <w:tblCellSpacing w:w="15" w:type="dxa"/>
        </w:trPr>
        <w:tc>
          <w:tcPr>
            <w:tcW w:w="4275" w:type="dxa"/>
            <w:vAlign w:val="center"/>
            <w:hideMark/>
          </w:tcPr>
          <w:p w14:paraId="6B3B9BFD" w14:textId="77777777" w:rsidR="00780051" w:rsidRPr="004605A4" w:rsidRDefault="00780051" w:rsidP="007870AC">
            <w:r w:rsidRPr="004605A4">
              <w:t>Commercial Zone</w:t>
            </w:r>
          </w:p>
        </w:tc>
        <w:tc>
          <w:tcPr>
            <w:tcW w:w="4995" w:type="dxa"/>
            <w:vAlign w:val="center"/>
            <w:hideMark/>
          </w:tcPr>
          <w:p w14:paraId="68DC2F25" w14:textId="77777777" w:rsidR="00780051" w:rsidRPr="004605A4" w:rsidRDefault="00780051" w:rsidP="007870AC">
            <w:pPr>
              <w:jc w:val="center"/>
            </w:pPr>
            <w:r w:rsidRPr="004605A4">
              <w:t>1.745</w:t>
            </w:r>
            <w:r w:rsidRPr="004605A4">
              <w:rPr>
                <w:vertAlign w:val="superscript"/>
              </w:rPr>
              <w:t>***</w:t>
            </w:r>
          </w:p>
        </w:tc>
      </w:tr>
      <w:tr w:rsidR="00780051" w:rsidRPr="004605A4" w14:paraId="564256B4" w14:textId="77777777" w:rsidTr="007870AC">
        <w:trPr>
          <w:trHeight w:val="20"/>
          <w:tblCellSpacing w:w="15" w:type="dxa"/>
        </w:trPr>
        <w:tc>
          <w:tcPr>
            <w:tcW w:w="4275" w:type="dxa"/>
            <w:vAlign w:val="center"/>
            <w:hideMark/>
          </w:tcPr>
          <w:p w14:paraId="23FB89EE" w14:textId="77777777" w:rsidR="00780051" w:rsidRPr="004605A4" w:rsidRDefault="00780051" w:rsidP="007870AC">
            <w:pPr>
              <w:jc w:val="center"/>
            </w:pPr>
          </w:p>
        </w:tc>
        <w:tc>
          <w:tcPr>
            <w:tcW w:w="4995" w:type="dxa"/>
            <w:vAlign w:val="center"/>
            <w:hideMark/>
          </w:tcPr>
          <w:p w14:paraId="03E729FC" w14:textId="77777777" w:rsidR="00780051" w:rsidRPr="004605A4" w:rsidRDefault="00780051" w:rsidP="007870AC">
            <w:pPr>
              <w:jc w:val="center"/>
            </w:pPr>
            <w:r w:rsidRPr="004605A4">
              <w:t>(0.164)</w:t>
            </w:r>
          </w:p>
        </w:tc>
      </w:tr>
      <w:tr w:rsidR="00780051" w:rsidRPr="004605A4" w14:paraId="14257953" w14:textId="77777777" w:rsidTr="007870AC">
        <w:trPr>
          <w:trHeight w:val="20"/>
          <w:tblCellSpacing w:w="15" w:type="dxa"/>
        </w:trPr>
        <w:tc>
          <w:tcPr>
            <w:tcW w:w="4275" w:type="dxa"/>
            <w:vAlign w:val="center"/>
            <w:hideMark/>
          </w:tcPr>
          <w:p w14:paraId="4A050D09" w14:textId="77777777" w:rsidR="00780051" w:rsidRPr="004605A4" w:rsidRDefault="00780051" w:rsidP="007870AC">
            <w:r w:rsidRPr="004605A4">
              <w:t>Light Manufacturing Zone</w:t>
            </w:r>
          </w:p>
        </w:tc>
        <w:tc>
          <w:tcPr>
            <w:tcW w:w="4995" w:type="dxa"/>
            <w:vAlign w:val="center"/>
            <w:hideMark/>
          </w:tcPr>
          <w:p w14:paraId="3ED1DD59" w14:textId="77777777" w:rsidR="00780051" w:rsidRPr="004605A4" w:rsidRDefault="00780051" w:rsidP="007870AC">
            <w:pPr>
              <w:jc w:val="center"/>
            </w:pPr>
            <w:r w:rsidRPr="004605A4">
              <w:t>1.018</w:t>
            </w:r>
            <w:r w:rsidRPr="004605A4">
              <w:rPr>
                <w:vertAlign w:val="superscript"/>
              </w:rPr>
              <w:t>***</w:t>
            </w:r>
          </w:p>
        </w:tc>
      </w:tr>
      <w:tr w:rsidR="00780051" w:rsidRPr="004605A4" w14:paraId="776F99F0" w14:textId="77777777" w:rsidTr="007870AC">
        <w:trPr>
          <w:trHeight w:val="20"/>
          <w:tblCellSpacing w:w="15" w:type="dxa"/>
        </w:trPr>
        <w:tc>
          <w:tcPr>
            <w:tcW w:w="4275" w:type="dxa"/>
            <w:vAlign w:val="center"/>
            <w:hideMark/>
          </w:tcPr>
          <w:p w14:paraId="7CAC1E65" w14:textId="77777777" w:rsidR="00780051" w:rsidRPr="004605A4" w:rsidRDefault="00780051" w:rsidP="007870AC">
            <w:pPr>
              <w:jc w:val="center"/>
            </w:pPr>
          </w:p>
        </w:tc>
        <w:tc>
          <w:tcPr>
            <w:tcW w:w="4995" w:type="dxa"/>
            <w:vAlign w:val="center"/>
            <w:hideMark/>
          </w:tcPr>
          <w:p w14:paraId="72170033" w14:textId="77777777" w:rsidR="00780051" w:rsidRPr="004605A4" w:rsidRDefault="00780051" w:rsidP="007870AC">
            <w:pPr>
              <w:jc w:val="center"/>
            </w:pPr>
            <w:r w:rsidRPr="004605A4">
              <w:t>(0.131)</w:t>
            </w:r>
          </w:p>
        </w:tc>
      </w:tr>
      <w:tr w:rsidR="00780051" w:rsidRPr="004605A4" w14:paraId="018AB7D2" w14:textId="77777777" w:rsidTr="007870AC">
        <w:trPr>
          <w:trHeight w:val="20"/>
          <w:tblCellSpacing w:w="15" w:type="dxa"/>
        </w:trPr>
        <w:tc>
          <w:tcPr>
            <w:tcW w:w="4275" w:type="dxa"/>
            <w:vAlign w:val="center"/>
            <w:hideMark/>
          </w:tcPr>
          <w:p w14:paraId="0F717E4E" w14:textId="77777777" w:rsidR="00780051" w:rsidRPr="004605A4" w:rsidRDefault="00780051" w:rsidP="007870AC">
            <w:r w:rsidRPr="004605A4">
              <w:t>Medium/Heavy Manufacturing Zone</w:t>
            </w:r>
          </w:p>
        </w:tc>
        <w:tc>
          <w:tcPr>
            <w:tcW w:w="4995" w:type="dxa"/>
            <w:vAlign w:val="center"/>
            <w:hideMark/>
          </w:tcPr>
          <w:p w14:paraId="10074264" w14:textId="77777777" w:rsidR="00780051" w:rsidRPr="004605A4" w:rsidRDefault="00780051" w:rsidP="007870AC">
            <w:pPr>
              <w:jc w:val="center"/>
            </w:pPr>
            <w:r w:rsidRPr="004605A4">
              <w:t>1.303</w:t>
            </w:r>
            <w:r w:rsidRPr="004605A4">
              <w:rPr>
                <w:vertAlign w:val="superscript"/>
              </w:rPr>
              <w:t>***</w:t>
            </w:r>
          </w:p>
        </w:tc>
      </w:tr>
      <w:tr w:rsidR="00780051" w:rsidRPr="004605A4" w14:paraId="38141E01" w14:textId="77777777" w:rsidTr="007870AC">
        <w:trPr>
          <w:trHeight w:val="20"/>
          <w:tblCellSpacing w:w="15" w:type="dxa"/>
        </w:trPr>
        <w:tc>
          <w:tcPr>
            <w:tcW w:w="4275" w:type="dxa"/>
            <w:vAlign w:val="center"/>
            <w:hideMark/>
          </w:tcPr>
          <w:p w14:paraId="41BA9D53" w14:textId="77777777" w:rsidR="00780051" w:rsidRPr="004605A4" w:rsidRDefault="00780051" w:rsidP="007870AC">
            <w:pPr>
              <w:jc w:val="center"/>
            </w:pPr>
          </w:p>
        </w:tc>
        <w:tc>
          <w:tcPr>
            <w:tcW w:w="4995" w:type="dxa"/>
            <w:vAlign w:val="center"/>
            <w:hideMark/>
          </w:tcPr>
          <w:p w14:paraId="2F324F2C" w14:textId="77777777" w:rsidR="00780051" w:rsidRPr="004605A4" w:rsidRDefault="00780051" w:rsidP="007870AC">
            <w:pPr>
              <w:jc w:val="center"/>
            </w:pPr>
            <w:r w:rsidRPr="004605A4">
              <w:t>(0.384)</w:t>
            </w:r>
          </w:p>
        </w:tc>
      </w:tr>
      <w:tr w:rsidR="00780051" w:rsidRPr="004605A4" w14:paraId="3D1F496B" w14:textId="77777777" w:rsidTr="007870AC">
        <w:trPr>
          <w:trHeight w:val="20"/>
          <w:tblCellSpacing w:w="15" w:type="dxa"/>
        </w:trPr>
        <w:tc>
          <w:tcPr>
            <w:tcW w:w="4275" w:type="dxa"/>
            <w:vAlign w:val="center"/>
            <w:hideMark/>
          </w:tcPr>
          <w:p w14:paraId="76CFF017" w14:textId="77777777" w:rsidR="00780051" w:rsidRPr="004605A4" w:rsidRDefault="00780051" w:rsidP="007870AC">
            <w:r w:rsidRPr="004605A4">
              <w:t>Educational Land Use</w:t>
            </w:r>
          </w:p>
        </w:tc>
        <w:tc>
          <w:tcPr>
            <w:tcW w:w="4995" w:type="dxa"/>
            <w:vAlign w:val="center"/>
            <w:hideMark/>
          </w:tcPr>
          <w:p w14:paraId="223A997E" w14:textId="77777777" w:rsidR="00780051" w:rsidRPr="004605A4" w:rsidRDefault="00780051" w:rsidP="007870AC">
            <w:pPr>
              <w:jc w:val="center"/>
            </w:pPr>
            <w:r w:rsidRPr="004605A4">
              <w:t>1.489</w:t>
            </w:r>
            <w:r w:rsidRPr="004605A4">
              <w:rPr>
                <w:vertAlign w:val="superscript"/>
              </w:rPr>
              <w:t>***</w:t>
            </w:r>
          </w:p>
        </w:tc>
      </w:tr>
      <w:tr w:rsidR="00780051" w:rsidRPr="004605A4" w14:paraId="0F8D6347" w14:textId="77777777" w:rsidTr="007870AC">
        <w:trPr>
          <w:trHeight w:val="20"/>
          <w:tblCellSpacing w:w="15" w:type="dxa"/>
        </w:trPr>
        <w:tc>
          <w:tcPr>
            <w:tcW w:w="4275" w:type="dxa"/>
            <w:vAlign w:val="center"/>
            <w:hideMark/>
          </w:tcPr>
          <w:p w14:paraId="7450751F" w14:textId="77777777" w:rsidR="00780051" w:rsidRPr="004605A4" w:rsidRDefault="00780051" w:rsidP="007870AC">
            <w:pPr>
              <w:jc w:val="center"/>
            </w:pPr>
          </w:p>
        </w:tc>
        <w:tc>
          <w:tcPr>
            <w:tcW w:w="4995" w:type="dxa"/>
            <w:vAlign w:val="center"/>
            <w:hideMark/>
          </w:tcPr>
          <w:p w14:paraId="4DAA0BA4" w14:textId="77777777" w:rsidR="00780051" w:rsidRPr="004605A4" w:rsidRDefault="00780051" w:rsidP="007870AC">
            <w:pPr>
              <w:jc w:val="center"/>
            </w:pPr>
            <w:r w:rsidRPr="004605A4">
              <w:t>(0.221)</w:t>
            </w:r>
          </w:p>
        </w:tc>
      </w:tr>
      <w:tr w:rsidR="00780051" w:rsidRPr="004605A4" w14:paraId="6E76B8F3" w14:textId="77777777" w:rsidTr="007870AC">
        <w:trPr>
          <w:trHeight w:val="20"/>
          <w:tblCellSpacing w:w="15" w:type="dxa"/>
        </w:trPr>
        <w:tc>
          <w:tcPr>
            <w:tcW w:w="4275" w:type="dxa"/>
            <w:vAlign w:val="center"/>
            <w:hideMark/>
          </w:tcPr>
          <w:p w14:paraId="3E266652" w14:textId="77777777" w:rsidR="00780051" w:rsidRPr="004605A4" w:rsidRDefault="00780051" w:rsidP="007870AC">
            <w:r w:rsidRPr="004605A4">
              <w:t>Cemetery Land Use</w:t>
            </w:r>
          </w:p>
        </w:tc>
        <w:tc>
          <w:tcPr>
            <w:tcW w:w="4995" w:type="dxa"/>
            <w:vAlign w:val="center"/>
            <w:hideMark/>
          </w:tcPr>
          <w:p w14:paraId="62303539" w14:textId="77777777" w:rsidR="00780051" w:rsidRPr="004605A4" w:rsidRDefault="00780051" w:rsidP="007870AC">
            <w:pPr>
              <w:jc w:val="center"/>
            </w:pPr>
            <w:r w:rsidRPr="004605A4">
              <w:t>0.243</w:t>
            </w:r>
          </w:p>
        </w:tc>
      </w:tr>
      <w:tr w:rsidR="00780051" w:rsidRPr="004605A4" w14:paraId="086FDBBA" w14:textId="77777777" w:rsidTr="007870AC">
        <w:trPr>
          <w:trHeight w:val="20"/>
          <w:tblCellSpacing w:w="15" w:type="dxa"/>
        </w:trPr>
        <w:tc>
          <w:tcPr>
            <w:tcW w:w="4275" w:type="dxa"/>
            <w:vAlign w:val="center"/>
            <w:hideMark/>
          </w:tcPr>
          <w:p w14:paraId="5BA23C09" w14:textId="77777777" w:rsidR="00780051" w:rsidRPr="004605A4" w:rsidRDefault="00780051" w:rsidP="007870AC">
            <w:pPr>
              <w:jc w:val="center"/>
            </w:pPr>
          </w:p>
        </w:tc>
        <w:tc>
          <w:tcPr>
            <w:tcW w:w="4995" w:type="dxa"/>
            <w:vAlign w:val="center"/>
            <w:hideMark/>
          </w:tcPr>
          <w:p w14:paraId="79E6058D" w14:textId="77777777" w:rsidR="00780051" w:rsidRPr="004605A4" w:rsidRDefault="00780051" w:rsidP="007870AC">
            <w:pPr>
              <w:jc w:val="center"/>
            </w:pPr>
            <w:r w:rsidRPr="004605A4">
              <w:t>(0.365)</w:t>
            </w:r>
          </w:p>
        </w:tc>
      </w:tr>
      <w:tr w:rsidR="00780051" w:rsidRPr="004605A4" w14:paraId="7A46324A" w14:textId="77777777" w:rsidTr="007870AC">
        <w:trPr>
          <w:trHeight w:val="20"/>
          <w:tblCellSpacing w:w="15" w:type="dxa"/>
        </w:trPr>
        <w:tc>
          <w:tcPr>
            <w:tcW w:w="4275" w:type="dxa"/>
            <w:vAlign w:val="center"/>
            <w:hideMark/>
          </w:tcPr>
          <w:p w14:paraId="464D1875" w14:textId="77777777" w:rsidR="00780051" w:rsidRPr="004605A4" w:rsidRDefault="00780051" w:rsidP="007870AC">
            <w:pPr>
              <w:jc w:val="center"/>
            </w:pPr>
          </w:p>
        </w:tc>
        <w:tc>
          <w:tcPr>
            <w:tcW w:w="4995" w:type="dxa"/>
            <w:vAlign w:val="center"/>
            <w:hideMark/>
          </w:tcPr>
          <w:p w14:paraId="16B00896" w14:textId="77777777" w:rsidR="00780051" w:rsidRPr="004605A4" w:rsidRDefault="00780051" w:rsidP="007870AC"/>
        </w:tc>
      </w:tr>
      <w:tr w:rsidR="00780051" w:rsidRPr="004605A4" w14:paraId="14CBD62B" w14:textId="77777777" w:rsidTr="007870AC">
        <w:trPr>
          <w:trHeight w:val="20"/>
          <w:tblCellSpacing w:w="15" w:type="dxa"/>
        </w:trPr>
        <w:tc>
          <w:tcPr>
            <w:tcW w:w="4275" w:type="dxa"/>
            <w:vAlign w:val="center"/>
            <w:hideMark/>
          </w:tcPr>
          <w:p w14:paraId="72042BE1" w14:textId="77777777" w:rsidR="00780051" w:rsidRPr="004605A4" w:rsidRDefault="00780051" w:rsidP="007870AC">
            <w:r w:rsidRPr="004605A4">
              <w:t>Parks/Recreational Land Use</w:t>
            </w:r>
          </w:p>
        </w:tc>
        <w:tc>
          <w:tcPr>
            <w:tcW w:w="4995" w:type="dxa"/>
            <w:vAlign w:val="center"/>
            <w:hideMark/>
          </w:tcPr>
          <w:p w14:paraId="25143F44" w14:textId="77777777" w:rsidR="00780051" w:rsidRPr="004605A4" w:rsidRDefault="00780051" w:rsidP="007870AC">
            <w:pPr>
              <w:jc w:val="center"/>
            </w:pPr>
            <w:r w:rsidRPr="004605A4">
              <w:t>1.292</w:t>
            </w:r>
            <w:r w:rsidRPr="004605A4">
              <w:rPr>
                <w:vertAlign w:val="superscript"/>
              </w:rPr>
              <w:t>***</w:t>
            </w:r>
          </w:p>
        </w:tc>
      </w:tr>
      <w:tr w:rsidR="00780051" w:rsidRPr="004605A4" w14:paraId="584CB820" w14:textId="77777777" w:rsidTr="007870AC">
        <w:trPr>
          <w:trHeight w:val="20"/>
          <w:tblCellSpacing w:w="15" w:type="dxa"/>
        </w:trPr>
        <w:tc>
          <w:tcPr>
            <w:tcW w:w="4275" w:type="dxa"/>
            <w:vAlign w:val="center"/>
            <w:hideMark/>
          </w:tcPr>
          <w:p w14:paraId="6AE3E784" w14:textId="77777777" w:rsidR="00780051" w:rsidRPr="004605A4" w:rsidRDefault="00780051" w:rsidP="007870AC">
            <w:pPr>
              <w:jc w:val="center"/>
            </w:pPr>
          </w:p>
        </w:tc>
        <w:tc>
          <w:tcPr>
            <w:tcW w:w="4995" w:type="dxa"/>
            <w:vAlign w:val="center"/>
            <w:hideMark/>
          </w:tcPr>
          <w:p w14:paraId="4435A020" w14:textId="77777777" w:rsidR="00780051" w:rsidRPr="004605A4" w:rsidRDefault="00780051" w:rsidP="007870AC">
            <w:pPr>
              <w:jc w:val="center"/>
            </w:pPr>
            <w:r w:rsidRPr="004605A4">
              <w:t>(0.198)</w:t>
            </w:r>
          </w:p>
        </w:tc>
      </w:tr>
      <w:tr w:rsidR="00780051" w:rsidRPr="004605A4" w14:paraId="13F74AD6" w14:textId="77777777" w:rsidTr="007870AC">
        <w:trPr>
          <w:trHeight w:val="20"/>
          <w:tblCellSpacing w:w="15" w:type="dxa"/>
        </w:trPr>
        <w:tc>
          <w:tcPr>
            <w:tcW w:w="4275" w:type="dxa"/>
            <w:vAlign w:val="center"/>
            <w:hideMark/>
          </w:tcPr>
          <w:p w14:paraId="12408EED" w14:textId="77777777" w:rsidR="00780051" w:rsidRPr="004605A4" w:rsidRDefault="00780051" w:rsidP="007870AC">
            <w:r w:rsidRPr="004605A4">
              <w:t>Public Housing</w:t>
            </w:r>
          </w:p>
        </w:tc>
        <w:tc>
          <w:tcPr>
            <w:tcW w:w="4995" w:type="dxa"/>
            <w:vAlign w:val="center"/>
            <w:hideMark/>
          </w:tcPr>
          <w:p w14:paraId="51B7D1C5" w14:textId="77777777" w:rsidR="00780051" w:rsidRPr="004605A4" w:rsidRDefault="00780051" w:rsidP="007870AC">
            <w:pPr>
              <w:jc w:val="center"/>
            </w:pPr>
            <w:r w:rsidRPr="004605A4">
              <w:t>2.310</w:t>
            </w:r>
            <w:r w:rsidRPr="004605A4">
              <w:rPr>
                <w:vertAlign w:val="superscript"/>
              </w:rPr>
              <w:t>***</w:t>
            </w:r>
          </w:p>
        </w:tc>
      </w:tr>
      <w:tr w:rsidR="00780051" w:rsidRPr="004605A4" w14:paraId="02286561" w14:textId="77777777" w:rsidTr="007870AC">
        <w:trPr>
          <w:trHeight w:val="20"/>
          <w:tblCellSpacing w:w="15" w:type="dxa"/>
        </w:trPr>
        <w:tc>
          <w:tcPr>
            <w:tcW w:w="4275" w:type="dxa"/>
            <w:vAlign w:val="center"/>
            <w:hideMark/>
          </w:tcPr>
          <w:p w14:paraId="10FEA62C" w14:textId="77777777" w:rsidR="00780051" w:rsidRPr="004605A4" w:rsidRDefault="00780051" w:rsidP="007870AC">
            <w:pPr>
              <w:jc w:val="center"/>
            </w:pPr>
          </w:p>
        </w:tc>
        <w:tc>
          <w:tcPr>
            <w:tcW w:w="4995" w:type="dxa"/>
            <w:vAlign w:val="center"/>
            <w:hideMark/>
          </w:tcPr>
          <w:p w14:paraId="1439A2D4" w14:textId="77777777" w:rsidR="00780051" w:rsidRPr="004605A4" w:rsidRDefault="00780051" w:rsidP="007870AC">
            <w:pPr>
              <w:jc w:val="center"/>
            </w:pPr>
            <w:r w:rsidRPr="004605A4">
              <w:t>(0.142)</w:t>
            </w:r>
          </w:p>
        </w:tc>
      </w:tr>
      <w:tr w:rsidR="00780051" w:rsidRPr="004605A4" w14:paraId="0662522A" w14:textId="77777777" w:rsidTr="007870AC">
        <w:trPr>
          <w:trHeight w:val="20"/>
          <w:tblCellSpacing w:w="15" w:type="dxa"/>
        </w:trPr>
        <w:tc>
          <w:tcPr>
            <w:tcW w:w="4275" w:type="dxa"/>
            <w:vAlign w:val="center"/>
            <w:hideMark/>
          </w:tcPr>
          <w:p w14:paraId="62C5DCDA" w14:textId="77777777" w:rsidR="00780051" w:rsidRPr="004605A4" w:rsidRDefault="00780051" w:rsidP="007870AC">
            <w:r w:rsidRPr="004605A4">
              <w:t>Commercial Overlay</w:t>
            </w:r>
          </w:p>
        </w:tc>
        <w:tc>
          <w:tcPr>
            <w:tcW w:w="4995" w:type="dxa"/>
            <w:vAlign w:val="center"/>
            <w:hideMark/>
          </w:tcPr>
          <w:p w14:paraId="5BB69440" w14:textId="77777777" w:rsidR="00780051" w:rsidRPr="004605A4" w:rsidRDefault="00780051" w:rsidP="007870AC">
            <w:pPr>
              <w:jc w:val="center"/>
            </w:pPr>
            <w:r w:rsidRPr="004605A4">
              <w:t>2.664</w:t>
            </w:r>
            <w:r w:rsidRPr="004605A4">
              <w:rPr>
                <w:vertAlign w:val="superscript"/>
              </w:rPr>
              <w:t>***</w:t>
            </w:r>
          </w:p>
        </w:tc>
      </w:tr>
      <w:tr w:rsidR="00780051" w:rsidRPr="004605A4" w14:paraId="0530CBBA" w14:textId="77777777" w:rsidTr="007870AC">
        <w:trPr>
          <w:trHeight w:val="20"/>
          <w:tblCellSpacing w:w="15" w:type="dxa"/>
        </w:trPr>
        <w:tc>
          <w:tcPr>
            <w:tcW w:w="4275" w:type="dxa"/>
            <w:vAlign w:val="center"/>
            <w:hideMark/>
          </w:tcPr>
          <w:p w14:paraId="04F6D2DA" w14:textId="77777777" w:rsidR="00780051" w:rsidRPr="004605A4" w:rsidRDefault="00780051" w:rsidP="007870AC">
            <w:pPr>
              <w:jc w:val="center"/>
            </w:pPr>
          </w:p>
        </w:tc>
        <w:tc>
          <w:tcPr>
            <w:tcW w:w="4995" w:type="dxa"/>
            <w:vAlign w:val="center"/>
            <w:hideMark/>
          </w:tcPr>
          <w:p w14:paraId="0C03B483" w14:textId="77777777" w:rsidR="00780051" w:rsidRPr="004605A4" w:rsidRDefault="00780051" w:rsidP="007870AC">
            <w:pPr>
              <w:jc w:val="center"/>
            </w:pPr>
            <w:r w:rsidRPr="004605A4">
              <w:t>(0.192)</w:t>
            </w:r>
          </w:p>
        </w:tc>
      </w:tr>
      <w:tr w:rsidR="00780051" w:rsidRPr="004605A4" w14:paraId="0AF3236D" w14:textId="77777777" w:rsidTr="007870AC">
        <w:trPr>
          <w:trHeight w:val="20"/>
          <w:tblCellSpacing w:w="15" w:type="dxa"/>
        </w:trPr>
        <w:tc>
          <w:tcPr>
            <w:tcW w:w="4275" w:type="dxa"/>
            <w:vAlign w:val="center"/>
            <w:hideMark/>
          </w:tcPr>
          <w:p w14:paraId="3C0452A5" w14:textId="77777777" w:rsidR="00780051" w:rsidRPr="004605A4" w:rsidRDefault="00780051" w:rsidP="007870AC">
            <w:r w:rsidRPr="004605A4">
              <w:t>Mixed Land Use</w:t>
            </w:r>
          </w:p>
        </w:tc>
        <w:tc>
          <w:tcPr>
            <w:tcW w:w="4995" w:type="dxa"/>
            <w:vAlign w:val="center"/>
            <w:hideMark/>
          </w:tcPr>
          <w:p w14:paraId="0CE36700" w14:textId="77777777" w:rsidR="00780051" w:rsidRPr="004605A4" w:rsidRDefault="00780051" w:rsidP="007870AC">
            <w:pPr>
              <w:jc w:val="center"/>
            </w:pPr>
            <w:r w:rsidRPr="004605A4">
              <w:t>0.098</w:t>
            </w:r>
          </w:p>
        </w:tc>
      </w:tr>
      <w:tr w:rsidR="00780051" w:rsidRPr="004605A4" w14:paraId="2CF6D15E" w14:textId="77777777" w:rsidTr="007870AC">
        <w:trPr>
          <w:trHeight w:val="20"/>
          <w:tblCellSpacing w:w="15" w:type="dxa"/>
        </w:trPr>
        <w:tc>
          <w:tcPr>
            <w:tcW w:w="4275" w:type="dxa"/>
            <w:vAlign w:val="center"/>
            <w:hideMark/>
          </w:tcPr>
          <w:p w14:paraId="2CA2B775" w14:textId="77777777" w:rsidR="00780051" w:rsidRPr="004605A4" w:rsidRDefault="00780051" w:rsidP="007870AC">
            <w:pPr>
              <w:jc w:val="center"/>
            </w:pPr>
          </w:p>
        </w:tc>
        <w:tc>
          <w:tcPr>
            <w:tcW w:w="4995" w:type="dxa"/>
            <w:vAlign w:val="center"/>
            <w:hideMark/>
          </w:tcPr>
          <w:p w14:paraId="7964D972" w14:textId="77777777" w:rsidR="00780051" w:rsidRPr="004605A4" w:rsidRDefault="00780051" w:rsidP="007870AC">
            <w:pPr>
              <w:jc w:val="center"/>
            </w:pPr>
            <w:r w:rsidRPr="004605A4">
              <w:t>(0.137)</w:t>
            </w:r>
          </w:p>
        </w:tc>
      </w:tr>
      <w:tr w:rsidR="00780051" w:rsidRPr="004605A4" w14:paraId="6B9C8022" w14:textId="77777777" w:rsidTr="007870AC">
        <w:trPr>
          <w:trHeight w:val="20"/>
          <w:tblCellSpacing w:w="15" w:type="dxa"/>
        </w:trPr>
        <w:tc>
          <w:tcPr>
            <w:tcW w:w="4275" w:type="dxa"/>
            <w:vAlign w:val="center"/>
            <w:hideMark/>
          </w:tcPr>
          <w:p w14:paraId="13CACCCE" w14:textId="77777777" w:rsidR="00780051" w:rsidRPr="004605A4" w:rsidRDefault="00780051" w:rsidP="007870AC">
            <w:r w:rsidRPr="004605A4">
              <w:t>Rail</w:t>
            </w:r>
          </w:p>
        </w:tc>
        <w:tc>
          <w:tcPr>
            <w:tcW w:w="4995" w:type="dxa"/>
            <w:vAlign w:val="center"/>
            <w:hideMark/>
          </w:tcPr>
          <w:p w14:paraId="661FC384" w14:textId="77777777" w:rsidR="00780051" w:rsidRPr="004605A4" w:rsidRDefault="00780051" w:rsidP="007870AC">
            <w:pPr>
              <w:jc w:val="center"/>
            </w:pPr>
            <w:r w:rsidRPr="004605A4">
              <w:t>0.185</w:t>
            </w:r>
            <w:r w:rsidRPr="004605A4">
              <w:rPr>
                <w:vertAlign w:val="superscript"/>
              </w:rPr>
              <w:t>***</w:t>
            </w:r>
          </w:p>
        </w:tc>
      </w:tr>
      <w:tr w:rsidR="00780051" w:rsidRPr="004605A4" w14:paraId="0521E384" w14:textId="77777777" w:rsidTr="007870AC">
        <w:trPr>
          <w:trHeight w:val="20"/>
          <w:tblCellSpacing w:w="15" w:type="dxa"/>
        </w:trPr>
        <w:tc>
          <w:tcPr>
            <w:tcW w:w="4275" w:type="dxa"/>
            <w:vAlign w:val="center"/>
            <w:hideMark/>
          </w:tcPr>
          <w:p w14:paraId="6DEC88BE" w14:textId="77777777" w:rsidR="00780051" w:rsidRPr="004605A4" w:rsidRDefault="00780051" w:rsidP="007870AC">
            <w:pPr>
              <w:jc w:val="center"/>
            </w:pPr>
          </w:p>
        </w:tc>
        <w:tc>
          <w:tcPr>
            <w:tcW w:w="4995" w:type="dxa"/>
            <w:vAlign w:val="center"/>
            <w:hideMark/>
          </w:tcPr>
          <w:p w14:paraId="2646CC8C" w14:textId="77777777" w:rsidR="00780051" w:rsidRPr="004605A4" w:rsidRDefault="00780051" w:rsidP="007870AC">
            <w:pPr>
              <w:jc w:val="center"/>
            </w:pPr>
            <w:r w:rsidRPr="004605A4">
              <w:t>(0.061)</w:t>
            </w:r>
          </w:p>
        </w:tc>
      </w:tr>
      <w:tr w:rsidR="00780051" w:rsidRPr="004605A4" w14:paraId="76F4A368" w14:textId="77777777" w:rsidTr="007870AC">
        <w:trPr>
          <w:trHeight w:val="20"/>
          <w:tblCellSpacing w:w="15" w:type="dxa"/>
        </w:trPr>
        <w:tc>
          <w:tcPr>
            <w:tcW w:w="4275" w:type="dxa"/>
            <w:vAlign w:val="center"/>
            <w:hideMark/>
          </w:tcPr>
          <w:p w14:paraId="0021EB77" w14:textId="77777777" w:rsidR="00780051" w:rsidRPr="004605A4" w:rsidRDefault="00780051" w:rsidP="007870AC">
            <w:r w:rsidRPr="004605A4">
              <w:t>River</w:t>
            </w:r>
          </w:p>
        </w:tc>
        <w:tc>
          <w:tcPr>
            <w:tcW w:w="4995" w:type="dxa"/>
            <w:vAlign w:val="center"/>
            <w:hideMark/>
          </w:tcPr>
          <w:p w14:paraId="3052E3A9" w14:textId="77777777" w:rsidR="00780051" w:rsidRPr="004605A4" w:rsidRDefault="00780051" w:rsidP="007870AC">
            <w:pPr>
              <w:jc w:val="center"/>
            </w:pPr>
            <w:r w:rsidRPr="004605A4">
              <w:t>-0.038</w:t>
            </w:r>
          </w:p>
        </w:tc>
      </w:tr>
      <w:tr w:rsidR="00780051" w:rsidRPr="004605A4" w14:paraId="0742296C" w14:textId="77777777" w:rsidTr="007870AC">
        <w:trPr>
          <w:trHeight w:val="20"/>
          <w:tblCellSpacing w:w="15" w:type="dxa"/>
        </w:trPr>
        <w:tc>
          <w:tcPr>
            <w:tcW w:w="4275" w:type="dxa"/>
            <w:vAlign w:val="center"/>
            <w:hideMark/>
          </w:tcPr>
          <w:p w14:paraId="222DD348" w14:textId="77777777" w:rsidR="00780051" w:rsidRPr="004605A4" w:rsidRDefault="00780051" w:rsidP="007870AC">
            <w:pPr>
              <w:jc w:val="center"/>
            </w:pPr>
          </w:p>
        </w:tc>
        <w:tc>
          <w:tcPr>
            <w:tcW w:w="4995" w:type="dxa"/>
            <w:vAlign w:val="center"/>
            <w:hideMark/>
          </w:tcPr>
          <w:p w14:paraId="530F266E" w14:textId="77777777" w:rsidR="00780051" w:rsidRPr="004605A4" w:rsidRDefault="00780051" w:rsidP="007870AC">
            <w:pPr>
              <w:jc w:val="center"/>
            </w:pPr>
            <w:r w:rsidRPr="004605A4">
              <w:t>(0.086)</w:t>
            </w:r>
          </w:p>
        </w:tc>
      </w:tr>
      <w:tr w:rsidR="00780051" w:rsidRPr="004605A4" w14:paraId="3BC295D0" w14:textId="77777777" w:rsidTr="007870AC">
        <w:trPr>
          <w:trHeight w:val="20"/>
          <w:tblCellSpacing w:w="15" w:type="dxa"/>
        </w:trPr>
        <w:tc>
          <w:tcPr>
            <w:tcW w:w="4275" w:type="dxa"/>
            <w:vAlign w:val="center"/>
            <w:hideMark/>
          </w:tcPr>
          <w:p w14:paraId="103BD773" w14:textId="77777777" w:rsidR="00780051" w:rsidRPr="004605A4" w:rsidRDefault="00780051" w:rsidP="007870AC">
            <w:r w:rsidRPr="004605A4">
              <w:t>Major Road</w:t>
            </w:r>
          </w:p>
        </w:tc>
        <w:tc>
          <w:tcPr>
            <w:tcW w:w="4995" w:type="dxa"/>
            <w:vAlign w:val="center"/>
            <w:hideMark/>
          </w:tcPr>
          <w:p w14:paraId="62C507A1" w14:textId="77777777" w:rsidR="00780051" w:rsidRPr="004605A4" w:rsidRDefault="00780051" w:rsidP="007870AC">
            <w:pPr>
              <w:jc w:val="center"/>
            </w:pPr>
            <w:r w:rsidRPr="004605A4">
              <w:t>-0.291</w:t>
            </w:r>
            <w:r w:rsidRPr="004605A4">
              <w:rPr>
                <w:vertAlign w:val="superscript"/>
              </w:rPr>
              <w:t>***</w:t>
            </w:r>
          </w:p>
        </w:tc>
      </w:tr>
      <w:tr w:rsidR="00780051" w:rsidRPr="004605A4" w14:paraId="22F462DA" w14:textId="77777777" w:rsidTr="007870AC">
        <w:trPr>
          <w:trHeight w:val="20"/>
          <w:tblCellSpacing w:w="15" w:type="dxa"/>
        </w:trPr>
        <w:tc>
          <w:tcPr>
            <w:tcW w:w="4275" w:type="dxa"/>
            <w:vAlign w:val="center"/>
            <w:hideMark/>
          </w:tcPr>
          <w:p w14:paraId="32FA1CBD" w14:textId="77777777" w:rsidR="00780051" w:rsidRPr="004605A4" w:rsidRDefault="00780051" w:rsidP="007870AC">
            <w:pPr>
              <w:jc w:val="center"/>
            </w:pPr>
          </w:p>
        </w:tc>
        <w:tc>
          <w:tcPr>
            <w:tcW w:w="4995" w:type="dxa"/>
            <w:vAlign w:val="center"/>
            <w:hideMark/>
          </w:tcPr>
          <w:p w14:paraId="402D3FC6" w14:textId="77777777" w:rsidR="00780051" w:rsidRPr="004605A4" w:rsidRDefault="00780051" w:rsidP="007870AC">
            <w:pPr>
              <w:jc w:val="center"/>
            </w:pPr>
            <w:r w:rsidRPr="004605A4">
              <w:t>(0.048)</w:t>
            </w:r>
          </w:p>
        </w:tc>
      </w:tr>
      <w:tr w:rsidR="00780051" w:rsidRPr="004605A4" w14:paraId="089F6F6F" w14:textId="77777777" w:rsidTr="007870AC">
        <w:trPr>
          <w:trHeight w:val="20"/>
          <w:tblCellSpacing w:w="15" w:type="dxa"/>
        </w:trPr>
        <w:tc>
          <w:tcPr>
            <w:tcW w:w="4275" w:type="dxa"/>
            <w:vAlign w:val="center"/>
            <w:hideMark/>
          </w:tcPr>
          <w:p w14:paraId="14810975" w14:textId="77777777" w:rsidR="00780051" w:rsidRPr="004605A4" w:rsidRDefault="00780051" w:rsidP="007870AC">
            <w:r w:rsidRPr="004605A4">
              <w:t>Racial Diversity</w:t>
            </w:r>
          </w:p>
        </w:tc>
        <w:tc>
          <w:tcPr>
            <w:tcW w:w="4995" w:type="dxa"/>
            <w:vAlign w:val="center"/>
            <w:hideMark/>
          </w:tcPr>
          <w:p w14:paraId="35549330" w14:textId="77777777" w:rsidR="00780051" w:rsidRPr="004605A4" w:rsidRDefault="00780051" w:rsidP="007870AC">
            <w:pPr>
              <w:jc w:val="center"/>
            </w:pPr>
            <w:r w:rsidRPr="004605A4">
              <w:t>0.079</w:t>
            </w:r>
          </w:p>
        </w:tc>
      </w:tr>
      <w:tr w:rsidR="00780051" w:rsidRPr="004605A4" w14:paraId="19C30749" w14:textId="77777777" w:rsidTr="007870AC">
        <w:trPr>
          <w:trHeight w:val="20"/>
          <w:tblCellSpacing w:w="15" w:type="dxa"/>
        </w:trPr>
        <w:tc>
          <w:tcPr>
            <w:tcW w:w="4275" w:type="dxa"/>
            <w:vAlign w:val="center"/>
            <w:hideMark/>
          </w:tcPr>
          <w:p w14:paraId="6782A461" w14:textId="77777777" w:rsidR="00780051" w:rsidRPr="004605A4" w:rsidRDefault="00780051" w:rsidP="007870AC">
            <w:pPr>
              <w:jc w:val="center"/>
            </w:pPr>
          </w:p>
        </w:tc>
        <w:tc>
          <w:tcPr>
            <w:tcW w:w="4995" w:type="dxa"/>
            <w:vAlign w:val="center"/>
            <w:hideMark/>
          </w:tcPr>
          <w:p w14:paraId="19E8F9C7" w14:textId="77777777" w:rsidR="00780051" w:rsidRPr="004605A4" w:rsidRDefault="00780051" w:rsidP="007870AC">
            <w:pPr>
              <w:jc w:val="center"/>
            </w:pPr>
            <w:r w:rsidRPr="004605A4">
              <w:t>(0.125)</w:t>
            </w:r>
          </w:p>
        </w:tc>
      </w:tr>
      <w:tr w:rsidR="00780051" w:rsidRPr="004605A4" w14:paraId="3E0D5B4F" w14:textId="77777777" w:rsidTr="007870AC">
        <w:trPr>
          <w:trHeight w:val="20"/>
          <w:tblCellSpacing w:w="15" w:type="dxa"/>
        </w:trPr>
        <w:tc>
          <w:tcPr>
            <w:tcW w:w="4275" w:type="dxa"/>
            <w:vAlign w:val="center"/>
            <w:hideMark/>
          </w:tcPr>
          <w:p w14:paraId="69FB33A3" w14:textId="77777777" w:rsidR="00780051" w:rsidRPr="004605A4" w:rsidRDefault="00780051" w:rsidP="007870AC">
            <w:r w:rsidRPr="004605A4">
              <w:t>Constant</w:t>
            </w:r>
          </w:p>
        </w:tc>
        <w:tc>
          <w:tcPr>
            <w:tcW w:w="4995" w:type="dxa"/>
            <w:vAlign w:val="center"/>
            <w:hideMark/>
          </w:tcPr>
          <w:p w14:paraId="64F8F64A" w14:textId="77777777" w:rsidR="00780051" w:rsidRPr="004605A4" w:rsidRDefault="00780051" w:rsidP="007870AC">
            <w:pPr>
              <w:jc w:val="center"/>
            </w:pPr>
            <w:r w:rsidRPr="004605A4">
              <w:t>2.686</w:t>
            </w:r>
            <w:r w:rsidRPr="004605A4">
              <w:rPr>
                <w:vertAlign w:val="superscript"/>
              </w:rPr>
              <w:t>***</w:t>
            </w:r>
          </w:p>
        </w:tc>
      </w:tr>
      <w:tr w:rsidR="00780051" w:rsidRPr="004605A4" w14:paraId="2A7FEF48" w14:textId="77777777" w:rsidTr="007870AC">
        <w:trPr>
          <w:trHeight w:val="20"/>
          <w:tblCellSpacing w:w="15" w:type="dxa"/>
        </w:trPr>
        <w:tc>
          <w:tcPr>
            <w:tcW w:w="4275" w:type="dxa"/>
            <w:tcBorders>
              <w:bottom w:val="single" w:sz="4" w:space="0" w:color="auto"/>
            </w:tcBorders>
            <w:vAlign w:val="center"/>
            <w:hideMark/>
          </w:tcPr>
          <w:p w14:paraId="2174CB28" w14:textId="77777777" w:rsidR="00780051" w:rsidRPr="004605A4" w:rsidRDefault="00780051" w:rsidP="007870AC">
            <w:pPr>
              <w:jc w:val="center"/>
            </w:pPr>
          </w:p>
        </w:tc>
        <w:tc>
          <w:tcPr>
            <w:tcW w:w="4995" w:type="dxa"/>
            <w:tcBorders>
              <w:bottom w:val="single" w:sz="4" w:space="0" w:color="auto"/>
            </w:tcBorders>
            <w:vAlign w:val="center"/>
            <w:hideMark/>
          </w:tcPr>
          <w:p w14:paraId="18A26EC3" w14:textId="77777777" w:rsidR="00780051" w:rsidRPr="004605A4" w:rsidRDefault="00780051" w:rsidP="007870AC">
            <w:pPr>
              <w:jc w:val="center"/>
            </w:pPr>
            <w:r w:rsidRPr="004605A4">
              <w:t>(0.393)</w:t>
            </w:r>
          </w:p>
        </w:tc>
      </w:tr>
      <w:tr w:rsidR="00780051" w:rsidRPr="004605A4" w14:paraId="22D12243" w14:textId="77777777" w:rsidTr="007870AC">
        <w:trPr>
          <w:trHeight w:val="20"/>
          <w:tblCellSpacing w:w="15" w:type="dxa"/>
        </w:trPr>
        <w:tc>
          <w:tcPr>
            <w:tcW w:w="4275" w:type="dxa"/>
            <w:vAlign w:val="center"/>
            <w:hideMark/>
          </w:tcPr>
          <w:p w14:paraId="090B58BA" w14:textId="77777777" w:rsidR="00780051" w:rsidRPr="004605A4" w:rsidRDefault="00780051" w:rsidP="007870AC">
            <w:r w:rsidRPr="004605A4">
              <w:t>Observations</w:t>
            </w:r>
          </w:p>
        </w:tc>
        <w:tc>
          <w:tcPr>
            <w:tcW w:w="4995" w:type="dxa"/>
            <w:vAlign w:val="center"/>
            <w:hideMark/>
          </w:tcPr>
          <w:p w14:paraId="13579A8F" w14:textId="77777777" w:rsidR="00780051" w:rsidRPr="004605A4" w:rsidRDefault="00780051" w:rsidP="007870AC">
            <w:pPr>
              <w:jc w:val="center"/>
            </w:pPr>
            <w:r w:rsidRPr="004605A4">
              <w:t>4,604</w:t>
            </w:r>
          </w:p>
        </w:tc>
      </w:tr>
      <w:tr w:rsidR="00780051" w:rsidRPr="004605A4" w14:paraId="074CCCE1" w14:textId="77777777" w:rsidTr="007870AC">
        <w:trPr>
          <w:trHeight w:val="20"/>
          <w:tblCellSpacing w:w="15" w:type="dxa"/>
        </w:trPr>
        <w:tc>
          <w:tcPr>
            <w:tcW w:w="4275" w:type="dxa"/>
            <w:vAlign w:val="center"/>
            <w:hideMark/>
          </w:tcPr>
          <w:p w14:paraId="4C1C34AA" w14:textId="77777777" w:rsidR="00780051" w:rsidRPr="004605A4" w:rsidRDefault="00780051" w:rsidP="007870AC">
            <w:r w:rsidRPr="004605A4">
              <w:t>Log Likelihood</w:t>
            </w:r>
          </w:p>
        </w:tc>
        <w:tc>
          <w:tcPr>
            <w:tcW w:w="4995" w:type="dxa"/>
            <w:vAlign w:val="center"/>
            <w:hideMark/>
          </w:tcPr>
          <w:p w14:paraId="711D2CCE" w14:textId="77777777" w:rsidR="00780051" w:rsidRPr="004605A4" w:rsidRDefault="00780051" w:rsidP="007870AC">
            <w:pPr>
              <w:jc w:val="center"/>
            </w:pPr>
            <w:r w:rsidRPr="004605A4">
              <w:t>-31,178.400</w:t>
            </w:r>
          </w:p>
        </w:tc>
      </w:tr>
      <w:tr w:rsidR="00780051" w:rsidRPr="004605A4" w14:paraId="03627C23" w14:textId="77777777" w:rsidTr="007870AC">
        <w:trPr>
          <w:trHeight w:val="20"/>
          <w:tblCellSpacing w:w="15" w:type="dxa"/>
        </w:trPr>
        <w:tc>
          <w:tcPr>
            <w:tcW w:w="0" w:type="auto"/>
            <w:gridSpan w:val="2"/>
            <w:tcBorders>
              <w:bottom w:val="single" w:sz="6" w:space="0" w:color="000000"/>
            </w:tcBorders>
            <w:vAlign w:val="center"/>
            <w:hideMark/>
          </w:tcPr>
          <w:p w14:paraId="285C98E6" w14:textId="77777777" w:rsidR="00780051" w:rsidRPr="004605A4" w:rsidRDefault="00780051" w:rsidP="007870AC">
            <w:pPr>
              <w:jc w:val="center"/>
            </w:pPr>
          </w:p>
        </w:tc>
      </w:tr>
      <w:tr w:rsidR="00780051" w:rsidRPr="004605A4" w14:paraId="7A4DC786" w14:textId="77777777" w:rsidTr="007870AC">
        <w:trPr>
          <w:trHeight w:val="20"/>
          <w:tblCellSpacing w:w="15" w:type="dxa"/>
        </w:trPr>
        <w:tc>
          <w:tcPr>
            <w:tcW w:w="9300" w:type="dxa"/>
            <w:gridSpan w:val="2"/>
            <w:vAlign w:val="center"/>
            <w:hideMark/>
          </w:tcPr>
          <w:p w14:paraId="7440F040" w14:textId="77777777" w:rsidR="00780051" w:rsidRPr="004605A4" w:rsidRDefault="00780051" w:rsidP="007870AC">
            <w:r w:rsidRPr="004605A4">
              <w:rPr>
                <w:i/>
                <w:iCs/>
              </w:rPr>
              <w:t xml:space="preserve">Note: </w:t>
            </w:r>
            <w:r w:rsidRPr="004605A4">
              <w:t>Coefficients are expressed as changes in the log of the expected count. Cluster-robust standard errors in parentheses. *P &lt; 0.05, **P &lt; 0.01, ***P &lt; 0.001</w:t>
            </w:r>
            <w:r>
              <w:t xml:space="preserve"> (two-tailed tests).</w:t>
            </w:r>
          </w:p>
        </w:tc>
      </w:tr>
    </w:tbl>
    <w:p w14:paraId="14EC5EB0" w14:textId="77777777" w:rsidR="00780051" w:rsidRPr="004605A4" w:rsidRDefault="00780051" w:rsidP="00780051"/>
    <w:p w14:paraId="4AF934EB" w14:textId="77777777" w:rsidR="00780051" w:rsidRPr="004605A4" w:rsidRDefault="00780051" w:rsidP="00780051">
      <w:r w:rsidRPr="004605A4">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80051" w:rsidRPr="004605A4" w14:paraId="2D43122A" w14:textId="77777777" w:rsidTr="007870AC">
        <w:trPr>
          <w:trHeight w:val="1164"/>
          <w:tblCellSpacing w:w="15" w:type="dxa"/>
        </w:trPr>
        <w:tc>
          <w:tcPr>
            <w:tcW w:w="0" w:type="auto"/>
            <w:vAlign w:val="center"/>
            <w:hideMark/>
          </w:tcPr>
          <w:p w14:paraId="556FF0F0" w14:textId="77777777" w:rsidR="00780051" w:rsidRPr="004605A4" w:rsidRDefault="00780051" w:rsidP="007870AC"/>
          <w:tbl>
            <w:tblPr>
              <w:tblW w:w="10980" w:type="dxa"/>
              <w:tblCellSpacing w:w="15" w:type="dxa"/>
              <w:tblCellMar>
                <w:top w:w="15" w:type="dxa"/>
                <w:left w:w="15" w:type="dxa"/>
                <w:bottom w:w="15" w:type="dxa"/>
                <w:right w:w="15" w:type="dxa"/>
              </w:tblCellMar>
              <w:tblLook w:val="04A0" w:firstRow="1" w:lastRow="0" w:firstColumn="1" w:lastColumn="0" w:noHBand="0" w:noVBand="1"/>
            </w:tblPr>
            <w:tblGrid>
              <w:gridCol w:w="4099"/>
              <w:gridCol w:w="1710"/>
              <w:gridCol w:w="1710"/>
              <w:gridCol w:w="1751"/>
              <w:gridCol w:w="1710"/>
            </w:tblGrid>
            <w:tr w:rsidR="00780051" w:rsidRPr="004605A4" w14:paraId="06615E82" w14:textId="77777777" w:rsidTr="007870AC">
              <w:trPr>
                <w:gridAfter w:val="1"/>
                <w:wAfter w:w="1665" w:type="dxa"/>
                <w:tblCellSpacing w:w="15" w:type="dxa"/>
              </w:trPr>
              <w:tc>
                <w:tcPr>
                  <w:tcW w:w="9225" w:type="dxa"/>
                  <w:gridSpan w:val="4"/>
                  <w:tcBorders>
                    <w:top w:val="nil"/>
                    <w:left w:val="nil"/>
                    <w:bottom w:val="nil"/>
                    <w:right w:val="nil"/>
                  </w:tcBorders>
                  <w:vAlign w:val="center"/>
                  <w:hideMark/>
                </w:tcPr>
                <w:p w14:paraId="427B11A9" w14:textId="5C01E522" w:rsidR="00780051" w:rsidRPr="00780051" w:rsidRDefault="00780051" w:rsidP="007870AC">
                  <w:pPr>
                    <w:rPr>
                      <w:rStyle w:val="Strong"/>
                      <w:b w:val="0"/>
                      <w:bCs w:val="0"/>
                    </w:rPr>
                  </w:pPr>
                  <w:r w:rsidRPr="00780051">
                    <w:rPr>
                      <w:rStyle w:val="Strong"/>
                      <w:b w:val="0"/>
                      <w:bCs w:val="0"/>
                    </w:rPr>
                    <w:t>Table A2. Negative Binomial Regressions of Police Stops on Racial Boundaries with Census-Tract Fixed Effects and Spatial Lags</w:t>
                  </w:r>
                </w:p>
              </w:tc>
            </w:tr>
            <w:tr w:rsidR="00780051" w:rsidRPr="004605A4" w14:paraId="7004BA54" w14:textId="77777777" w:rsidTr="007870AC">
              <w:trPr>
                <w:gridAfter w:val="1"/>
                <w:wAfter w:w="1665" w:type="dxa"/>
                <w:tblCellSpacing w:w="15" w:type="dxa"/>
              </w:trPr>
              <w:tc>
                <w:tcPr>
                  <w:tcW w:w="7474" w:type="dxa"/>
                  <w:gridSpan w:val="3"/>
                  <w:tcBorders>
                    <w:bottom w:val="single" w:sz="6" w:space="0" w:color="000000"/>
                  </w:tcBorders>
                  <w:vAlign w:val="center"/>
                  <w:hideMark/>
                </w:tcPr>
                <w:p w14:paraId="60735A18" w14:textId="77777777" w:rsidR="00780051" w:rsidRPr="004605A4" w:rsidRDefault="00780051" w:rsidP="007870AC">
                  <w:pPr>
                    <w:jc w:val="center"/>
                  </w:pPr>
                </w:p>
              </w:tc>
              <w:tc>
                <w:tcPr>
                  <w:tcW w:w="1721" w:type="dxa"/>
                  <w:tcBorders>
                    <w:bottom w:val="single" w:sz="6" w:space="0" w:color="000000"/>
                  </w:tcBorders>
                </w:tcPr>
                <w:p w14:paraId="445445C0" w14:textId="77777777" w:rsidR="00780051" w:rsidRPr="004605A4" w:rsidRDefault="00780051" w:rsidP="007870AC">
                  <w:pPr>
                    <w:jc w:val="center"/>
                  </w:pPr>
                </w:p>
              </w:tc>
            </w:tr>
            <w:tr w:rsidR="00780051" w:rsidRPr="004605A4" w14:paraId="26ACFACC" w14:textId="77777777" w:rsidTr="007870AC">
              <w:trPr>
                <w:gridAfter w:val="1"/>
                <w:wAfter w:w="1665" w:type="dxa"/>
                <w:tblCellSpacing w:w="15" w:type="dxa"/>
              </w:trPr>
              <w:tc>
                <w:tcPr>
                  <w:tcW w:w="4054" w:type="dxa"/>
                  <w:vAlign w:val="center"/>
                  <w:hideMark/>
                </w:tcPr>
                <w:p w14:paraId="006D11B8" w14:textId="77777777" w:rsidR="00780051" w:rsidRPr="004605A4" w:rsidRDefault="00780051" w:rsidP="007870AC">
                  <w:pPr>
                    <w:jc w:val="center"/>
                  </w:pPr>
                </w:p>
              </w:tc>
              <w:tc>
                <w:tcPr>
                  <w:tcW w:w="1680" w:type="dxa"/>
                  <w:vAlign w:val="center"/>
                  <w:hideMark/>
                </w:tcPr>
                <w:p w14:paraId="734D7437" w14:textId="77777777" w:rsidR="00780051" w:rsidRPr="004605A4" w:rsidRDefault="00780051" w:rsidP="007870AC">
                  <w:pPr>
                    <w:jc w:val="center"/>
                  </w:pPr>
                  <w:r w:rsidRPr="004605A4">
                    <w:t>Model</w:t>
                  </w:r>
                </w:p>
              </w:tc>
              <w:tc>
                <w:tcPr>
                  <w:tcW w:w="1680" w:type="dxa"/>
                  <w:vAlign w:val="center"/>
                  <w:hideMark/>
                </w:tcPr>
                <w:p w14:paraId="7D7060E8" w14:textId="77777777" w:rsidR="00780051" w:rsidRPr="004605A4" w:rsidRDefault="00780051" w:rsidP="007870AC">
                  <w:pPr>
                    <w:jc w:val="center"/>
                  </w:pPr>
                  <w:r w:rsidRPr="004605A4">
                    <w:t>Model</w:t>
                  </w:r>
                </w:p>
              </w:tc>
              <w:tc>
                <w:tcPr>
                  <w:tcW w:w="1721" w:type="dxa"/>
                  <w:vAlign w:val="center"/>
                </w:tcPr>
                <w:p w14:paraId="5B42A47B" w14:textId="77777777" w:rsidR="00780051" w:rsidRPr="004605A4" w:rsidRDefault="00780051" w:rsidP="007870AC">
                  <w:pPr>
                    <w:jc w:val="center"/>
                  </w:pPr>
                  <w:r w:rsidRPr="004605A4">
                    <w:t>Model</w:t>
                  </w:r>
                </w:p>
              </w:tc>
            </w:tr>
            <w:tr w:rsidR="00780051" w:rsidRPr="004605A4" w14:paraId="47CC1B43" w14:textId="77777777" w:rsidTr="007870AC">
              <w:trPr>
                <w:gridAfter w:val="1"/>
                <w:wAfter w:w="1665" w:type="dxa"/>
                <w:tblCellSpacing w:w="15" w:type="dxa"/>
              </w:trPr>
              <w:tc>
                <w:tcPr>
                  <w:tcW w:w="4054" w:type="dxa"/>
                  <w:vAlign w:val="center"/>
                  <w:hideMark/>
                </w:tcPr>
                <w:p w14:paraId="551E1E1A" w14:textId="77777777" w:rsidR="00780051" w:rsidRPr="004605A4" w:rsidRDefault="00780051" w:rsidP="007870AC">
                  <w:pPr>
                    <w:jc w:val="center"/>
                  </w:pPr>
                </w:p>
              </w:tc>
              <w:tc>
                <w:tcPr>
                  <w:tcW w:w="1680" w:type="dxa"/>
                  <w:vAlign w:val="center"/>
                  <w:hideMark/>
                </w:tcPr>
                <w:p w14:paraId="7F75BBE9" w14:textId="77777777" w:rsidR="00780051" w:rsidRPr="004605A4" w:rsidRDefault="00780051" w:rsidP="007870AC">
                  <w:pPr>
                    <w:jc w:val="center"/>
                  </w:pPr>
                  <w:r w:rsidRPr="004605A4">
                    <w:t>(2)</w:t>
                  </w:r>
                </w:p>
              </w:tc>
              <w:tc>
                <w:tcPr>
                  <w:tcW w:w="1680" w:type="dxa"/>
                  <w:vAlign w:val="center"/>
                  <w:hideMark/>
                </w:tcPr>
                <w:p w14:paraId="62B6CC22" w14:textId="77777777" w:rsidR="00780051" w:rsidRPr="004605A4" w:rsidRDefault="00780051" w:rsidP="007870AC">
                  <w:pPr>
                    <w:jc w:val="center"/>
                  </w:pPr>
                  <w:r w:rsidRPr="004605A4">
                    <w:t>(3)</w:t>
                  </w:r>
                </w:p>
              </w:tc>
              <w:tc>
                <w:tcPr>
                  <w:tcW w:w="1721" w:type="dxa"/>
                  <w:vAlign w:val="center"/>
                </w:tcPr>
                <w:p w14:paraId="19C2232C" w14:textId="77777777" w:rsidR="00780051" w:rsidRPr="004605A4" w:rsidRDefault="00780051" w:rsidP="007870AC">
                  <w:pPr>
                    <w:jc w:val="center"/>
                  </w:pPr>
                  <w:r w:rsidRPr="004605A4">
                    <w:t>(4)</w:t>
                  </w:r>
                </w:p>
              </w:tc>
            </w:tr>
            <w:tr w:rsidR="00780051" w:rsidRPr="004605A4" w14:paraId="6575666D" w14:textId="77777777" w:rsidTr="007870AC">
              <w:trPr>
                <w:gridAfter w:val="1"/>
                <w:wAfter w:w="1665" w:type="dxa"/>
                <w:tblCellSpacing w:w="15" w:type="dxa"/>
              </w:trPr>
              <w:tc>
                <w:tcPr>
                  <w:tcW w:w="4054" w:type="dxa"/>
                  <w:vAlign w:val="center"/>
                </w:tcPr>
                <w:p w14:paraId="7C3EAFBB" w14:textId="77777777" w:rsidR="00780051" w:rsidRPr="004605A4" w:rsidRDefault="00780051" w:rsidP="007870AC">
                  <w:pPr>
                    <w:jc w:val="center"/>
                  </w:pPr>
                </w:p>
              </w:tc>
              <w:tc>
                <w:tcPr>
                  <w:tcW w:w="1680" w:type="dxa"/>
                  <w:vAlign w:val="center"/>
                </w:tcPr>
                <w:p w14:paraId="0BE88356" w14:textId="77777777" w:rsidR="00780051" w:rsidRPr="004605A4" w:rsidRDefault="00780051" w:rsidP="007870AC">
                  <w:pPr>
                    <w:jc w:val="center"/>
                  </w:pPr>
                </w:p>
              </w:tc>
              <w:tc>
                <w:tcPr>
                  <w:tcW w:w="1680" w:type="dxa"/>
                  <w:vAlign w:val="center"/>
                </w:tcPr>
                <w:p w14:paraId="72032B05" w14:textId="77777777" w:rsidR="00780051" w:rsidRPr="004605A4" w:rsidRDefault="00780051" w:rsidP="007870AC">
                  <w:pPr>
                    <w:jc w:val="center"/>
                  </w:pPr>
                </w:p>
              </w:tc>
              <w:tc>
                <w:tcPr>
                  <w:tcW w:w="1721" w:type="dxa"/>
                  <w:vAlign w:val="center"/>
                </w:tcPr>
                <w:p w14:paraId="7E96422B" w14:textId="77777777" w:rsidR="00780051" w:rsidRPr="004605A4" w:rsidRDefault="00780051" w:rsidP="007870AC">
                  <w:pPr>
                    <w:jc w:val="center"/>
                  </w:pPr>
                </w:p>
              </w:tc>
            </w:tr>
            <w:tr w:rsidR="00780051" w:rsidRPr="004605A4" w14:paraId="0C87C174" w14:textId="77777777" w:rsidTr="007870AC">
              <w:trPr>
                <w:gridAfter w:val="1"/>
                <w:wAfter w:w="1665" w:type="dxa"/>
                <w:tblCellSpacing w:w="15" w:type="dxa"/>
              </w:trPr>
              <w:tc>
                <w:tcPr>
                  <w:tcW w:w="4054" w:type="dxa"/>
                  <w:vAlign w:val="center"/>
                  <w:hideMark/>
                </w:tcPr>
                <w:p w14:paraId="63E758B5" w14:textId="77777777" w:rsidR="00780051" w:rsidRPr="004605A4" w:rsidRDefault="00780051" w:rsidP="007870AC">
                  <w:r w:rsidRPr="004605A4">
                    <w:t>Boundary Value</w:t>
                  </w:r>
                </w:p>
              </w:tc>
              <w:tc>
                <w:tcPr>
                  <w:tcW w:w="1680" w:type="dxa"/>
                  <w:vAlign w:val="center"/>
                  <w:hideMark/>
                </w:tcPr>
                <w:p w14:paraId="3D431449" w14:textId="77777777" w:rsidR="00780051" w:rsidRPr="004605A4" w:rsidRDefault="00780051" w:rsidP="007870AC">
                  <w:pPr>
                    <w:jc w:val="center"/>
                  </w:pPr>
                  <w:r w:rsidRPr="004605A4">
                    <w:t>1.078</w:t>
                  </w:r>
                  <w:r w:rsidRPr="004605A4">
                    <w:rPr>
                      <w:vertAlign w:val="superscript"/>
                    </w:rPr>
                    <w:t>***</w:t>
                  </w:r>
                </w:p>
              </w:tc>
              <w:tc>
                <w:tcPr>
                  <w:tcW w:w="1680" w:type="dxa"/>
                </w:tcPr>
                <w:p w14:paraId="516E0A03" w14:textId="77777777" w:rsidR="00780051" w:rsidRPr="004605A4" w:rsidRDefault="00780051" w:rsidP="007870AC">
                  <w:pPr>
                    <w:jc w:val="center"/>
                  </w:pPr>
                  <w:r w:rsidRPr="004605A4">
                    <w:t>1.104</w:t>
                  </w:r>
                  <w:r w:rsidRPr="004605A4">
                    <w:rPr>
                      <w:vertAlign w:val="superscript"/>
                    </w:rPr>
                    <w:t>***</w:t>
                  </w:r>
                </w:p>
              </w:tc>
              <w:tc>
                <w:tcPr>
                  <w:tcW w:w="1721" w:type="dxa"/>
                </w:tcPr>
                <w:p w14:paraId="0582F899" w14:textId="77777777" w:rsidR="00780051" w:rsidRPr="004605A4" w:rsidRDefault="00780051" w:rsidP="007870AC">
                  <w:pPr>
                    <w:jc w:val="center"/>
                  </w:pPr>
                  <w:r w:rsidRPr="004605A4">
                    <w:t>0.897***</w:t>
                  </w:r>
                </w:p>
              </w:tc>
            </w:tr>
            <w:tr w:rsidR="00780051" w:rsidRPr="004605A4" w14:paraId="66D89169" w14:textId="77777777" w:rsidTr="007870AC">
              <w:trPr>
                <w:gridAfter w:val="1"/>
                <w:wAfter w:w="1665" w:type="dxa"/>
                <w:tblCellSpacing w:w="15" w:type="dxa"/>
              </w:trPr>
              <w:tc>
                <w:tcPr>
                  <w:tcW w:w="4054" w:type="dxa"/>
                  <w:vAlign w:val="center"/>
                  <w:hideMark/>
                </w:tcPr>
                <w:p w14:paraId="4F1537A3" w14:textId="77777777" w:rsidR="00780051" w:rsidRPr="004605A4" w:rsidRDefault="00780051" w:rsidP="007870AC">
                  <w:pPr>
                    <w:jc w:val="center"/>
                  </w:pPr>
                </w:p>
              </w:tc>
              <w:tc>
                <w:tcPr>
                  <w:tcW w:w="1680" w:type="dxa"/>
                  <w:vAlign w:val="center"/>
                  <w:hideMark/>
                </w:tcPr>
                <w:p w14:paraId="7C044067" w14:textId="77777777" w:rsidR="00780051" w:rsidRPr="004605A4" w:rsidRDefault="00780051" w:rsidP="007870AC">
                  <w:pPr>
                    <w:jc w:val="center"/>
                  </w:pPr>
                  <w:r w:rsidRPr="004605A4">
                    <w:t>(0.255)</w:t>
                  </w:r>
                </w:p>
              </w:tc>
              <w:tc>
                <w:tcPr>
                  <w:tcW w:w="1680" w:type="dxa"/>
                </w:tcPr>
                <w:p w14:paraId="4A27A79A" w14:textId="77777777" w:rsidR="00780051" w:rsidRPr="004605A4" w:rsidRDefault="00780051" w:rsidP="007870AC">
                  <w:pPr>
                    <w:jc w:val="center"/>
                  </w:pPr>
                  <w:r w:rsidRPr="004605A4">
                    <w:t>(0.167)</w:t>
                  </w:r>
                </w:p>
              </w:tc>
              <w:tc>
                <w:tcPr>
                  <w:tcW w:w="1721" w:type="dxa"/>
                </w:tcPr>
                <w:p w14:paraId="6E55A645" w14:textId="77777777" w:rsidR="00780051" w:rsidRPr="004605A4" w:rsidRDefault="00780051" w:rsidP="007870AC">
                  <w:pPr>
                    <w:jc w:val="center"/>
                  </w:pPr>
                  <w:r w:rsidRPr="004605A4">
                    <w:t>(0.228)</w:t>
                  </w:r>
                </w:p>
              </w:tc>
            </w:tr>
            <w:tr w:rsidR="00780051" w:rsidRPr="004605A4" w14:paraId="22980E6B" w14:textId="77777777" w:rsidTr="007870AC">
              <w:trPr>
                <w:gridAfter w:val="1"/>
                <w:wAfter w:w="1665" w:type="dxa"/>
                <w:tblCellSpacing w:w="15" w:type="dxa"/>
              </w:trPr>
              <w:tc>
                <w:tcPr>
                  <w:tcW w:w="4054" w:type="dxa"/>
                  <w:vAlign w:val="center"/>
                  <w:hideMark/>
                </w:tcPr>
                <w:p w14:paraId="1D4F5C29" w14:textId="77777777" w:rsidR="00780051" w:rsidRPr="004605A4" w:rsidRDefault="00780051" w:rsidP="007870AC">
                  <w:r w:rsidRPr="004605A4">
                    <w:t>Prop. Black/Hispanic</w:t>
                  </w:r>
                </w:p>
              </w:tc>
              <w:tc>
                <w:tcPr>
                  <w:tcW w:w="1680" w:type="dxa"/>
                  <w:vAlign w:val="center"/>
                  <w:hideMark/>
                </w:tcPr>
                <w:p w14:paraId="088F63C5" w14:textId="77777777" w:rsidR="00780051" w:rsidRPr="004605A4" w:rsidRDefault="00780051" w:rsidP="007870AC">
                  <w:pPr>
                    <w:jc w:val="center"/>
                  </w:pPr>
                  <w:r w:rsidRPr="004605A4">
                    <w:t>1.786</w:t>
                  </w:r>
                  <w:r w:rsidRPr="004605A4">
                    <w:rPr>
                      <w:vertAlign w:val="superscript"/>
                    </w:rPr>
                    <w:t>***</w:t>
                  </w:r>
                </w:p>
              </w:tc>
              <w:tc>
                <w:tcPr>
                  <w:tcW w:w="1680" w:type="dxa"/>
                </w:tcPr>
                <w:p w14:paraId="7FF32BFE" w14:textId="77777777" w:rsidR="00780051" w:rsidRPr="004605A4" w:rsidRDefault="00780051" w:rsidP="007870AC">
                  <w:pPr>
                    <w:jc w:val="center"/>
                  </w:pPr>
                  <w:r w:rsidRPr="004605A4">
                    <w:t>1.340</w:t>
                  </w:r>
                  <w:r w:rsidRPr="004605A4">
                    <w:rPr>
                      <w:vertAlign w:val="superscript"/>
                    </w:rPr>
                    <w:t>***</w:t>
                  </w:r>
                </w:p>
              </w:tc>
              <w:tc>
                <w:tcPr>
                  <w:tcW w:w="1721" w:type="dxa"/>
                </w:tcPr>
                <w:p w14:paraId="2EEBAEA7" w14:textId="77777777" w:rsidR="00780051" w:rsidRPr="004605A4" w:rsidRDefault="00780051" w:rsidP="007870AC">
                  <w:pPr>
                    <w:jc w:val="center"/>
                  </w:pPr>
                  <w:r w:rsidRPr="004605A4">
                    <w:t>1.142***</w:t>
                  </w:r>
                </w:p>
              </w:tc>
            </w:tr>
            <w:tr w:rsidR="00780051" w:rsidRPr="004605A4" w14:paraId="57E80976" w14:textId="77777777" w:rsidTr="007870AC">
              <w:trPr>
                <w:gridAfter w:val="1"/>
                <w:wAfter w:w="1665" w:type="dxa"/>
                <w:tblCellSpacing w:w="15" w:type="dxa"/>
              </w:trPr>
              <w:tc>
                <w:tcPr>
                  <w:tcW w:w="4054" w:type="dxa"/>
                  <w:vAlign w:val="center"/>
                  <w:hideMark/>
                </w:tcPr>
                <w:p w14:paraId="3E6DD8DE" w14:textId="77777777" w:rsidR="00780051" w:rsidRPr="004605A4" w:rsidRDefault="00780051" w:rsidP="007870AC">
                  <w:pPr>
                    <w:jc w:val="center"/>
                  </w:pPr>
                </w:p>
              </w:tc>
              <w:tc>
                <w:tcPr>
                  <w:tcW w:w="1680" w:type="dxa"/>
                  <w:vAlign w:val="center"/>
                  <w:hideMark/>
                </w:tcPr>
                <w:p w14:paraId="172586C1" w14:textId="77777777" w:rsidR="00780051" w:rsidRPr="004605A4" w:rsidRDefault="00780051" w:rsidP="007870AC">
                  <w:pPr>
                    <w:jc w:val="center"/>
                  </w:pPr>
                  <w:r w:rsidRPr="004605A4">
                    <w:t>(0.086)</w:t>
                  </w:r>
                </w:p>
              </w:tc>
              <w:tc>
                <w:tcPr>
                  <w:tcW w:w="1680" w:type="dxa"/>
                </w:tcPr>
                <w:p w14:paraId="15AF663E" w14:textId="77777777" w:rsidR="00780051" w:rsidRPr="004605A4" w:rsidRDefault="00780051" w:rsidP="007870AC">
                  <w:pPr>
                    <w:jc w:val="center"/>
                  </w:pPr>
                  <w:r w:rsidRPr="004605A4">
                    <w:t>(0.175)</w:t>
                  </w:r>
                </w:p>
              </w:tc>
              <w:tc>
                <w:tcPr>
                  <w:tcW w:w="1721" w:type="dxa"/>
                </w:tcPr>
                <w:p w14:paraId="04F220FC" w14:textId="77777777" w:rsidR="00780051" w:rsidRPr="004605A4" w:rsidRDefault="00780051" w:rsidP="007870AC">
                  <w:pPr>
                    <w:jc w:val="center"/>
                  </w:pPr>
                  <w:r w:rsidRPr="004605A4">
                    <w:t>(0.236)</w:t>
                  </w:r>
                </w:p>
              </w:tc>
            </w:tr>
            <w:tr w:rsidR="00780051" w:rsidRPr="004605A4" w14:paraId="2BE85F7F" w14:textId="77777777" w:rsidTr="007870AC">
              <w:trPr>
                <w:gridAfter w:val="1"/>
                <w:wAfter w:w="1665" w:type="dxa"/>
                <w:tblCellSpacing w:w="15" w:type="dxa"/>
              </w:trPr>
              <w:tc>
                <w:tcPr>
                  <w:tcW w:w="4054" w:type="dxa"/>
                  <w:vAlign w:val="center"/>
                  <w:hideMark/>
                </w:tcPr>
                <w:p w14:paraId="7BBFCA42" w14:textId="77777777" w:rsidR="00780051" w:rsidRPr="004605A4" w:rsidRDefault="00780051" w:rsidP="007870AC">
                  <w:r w:rsidRPr="004605A4">
                    <w:t>Prop. Black/Hispanic*Boundary Value</w:t>
                  </w:r>
                </w:p>
              </w:tc>
              <w:tc>
                <w:tcPr>
                  <w:tcW w:w="1680" w:type="dxa"/>
                  <w:vAlign w:val="center"/>
                  <w:hideMark/>
                </w:tcPr>
                <w:p w14:paraId="07BF3061" w14:textId="77777777" w:rsidR="00780051" w:rsidRPr="004605A4" w:rsidRDefault="00780051" w:rsidP="007870AC">
                  <w:pPr>
                    <w:jc w:val="center"/>
                  </w:pPr>
                  <w:r w:rsidRPr="004605A4">
                    <w:t>-1.344</w:t>
                  </w:r>
                  <w:r w:rsidRPr="004605A4">
                    <w:rPr>
                      <w:vertAlign w:val="superscript"/>
                    </w:rPr>
                    <w:t>***</w:t>
                  </w:r>
                </w:p>
              </w:tc>
              <w:tc>
                <w:tcPr>
                  <w:tcW w:w="1680" w:type="dxa"/>
                </w:tcPr>
                <w:p w14:paraId="4CAFAA04" w14:textId="77777777" w:rsidR="00780051" w:rsidRPr="004605A4" w:rsidRDefault="00780051" w:rsidP="007870AC">
                  <w:pPr>
                    <w:jc w:val="center"/>
                  </w:pPr>
                  <w:r w:rsidRPr="004605A4">
                    <w:t>-1.257</w:t>
                  </w:r>
                  <w:r w:rsidRPr="004605A4">
                    <w:rPr>
                      <w:vertAlign w:val="superscript"/>
                    </w:rPr>
                    <w:t>***</w:t>
                  </w:r>
                </w:p>
              </w:tc>
              <w:tc>
                <w:tcPr>
                  <w:tcW w:w="1721" w:type="dxa"/>
                </w:tcPr>
                <w:p w14:paraId="0A1A3ED0" w14:textId="77777777" w:rsidR="00780051" w:rsidRPr="004605A4" w:rsidRDefault="00780051" w:rsidP="007870AC">
                  <w:pPr>
                    <w:jc w:val="center"/>
                  </w:pPr>
                  <w:r w:rsidRPr="004605A4">
                    <w:t>-0.896**</w:t>
                  </w:r>
                </w:p>
              </w:tc>
            </w:tr>
            <w:tr w:rsidR="00780051" w:rsidRPr="004605A4" w14:paraId="76F1802F" w14:textId="77777777" w:rsidTr="007870AC">
              <w:trPr>
                <w:gridAfter w:val="1"/>
                <w:wAfter w:w="1665" w:type="dxa"/>
                <w:tblCellSpacing w:w="15" w:type="dxa"/>
              </w:trPr>
              <w:tc>
                <w:tcPr>
                  <w:tcW w:w="4054" w:type="dxa"/>
                  <w:vAlign w:val="center"/>
                  <w:hideMark/>
                </w:tcPr>
                <w:p w14:paraId="0CA44BE1" w14:textId="77777777" w:rsidR="00780051" w:rsidRPr="004605A4" w:rsidRDefault="00780051" w:rsidP="007870AC">
                  <w:pPr>
                    <w:jc w:val="center"/>
                  </w:pPr>
                </w:p>
              </w:tc>
              <w:tc>
                <w:tcPr>
                  <w:tcW w:w="1680" w:type="dxa"/>
                  <w:vAlign w:val="center"/>
                  <w:hideMark/>
                </w:tcPr>
                <w:p w14:paraId="15FFA7D2" w14:textId="77777777" w:rsidR="00780051" w:rsidRPr="004605A4" w:rsidRDefault="00780051" w:rsidP="007870AC">
                  <w:pPr>
                    <w:jc w:val="center"/>
                  </w:pPr>
                  <w:r w:rsidRPr="004605A4">
                    <w:t>(0.353)</w:t>
                  </w:r>
                </w:p>
              </w:tc>
              <w:tc>
                <w:tcPr>
                  <w:tcW w:w="1680" w:type="dxa"/>
                </w:tcPr>
                <w:p w14:paraId="0BD5D5CB" w14:textId="77777777" w:rsidR="00780051" w:rsidRPr="004605A4" w:rsidRDefault="00780051" w:rsidP="007870AC">
                  <w:pPr>
                    <w:jc w:val="center"/>
                  </w:pPr>
                  <w:r w:rsidRPr="004605A4">
                    <w:t>(0.268)</w:t>
                  </w:r>
                </w:p>
              </w:tc>
              <w:tc>
                <w:tcPr>
                  <w:tcW w:w="1721" w:type="dxa"/>
                </w:tcPr>
                <w:p w14:paraId="2577908F" w14:textId="77777777" w:rsidR="00780051" w:rsidRPr="004605A4" w:rsidRDefault="00780051" w:rsidP="007870AC">
                  <w:pPr>
                    <w:jc w:val="center"/>
                  </w:pPr>
                  <w:r w:rsidRPr="004605A4">
                    <w:t>(0.342)</w:t>
                  </w:r>
                </w:p>
              </w:tc>
            </w:tr>
            <w:tr w:rsidR="00780051" w:rsidRPr="004605A4" w14:paraId="4941CFC3" w14:textId="77777777" w:rsidTr="007870AC">
              <w:trPr>
                <w:gridAfter w:val="1"/>
                <w:wAfter w:w="1665" w:type="dxa"/>
                <w:tblCellSpacing w:w="15" w:type="dxa"/>
              </w:trPr>
              <w:tc>
                <w:tcPr>
                  <w:tcW w:w="4054" w:type="dxa"/>
                  <w:vAlign w:val="center"/>
                  <w:hideMark/>
                </w:tcPr>
                <w:p w14:paraId="29CF7ACB" w14:textId="77777777" w:rsidR="00780051" w:rsidRPr="004605A4" w:rsidRDefault="00780051" w:rsidP="007870AC">
                  <w:r w:rsidRPr="004605A4">
                    <w:t>Spatial Lag</w:t>
                  </w:r>
                </w:p>
              </w:tc>
              <w:tc>
                <w:tcPr>
                  <w:tcW w:w="1680" w:type="dxa"/>
                  <w:vAlign w:val="center"/>
                </w:tcPr>
                <w:p w14:paraId="17A690FF" w14:textId="77777777" w:rsidR="00780051" w:rsidRPr="004605A4" w:rsidRDefault="00780051" w:rsidP="007870AC">
                  <w:pPr>
                    <w:jc w:val="center"/>
                  </w:pPr>
                </w:p>
              </w:tc>
              <w:tc>
                <w:tcPr>
                  <w:tcW w:w="1680" w:type="dxa"/>
                </w:tcPr>
                <w:p w14:paraId="6C15328B" w14:textId="77777777" w:rsidR="00780051" w:rsidRPr="004605A4" w:rsidRDefault="00780051" w:rsidP="007870AC">
                  <w:pPr>
                    <w:jc w:val="center"/>
                  </w:pPr>
                </w:p>
              </w:tc>
              <w:tc>
                <w:tcPr>
                  <w:tcW w:w="1721" w:type="dxa"/>
                </w:tcPr>
                <w:p w14:paraId="0440E946" w14:textId="77777777" w:rsidR="00780051" w:rsidRPr="004605A4" w:rsidRDefault="00780051" w:rsidP="007870AC">
                  <w:pPr>
                    <w:jc w:val="center"/>
                  </w:pPr>
                  <w:r w:rsidRPr="004605A4">
                    <w:t>3.401***</w:t>
                  </w:r>
                </w:p>
              </w:tc>
            </w:tr>
            <w:tr w:rsidR="00780051" w:rsidRPr="004605A4" w14:paraId="119A585A" w14:textId="77777777" w:rsidTr="007870AC">
              <w:trPr>
                <w:gridAfter w:val="1"/>
                <w:wAfter w:w="1665" w:type="dxa"/>
                <w:tblCellSpacing w:w="15" w:type="dxa"/>
              </w:trPr>
              <w:tc>
                <w:tcPr>
                  <w:tcW w:w="4054" w:type="dxa"/>
                  <w:vAlign w:val="center"/>
                  <w:hideMark/>
                </w:tcPr>
                <w:p w14:paraId="7CCC418E" w14:textId="77777777" w:rsidR="00780051" w:rsidRPr="004605A4" w:rsidRDefault="00780051" w:rsidP="007870AC">
                  <w:pPr>
                    <w:jc w:val="center"/>
                  </w:pPr>
                </w:p>
              </w:tc>
              <w:tc>
                <w:tcPr>
                  <w:tcW w:w="1680" w:type="dxa"/>
                  <w:vAlign w:val="center"/>
                </w:tcPr>
                <w:p w14:paraId="42FBDCFF" w14:textId="77777777" w:rsidR="00780051" w:rsidRPr="004605A4" w:rsidRDefault="00780051" w:rsidP="007870AC">
                  <w:pPr>
                    <w:jc w:val="center"/>
                  </w:pPr>
                </w:p>
              </w:tc>
              <w:tc>
                <w:tcPr>
                  <w:tcW w:w="1680" w:type="dxa"/>
                </w:tcPr>
                <w:p w14:paraId="5359F894" w14:textId="77777777" w:rsidR="00780051" w:rsidRPr="004605A4" w:rsidRDefault="00780051" w:rsidP="007870AC">
                  <w:pPr>
                    <w:jc w:val="center"/>
                  </w:pPr>
                </w:p>
              </w:tc>
              <w:tc>
                <w:tcPr>
                  <w:tcW w:w="1721" w:type="dxa"/>
                </w:tcPr>
                <w:p w14:paraId="3DA22CB8" w14:textId="77777777" w:rsidR="00780051" w:rsidRPr="004605A4" w:rsidRDefault="00780051" w:rsidP="007870AC">
                  <w:pPr>
                    <w:jc w:val="center"/>
                  </w:pPr>
                  <w:r w:rsidRPr="004605A4">
                    <w:t>(0.855)</w:t>
                  </w:r>
                </w:p>
              </w:tc>
            </w:tr>
            <w:tr w:rsidR="00780051" w:rsidRPr="004605A4" w14:paraId="6037AF88" w14:textId="77777777" w:rsidTr="007870AC">
              <w:trPr>
                <w:tblCellSpacing w:w="15" w:type="dxa"/>
              </w:trPr>
              <w:tc>
                <w:tcPr>
                  <w:tcW w:w="4054" w:type="dxa"/>
                  <w:vAlign w:val="center"/>
                </w:tcPr>
                <w:p w14:paraId="693C2F70" w14:textId="77777777" w:rsidR="00780051" w:rsidRPr="004605A4" w:rsidRDefault="00780051" w:rsidP="007870AC">
                  <w:r w:rsidRPr="004605A4">
                    <w:t>Neighborhood-Level Control Variables</w:t>
                  </w:r>
                </w:p>
              </w:tc>
              <w:tc>
                <w:tcPr>
                  <w:tcW w:w="1680" w:type="dxa"/>
                  <w:vAlign w:val="center"/>
                </w:tcPr>
                <w:p w14:paraId="44F4C51D" w14:textId="77777777" w:rsidR="00780051" w:rsidRPr="004605A4" w:rsidRDefault="00780051" w:rsidP="007870AC">
                  <w:pPr>
                    <w:jc w:val="center"/>
                  </w:pPr>
                  <w:r w:rsidRPr="004605A4">
                    <w:rPr>
                      <w:rFonts w:ascii="Apple Color Emoji" w:hAnsi="Apple Color Emoji" w:cs="Apple Color Emoji"/>
                    </w:rPr>
                    <w:t>✔︎</w:t>
                  </w:r>
                </w:p>
              </w:tc>
              <w:tc>
                <w:tcPr>
                  <w:tcW w:w="1680" w:type="dxa"/>
                  <w:vAlign w:val="center"/>
                </w:tcPr>
                <w:p w14:paraId="7D3AB2D0" w14:textId="77777777" w:rsidR="00780051" w:rsidRPr="004605A4" w:rsidRDefault="00780051" w:rsidP="007870AC">
                  <w:pPr>
                    <w:jc w:val="center"/>
                  </w:pPr>
                  <w:r w:rsidRPr="004605A4">
                    <w:rPr>
                      <w:rFonts w:ascii="Apple Color Emoji" w:hAnsi="Apple Color Emoji" w:cs="Apple Color Emoji"/>
                    </w:rPr>
                    <w:t>✔︎</w:t>
                  </w:r>
                </w:p>
              </w:tc>
              <w:tc>
                <w:tcPr>
                  <w:tcW w:w="1721" w:type="dxa"/>
                  <w:vAlign w:val="center"/>
                </w:tcPr>
                <w:p w14:paraId="4FEAC821" w14:textId="77777777" w:rsidR="00780051" w:rsidRPr="004605A4" w:rsidRDefault="00780051" w:rsidP="007870AC">
                  <w:pPr>
                    <w:jc w:val="center"/>
                  </w:pPr>
                  <w:r w:rsidRPr="004605A4">
                    <w:rPr>
                      <w:rFonts w:ascii="Apple Color Emoji" w:hAnsi="Apple Color Emoji" w:cs="Apple Color Emoji"/>
                    </w:rPr>
                    <w:t>✔︎</w:t>
                  </w:r>
                </w:p>
              </w:tc>
              <w:tc>
                <w:tcPr>
                  <w:tcW w:w="1665" w:type="dxa"/>
                  <w:vAlign w:val="center"/>
                </w:tcPr>
                <w:p w14:paraId="7D0C697C" w14:textId="77777777" w:rsidR="00780051" w:rsidRPr="004605A4" w:rsidRDefault="00780051" w:rsidP="007870AC">
                  <w:r w:rsidRPr="004605A4">
                    <w:rPr>
                      <w:rFonts w:ascii="Apple Color Emoji" w:hAnsi="Apple Color Emoji" w:cs="Apple Color Emoji"/>
                    </w:rPr>
                    <w:t>✔︎</w:t>
                  </w:r>
                </w:p>
              </w:tc>
            </w:tr>
            <w:tr w:rsidR="00780051" w:rsidRPr="004605A4" w14:paraId="441B02A2" w14:textId="77777777" w:rsidTr="007870AC">
              <w:trPr>
                <w:gridAfter w:val="1"/>
                <w:wAfter w:w="1665" w:type="dxa"/>
                <w:tblCellSpacing w:w="15" w:type="dxa"/>
              </w:trPr>
              <w:tc>
                <w:tcPr>
                  <w:tcW w:w="4054" w:type="dxa"/>
                  <w:vAlign w:val="center"/>
                </w:tcPr>
                <w:p w14:paraId="5355ED6A" w14:textId="77777777" w:rsidR="00780051" w:rsidRPr="004605A4" w:rsidRDefault="00780051" w:rsidP="007870AC">
                  <w:r w:rsidRPr="004605A4">
                    <w:t>Census-Tract Fixed Effects</w:t>
                  </w:r>
                </w:p>
              </w:tc>
              <w:tc>
                <w:tcPr>
                  <w:tcW w:w="1680" w:type="dxa"/>
                  <w:vAlign w:val="center"/>
                </w:tcPr>
                <w:p w14:paraId="2281E2C3" w14:textId="77777777" w:rsidR="00780051" w:rsidRPr="004605A4" w:rsidRDefault="00780051" w:rsidP="007870AC">
                  <w:pPr>
                    <w:jc w:val="center"/>
                  </w:pPr>
                </w:p>
              </w:tc>
              <w:tc>
                <w:tcPr>
                  <w:tcW w:w="1680" w:type="dxa"/>
                </w:tcPr>
                <w:p w14:paraId="6BE511DA" w14:textId="77777777" w:rsidR="00780051" w:rsidRPr="004605A4" w:rsidRDefault="00780051" w:rsidP="007870AC">
                  <w:pPr>
                    <w:jc w:val="center"/>
                  </w:pPr>
                  <w:r w:rsidRPr="004605A4">
                    <w:rPr>
                      <w:rFonts w:ascii="Apple Color Emoji" w:hAnsi="Apple Color Emoji" w:cs="Apple Color Emoji"/>
                    </w:rPr>
                    <w:t>✔︎</w:t>
                  </w:r>
                </w:p>
              </w:tc>
              <w:tc>
                <w:tcPr>
                  <w:tcW w:w="1721" w:type="dxa"/>
                </w:tcPr>
                <w:p w14:paraId="4DEACF2E" w14:textId="77777777" w:rsidR="00780051" w:rsidRPr="004605A4" w:rsidRDefault="00780051" w:rsidP="007870AC">
                  <w:pPr>
                    <w:jc w:val="center"/>
                  </w:pPr>
                  <w:r w:rsidRPr="004605A4">
                    <w:rPr>
                      <w:rFonts w:ascii="Apple Color Emoji" w:hAnsi="Apple Color Emoji" w:cs="Apple Color Emoji"/>
                    </w:rPr>
                    <w:t>✔︎</w:t>
                  </w:r>
                </w:p>
              </w:tc>
            </w:tr>
            <w:tr w:rsidR="00780051" w:rsidRPr="004605A4" w14:paraId="299AB736" w14:textId="77777777" w:rsidTr="007870AC">
              <w:trPr>
                <w:gridAfter w:val="1"/>
                <w:wAfter w:w="1665" w:type="dxa"/>
                <w:tblCellSpacing w:w="15" w:type="dxa"/>
              </w:trPr>
              <w:tc>
                <w:tcPr>
                  <w:tcW w:w="4054" w:type="dxa"/>
                  <w:vAlign w:val="center"/>
                  <w:hideMark/>
                </w:tcPr>
                <w:p w14:paraId="5B40E268" w14:textId="77777777" w:rsidR="00780051" w:rsidRPr="004605A4" w:rsidRDefault="00780051" w:rsidP="007870AC">
                  <w:r w:rsidRPr="004605A4">
                    <w:t>Observations</w:t>
                  </w:r>
                </w:p>
              </w:tc>
              <w:tc>
                <w:tcPr>
                  <w:tcW w:w="1680" w:type="dxa"/>
                  <w:vAlign w:val="center"/>
                  <w:hideMark/>
                </w:tcPr>
                <w:p w14:paraId="633A9CA6" w14:textId="77777777" w:rsidR="00780051" w:rsidRPr="004605A4" w:rsidRDefault="00780051" w:rsidP="007870AC">
                  <w:pPr>
                    <w:jc w:val="center"/>
                  </w:pPr>
                  <w:r w:rsidRPr="004605A4">
                    <w:t>4,604</w:t>
                  </w:r>
                </w:p>
              </w:tc>
              <w:tc>
                <w:tcPr>
                  <w:tcW w:w="1680" w:type="dxa"/>
                </w:tcPr>
                <w:p w14:paraId="5A988995" w14:textId="77777777" w:rsidR="00780051" w:rsidRPr="004605A4" w:rsidRDefault="00780051" w:rsidP="007870AC">
                  <w:pPr>
                    <w:jc w:val="center"/>
                  </w:pPr>
                  <w:r w:rsidRPr="004605A4">
                    <w:t>4,604</w:t>
                  </w:r>
                </w:p>
              </w:tc>
              <w:tc>
                <w:tcPr>
                  <w:tcW w:w="1721" w:type="dxa"/>
                </w:tcPr>
                <w:p w14:paraId="28E30DF2" w14:textId="77777777" w:rsidR="00780051" w:rsidRPr="004605A4" w:rsidRDefault="00780051" w:rsidP="007870AC">
                  <w:pPr>
                    <w:jc w:val="center"/>
                  </w:pPr>
                  <w:r w:rsidRPr="004605A4">
                    <w:t>4,604</w:t>
                  </w:r>
                </w:p>
              </w:tc>
            </w:tr>
            <w:tr w:rsidR="00780051" w:rsidRPr="004605A4" w14:paraId="7F6F59F0" w14:textId="77777777" w:rsidTr="007870AC">
              <w:trPr>
                <w:gridAfter w:val="1"/>
                <w:wAfter w:w="1665" w:type="dxa"/>
                <w:tblCellSpacing w:w="15" w:type="dxa"/>
              </w:trPr>
              <w:tc>
                <w:tcPr>
                  <w:tcW w:w="4054" w:type="dxa"/>
                  <w:vAlign w:val="center"/>
                  <w:hideMark/>
                </w:tcPr>
                <w:p w14:paraId="2F73523C" w14:textId="77777777" w:rsidR="00780051" w:rsidRPr="004605A4" w:rsidRDefault="00780051" w:rsidP="007870AC">
                  <w:r w:rsidRPr="004605A4">
                    <w:t>Log Likelihood</w:t>
                  </w:r>
                </w:p>
              </w:tc>
              <w:tc>
                <w:tcPr>
                  <w:tcW w:w="1680" w:type="dxa"/>
                  <w:vAlign w:val="center"/>
                  <w:hideMark/>
                </w:tcPr>
                <w:p w14:paraId="76268370" w14:textId="77777777" w:rsidR="00780051" w:rsidRPr="004605A4" w:rsidRDefault="00780051" w:rsidP="007870AC">
                  <w:pPr>
                    <w:jc w:val="center"/>
                  </w:pPr>
                  <w:r w:rsidRPr="004605A4">
                    <w:t>-31,178.4</w:t>
                  </w:r>
                </w:p>
              </w:tc>
              <w:tc>
                <w:tcPr>
                  <w:tcW w:w="1680" w:type="dxa"/>
                </w:tcPr>
                <w:p w14:paraId="3E8D5001" w14:textId="77777777" w:rsidR="00780051" w:rsidRPr="004605A4" w:rsidRDefault="00780051" w:rsidP="007870AC">
                  <w:pPr>
                    <w:jc w:val="center"/>
                  </w:pPr>
                  <w:r w:rsidRPr="004605A4">
                    <w:t>-29,037.1</w:t>
                  </w:r>
                </w:p>
              </w:tc>
              <w:tc>
                <w:tcPr>
                  <w:tcW w:w="1721" w:type="dxa"/>
                </w:tcPr>
                <w:p w14:paraId="4E431AFE" w14:textId="77777777" w:rsidR="00780051" w:rsidRPr="004605A4" w:rsidRDefault="00780051" w:rsidP="007870AC">
                  <w:pPr>
                    <w:jc w:val="center"/>
                  </w:pPr>
                  <w:r w:rsidRPr="004605A4">
                    <w:t>-29,028.3</w:t>
                  </w:r>
                </w:p>
              </w:tc>
            </w:tr>
            <w:tr w:rsidR="00780051" w:rsidRPr="004605A4" w14:paraId="3B957A3C" w14:textId="77777777" w:rsidTr="007870AC">
              <w:trPr>
                <w:gridAfter w:val="1"/>
                <w:wAfter w:w="1665" w:type="dxa"/>
                <w:tblCellSpacing w:w="15" w:type="dxa"/>
              </w:trPr>
              <w:tc>
                <w:tcPr>
                  <w:tcW w:w="7474" w:type="dxa"/>
                  <w:gridSpan w:val="3"/>
                  <w:tcBorders>
                    <w:bottom w:val="single" w:sz="6" w:space="0" w:color="000000"/>
                  </w:tcBorders>
                  <w:vAlign w:val="center"/>
                  <w:hideMark/>
                </w:tcPr>
                <w:p w14:paraId="6DDA39F4" w14:textId="77777777" w:rsidR="00780051" w:rsidRPr="004605A4" w:rsidRDefault="00780051" w:rsidP="007870AC">
                  <w:pPr>
                    <w:jc w:val="center"/>
                  </w:pPr>
                </w:p>
              </w:tc>
              <w:tc>
                <w:tcPr>
                  <w:tcW w:w="1721" w:type="dxa"/>
                  <w:tcBorders>
                    <w:bottom w:val="single" w:sz="6" w:space="0" w:color="000000"/>
                  </w:tcBorders>
                </w:tcPr>
                <w:p w14:paraId="67EE49E3" w14:textId="77777777" w:rsidR="00780051" w:rsidRPr="004605A4" w:rsidRDefault="00780051" w:rsidP="007870AC">
                  <w:pPr>
                    <w:jc w:val="center"/>
                  </w:pPr>
                </w:p>
              </w:tc>
            </w:tr>
            <w:tr w:rsidR="00780051" w:rsidRPr="004605A4" w14:paraId="55CCADA8" w14:textId="77777777" w:rsidTr="007870AC">
              <w:trPr>
                <w:gridAfter w:val="1"/>
                <w:wAfter w:w="1665" w:type="dxa"/>
                <w:tblCellSpacing w:w="15" w:type="dxa"/>
              </w:trPr>
              <w:tc>
                <w:tcPr>
                  <w:tcW w:w="9225" w:type="dxa"/>
                  <w:gridSpan w:val="4"/>
                  <w:vAlign w:val="center"/>
                  <w:hideMark/>
                </w:tcPr>
                <w:p w14:paraId="707F116E" w14:textId="77777777" w:rsidR="00780051" w:rsidRPr="004605A4" w:rsidRDefault="00780051" w:rsidP="007870AC">
                  <w:pPr>
                    <w:rPr>
                      <w:rStyle w:val="Emphasis"/>
                    </w:rPr>
                  </w:pPr>
                  <w:r w:rsidRPr="004605A4">
                    <w:rPr>
                      <w:rStyle w:val="Emphasis"/>
                    </w:rPr>
                    <w:t>Note:</w:t>
                  </w:r>
                  <w:r w:rsidRPr="004605A4">
                    <w:t> Coefficients are expressed as changes in the log of the expected count. Cluster-robust standard errors in parentheses. See Table 1 and text for a description of neighborhood-level control variables</w:t>
                  </w:r>
                  <w:r w:rsidRPr="004605A4" w:rsidDel="005D4073">
                    <w:t xml:space="preserve"> </w:t>
                  </w:r>
                  <w:r w:rsidRPr="004605A4">
                    <w:t>controls. Model 2 duplicates the main results from Table 2 for ease of comparison.</w:t>
                  </w:r>
                  <w:r>
                    <w:t xml:space="preserve"> </w:t>
                  </w:r>
                  <w:r w:rsidRPr="004605A4">
                    <w:t xml:space="preserve">*P &lt; 0.05, **P &lt; 0.01, ***P &lt; 0.001 </w:t>
                  </w:r>
                  <w:r>
                    <w:t>(two-tailed tests).</w:t>
                  </w:r>
                </w:p>
              </w:tc>
            </w:tr>
          </w:tbl>
          <w:p w14:paraId="282EFA3F" w14:textId="77777777" w:rsidR="00780051" w:rsidRPr="004605A4" w:rsidRDefault="00780051" w:rsidP="007870AC"/>
        </w:tc>
      </w:tr>
    </w:tbl>
    <w:p w14:paraId="011C8F7B" w14:textId="77777777" w:rsidR="00780051" w:rsidRPr="004605A4" w:rsidRDefault="00780051" w:rsidP="00780051">
      <w:r w:rsidRPr="004605A4">
        <w:br w:type="page"/>
      </w:r>
    </w:p>
    <w:p w14:paraId="3FB91A54" w14:textId="77777777" w:rsidR="00780051" w:rsidRPr="004605A4" w:rsidRDefault="00780051" w:rsidP="00780051">
      <w:r w:rsidRPr="004605A4">
        <w:lastRenderedPageBreak/>
        <w:t>Table A3. Mediation Analysis: Total, Direct and Controlled Direct Effect of Neighborhood Boundaries on Police Stops (full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710"/>
        <w:gridCol w:w="1710"/>
        <w:gridCol w:w="1710"/>
      </w:tblGrid>
      <w:tr w:rsidR="00780051" w:rsidRPr="004605A4" w14:paraId="6F67179A" w14:textId="77777777" w:rsidTr="007870AC">
        <w:tc>
          <w:tcPr>
            <w:tcW w:w="4230" w:type="dxa"/>
            <w:tcBorders>
              <w:top w:val="single" w:sz="4" w:space="0" w:color="auto"/>
            </w:tcBorders>
          </w:tcPr>
          <w:p w14:paraId="3B33EEA5" w14:textId="77777777" w:rsidR="00780051" w:rsidRPr="004605A4" w:rsidRDefault="00780051" w:rsidP="007870AC"/>
        </w:tc>
        <w:tc>
          <w:tcPr>
            <w:tcW w:w="5130" w:type="dxa"/>
            <w:gridSpan w:val="3"/>
            <w:tcBorders>
              <w:top w:val="single" w:sz="4" w:space="0" w:color="auto"/>
              <w:bottom w:val="single" w:sz="4" w:space="0" w:color="auto"/>
            </w:tcBorders>
          </w:tcPr>
          <w:p w14:paraId="525704FC" w14:textId="77777777" w:rsidR="00780051" w:rsidRPr="004605A4" w:rsidRDefault="00780051" w:rsidP="007870AC">
            <w:pPr>
              <w:jc w:val="center"/>
            </w:pPr>
            <w:r w:rsidRPr="004605A4">
              <w:t>Mediator</w:t>
            </w:r>
          </w:p>
        </w:tc>
      </w:tr>
      <w:tr w:rsidR="00780051" w:rsidRPr="004605A4" w14:paraId="76BD7B0C" w14:textId="77777777" w:rsidTr="007870AC">
        <w:tc>
          <w:tcPr>
            <w:tcW w:w="4230" w:type="dxa"/>
            <w:tcBorders>
              <w:bottom w:val="single" w:sz="4" w:space="0" w:color="auto"/>
            </w:tcBorders>
          </w:tcPr>
          <w:p w14:paraId="610169E7" w14:textId="77777777" w:rsidR="00780051" w:rsidRPr="004605A4" w:rsidRDefault="00780051" w:rsidP="007870AC"/>
        </w:tc>
        <w:tc>
          <w:tcPr>
            <w:tcW w:w="1710" w:type="dxa"/>
            <w:tcBorders>
              <w:top w:val="single" w:sz="4" w:space="0" w:color="auto"/>
              <w:bottom w:val="single" w:sz="4" w:space="0" w:color="auto"/>
            </w:tcBorders>
            <w:vAlign w:val="bottom"/>
          </w:tcPr>
          <w:p w14:paraId="0E489F9C" w14:textId="77777777" w:rsidR="00780051" w:rsidRPr="004605A4" w:rsidRDefault="00780051" w:rsidP="007870AC">
            <w:pPr>
              <w:jc w:val="center"/>
              <w:rPr>
                <w:color w:val="000000" w:themeColor="text1"/>
              </w:rPr>
            </w:pPr>
            <w:r w:rsidRPr="004605A4">
              <w:rPr>
                <w:color w:val="000000" w:themeColor="text1"/>
              </w:rPr>
              <w:t>Violent</w:t>
            </w:r>
          </w:p>
          <w:p w14:paraId="131FCB3D" w14:textId="77777777" w:rsidR="00780051" w:rsidRPr="004605A4" w:rsidRDefault="00780051" w:rsidP="007870AC">
            <w:pPr>
              <w:jc w:val="center"/>
            </w:pPr>
            <w:r w:rsidRPr="004605A4">
              <w:rPr>
                <w:color w:val="000000" w:themeColor="text1"/>
              </w:rPr>
              <w:t>Felonies</w:t>
            </w:r>
          </w:p>
        </w:tc>
        <w:tc>
          <w:tcPr>
            <w:tcW w:w="1710" w:type="dxa"/>
            <w:tcBorders>
              <w:top w:val="single" w:sz="4" w:space="0" w:color="auto"/>
              <w:bottom w:val="single" w:sz="4" w:space="0" w:color="auto"/>
            </w:tcBorders>
            <w:vAlign w:val="bottom"/>
          </w:tcPr>
          <w:p w14:paraId="45C4930A" w14:textId="77777777" w:rsidR="00780051" w:rsidRPr="004605A4" w:rsidRDefault="00780051" w:rsidP="007870AC">
            <w:pPr>
              <w:jc w:val="center"/>
            </w:pPr>
            <w:r w:rsidRPr="004605A4">
              <w:t>Property</w:t>
            </w:r>
          </w:p>
          <w:p w14:paraId="2149C319" w14:textId="77777777" w:rsidR="00780051" w:rsidRPr="004605A4" w:rsidRDefault="00780051" w:rsidP="007870AC">
            <w:pPr>
              <w:jc w:val="center"/>
            </w:pPr>
            <w:r w:rsidRPr="004605A4">
              <w:t>Felonies</w:t>
            </w:r>
          </w:p>
        </w:tc>
        <w:tc>
          <w:tcPr>
            <w:tcW w:w="1710" w:type="dxa"/>
            <w:tcBorders>
              <w:top w:val="single" w:sz="4" w:space="0" w:color="auto"/>
              <w:bottom w:val="single" w:sz="4" w:space="0" w:color="auto"/>
            </w:tcBorders>
            <w:vAlign w:val="bottom"/>
          </w:tcPr>
          <w:p w14:paraId="25CE4F1B" w14:textId="77777777" w:rsidR="00780051" w:rsidRPr="004605A4" w:rsidRDefault="00780051" w:rsidP="007870AC">
            <w:pPr>
              <w:jc w:val="center"/>
            </w:pPr>
            <w:r w:rsidRPr="004605A4">
              <w:t>Shootings</w:t>
            </w:r>
          </w:p>
        </w:tc>
      </w:tr>
      <w:tr w:rsidR="00780051" w:rsidRPr="004605A4" w14:paraId="3B5342D8" w14:textId="77777777" w:rsidTr="007870AC">
        <w:tc>
          <w:tcPr>
            <w:tcW w:w="4230" w:type="dxa"/>
            <w:tcBorders>
              <w:top w:val="single" w:sz="4" w:space="0" w:color="auto"/>
            </w:tcBorders>
          </w:tcPr>
          <w:p w14:paraId="5E267D0F" w14:textId="77777777" w:rsidR="00780051" w:rsidRPr="004605A4" w:rsidRDefault="00780051" w:rsidP="007870AC">
            <w:r w:rsidRPr="004605A4">
              <w:t>Total Effect</w:t>
            </w:r>
          </w:p>
        </w:tc>
        <w:tc>
          <w:tcPr>
            <w:tcW w:w="1710" w:type="dxa"/>
            <w:tcBorders>
              <w:top w:val="single" w:sz="4" w:space="0" w:color="auto"/>
            </w:tcBorders>
          </w:tcPr>
          <w:p w14:paraId="0598927A" w14:textId="77777777" w:rsidR="00780051" w:rsidRPr="004605A4" w:rsidRDefault="00780051" w:rsidP="007870AC">
            <w:pPr>
              <w:jc w:val="center"/>
            </w:pPr>
            <w:r w:rsidRPr="004605A4">
              <w:t>0.304***</w:t>
            </w:r>
          </w:p>
        </w:tc>
        <w:tc>
          <w:tcPr>
            <w:tcW w:w="1710" w:type="dxa"/>
            <w:tcBorders>
              <w:top w:val="single" w:sz="4" w:space="0" w:color="auto"/>
            </w:tcBorders>
          </w:tcPr>
          <w:p w14:paraId="4938069F" w14:textId="77777777" w:rsidR="00780051" w:rsidRPr="004605A4" w:rsidRDefault="00780051" w:rsidP="007870AC">
            <w:pPr>
              <w:jc w:val="center"/>
            </w:pPr>
            <w:r w:rsidRPr="004605A4">
              <w:t>0.421***</w:t>
            </w:r>
          </w:p>
        </w:tc>
        <w:tc>
          <w:tcPr>
            <w:tcW w:w="1710" w:type="dxa"/>
            <w:tcBorders>
              <w:top w:val="single" w:sz="4" w:space="0" w:color="auto"/>
            </w:tcBorders>
          </w:tcPr>
          <w:p w14:paraId="0562D35D" w14:textId="77777777" w:rsidR="00780051" w:rsidRPr="004605A4" w:rsidRDefault="00780051" w:rsidP="007870AC">
            <w:pPr>
              <w:jc w:val="center"/>
            </w:pPr>
            <w:r w:rsidRPr="004605A4">
              <w:t>0.368***</w:t>
            </w:r>
          </w:p>
        </w:tc>
      </w:tr>
      <w:tr w:rsidR="00780051" w:rsidRPr="004605A4" w14:paraId="7101E92A" w14:textId="77777777" w:rsidTr="007870AC">
        <w:tc>
          <w:tcPr>
            <w:tcW w:w="4230" w:type="dxa"/>
          </w:tcPr>
          <w:p w14:paraId="04382AD2" w14:textId="77777777" w:rsidR="00780051" w:rsidRPr="004605A4" w:rsidRDefault="00780051" w:rsidP="007870AC"/>
        </w:tc>
        <w:tc>
          <w:tcPr>
            <w:tcW w:w="1710" w:type="dxa"/>
          </w:tcPr>
          <w:p w14:paraId="79CF5F4D" w14:textId="77777777" w:rsidR="00780051" w:rsidRPr="004605A4" w:rsidRDefault="00780051" w:rsidP="007870AC">
            <w:pPr>
              <w:jc w:val="center"/>
            </w:pPr>
            <w:r w:rsidRPr="004605A4">
              <w:t>(0.084)</w:t>
            </w:r>
          </w:p>
        </w:tc>
        <w:tc>
          <w:tcPr>
            <w:tcW w:w="1710" w:type="dxa"/>
          </w:tcPr>
          <w:p w14:paraId="238802D6" w14:textId="77777777" w:rsidR="00780051" w:rsidRPr="004605A4" w:rsidRDefault="00780051" w:rsidP="007870AC">
            <w:pPr>
              <w:jc w:val="center"/>
            </w:pPr>
            <w:r w:rsidRPr="004605A4">
              <w:t>(0.089)</w:t>
            </w:r>
          </w:p>
        </w:tc>
        <w:tc>
          <w:tcPr>
            <w:tcW w:w="1710" w:type="dxa"/>
          </w:tcPr>
          <w:p w14:paraId="33E19AF1" w14:textId="77777777" w:rsidR="00780051" w:rsidRPr="004605A4" w:rsidRDefault="00780051" w:rsidP="007870AC">
            <w:pPr>
              <w:jc w:val="center"/>
            </w:pPr>
            <w:r w:rsidRPr="004605A4">
              <w:t>(0.088)</w:t>
            </w:r>
          </w:p>
        </w:tc>
      </w:tr>
      <w:tr w:rsidR="00780051" w:rsidRPr="004605A4" w14:paraId="01DE67F6" w14:textId="77777777" w:rsidTr="007870AC">
        <w:tc>
          <w:tcPr>
            <w:tcW w:w="4230" w:type="dxa"/>
          </w:tcPr>
          <w:p w14:paraId="715AD363" w14:textId="77777777" w:rsidR="00780051" w:rsidRPr="004605A4" w:rsidRDefault="00780051" w:rsidP="007870AC">
            <w:r w:rsidRPr="004605A4">
              <w:t>Natural Direct Effect</w:t>
            </w:r>
          </w:p>
        </w:tc>
        <w:tc>
          <w:tcPr>
            <w:tcW w:w="1710" w:type="dxa"/>
          </w:tcPr>
          <w:p w14:paraId="446C62CB" w14:textId="77777777" w:rsidR="00780051" w:rsidRPr="004605A4" w:rsidRDefault="00780051" w:rsidP="007870AC">
            <w:pPr>
              <w:jc w:val="center"/>
            </w:pPr>
            <w:r w:rsidRPr="004605A4">
              <w:t>0.244**</w:t>
            </w:r>
          </w:p>
        </w:tc>
        <w:tc>
          <w:tcPr>
            <w:tcW w:w="1710" w:type="dxa"/>
          </w:tcPr>
          <w:p w14:paraId="0D16D9E5" w14:textId="77777777" w:rsidR="00780051" w:rsidRPr="004605A4" w:rsidRDefault="00780051" w:rsidP="007870AC">
            <w:pPr>
              <w:jc w:val="center"/>
            </w:pPr>
            <w:r w:rsidRPr="004605A4">
              <w:t>0.325***</w:t>
            </w:r>
          </w:p>
        </w:tc>
        <w:tc>
          <w:tcPr>
            <w:tcW w:w="1710" w:type="dxa"/>
          </w:tcPr>
          <w:p w14:paraId="40B1D8FE" w14:textId="77777777" w:rsidR="00780051" w:rsidRPr="004605A4" w:rsidRDefault="00780051" w:rsidP="007870AC">
            <w:pPr>
              <w:jc w:val="center"/>
            </w:pPr>
            <w:r w:rsidRPr="004605A4">
              <w:t>0.425***</w:t>
            </w:r>
          </w:p>
        </w:tc>
      </w:tr>
      <w:tr w:rsidR="00780051" w:rsidRPr="004605A4" w14:paraId="429974FD" w14:textId="77777777" w:rsidTr="007870AC">
        <w:tc>
          <w:tcPr>
            <w:tcW w:w="4230" w:type="dxa"/>
          </w:tcPr>
          <w:p w14:paraId="4C46FA1F" w14:textId="77777777" w:rsidR="00780051" w:rsidRPr="004605A4" w:rsidRDefault="00780051" w:rsidP="007870AC"/>
        </w:tc>
        <w:tc>
          <w:tcPr>
            <w:tcW w:w="1710" w:type="dxa"/>
          </w:tcPr>
          <w:p w14:paraId="59F6421E" w14:textId="77777777" w:rsidR="00780051" w:rsidRPr="004605A4" w:rsidRDefault="00780051" w:rsidP="007870AC">
            <w:pPr>
              <w:jc w:val="center"/>
            </w:pPr>
            <w:r w:rsidRPr="004605A4">
              <w:t>(0.075)</w:t>
            </w:r>
          </w:p>
        </w:tc>
        <w:tc>
          <w:tcPr>
            <w:tcW w:w="1710" w:type="dxa"/>
          </w:tcPr>
          <w:p w14:paraId="575354FC" w14:textId="77777777" w:rsidR="00780051" w:rsidRPr="004605A4" w:rsidRDefault="00780051" w:rsidP="007870AC">
            <w:pPr>
              <w:jc w:val="center"/>
            </w:pPr>
            <w:r w:rsidRPr="004605A4">
              <w:t>(0.081)</w:t>
            </w:r>
          </w:p>
        </w:tc>
        <w:tc>
          <w:tcPr>
            <w:tcW w:w="1710" w:type="dxa"/>
          </w:tcPr>
          <w:p w14:paraId="32F02A74" w14:textId="77777777" w:rsidR="00780051" w:rsidRPr="004605A4" w:rsidRDefault="00780051" w:rsidP="007870AC">
            <w:pPr>
              <w:jc w:val="center"/>
            </w:pPr>
            <w:r w:rsidRPr="004605A4">
              <w:t>(0.086)</w:t>
            </w:r>
          </w:p>
        </w:tc>
      </w:tr>
      <w:tr w:rsidR="00780051" w:rsidRPr="004605A4" w14:paraId="29A48D9B" w14:textId="77777777" w:rsidTr="007870AC">
        <w:tc>
          <w:tcPr>
            <w:tcW w:w="4230" w:type="dxa"/>
          </w:tcPr>
          <w:p w14:paraId="1429E761" w14:textId="77777777" w:rsidR="00780051" w:rsidRPr="004605A4" w:rsidRDefault="00780051" w:rsidP="007870AC">
            <w:r w:rsidRPr="004605A4">
              <w:t>Natural Indirect Effect</w:t>
            </w:r>
          </w:p>
        </w:tc>
        <w:tc>
          <w:tcPr>
            <w:tcW w:w="1710" w:type="dxa"/>
          </w:tcPr>
          <w:p w14:paraId="269E2312" w14:textId="77777777" w:rsidR="00780051" w:rsidRPr="004605A4" w:rsidRDefault="00780051" w:rsidP="007870AC">
            <w:pPr>
              <w:jc w:val="center"/>
            </w:pPr>
            <w:r w:rsidRPr="004605A4">
              <w:t>0.060</w:t>
            </w:r>
          </w:p>
        </w:tc>
        <w:tc>
          <w:tcPr>
            <w:tcW w:w="1710" w:type="dxa"/>
          </w:tcPr>
          <w:p w14:paraId="1BB4312C" w14:textId="77777777" w:rsidR="00780051" w:rsidRPr="004605A4" w:rsidRDefault="00780051" w:rsidP="007870AC">
            <w:pPr>
              <w:jc w:val="center"/>
            </w:pPr>
            <w:r w:rsidRPr="004605A4">
              <w:t>0.096*</w:t>
            </w:r>
          </w:p>
        </w:tc>
        <w:tc>
          <w:tcPr>
            <w:tcW w:w="1710" w:type="dxa"/>
          </w:tcPr>
          <w:p w14:paraId="6ACF3156" w14:textId="77777777" w:rsidR="00780051" w:rsidRPr="004605A4" w:rsidRDefault="00780051" w:rsidP="007870AC">
            <w:pPr>
              <w:jc w:val="center"/>
            </w:pPr>
            <w:r w:rsidRPr="004605A4">
              <w:t>-0.057*</w:t>
            </w:r>
          </w:p>
        </w:tc>
      </w:tr>
      <w:tr w:rsidR="00780051" w:rsidRPr="004605A4" w14:paraId="47652DC9" w14:textId="77777777" w:rsidTr="007870AC">
        <w:tc>
          <w:tcPr>
            <w:tcW w:w="4230" w:type="dxa"/>
          </w:tcPr>
          <w:p w14:paraId="28D93360" w14:textId="77777777" w:rsidR="00780051" w:rsidRPr="004605A4" w:rsidRDefault="00780051" w:rsidP="007870AC"/>
        </w:tc>
        <w:tc>
          <w:tcPr>
            <w:tcW w:w="1710" w:type="dxa"/>
          </w:tcPr>
          <w:p w14:paraId="2F94A8F7" w14:textId="77777777" w:rsidR="00780051" w:rsidRPr="004605A4" w:rsidRDefault="00780051" w:rsidP="007870AC">
            <w:pPr>
              <w:jc w:val="center"/>
            </w:pPr>
            <w:r w:rsidRPr="004605A4">
              <w:t>(0.037)</w:t>
            </w:r>
          </w:p>
        </w:tc>
        <w:tc>
          <w:tcPr>
            <w:tcW w:w="1710" w:type="dxa"/>
          </w:tcPr>
          <w:p w14:paraId="7522E352" w14:textId="77777777" w:rsidR="00780051" w:rsidRPr="004605A4" w:rsidRDefault="00780051" w:rsidP="007870AC">
            <w:pPr>
              <w:jc w:val="center"/>
            </w:pPr>
            <w:r w:rsidRPr="004605A4">
              <w:t>(0.038)</w:t>
            </w:r>
          </w:p>
        </w:tc>
        <w:tc>
          <w:tcPr>
            <w:tcW w:w="1710" w:type="dxa"/>
          </w:tcPr>
          <w:p w14:paraId="5677A797" w14:textId="77777777" w:rsidR="00780051" w:rsidRPr="004605A4" w:rsidRDefault="00780051" w:rsidP="007870AC">
            <w:pPr>
              <w:jc w:val="center"/>
            </w:pPr>
            <w:r w:rsidRPr="004605A4">
              <w:t>(0.028)</w:t>
            </w:r>
          </w:p>
        </w:tc>
      </w:tr>
      <w:tr w:rsidR="00780051" w:rsidRPr="004605A4" w14:paraId="19CECCB1" w14:textId="77777777" w:rsidTr="007870AC">
        <w:tc>
          <w:tcPr>
            <w:tcW w:w="4230" w:type="dxa"/>
          </w:tcPr>
          <w:p w14:paraId="0F9A615F" w14:textId="77777777" w:rsidR="00780051" w:rsidRPr="004605A4" w:rsidRDefault="00780051" w:rsidP="007870AC">
            <w:r w:rsidRPr="004605A4">
              <w:t>Proportion Mediated</w:t>
            </w:r>
          </w:p>
        </w:tc>
        <w:tc>
          <w:tcPr>
            <w:tcW w:w="1710" w:type="dxa"/>
          </w:tcPr>
          <w:p w14:paraId="30963BD3" w14:textId="77777777" w:rsidR="00780051" w:rsidRPr="004605A4" w:rsidRDefault="00780051" w:rsidP="007870AC">
            <w:pPr>
              <w:jc w:val="center"/>
            </w:pPr>
            <w:r w:rsidRPr="004605A4">
              <w:t>0.223</w:t>
            </w:r>
          </w:p>
        </w:tc>
        <w:tc>
          <w:tcPr>
            <w:tcW w:w="1710" w:type="dxa"/>
          </w:tcPr>
          <w:p w14:paraId="0E81DDFB" w14:textId="77777777" w:rsidR="00780051" w:rsidRPr="004605A4" w:rsidRDefault="00780051" w:rsidP="007870AC">
            <w:pPr>
              <w:jc w:val="center"/>
            </w:pPr>
            <w:r w:rsidRPr="004605A4">
              <w:t>0.266**</w:t>
            </w:r>
          </w:p>
        </w:tc>
        <w:tc>
          <w:tcPr>
            <w:tcW w:w="1710" w:type="dxa"/>
          </w:tcPr>
          <w:p w14:paraId="272D8EDF" w14:textId="77777777" w:rsidR="00780051" w:rsidRPr="004605A4" w:rsidRDefault="00780051" w:rsidP="007870AC">
            <w:pPr>
              <w:jc w:val="center"/>
            </w:pPr>
            <w:r w:rsidRPr="004605A4">
              <w:t>-0.192</w:t>
            </w:r>
          </w:p>
        </w:tc>
      </w:tr>
      <w:tr w:rsidR="00780051" w:rsidRPr="004605A4" w14:paraId="51442361" w14:textId="77777777" w:rsidTr="007870AC">
        <w:tc>
          <w:tcPr>
            <w:tcW w:w="4230" w:type="dxa"/>
          </w:tcPr>
          <w:p w14:paraId="2D8F6750" w14:textId="77777777" w:rsidR="00780051" w:rsidRPr="004605A4" w:rsidRDefault="00780051" w:rsidP="007870AC"/>
        </w:tc>
        <w:tc>
          <w:tcPr>
            <w:tcW w:w="1710" w:type="dxa"/>
          </w:tcPr>
          <w:p w14:paraId="717B26B3" w14:textId="77777777" w:rsidR="00780051" w:rsidRPr="004605A4" w:rsidRDefault="00780051" w:rsidP="007870AC">
            <w:pPr>
              <w:jc w:val="center"/>
            </w:pPr>
            <w:r w:rsidRPr="004605A4">
              <w:t>(0.117)</w:t>
            </w:r>
          </w:p>
        </w:tc>
        <w:tc>
          <w:tcPr>
            <w:tcW w:w="1710" w:type="dxa"/>
          </w:tcPr>
          <w:p w14:paraId="1C889B8A" w14:textId="77777777" w:rsidR="00780051" w:rsidRPr="004605A4" w:rsidRDefault="00780051" w:rsidP="007870AC">
            <w:pPr>
              <w:jc w:val="center"/>
            </w:pPr>
            <w:r w:rsidRPr="004605A4">
              <w:t>(0.091)</w:t>
            </w:r>
          </w:p>
        </w:tc>
        <w:tc>
          <w:tcPr>
            <w:tcW w:w="1710" w:type="dxa"/>
          </w:tcPr>
          <w:p w14:paraId="3FC3B002" w14:textId="77777777" w:rsidR="00780051" w:rsidRPr="004605A4" w:rsidRDefault="00780051" w:rsidP="007870AC">
            <w:pPr>
              <w:jc w:val="center"/>
            </w:pPr>
            <w:r w:rsidRPr="004605A4">
              <w:t>(0.112)</w:t>
            </w:r>
          </w:p>
        </w:tc>
      </w:tr>
      <w:tr w:rsidR="00780051" w:rsidRPr="004605A4" w14:paraId="1DD4063F" w14:textId="77777777" w:rsidTr="007870AC">
        <w:tc>
          <w:tcPr>
            <w:tcW w:w="4230" w:type="dxa"/>
          </w:tcPr>
          <w:p w14:paraId="3E0E143C" w14:textId="77777777" w:rsidR="00780051" w:rsidRPr="004605A4" w:rsidRDefault="00780051" w:rsidP="007870AC">
            <w:r w:rsidRPr="004605A4">
              <w:t>Controlled Direct Effect</w:t>
            </w:r>
          </w:p>
        </w:tc>
        <w:tc>
          <w:tcPr>
            <w:tcW w:w="1710" w:type="dxa"/>
          </w:tcPr>
          <w:p w14:paraId="3D2B0D06" w14:textId="77777777" w:rsidR="00780051" w:rsidRPr="004605A4" w:rsidRDefault="00780051" w:rsidP="007870AC">
            <w:pPr>
              <w:jc w:val="center"/>
            </w:pPr>
            <w:r w:rsidRPr="004605A4">
              <w:t>0.290***</w:t>
            </w:r>
          </w:p>
        </w:tc>
        <w:tc>
          <w:tcPr>
            <w:tcW w:w="1710" w:type="dxa"/>
          </w:tcPr>
          <w:p w14:paraId="379F871B" w14:textId="77777777" w:rsidR="00780051" w:rsidRPr="004605A4" w:rsidRDefault="00780051" w:rsidP="007870AC">
            <w:pPr>
              <w:jc w:val="center"/>
            </w:pPr>
            <w:r w:rsidRPr="004605A4">
              <w:t>0.347***</w:t>
            </w:r>
          </w:p>
        </w:tc>
        <w:tc>
          <w:tcPr>
            <w:tcW w:w="1710" w:type="dxa"/>
          </w:tcPr>
          <w:p w14:paraId="7E0EEE2C" w14:textId="77777777" w:rsidR="00780051" w:rsidRPr="004605A4" w:rsidRDefault="00780051" w:rsidP="007870AC">
            <w:pPr>
              <w:jc w:val="center"/>
            </w:pPr>
            <w:r w:rsidRPr="004605A4">
              <w:t>0.440***</w:t>
            </w:r>
          </w:p>
        </w:tc>
      </w:tr>
      <w:tr w:rsidR="00780051" w:rsidRPr="004605A4" w14:paraId="16017ABB" w14:textId="77777777" w:rsidTr="007870AC">
        <w:tc>
          <w:tcPr>
            <w:tcW w:w="4230" w:type="dxa"/>
            <w:tcBorders>
              <w:bottom w:val="single" w:sz="4" w:space="0" w:color="auto"/>
            </w:tcBorders>
          </w:tcPr>
          <w:p w14:paraId="6A0066E4" w14:textId="77777777" w:rsidR="00780051" w:rsidRPr="004605A4" w:rsidRDefault="00780051" w:rsidP="007870AC"/>
        </w:tc>
        <w:tc>
          <w:tcPr>
            <w:tcW w:w="1710" w:type="dxa"/>
            <w:tcBorders>
              <w:bottom w:val="single" w:sz="4" w:space="0" w:color="auto"/>
            </w:tcBorders>
          </w:tcPr>
          <w:p w14:paraId="2C782806" w14:textId="77777777" w:rsidR="00780051" w:rsidRPr="004605A4" w:rsidRDefault="00780051" w:rsidP="007870AC">
            <w:pPr>
              <w:jc w:val="center"/>
            </w:pPr>
            <w:r w:rsidRPr="004605A4">
              <w:t>(0.075)</w:t>
            </w:r>
          </w:p>
        </w:tc>
        <w:tc>
          <w:tcPr>
            <w:tcW w:w="1710" w:type="dxa"/>
            <w:tcBorders>
              <w:bottom w:val="single" w:sz="4" w:space="0" w:color="auto"/>
            </w:tcBorders>
          </w:tcPr>
          <w:p w14:paraId="18A436F0" w14:textId="77777777" w:rsidR="00780051" w:rsidRPr="004605A4" w:rsidRDefault="00780051" w:rsidP="007870AC">
            <w:pPr>
              <w:jc w:val="center"/>
            </w:pPr>
            <w:r w:rsidRPr="004605A4">
              <w:t>(0.081)</w:t>
            </w:r>
          </w:p>
        </w:tc>
        <w:tc>
          <w:tcPr>
            <w:tcW w:w="1710" w:type="dxa"/>
            <w:tcBorders>
              <w:bottom w:val="single" w:sz="4" w:space="0" w:color="auto"/>
            </w:tcBorders>
          </w:tcPr>
          <w:p w14:paraId="6EDC56F9" w14:textId="77777777" w:rsidR="00780051" w:rsidRPr="004605A4" w:rsidRDefault="00780051" w:rsidP="007870AC">
            <w:pPr>
              <w:jc w:val="center"/>
            </w:pPr>
            <w:r w:rsidRPr="004605A4">
              <w:t>(0.085)</w:t>
            </w:r>
          </w:p>
        </w:tc>
      </w:tr>
    </w:tbl>
    <w:p w14:paraId="51CE1D8B" w14:textId="77777777" w:rsidR="00780051" w:rsidRPr="004605A4" w:rsidRDefault="00780051" w:rsidP="00780051">
      <w:pPr>
        <w:spacing w:line="276" w:lineRule="auto"/>
      </w:pPr>
      <w:r w:rsidRPr="000605A6">
        <w:rPr>
          <w:i/>
          <w:iCs/>
        </w:rPr>
        <w:t>Note:</w:t>
      </w:r>
      <w:r w:rsidRPr="004605A4">
        <w:t xml:space="preserve"> All models include the control variables as Model 2 in Table 2. The number of observations is 4,604. The table reports the Pure Natural Direct Effect and the Total Natural Indirect Effect so that the interaction between the treatment and mediator is absorbed into the indirect effect.</w:t>
      </w:r>
      <w:r>
        <w:t xml:space="preserve"> </w:t>
      </w:r>
      <w:r w:rsidRPr="004605A4">
        <w:t>*P &lt; 0.05, **P &lt; 0.01, ***P &lt; 0.001</w:t>
      </w:r>
      <w:r>
        <w:t xml:space="preserve"> (two-tailed tests).</w:t>
      </w:r>
    </w:p>
    <w:p w14:paraId="6B502D84" w14:textId="77777777" w:rsidR="00780051" w:rsidRPr="004605A4" w:rsidRDefault="00780051" w:rsidP="00780051">
      <w:r w:rsidRPr="004605A4">
        <w:br w:type="page"/>
      </w:r>
    </w:p>
    <w:p w14:paraId="7DEF20DA" w14:textId="77777777" w:rsidR="00780051" w:rsidRPr="004605A4" w:rsidRDefault="00780051" w:rsidP="00780051">
      <w:pPr>
        <w:jc w:val="center"/>
      </w:pPr>
      <w:r w:rsidRPr="004605A4">
        <w:lastRenderedPageBreak/>
        <w:t>Table A4</w:t>
      </w:r>
      <w:r>
        <w:t>.</w:t>
      </w:r>
      <w:r w:rsidRPr="004605A4">
        <w:t xml:space="preserve"> Additional Variables Included in Hit Rate Analysis</w:t>
      </w:r>
    </w:p>
    <w:tbl>
      <w:tblPr>
        <w:tblStyle w:val="TableGrid"/>
        <w:tblW w:w="9265" w:type="dxa"/>
        <w:tblLayout w:type="fixed"/>
        <w:tblLook w:val="04A0" w:firstRow="1" w:lastRow="0" w:firstColumn="1" w:lastColumn="0" w:noHBand="0" w:noVBand="1"/>
      </w:tblPr>
      <w:tblGrid>
        <w:gridCol w:w="4945"/>
        <w:gridCol w:w="4320"/>
      </w:tblGrid>
      <w:tr w:rsidR="00780051" w:rsidRPr="004605A4" w14:paraId="32D02A55" w14:textId="77777777" w:rsidTr="007870AC">
        <w:tc>
          <w:tcPr>
            <w:tcW w:w="4945" w:type="dxa"/>
            <w:shd w:val="clear" w:color="auto" w:fill="D9D9D9" w:themeFill="background1" w:themeFillShade="D9"/>
          </w:tcPr>
          <w:p w14:paraId="59CC4DCB" w14:textId="77777777" w:rsidR="00780051" w:rsidRPr="004605A4" w:rsidRDefault="00780051" w:rsidP="007870AC">
            <w:pPr>
              <w:jc w:val="center"/>
              <w:rPr>
                <w:b/>
                <w:bCs/>
              </w:rPr>
            </w:pPr>
            <w:r w:rsidRPr="004605A4">
              <w:rPr>
                <w:b/>
                <w:bCs/>
              </w:rPr>
              <w:t>Variable</w:t>
            </w:r>
          </w:p>
        </w:tc>
        <w:tc>
          <w:tcPr>
            <w:tcW w:w="4320" w:type="dxa"/>
            <w:shd w:val="clear" w:color="auto" w:fill="D9D9D9" w:themeFill="background1" w:themeFillShade="D9"/>
          </w:tcPr>
          <w:p w14:paraId="0DD155AB" w14:textId="77777777" w:rsidR="00780051" w:rsidRPr="004605A4" w:rsidRDefault="00780051" w:rsidP="007870AC">
            <w:pPr>
              <w:jc w:val="center"/>
              <w:rPr>
                <w:b/>
                <w:bCs/>
              </w:rPr>
            </w:pPr>
            <w:r w:rsidRPr="004605A4">
              <w:rPr>
                <w:b/>
                <w:bCs/>
              </w:rPr>
              <w:t>Description</w:t>
            </w:r>
          </w:p>
        </w:tc>
      </w:tr>
      <w:tr w:rsidR="00780051" w:rsidRPr="004605A4" w14:paraId="3F99DECF" w14:textId="77777777" w:rsidTr="007870AC">
        <w:tc>
          <w:tcPr>
            <w:tcW w:w="4945" w:type="dxa"/>
          </w:tcPr>
          <w:p w14:paraId="76F4D4F8" w14:textId="77777777" w:rsidR="00780051" w:rsidRPr="004605A4" w:rsidRDefault="00780051" w:rsidP="007870AC">
            <w:pPr>
              <w:jc w:val="center"/>
            </w:pPr>
            <w:r w:rsidRPr="004605A4">
              <w:t>Hit</w:t>
            </w:r>
          </w:p>
        </w:tc>
        <w:tc>
          <w:tcPr>
            <w:tcW w:w="4320" w:type="dxa"/>
          </w:tcPr>
          <w:p w14:paraId="299B22FC" w14:textId="77777777" w:rsidR="00780051" w:rsidRPr="004605A4" w:rsidRDefault="00780051" w:rsidP="007870AC">
            <w:pPr>
              <w:jc w:val="center"/>
            </w:pPr>
            <w:r w:rsidRPr="004605A4">
              <w:t>Outcome. Whether the stop led to a weapon being uncovered.</w:t>
            </w:r>
          </w:p>
        </w:tc>
      </w:tr>
      <w:tr w:rsidR="00780051" w:rsidRPr="004605A4" w14:paraId="2E46A607" w14:textId="77777777" w:rsidTr="007870AC">
        <w:tc>
          <w:tcPr>
            <w:tcW w:w="4945" w:type="dxa"/>
          </w:tcPr>
          <w:p w14:paraId="0D058D0F" w14:textId="77777777" w:rsidR="00780051" w:rsidRPr="004605A4" w:rsidRDefault="00780051" w:rsidP="007870AC">
            <w:pPr>
              <w:jc w:val="center"/>
            </w:pPr>
            <w:r w:rsidRPr="004605A4">
              <w:t>Suspect Race</w:t>
            </w:r>
          </w:p>
        </w:tc>
        <w:tc>
          <w:tcPr>
            <w:tcW w:w="4320" w:type="dxa"/>
          </w:tcPr>
          <w:p w14:paraId="29013478" w14:textId="77777777" w:rsidR="00780051" w:rsidRPr="004605A4" w:rsidRDefault="00780051" w:rsidP="007870AC">
            <w:pPr>
              <w:jc w:val="center"/>
            </w:pPr>
            <w:r w:rsidRPr="004605A4">
              <w:t>Factor variable indicating the race of the stopped individual. In main analyses, all Black and Hispanic categories are combined. In a model check, they are analyzed separately. See text for further details.</w:t>
            </w:r>
          </w:p>
        </w:tc>
      </w:tr>
      <w:tr w:rsidR="00780051" w:rsidRPr="004605A4" w14:paraId="32B56E41" w14:textId="77777777" w:rsidTr="007870AC">
        <w:tc>
          <w:tcPr>
            <w:tcW w:w="4945" w:type="dxa"/>
          </w:tcPr>
          <w:p w14:paraId="675C2A7D" w14:textId="77777777" w:rsidR="00780051" w:rsidRPr="004605A4" w:rsidRDefault="00780051" w:rsidP="007870AC">
            <w:pPr>
              <w:jc w:val="center"/>
            </w:pPr>
            <w:r w:rsidRPr="004605A4">
              <w:t>Age</w:t>
            </w:r>
          </w:p>
        </w:tc>
        <w:tc>
          <w:tcPr>
            <w:tcW w:w="4320" w:type="dxa"/>
          </w:tcPr>
          <w:p w14:paraId="55D6F658" w14:textId="77777777" w:rsidR="00780051" w:rsidRPr="004605A4" w:rsidRDefault="00780051" w:rsidP="007870AC">
            <w:pPr>
              <w:jc w:val="center"/>
            </w:pPr>
            <w:r w:rsidRPr="004605A4">
              <w:t>The age of the suspect in years.</w:t>
            </w:r>
          </w:p>
        </w:tc>
      </w:tr>
      <w:tr w:rsidR="00780051" w:rsidRPr="004605A4" w14:paraId="6C11EC27" w14:textId="77777777" w:rsidTr="007870AC">
        <w:tc>
          <w:tcPr>
            <w:tcW w:w="4945" w:type="dxa"/>
          </w:tcPr>
          <w:p w14:paraId="755376BF" w14:textId="77777777" w:rsidR="00780051" w:rsidRPr="004605A4" w:rsidRDefault="00780051" w:rsidP="007870AC">
            <w:pPr>
              <w:jc w:val="center"/>
            </w:pPr>
            <w:r w:rsidRPr="004605A4">
              <w:t>Weight</w:t>
            </w:r>
          </w:p>
        </w:tc>
        <w:tc>
          <w:tcPr>
            <w:tcW w:w="4320" w:type="dxa"/>
          </w:tcPr>
          <w:p w14:paraId="1DFF7400" w14:textId="77777777" w:rsidR="00780051" w:rsidRPr="004605A4" w:rsidRDefault="00780051" w:rsidP="007870AC">
            <w:pPr>
              <w:jc w:val="center"/>
            </w:pPr>
            <w:r w:rsidRPr="004605A4">
              <w:t>The weight of the suspect in pounds.</w:t>
            </w:r>
          </w:p>
        </w:tc>
      </w:tr>
      <w:tr w:rsidR="00780051" w:rsidRPr="004605A4" w14:paraId="42B7F8B0" w14:textId="77777777" w:rsidTr="007870AC">
        <w:tc>
          <w:tcPr>
            <w:tcW w:w="4945" w:type="dxa"/>
          </w:tcPr>
          <w:p w14:paraId="069D914D" w14:textId="77777777" w:rsidR="00780051" w:rsidRPr="004605A4" w:rsidRDefault="00780051" w:rsidP="007870AC">
            <w:pPr>
              <w:jc w:val="center"/>
            </w:pPr>
            <w:r w:rsidRPr="004605A4">
              <w:t>Height</w:t>
            </w:r>
          </w:p>
        </w:tc>
        <w:tc>
          <w:tcPr>
            <w:tcW w:w="4320" w:type="dxa"/>
          </w:tcPr>
          <w:p w14:paraId="65DBF7A2" w14:textId="77777777" w:rsidR="00780051" w:rsidRPr="004605A4" w:rsidRDefault="00780051" w:rsidP="007870AC">
            <w:pPr>
              <w:jc w:val="center"/>
            </w:pPr>
            <w:r w:rsidRPr="004605A4">
              <w:t>The height of the suspect in feet.</w:t>
            </w:r>
          </w:p>
        </w:tc>
      </w:tr>
      <w:tr w:rsidR="00780051" w:rsidRPr="004605A4" w14:paraId="22A70C88" w14:textId="77777777" w:rsidTr="007870AC">
        <w:tc>
          <w:tcPr>
            <w:tcW w:w="4945" w:type="dxa"/>
          </w:tcPr>
          <w:p w14:paraId="26CC54ED" w14:textId="77777777" w:rsidR="00780051" w:rsidRPr="004605A4" w:rsidRDefault="00780051" w:rsidP="007870AC">
            <w:pPr>
              <w:jc w:val="center"/>
            </w:pPr>
            <w:r w:rsidRPr="004605A4">
              <w:t>Build</w:t>
            </w:r>
          </w:p>
        </w:tc>
        <w:tc>
          <w:tcPr>
            <w:tcW w:w="4320" w:type="dxa"/>
          </w:tcPr>
          <w:p w14:paraId="07E2CB89" w14:textId="77777777" w:rsidR="00780051" w:rsidRPr="004605A4" w:rsidRDefault="00780051" w:rsidP="007870AC">
            <w:pPr>
              <w:jc w:val="center"/>
            </w:pPr>
            <w:r w:rsidRPr="004605A4">
              <w:t>Factor variable indicating the suspect’s body type.</w:t>
            </w:r>
          </w:p>
        </w:tc>
      </w:tr>
      <w:tr w:rsidR="00780051" w:rsidRPr="004605A4" w14:paraId="519AC861" w14:textId="77777777" w:rsidTr="007870AC">
        <w:tc>
          <w:tcPr>
            <w:tcW w:w="4945" w:type="dxa"/>
          </w:tcPr>
          <w:p w14:paraId="7D987500" w14:textId="77777777" w:rsidR="00780051" w:rsidRPr="004605A4" w:rsidRDefault="00780051" w:rsidP="007870AC">
            <w:pPr>
              <w:jc w:val="center"/>
            </w:pPr>
            <w:r w:rsidRPr="004605A4">
              <w:t>Time Period</w:t>
            </w:r>
          </w:p>
        </w:tc>
        <w:tc>
          <w:tcPr>
            <w:tcW w:w="4320" w:type="dxa"/>
          </w:tcPr>
          <w:p w14:paraId="5CCD78A9" w14:textId="77777777" w:rsidR="00780051" w:rsidRPr="004605A4" w:rsidRDefault="00780051" w:rsidP="007870AC">
            <w:pPr>
              <w:jc w:val="center"/>
            </w:pPr>
            <w:r w:rsidRPr="004605A4">
              <w:t>Factor variable indicating the time of stop, the levels of the factor being six 4-hour periods (8pm-12am, etc.).</w:t>
            </w:r>
          </w:p>
        </w:tc>
      </w:tr>
      <w:tr w:rsidR="00780051" w:rsidRPr="004605A4" w14:paraId="43431E4A" w14:textId="77777777" w:rsidTr="007870AC">
        <w:tc>
          <w:tcPr>
            <w:tcW w:w="4945" w:type="dxa"/>
          </w:tcPr>
          <w:p w14:paraId="3A061B0A" w14:textId="77777777" w:rsidR="00780051" w:rsidRPr="005B1DC2" w:rsidRDefault="00780051" w:rsidP="007870AC">
            <w:pPr>
              <w:jc w:val="center"/>
            </w:pPr>
            <w:r w:rsidRPr="005B1DC2">
              <w:t>Year</w:t>
            </w:r>
          </w:p>
        </w:tc>
        <w:tc>
          <w:tcPr>
            <w:tcW w:w="4320" w:type="dxa"/>
          </w:tcPr>
          <w:p w14:paraId="17481465" w14:textId="77777777" w:rsidR="00780051" w:rsidRPr="005B1DC2" w:rsidRDefault="00780051" w:rsidP="007870AC">
            <w:pPr>
              <w:jc w:val="center"/>
            </w:pPr>
            <w:r w:rsidRPr="005B1DC2">
              <w:t>Factor variable indicating the year in which the stop occurred.</w:t>
            </w:r>
          </w:p>
        </w:tc>
      </w:tr>
      <w:tr w:rsidR="00780051" w:rsidRPr="004605A4" w14:paraId="5DC49198" w14:textId="77777777" w:rsidTr="007870AC">
        <w:tc>
          <w:tcPr>
            <w:tcW w:w="4945" w:type="dxa"/>
          </w:tcPr>
          <w:p w14:paraId="00EDCE2F" w14:textId="77777777" w:rsidR="00780051" w:rsidRPr="005B1DC2" w:rsidRDefault="00780051" w:rsidP="007870AC">
            <w:pPr>
              <w:jc w:val="center"/>
            </w:pPr>
            <w:r w:rsidRPr="005B1DC2">
              <w:t>Radio Run</w:t>
            </w:r>
          </w:p>
        </w:tc>
        <w:tc>
          <w:tcPr>
            <w:tcW w:w="4320" w:type="dxa"/>
          </w:tcPr>
          <w:p w14:paraId="3E0B979F" w14:textId="77777777" w:rsidR="00780051" w:rsidRPr="005B1DC2" w:rsidRDefault="00780051" w:rsidP="007870AC">
            <w:pPr>
              <w:jc w:val="center"/>
            </w:pPr>
            <w:r w:rsidRPr="005B1DC2">
              <w:t>Whether the stop resulted from the officer responding to a call.</w:t>
            </w:r>
          </w:p>
        </w:tc>
      </w:tr>
      <w:tr w:rsidR="00780051" w:rsidRPr="004605A4" w14:paraId="24FEADBB" w14:textId="77777777" w:rsidTr="007870AC">
        <w:tc>
          <w:tcPr>
            <w:tcW w:w="4945" w:type="dxa"/>
          </w:tcPr>
          <w:p w14:paraId="59124990" w14:textId="77777777" w:rsidR="00780051" w:rsidRPr="005B1DC2" w:rsidRDefault="00780051" w:rsidP="007870AC">
            <w:pPr>
              <w:jc w:val="center"/>
              <w:rPr>
                <w:color w:val="000000" w:themeColor="text1"/>
              </w:rPr>
            </w:pPr>
            <w:r w:rsidRPr="005B1DC2">
              <w:rPr>
                <w:color w:val="000000" w:themeColor="text1"/>
              </w:rPr>
              <w:t>Reason for Suspicion:</w:t>
            </w:r>
          </w:p>
          <w:p w14:paraId="2D9CEEE2" w14:textId="77777777" w:rsidR="00780051" w:rsidRPr="005B1DC2" w:rsidRDefault="00780051" w:rsidP="007870AC">
            <w:pPr>
              <w:jc w:val="center"/>
            </w:pPr>
            <w:r w:rsidRPr="005B1DC2">
              <w:rPr>
                <w:color w:val="000000" w:themeColor="text1"/>
              </w:rPr>
              <w:t>Furtive Movements; Casing; Fit Description; Suspicious Bulge; Acting as Lookout; Clothes; Carrying Objects; Drug Transaction; Engaging in Violence; Other</w:t>
            </w:r>
          </w:p>
        </w:tc>
        <w:tc>
          <w:tcPr>
            <w:tcW w:w="4320" w:type="dxa"/>
          </w:tcPr>
          <w:p w14:paraId="78851835" w14:textId="77777777" w:rsidR="00780051" w:rsidRPr="005B1DC2" w:rsidRDefault="00780051" w:rsidP="007870AC">
            <w:pPr>
              <w:jc w:val="center"/>
            </w:pPr>
            <w:r w:rsidRPr="005B1DC2">
              <w:rPr>
                <w:color w:val="000000" w:themeColor="text1"/>
              </w:rPr>
              <w:t>Ten separate binary variables, each indicating whether the officer recorded one of the listed items as a reason for making the stop.</w:t>
            </w:r>
          </w:p>
        </w:tc>
      </w:tr>
      <w:tr w:rsidR="00780051" w:rsidRPr="004605A4" w14:paraId="255AAE41" w14:textId="77777777" w:rsidTr="007870AC">
        <w:tc>
          <w:tcPr>
            <w:tcW w:w="4945" w:type="dxa"/>
          </w:tcPr>
          <w:p w14:paraId="595B97CE" w14:textId="77777777" w:rsidR="00780051" w:rsidRPr="005B1DC2" w:rsidRDefault="00780051" w:rsidP="007870AC">
            <w:pPr>
              <w:jc w:val="center"/>
              <w:rPr>
                <w:color w:val="000000" w:themeColor="text1"/>
              </w:rPr>
            </w:pPr>
            <w:r w:rsidRPr="005B1DC2">
              <w:rPr>
                <w:color w:val="000000" w:themeColor="text1"/>
              </w:rPr>
              <w:t>Additional Stop Circumstance:</w:t>
            </w:r>
          </w:p>
          <w:p w14:paraId="29DB8E82" w14:textId="77777777" w:rsidR="00780051" w:rsidRPr="005B1DC2" w:rsidRDefault="00780051" w:rsidP="007870AC">
            <w:pPr>
              <w:jc w:val="center"/>
            </w:pPr>
            <w:r w:rsidRPr="005B1DC2">
              <w:rPr>
                <w:color w:val="000000" w:themeColor="text1"/>
              </w:rPr>
              <w:t>Evasive Response; Time Period; Victim/Witness Report; Ongoing Investigation; Associating with Criminal; Sights and Sounds of Crime; Proximity to Crime Location; Change Direction from Officer; Other</w:t>
            </w:r>
          </w:p>
        </w:tc>
        <w:tc>
          <w:tcPr>
            <w:tcW w:w="4320" w:type="dxa"/>
          </w:tcPr>
          <w:p w14:paraId="66F6CE71" w14:textId="77777777" w:rsidR="00780051" w:rsidRPr="005B1DC2" w:rsidRDefault="00780051" w:rsidP="007870AC">
            <w:pPr>
              <w:jc w:val="center"/>
            </w:pPr>
            <w:r w:rsidRPr="005B1DC2">
              <w:rPr>
                <w:color w:val="000000" w:themeColor="text1"/>
              </w:rPr>
              <w:t>Nine separate binary variables, each indicating whether the officer recorded one of the listed items as an additional circumstance they considered when making the stop.</w:t>
            </w:r>
          </w:p>
        </w:tc>
      </w:tr>
    </w:tbl>
    <w:p w14:paraId="22DBA7FE" w14:textId="77777777" w:rsidR="00780051" w:rsidRPr="004605A4" w:rsidRDefault="00780051" w:rsidP="00780051">
      <w:r w:rsidRPr="00E457F8">
        <w:rPr>
          <w:i/>
          <w:iCs/>
        </w:rPr>
        <w:t>Note:</w:t>
      </w:r>
      <w:r w:rsidRPr="004605A4">
        <w:t xml:space="preserve"> All variables are drawn from UF-250 forms, as reported in the NYPD’s Stop, Question, and Frisk dataset. The hit rate analysis also includes all neighborhood-level independent variables used in Model 2 (see Table 1 for further details).</w:t>
      </w:r>
    </w:p>
    <w:p w14:paraId="5FC86D79" w14:textId="77777777" w:rsidR="00780051" w:rsidRPr="004605A4" w:rsidRDefault="00780051" w:rsidP="00780051"/>
    <w:p w14:paraId="271CAF9F" w14:textId="77777777" w:rsidR="00780051" w:rsidRDefault="00780051" w:rsidP="00780051"/>
    <w:p w14:paraId="128A397C" w14:textId="7086185B" w:rsidR="00013AF9" w:rsidRDefault="00013AF9">
      <w:r>
        <w:br w:type="page"/>
      </w:r>
    </w:p>
    <w:p w14:paraId="24484118" w14:textId="77777777" w:rsidR="00013AF9" w:rsidRPr="00DE29F5" w:rsidRDefault="00013AF9" w:rsidP="00013AF9">
      <w:r w:rsidRPr="00DE29F5">
        <w:lastRenderedPageBreak/>
        <w:t>Figure A1: The Relationship between White-Black and White-Hispanic Boundaries and Number of Stops by Neighborhood Racial Composition</w:t>
      </w:r>
    </w:p>
    <w:p w14:paraId="63613C04" w14:textId="06BB6FCA" w:rsidR="00780051" w:rsidRPr="004605A4" w:rsidRDefault="00013AF9" w:rsidP="00780051">
      <w:pPr>
        <w:spacing w:after="200" w:line="276" w:lineRule="auto"/>
      </w:pPr>
      <w:r>
        <w:rPr>
          <w:noProof/>
        </w:rPr>
        <w:drawing>
          <wp:inline distT="0" distB="0" distL="0" distR="0" wp14:anchorId="5FBC5FA3" wp14:editId="6AF1DAB8">
            <wp:extent cx="5943600" cy="29718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559EBF20" w14:textId="77777777" w:rsidR="00780051" w:rsidRPr="004605A4" w:rsidRDefault="00780051" w:rsidP="0028702F">
      <w:pPr>
        <w:spacing w:line="480" w:lineRule="auto"/>
        <w:ind w:firstLine="720"/>
        <w:jc w:val="both"/>
        <w:rPr>
          <w:b/>
          <w:bCs/>
        </w:rPr>
      </w:pPr>
    </w:p>
    <w:sectPr w:rsidR="00780051" w:rsidRPr="004605A4" w:rsidSect="00BF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2F"/>
    <w:rsid w:val="00013AF9"/>
    <w:rsid w:val="0028702F"/>
    <w:rsid w:val="00375DFD"/>
    <w:rsid w:val="00544232"/>
    <w:rsid w:val="00780051"/>
    <w:rsid w:val="00A84E9A"/>
    <w:rsid w:val="00BF1121"/>
    <w:rsid w:val="00F5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79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702F"/>
    <w:rPr>
      <w:b/>
      <w:bCs/>
    </w:rPr>
  </w:style>
  <w:style w:type="character" w:styleId="Emphasis">
    <w:name w:val="Emphasis"/>
    <w:basedOn w:val="DefaultParagraphFont"/>
    <w:uiPriority w:val="20"/>
    <w:qFormat/>
    <w:rsid w:val="002870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2022-04-12T14:11:00Z</dcterms:created>
  <dcterms:modified xsi:type="dcterms:W3CDTF">2022-10-17T13:37:00Z</dcterms:modified>
</cp:coreProperties>
</file>