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FF800" w14:textId="77777777" w:rsidR="004A4F5A" w:rsidRDefault="004A4F5A" w:rsidP="00051484">
      <w:pPr>
        <w:pStyle w:val="Namesaddresses"/>
        <w:spacing w:line="240" w:lineRule="auto"/>
        <w:rPr>
          <w:rFonts w:ascii="Arial" w:hAnsi="Arial"/>
          <w:b/>
          <w:sz w:val="28"/>
        </w:rPr>
      </w:pPr>
      <w:r w:rsidRPr="008378B7">
        <w:rPr>
          <w:rFonts w:ascii="Arial" w:hAnsi="Arial"/>
          <w:b/>
          <w:sz w:val="28"/>
        </w:rPr>
        <w:t xml:space="preserve">Georeferencing Sunda pangolin </w:t>
      </w:r>
      <w:r w:rsidRPr="008378B7">
        <w:rPr>
          <w:rFonts w:ascii="Arial" w:hAnsi="Arial"/>
          <w:b/>
          <w:i/>
          <w:sz w:val="28"/>
        </w:rPr>
        <w:t xml:space="preserve">Manis javanica </w:t>
      </w:r>
      <w:r w:rsidRPr="008378B7">
        <w:rPr>
          <w:rFonts w:ascii="Arial" w:hAnsi="Arial"/>
          <w:b/>
          <w:sz w:val="28"/>
        </w:rPr>
        <w:t>records in Singapore for conservation</w:t>
      </w:r>
    </w:p>
    <w:p w14:paraId="30991051" w14:textId="77777777" w:rsidR="00051484" w:rsidRPr="008378B7" w:rsidRDefault="00051484" w:rsidP="00E33E99">
      <w:pPr>
        <w:pStyle w:val="Namesaddresses"/>
        <w:spacing w:line="240" w:lineRule="auto"/>
        <w:rPr>
          <w:rFonts w:ascii="Arial" w:hAnsi="Arial"/>
          <w:b/>
          <w:sz w:val="28"/>
        </w:rPr>
      </w:pPr>
    </w:p>
    <w:p w14:paraId="7F828B0B" w14:textId="63A864C2" w:rsidR="004A4F5A" w:rsidRDefault="004A4F5A" w:rsidP="00051484">
      <w:pPr>
        <w:pStyle w:val="Table"/>
        <w:spacing w:line="240" w:lineRule="auto"/>
        <w:rPr>
          <w:rStyle w:val="Oryxauthornames"/>
        </w:rPr>
      </w:pPr>
      <w:r>
        <w:rPr>
          <w:rStyle w:val="Oryxauthornames"/>
        </w:rPr>
        <w:t>Muhammad Khairuldin Aziz, Anthony O’Dempsey, Ng Bee Choo, Kalai Vanan Balakrishnan, Sonja Luz, Charlene Yeong, Sharon Chan</w:t>
      </w:r>
      <w:r>
        <w:t xml:space="preserve"> and </w:t>
      </w:r>
      <w:r>
        <w:rPr>
          <w:rStyle w:val="Oryxauthornames"/>
        </w:rPr>
        <w:t>Marcus A. H. Chua</w:t>
      </w:r>
    </w:p>
    <w:p w14:paraId="3E35A3BA" w14:textId="77777777" w:rsidR="00051484" w:rsidRDefault="00051484" w:rsidP="00E33E99">
      <w:pPr>
        <w:pStyle w:val="Table"/>
        <w:spacing w:line="240" w:lineRule="auto"/>
        <w:rPr>
          <w:rStyle w:val="Oryxauthornames"/>
        </w:rPr>
      </w:pPr>
    </w:p>
    <w:p w14:paraId="21B7CFA4" w14:textId="0D6BA99D" w:rsidR="004A4F5A" w:rsidRPr="00E33E99" w:rsidRDefault="000E2569" w:rsidP="00E33E99">
      <w:pPr>
        <w:shd w:val="clear" w:color="auto" w:fill="B4C6E7" w:themeFill="accent1" w:themeFillTint="66"/>
        <w:rPr>
          <w:rStyle w:val="Oryxauthornames"/>
          <w:rFonts w:eastAsia="Times New Roman" w:cs="Times New Roman"/>
          <w:smallCaps w:val="0"/>
          <w:lang w:val="en-US"/>
        </w:rPr>
      </w:pPr>
      <w:r w:rsidRPr="002C2FEA">
        <w:rPr>
          <w:rFonts w:eastAsia="Times New Roman" w:cs="Times New Roman"/>
          <w:lang w:val="en-US"/>
        </w:rPr>
        <w:t>Supplementa</w:t>
      </w:r>
      <w:r>
        <w:rPr>
          <w:rFonts w:eastAsia="Times New Roman" w:cs="Times New Roman"/>
          <w:lang w:val="en-US"/>
        </w:rPr>
        <w:t>ry</w:t>
      </w:r>
      <w:r w:rsidRPr="002C2FEA">
        <w:rPr>
          <w:rFonts w:eastAsia="Times New Roman" w:cs="Times New Roman"/>
          <w:lang w:val="en-US"/>
        </w:rPr>
        <w:t xml:space="preserve"> material is published as supplied by the authors. It is not checked for accuracy, copyedited, typeset or proofread. The responsibility for scientific accuracy and file functionality remains with the authors.</w:t>
      </w:r>
    </w:p>
    <w:p w14:paraId="6F85CACB" w14:textId="77777777" w:rsidR="00051484" w:rsidRDefault="00051484" w:rsidP="001720FF">
      <w:pPr>
        <w:pStyle w:val="Table"/>
        <w:spacing w:line="240" w:lineRule="auto"/>
        <w:rPr>
          <w:smallCaps/>
        </w:rPr>
      </w:pPr>
    </w:p>
    <w:p w14:paraId="20AC8137" w14:textId="2B9ADFBB" w:rsidR="004A4F5A" w:rsidRDefault="004A4F5A" w:rsidP="00E33E99">
      <w:pPr>
        <w:pStyle w:val="Table"/>
        <w:spacing w:line="240" w:lineRule="auto"/>
      </w:pPr>
      <w:r>
        <w:rPr>
          <w:smallCaps/>
        </w:rPr>
        <w:t>Supplementary Material 1</w:t>
      </w:r>
      <w:r w:rsidRPr="004A4F5A">
        <w:t xml:space="preserve"> </w:t>
      </w:r>
      <w:r>
        <w:t xml:space="preserve">Description of methods for georeferencing </w:t>
      </w:r>
      <w:r w:rsidRPr="003614A7">
        <w:t>compiled Sunda pangolin records from Singapor</w:t>
      </w:r>
      <w:r>
        <w:t>e</w:t>
      </w:r>
      <w:r w:rsidRPr="003614A7">
        <w:t>.</w:t>
      </w:r>
    </w:p>
    <w:p w14:paraId="39DAA857" w14:textId="77777777" w:rsidR="004A4F5A" w:rsidRDefault="004A4F5A" w:rsidP="00E33E99">
      <w:pPr>
        <w:pStyle w:val="Table"/>
        <w:spacing w:line="240" w:lineRule="auto"/>
      </w:pPr>
    </w:p>
    <w:p w14:paraId="5B70FB7E" w14:textId="2260C8BE" w:rsidR="004A4F5A" w:rsidRPr="009624DA" w:rsidRDefault="004A4F5A" w:rsidP="00E33E99">
      <w:pPr>
        <w:pStyle w:val="BodyText"/>
        <w:spacing w:after="0" w:line="240" w:lineRule="auto"/>
      </w:pPr>
      <w:r w:rsidRPr="009624DA">
        <w:t>Pangolin sightings, roadkill, rescues, and release data were extracted from the S</w:t>
      </w:r>
      <w:r w:rsidR="00C86A21">
        <w:t xml:space="preserve">ingapore </w:t>
      </w:r>
      <w:r w:rsidRPr="009624DA">
        <w:t>P</w:t>
      </w:r>
      <w:r w:rsidR="00C86A21">
        <w:t xml:space="preserve">angolin </w:t>
      </w:r>
      <w:r w:rsidRPr="009624DA">
        <w:t>W</w:t>
      </w:r>
      <w:r w:rsidR="00C86A21">
        <w:t xml:space="preserve">orking </w:t>
      </w:r>
      <w:r w:rsidRPr="009624DA">
        <w:t>G</w:t>
      </w:r>
      <w:r w:rsidR="00C86A21">
        <w:t>roup (SPWG)</w:t>
      </w:r>
      <w:r w:rsidRPr="009624DA">
        <w:t xml:space="preserve"> consolidated database and other publicly available data in July 2021. These records range</w:t>
      </w:r>
      <w:r>
        <w:t>d</w:t>
      </w:r>
      <w:r w:rsidRPr="009624DA">
        <w:t xml:space="preserve"> from 1996 to 30 June 2021 and were compiled from </w:t>
      </w:r>
      <w:r>
        <w:t xml:space="preserve">SPWG </w:t>
      </w:r>
      <w:r w:rsidRPr="009624DA">
        <w:t>member organisations: Animal Concerns Research and Education Society, Vertebrate Study Group of the Nature Society (Singapore), Lee Kong Chian Natural History Museum, National University of Singapore, and Mandai Nature, the conservation arm of Mandai Wildlife Group. M</w:t>
      </w:r>
      <w:r>
        <w:t xml:space="preserve">any </w:t>
      </w:r>
      <w:r w:rsidRPr="009624DA">
        <w:t>of these records came from citizen science</w:t>
      </w:r>
      <w:r>
        <w:t>,</w:t>
      </w:r>
      <w:r w:rsidRPr="009624DA">
        <w:t xml:space="preserve"> public reports, </w:t>
      </w:r>
      <w:r>
        <w:t xml:space="preserve">and </w:t>
      </w:r>
      <w:r w:rsidRPr="009624DA">
        <w:t xml:space="preserve">wildlife surveys. </w:t>
      </w:r>
      <w:r>
        <w:t>S</w:t>
      </w:r>
      <w:r w:rsidRPr="009624DA">
        <w:t xml:space="preserve">ocial media posts of pangolin sightings on Singapore-based nature groups ‘Nature Society (Singapore)’ and ‘Singapore Wildlife Encounters’ on Facebook were compiled using the search term ‘pangolin’. </w:t>
      </w:r>
      <w:r>
        <w:t>To eliminate the risk of misidentification, r</w:t>
      </w:r>
      <w:r w:rsidRPr="009624DA">
        <w:t>ecords were included if photographic or video evidence of the sightings, date, and location of the observation were provided.</w:t>
      </w:r>
    </w:p>
    <w:p w14:paraId="186D012B" w14:textId="77777777" w:rsidR="004A4F5A" w:rsidRPr="009624DA" w:rsidRDefault="004A4F5A" w:rsidP="00E33E99">
      <w:pPr>
        <w:pStyle w:val="BodyText"/>
        <w:spacing w:after="0" w:line="240" w:lineRule="auto"/>
      </w:pPr>
    </w:p>
    <w:p w14:paraId="28D293C8" w14:textId="3A448672" w:rsidR="004A4F5A" w:rsidRPr="009624DA" w:rsidRDefault="004A4F5A" w:rsidP="00E33E99">
      <w:pPr>
        <w:pStyle w:val="BodyText"/>
        <w:spacing w:after="0" w:line="240" w:lineRule="auto"/>
      </w:pPr>
      <w:r w:rsidRPr="009624DA">
        <w:t xml:space="preserve">Records from 2015 have improved detail owing to a standard procedure for pangolin rescues. Pangolins found injured or weak, at risk of getting injured, in urban areas, </w:t>
      </w:r>
      <w:r>
        <w:t>and</w:t>
      </w:r>
      <w:r w:rsidRPr="009624DA">
        <w:t xml:space="preserve"> carcasses are rescued</w:t>
      </w:r>
      <w:r>
        <w:t xml:space="preserve"> or salvaged</w:t>
      </w:r>
      <w:r w:rsidRPr="009624DA">
        <w:t xml:space="preserve"> by </w:t>
      </w:r>
      <w:r w:rsidRPr="00F03675">
        <w:t>the National Parks Board</w:t>
      </w:r>
      <w:r>
        <w:t xml:space="preserve"> (NParks)</w:t>
      </w:r>
      <w:r w:rsidRPr="009624DA">
        <w:t xml:space="preserve"> or </w:t>
      </w:r>
      <w:r>
        <w:t>ACRES</w:t>
      </w:r>
      <w:r w:rsidRPr="009624DA">
        <w:t xml:space="preserve">. </w:t>
      </w:r>
      <w:r>
        <w:t>They</w:t>
      </w:r>
      <w:r w:rsidRPr="009624DA">
        <w:t xml:space="preserve"> are then admitted to</w:t>
      </w:r>
      <w:r>
        <w:t xml:space="preserve"> the </w:t>
      </w:r>
      <w:r w:rsidRPr="009624DA">
        <w:t>Mandai Wildlife Group</w:t>
      </w:r>
      <w:r>
        <w:t>, where</w:t>
      </w:r>
      <w:r w:rsidRPr="009624DA">
        <w:t xml:space="preserve"> </w:t>
      </w:r>
      <w:r>
        <w:t>a</w:t>
      </w:r>
      <w:r w:rsidRPr="009624DA">
        <w:t xml:space="preserve"> health assessment or post-mortem examination are conducted, and treatment and rehabilitation are carried out as necessary. </w:t>
      </w:r>
      <w:r>
        <w:t>S</w:t>
      </w:r>
      <w:r w:rsidRPr="009624DA">
        <w:t xml:space="preserve">uitable release </w:t>
      </w:r>
      <w:r>
        <w:t xml:space="preserve">candidates </w:t>
      </w:r>
      <w:r w:rsidRPr="009624DA">
        <w:t xml:space="preserve">are </w:t>
      </w:r>
      <w:r w:rsidR="00280C83" w:rsidRPr="009624DA">
        <w:t>microchipped using a passive integrated transponder tag</w:t>
      </w:r>
      <w:r w:rsidRPr="009624DA">
        <w:t xml:space="preserve"> and released </w:t>
      </w:r>
      <w:r>
        <w:t>at an NParks managed area</w:t>
      </w:r>
      <w:r w:rsidRPr="009624DA">
        <w:t xml:space="preserve">. </w:t>
      </w:r>
      <w:r>
        <w:t>We incorporated a</w:t>
      </w:r>
      <w:r w:rsidRPr="009624DA">
        <w:t>ssociated data from this process</w:t>
      </w:r>
      <w:r>
        <w:t>, including rescue and release locations</w:t>
      </w:r>
      <w:r w:rsidRPr="009624DA">
        <w:t>.</w:t>
      </w:r>
    </w:p>
    <w:p w14:paraId="317C2C3C" w14:textId="77777777" w:rsidR="004A4F5A" w:rsidRDefault="004A4F5A" w:rsidP="00E33E99">
      <w:pPr>
        <w:pStyle w:val="BodyText"/>
        <w:spacing w:after="0" w:line="240" w:lineRule="auto"/>
        <w:rPr>
          <w:b/>
          <w:bCs/>
        </w:rPr>
      </w:pPr>
    </w:p>
    <w:p w14:paraId="03B9C5B4" w14:textId="7A1AF1A8" w:rsidR="004A4F5A" w:rsidRDefault="004A4F5A" w:rsidP="00E33E99">
      <w:pPr>
        <w:pStyle w:val="BodyText"/>
        <w:spacing w:after="0" w:line="240" w:lineRule="auto"/>
      </w:pPr>
      <w:r w:rsidRPr="009624DA">
        <w:t xml:space="preserve">We ensured the quality of the georeferenced data based on suitability and accuracy of the records. </w:t>
      </w:r>
      <w:r>
        <w:t>Records that lacked</w:t>
      </w:r>
      <w:r w:rsidRPr="009624DA">
        <w:t xml:space="preserve"> location description</w:t>
      </w:r>
      <w:r>
        <w:t>s,</w:t>
      </w:r>
      <w:r w:rsidRPr="009624DA">
        <w:t xml:space="preserve"> </w:t>
      </w:r>
      <w:r>
        <w:t xml:space="preserve">had </w:t>
      </w:r>
      <w:r w:rsidRPr="009624DA">
        <w:t>multiple candidates for a location description</w:t>
      </w:r>
      <w:r>
        <w:t>,</w:t>
      </w:r>
      <w:r w:rsidRPr="009624DA">
        <w:t xml:space="preserve"> and duplicates</w:t>
      </w:r>
      <w:r>
        <w:t xml:space="preserve"> were excluded</w:t>
      </w:r>
      <w:r w:rsidRPr="009624DA">
        <w:t>.</w:t>
      </w:r>
      <w:r>
        <w:t xml:space="preserve"> </w:t>
      </w:r>
      <w:r w:rsidRPr="009624DA">
        <w:t xml:space="preserve">Common </w:t>
      </w:r>
      <w:r>
        <w:t xml:space="preserve">georeferencing </w:t>
      </w:r>
      <w:r w:rsidRPr="009624DA">
        <w:t xml:space="preserve">problems </w:t>
      </w:r>
      <w:r>
        <w:t>such as</w:t>
      </w:r>
      <w:r w:rsidRPr="009624DA">
        <w:t xml:space="preserve"> </w:t>
      </w:r>
      <w:r>
        <w:t>t</w:t>
      </w:r>
      <w:r w:rsidRPr="009624DA">
        <w:t>extual locality description</w:t>
      </w:r>
      <w:r>
        <w:t>s</w:t>
      </w:r>
      <w:r w:rsidRPr="009624DA">
        <w:t xml:space="preserve"> without coordinate</w:t>
      </w:r>
      <w:r>
        <w:t>s</w:t>
      </w:r>
      <w:r w:rsidRPr="009624DA">
        <w:t>,</w:t>
      </w:r>
      <w:r>
        <w:t xml:space="preserve"> and</w:t>
      </w:r>
      <w:r w:rsidRPr="009624DA">
        <w:t xml:space="preserve"> localities that changed over time (</w:t>
      </w:r>
      <w:r>
        <w:t>e.g</w:t>
      </w:r>
      <w:r w:rsidRPr="009624DA">
        <w:t>., realigned roads</w:t>
      </w:r>
      <w:r>
        <w:t>) were addressed as outlined</w:t>
      </w:r>
      <w:r w:rsidRPr="009624DA">
        <w:t xml:space="preserve"> in </w:t>
      </w:r>
      <w:r w:rsidR="004D669E">
        <w:t xml:space="preserve">Supplementary </w:t>
      </w:r>
      <w:r w:rsidRPr="009624DA">
        <w:t>Table 1.</w:t>
      </w:r>
    </w:p>
    <w:p w14:paraId="08E23DF2" w14:textId="77777777" w:rsidR="004A4F5A" w:rsidRDefault="004A4F5A" w:rsidP="00E33E99">
      <w:pPr>
        <w:pStyle w:val="BodyText"/>
        <w:spacing w:after="0" w:line="240" w:lineRule="auto"/>
      </w:pPr>
    </w:p>
    <w:p w14:paraId="6A6F1F30" w14:textId="0DD7D639" w:rsidR="004A4F5A" w:rsidRDefault="004A4F5A" w:rsidP="00E33E99">
      <w:pPr>
        <w:pStyle w:val="BodyText"/>
        <w:spacing w:after="0" w:line="240" w:lineRule="auto"/>
      </w:pPr>
      <w:r w:rsidRPr="009624DA">
        <w:t>We used a hybrid method of georeferencing adapted from the point-radius method and the shape method</w:t>
      </w:r>
      <w:r>
        <w:t xml:space="preserve"> </w:t>
      </w:r>
      <w:r>
        <w:fldChar w:fldCharType="begin"/>
      </w:r>
      <w:r>
        <w:instrText xml:space="preserve"> ADDIN ZOTERO_ITEM CSL_CITATION {"citationID":"f4mzZTdh","properties":{"formattedCitation":"(Wieczorek et al., 2004)","plainCitation":"(Wieczorek et al., 2004)","noteIndex":0},"citationItems":[{"id":1803,"uris":["http://zotero.org/users/5128595/items/ZCPDCWGC"],"itemData":{"id":1803,"type":"article-journal","container-title":"International Journal of Geographical Information Science","DOI":"10.1080/13658810412331280211","ISSN":"1365-8816, 1362-3087","issue":"8","journalAbbreviation":"International Journal of Geographical Information Science","language":"en","page":"745-767","source":"DOI.org (Crossref)","title":"The point-radius method for georeferencing locality descriptions and calculating associated uncertainty","volume":"18","author":[{"family":"Wieczorek","given":"John"},{"family":"Guo","given":"Qinghua"},{"family":"Hijmans","given":"Robert"}],"issued":{"date-parts":[["2004"]]}}}],"schema":"https://github.com/citation-style-language/schema/raw/master/csl-citation.json"} </w:instrText>
      </w:r>
      <w:r>
        <w:fldChar w:fldCharType="separate"/>
      </w:r>
      <w:r>
        <w:rPr>
          <w:noProof/>
        </w:rPr>
        <w:t>(Wieczorek et al., 2004)</w:t>
      </w:r>
      <w:r>
        <w:fldChar w:fldCharType="end"/>
      </w:r>
      <w:r w:rsidRPr="009624DA">
        <w:t>, while following best practices by</w:t>
      </w:r>
      <w:r>
        <w:t xml:space="preserve"> </w:t>
      </w:r>
      <w:r>
        <w:fldChar w:fldCharType="begin"/>
      </w:r>
      <w:r w:rsidR="00471377">
        <w:instrText xml:space="preserve"> ADDIN ZOTERO_ITEM CSL_CITATION {"citationID":"R0NTd84i","properties":{"formattedCitation":"(Chapman &amp; Wieczorek, 2020)","plainCitation":"(Chapman &amp; Wieczorek, 2020)","dontUpdate":true,"noteIndex":0},"citationItems":[{"id":1798,"uris":["http://zotero.org/users/5128595/items/FNMXZTKP"],"itemData":{"id":1798,"type":"article-journal","abstract":"This publication provides guidelines to the best practice for georeferencing. Though it is targeted specifically at biological occurrence data, the concepts and methods presented here may be just as useful in other disciplines.","DOI":"10.15468/DOC-GG7H-S853","license":"Creative Commons Attribution Share Alike 4.0 International","note":"publisher: GBIF Secretariat","source":"DOI.org (Datacite)","title":"Georeferencing Best Practices","URL":"https://docs.gbif.org/georeferencing-best-practices/1.0/en/","author":[{"family":"Chapman","given":"Arthur"},{"family":"Wieczorek","given":"John"}],"accessed":{"date-parts":[["2022",12,2]]},"issued":{"date-parts":[["2020"]]}}}],"schema":"https://github.com/citation-style-language/schema/raw/master/csl-citation.json"} </w:instrText>
      </w:r>
      <w:r>
        <w:fldChar w:fldCharType="separate"/>
      </w:r>
      <w:r>
        <w:rPr>
          <w:noProof/>
        </w:rPr>
        <w:t>Chapman &amp; Wieczorek (2020)</w:t>
      </w:r>
      <w:r>
        <w:fldChar w:fldCharType="end"/>
      </w:r>
      <w:r w:rsidRPr="009624DA">
        <w:t xml:space="preserve">. </w:t>
      </w:r>
      <w:r>
        <w:t xml:space="preserve">This approach suited our </w:t>
      </w:r>
      <w:r w:rsidRPr="009624DA">
        <w:t>data</w:t>
      </w:r>
      <w:r>
        <w:t xml:space="preserve"> which often had</w:t>
      </w:r>
      <w:r w:rsidRPr="009624DA">
        <w:t xml:space="preserve"> reference to point location</w:t>
      </w:r>
      <w:r>
        <w:t>s</w:t>
      </w:r>
      <w:r w:rsidRPr="009624DA">
        <w:t xml:space="preserve"> or specific structures. </w:t>
      </w:r>
      <w:r>
        <w:t>The p</w:t>
      </w:r>
      <w:r w:rsidRPr="009624DA">
        <w:t xml:space="preserve">oint-radius </w:t>
      </w:r>
      <w:r>
        <w:t>method</w:t>
      </w:r>
      <w:r w:rsidRPr="009624DA">
        <w:t xml:space="preserve"> represent</w:t>
      </w:r>
      <w:r>
        <w:t>s</w:t>
      </w:r>
      <w:r w:rsidRPr="009624DA">
        <w:t xml:space="preserve"> locality description</w:t>
      </w:r>
      <w:r>
        <w:t>s</w:t>
      </w:r>
      <w:r w:rsidRPr="009624DA">
        <w:t xml:space="preserve"> as geographic coordinates </w:t>
      </w:r>
      <w:r>
        <w:t>with</w:t>
      </w:r>
      <w:r w:rsidRPr="009624DA">
        <w:t xml:space="preserve"> a maximum uncertainty distance. </w:t>
      </w:r>
      <w:r>
        <w:t>T</w:t>
      </w:r>
      <w:r w:rsidRPr="009624DA">
        <w:t xml:space="preserve">he shape method produces polygons, buffered points, or buffered polylines without a single geographic coordinate. </w:t>
      </w:r>
      <w:r>
        <w:t>G</w:t>
      </w:r>
      <w:r w:rsidRPr="009624DA">
        <w:t xml:space="preserve">eoreferencing work was performed in ArcMap 10.8.1, using OneMap Web Tile Map Service (WTMS) as the base map. ESRI World Imagery satellite map was </w:t>
      </w:r>
      <w:r>
        <w:t>used</w:t>
      </w:r>
      <w:r w:rsidRPr="009624DA">
        <w:t xml:space="preserve"> </w:t>
      </w:r>
      <w:r>
        <w:t>for additional</w:t>
      </w:r>
      <w:r w:rsidRPr="009624DA">
        <w:t xml:space="preserve"> location</w:t>
      </w:r>
      <w:r>
        <w:t xml:space="preserve"> identification</w:t>
      </w:r>
      <w:r w:rsidRPr="009624DA">
        <w:t xml:space="preserve">.  </w:t>
      </w:r>
    </w:p>
    <w:p w14:paraId="440C7012" w14:textId="77777777" w:rsidR="004A4F5A" w:rsidRPr="009624DA" w:rsidRDefault="004A4F5A" w:rsidP="00E33E99">
      <w:pPr>
        <w:pStyle w:val="BodyText"/>
        <w:spacing w:after="0" w:line="240" w:lineRule="auto"/>
      </w:pPr>
    </w:p>
    <w:p w14:paraId="2C343124" w14:textId="71C1F1FF" w:rsidR="004A4F5A" w:rsidRDefault="004A4F5A" w:rsidP="00E33E99">
      <w:pPr>
        <w:pStyle w:val="BodyText"/>
        <w:spacing w:after="0" w:line="240" w:lineRule="auto"/>
      </w:pPr>
      <w:r>
        <w:lastRenderedPageBreak/>
        <w:t>After quality checks</w:t>
      </w:r>
      <w:r w:rsidRPr="009624DA">
        <w:t xml:space="preserve">, </w:t>
      </w:r>
      <w:r>
        <w:t>we</w:t>
      </w:r>
      <w:r w:rsidRPr="009624DA">
        <w:t xml:space="preserve"> assigned unique identifying numbers</w:t>
      </w:r>
      <w:r>
        <w:t xml:space="preserve"> to each record and</w:t>
      </w:r>
      <w:r w:rsidRPr="009624DA">
        <w:t xml:space="preserve"> categorised </w:t>
      </w:r>
      <w:r>
        <w:t xml:space="preserve">them </w:t>
      </w:r>
      <w:r w:rsidRPr="009624DA">
        <w:t>based on their locality types (</w:t>
      </w:r>
      <w:r w:rsidR="004D669E">
        <w:t xml:space="preserve">Supplementary </w:t>
      </w:r>
      <w:r w:rsidRPr="009624DA">
        <w:t>Table 2).</w:t>
      </w:r>
      <w:r>
        <w:t xml:space="preserve"> We used g</w:t>
      </w:r>
      <w:r w:rsidRPr="00F03675">
        <w:t xml:space="preserve">eographical coordinates </w:t>
      </w:r>
      <w:r>
        <w:t xml:space="preserve">directly where </w:t>
      </w:r>
      <w:r w:rsidRPr="00F03675">
        <w:t>provided</w:t>
      </w:r>
      <w:r>
        <w:t>, with a</w:t>
      </w:r>
      <w:r w:rsidRPr="00F03675">
        <w:t xml:space="preserve"> circular 25 m</w:t>
      </w:r>
      <w:r>
        <w:t xml:space="preserve"> </w:t>
      </w:r>
      <w:r w:rsidRPr="00F03675">
        <w:t xml:space="preserve">uncertainty buffer </w:t>
      </w:r>
      <w:r>
        <w:t>for</w:t>
      </w:r>
      <w:r w:rsidRPr="00F03675">
        <w:t xml:space="preserve"> GPS error. The same</w:t>
      </w:r>
      <w:r>
        <w:t xml:space="preserve"> buffer</w:t>
      </w:r>
      <w:r w:rsidRPr="00F03675">
        <w:t xml:space="preserve"> was </w:t>
      </w:r>
      <w:r>
        <w:t>applied to</w:t>
      </w:r>
      <w:r w:rsidRPr="00F03675">
        <w:t xml:space="preserve"> the Lamppost locality type</w:t>
      </w:r>
      <w:r>
        <w:t>, which</w:t>
      </w:r>
      <w:r w:rsidRPr="00F03675">
        <w:t xml:space="preserve"> were identified and located </w:t>
      </w:r>
      <w:r>
        <w:t>using</w:t>
      </w:r>
      <w:r w:rsidRPr="00F03675">
        <w:t xml:space="preserve"> Google Street View (google.com/maps). </w:t>
      </w:r>
    </w:p>
    <w:p w14:paraId="694DFA4F" w14:textId="77777777" w:rsidR="004A4F5A" w:rsidRDefault="004A4F5A" w:rsidP="00E33E99">
      <w:pPr>
        <w:pStyle w:val="BodyText"/>
        <w:spacing w:after="0" w:line="240" w:lineRule="auto"/>
      </w:pPr>
    </w:p>
    <w:p w14:paraId="6F88866F" w14:textId="6E260F57" w:rsidR="004A4F5A" w:rsidRDefault="004A4F5A" w:rsidP="00E33E99">
      <w:pPr>
        <w:pStyle w:val="BodyText"/>
        <w:spacing w:after="0" w:line="240" w:lineRule="auto"/>
      </w:pPr>
      <w:r>
        <w:t>We digitised perimeter-bounded l</w:t>
      </w:r>
      <w:r w:rsidRPr="00F03675">
        <w:t>ocalit</w:t>
      </w:r>
      <w:r>
        <w:t>ies</w:t>
      </w:r>
      <w:r w:rsidRPr="00F03675">
        <w:t xml:space="preserve"> </w:t>
      </w:r>
      <w:r>
        <w:t>(</w:t>
      </w:r>
      <w:r w:rsidRPr="00F03675">
        <w:t>i.e., Address, Area, Road Junction, and Road Sections</w:t>
      </w:r>
      <w:r>
        <w:t xml:space="preserve">) in a shape </w:t>
      </w:r>
      <w:r w:rsidRPr="00F03675">
        <w:t xml:space="preserve">based on their locality description. Using the point radius method, </w:t>
      </w:r>
      <w:r>
        <w:t>we generated</w:t>
      </w:r>
      <w:r w:rsidRPr="00F03675">
        <w:t xml:space="preserve"> coordinates and a circular uncertainty that encompassed the polygon. </w:t>
      </w:r>
      <w:r>
        <w:t>O</w:t>
      </w:r>
      <w:r w:rsidRPr="00F03675">
        <w:t>ffsets</w:t>
      </w:r>
      <w:r>
        <w:t xml:space="preserve"> in descriptions were handled following</w:t>
      </w:r>
      <w:r w:rsidRPr="00F03675">
        <w:t xml:space="preserve"> </w:t>
      </w:r>
      <w:r>
        <w:fldChar w:fldCharType="begin"/>
      </w:r>
      <w:r w:rsidR="00471377">
        <w:instrText xml:space="preserve"> ADDIN ZOTERO_ITEM CSL_CITATION {"citationID":"PLzZTFel","properties":{"formattedCitation":"(Zermoglio et al., 2020)","plainCitation":"(Zermoglio et al., 2020)","dontUpdate":true,"noteIndex":0},"citationItems":[{"id":1804,"uris":["http://zotero.org/users/5128595/items/42U97AMD"],"itemData":{"id":1804,"type":"article-journal","container-title":"Copenhagen: GBIF Secretariat.","DOI":"https://doi.org/10.35035/e09p-h128","license":"Creative Commons Attribution Share Alike 4.0 International","note":"publisher: GBIF Secretariat","page":"65","source":"DOI.org (Datacite)","title":"Georeferencing  Quick Reference Guide","author":[{"family":"Zermoglio","given":"Paula"},{"family":"Chapman","given":"Arthur"},{"family":"Wieczorek","given":"John"},{"family":"Luna","given":"Maria Celeste"},{"family":"Bloom","given":"David"}],"issued":{"date-parts":[["2020"]]}}}],"schema":"https://github.com/citation-style-language/schema/raw/master/csl-citation.json"} </w:instrText>
      </w:r>
      <w:r>
        <w:fldChar w:fldCharType="separate"/>
      </w:r>
      <w:r>
        <w:rPr>
          <w:noProof/>
        </w:rPr>
        <w:t>Zermoglio et al. (2020)</w:t>
      </w:r>
      <w:r>
        <w:fldChar w:fldCharType="end"/>
      </w:r>
      <w:r w:rsidRPr="00F03675">
        <w:t>.</w:t>
      </w:r>
      <w:r>
        <w:t xml:space="preserve"> </w:t>
      </w:r>
      <w:r w:rsidRPr="00F03675">
        <w:t xml:space="preserve">For </w:t>
      </w:r>
      <w:r>
        <w:t>roads</w:t>
      </w:r>
      <w:r w:rsidRPr="00F03675">
        <w:t>, we use</w:t>
      </w:r>
      <w:r>
        <w:t>d</w:t>
      </w:r>
      <w:r w:rsidRPr="00F03675">
        <w:t xml:space="preserve"> a buffered centreline</w:t>
      </w:r>
      <w:r>
        <w:t>, or a polygon f</w:t>
      </w:r>
      <w:r w:rsidRPr="00F03675">
        <w:t xml:space="preserve">or irregularly roads, </w:t>
      </w:r>
      <w:r>
        <w:t>with</w:t>
      </w:r>
      <w:r w:rsidRPr="00F03675">
        <w:t xml:space="preserve"> coordinates generated </w:t>
      </w:r>
      <w:r>
        <w:t>from their</w:t>
      </w:r>
      <w:r w:rsidRPr="00F03675">
        <w:t xml:space="preserve"> geographical centroid</w:t>
      </w:r>
      <w:r>
        <w:t>s</w:t>
      </w:r>
      <w:r w:rsidRPr="00F03675">
        <w:t>.</w:t>
      </w:r>
    </w:p>
    <w:p w14:paraId="639A3314" w14:textId="77777777" w:rsidR="004A4F5A" w:rsidRDefault="004A4F5A" w:rsidP="00E33E99">
      <w:pPr>
        <w:pStyle w:val="BodyText"/>
        <w:spacing w:after="0" w:line="240" w:lineRule="auto"/>
      </w:pPr>
    </w:p>
    <w:p w14:paraId="2DA66FB1" w14:textId="43C2B050" w:rsidR="004A4F5A" w:rsidRDefault="004A4F5A" w:rsidP="00E33E99">
      <w:pPr>
        <w:pStyle w:val="BodyText"/>
        <w:spacing w:after="0" w:line="240" w:lineRule="auto"/>
      </w:pPr>
      <w:r w:rsidRPr="00F03675">
        <w:t xml:space="preserve">We </w:t>
      </w:r>
      <w:r>
        <w:t xml:space="preserve">mapped the </w:t>
      </w:r>
      <w:r w:rsidRPr="00F03675">
        <w:t xml:space="preserve">georeferenced points to visualise the locations of rescues, roadkill and sightings. To </w:t>
      </w:r>
      <w:r>
        <w:t>analyse</w:t>
      </w:r>
      <w:r w:rsidRPr="00F03675">
        <w:t xml:space="preserve"> the trends of pangolin reports in Singapore, we used a biplot of the frequency of rescues, roadkill</w:t>
      </w:r>
      <w:r>
        <w:t>,</w:t>
      </w:r>
      <w:r w:rsidRPr="00F03675">
        <w:t xml:space="preserve"> and sightings over time</w:t>
      </w:r>
      <w:r>
        <w:t>,</w:t>
      </w:r>
      <w:r w:rsidRPr="00F03675">
        <w:t xml:space="preserve"> and calculated the coefficient of determination (r</w:t>
      </w:r>
      <w:r w:rsidRPr="00F03675">
        <w:rPr>
          <w:vertAlign w:val="superscript"/>
        </w:rPr>
        <w:t>2</w:t>
      </w:r>
      <w:r w:rsidRPr="00F03675">
        <w:t>) of each report type. We used the period from 2011</w:t>
      </w:r>
      <w:r>
        <w:rPr>
          <w:rFonts w:cs="Times New Roman"/>
        </w:rPr>
        <w:t>–</w:t>
      </w:r>
      <w:r w:rsidRPr="00F03675">
        <w:t>2020 to avoid zero inflation bias, and as it was also the time when most records occurred. To determine if any demographic group is more at risk</w:t>
      </w:r>
      <w:r>
        <w:t xml:space="preserve"> of death or needing rescue</w:t>
      </w:r>
      <w:r w:rsidRPr="00F03675">
        <w:t xml:space="preserve">, we </w:t>
      </w:r>
      <w:r>
        <w:t>compar</w:t>
      </w:r>
      <w:r w:rsidRPr="00F03675">
        <w:t>ed the demographics of rescued and roadkill animals by sex and age following</w:t>
      </w:r>
      <w:r>
        <w:t xml:space="preserve"> </w:t>
      </w:r>
      <w:r>
        <w:fldChar w:fldCharType="begin"/>
      </w:r>
      <w:r w:rsidR="00471377">
        <w:instrText xml:space="preserve"> ADDIN ZOTERO_ITEM CSL_CITATION {"citationID":"XuHKGXJd","properties":{"formattedCitation":"(Yang et al., 2010)","plainCitation":"(Yang et al., 2010)","dontUpdate":true,"noteIndex":0},"citationItems":[{"id":1771,"uris":["http://zotero.org/users/5128595/items/97YDIJE7"],"itemData":{"id":1771,"type":"article-journal","container-title":"Journal of Economic Animal","issue":"1","page":"22-25","title":"Age structure and parasites of Malayan pangolin (&lt;i&gt;Manis javanica&lt;/i&gt;)","volume":"14","author":[{"family":"Yang","given":"Li"},{"family":"Su","given":"Chao"},{"family":"Zhang","given":"Fu-Hua"},{"family":"Wu","given":"Shi-Bao"},{"family":"Ma","given":"Guang-Zhi"}],"issued":{"date-parts":[["2010"]]}}}],"schema":"https://github.com/citation-style-language/schema/raw/master/csl-citation.json"} </w:instrText>
      </w:r>
      <w:r>
        <w:fldChar w:fldCharType="separate"/>
      </w:r>
      <w:r>
        <w:rPr>
          <w:noProof/>
        </w:rPr>
        <w:t>Yang et al. (2010)</w:t>
      </w:r>
      <w:r>
        <w:fldChar w:fldCharType="end"/>
      </w:r>
      <w:r>
        <w:t>, and performed Chi-squared tests for differences between age-sex classes</w:t>
      </w:r>
      <w:r w:rsidRPr="00F03675">
        <w:t>.</w:t>
      </w:r>
    </w:p>
    <w:p w14:paraId="023F48AE" w14:textId="77777777" w:rsidR="004A4F5A" w:rsidRDefault="004A4F5A" w:rsidP="00E33E99">
      <w:pPr>
        <w:pStyle w:val="BodyText"/>
        <w:spacing w:after="0" w:line="240" w:lineRule="auto"/>
      </w:pPr>
    </w:p>
    <w:p w14:paraId="6B4DE092" w14:textId="4C5A70C3" w:rsidR="004A4F5A" w:rsidRDefault="004A4F5A" w:rsidP="00E33E99">
      <w:pPr>
        <w:pStyle w:val="BodyText"/>
        <w:spacing w:after="0" w:line="240" w:lineRule="auto"/>
        <w:rPr>
          <w:b/>
          <w:bCs/>
        </w:rPr>
      </w:pPr>
      <w:r w:rsidRPr="004A4F5A">
        <w:rPr>
          <w:b/>
          <w:bCs/>
        </w:rPr>
        <w:t>References</w:t>
      </w:r>
    </w:p>
    <w:p w14:paraId="63EE9718" w14:textId="77777777" w:rsidR="00471377" w:rsidRPr="00471377" w:rsidRDefault="00471377" w:rsidP="00E33E99">
      <w:pPr>
        <w:pStyle w:val="Bibliography"/>
        <w:spacing w:after="0"/>
        <w:rPr>
          <w:rFonts w:cs="Times New Roman"/>
        </w:rPr>
      </w:pPr>
      <w:r>
        <w:rPr>
          <w:b/>
          <w:bCs/>
        </w:rPr>
        <w:fldChar w:fldCharType="begin"/>
      </w:r>
      <w:r>
        <w:rPr>
          <w:b/>
          <w:bCs/>
        </w:rPr>
        <w:instrText xml:space="preserve"> ADDIN ZOTERO_BIBL {"uncited":[],"omitted":[],"custom":[]} CSL_BIBLIOGRAPHY </w:instrText>
      </w:r>
      <w:r>
        <w:rPr>
          <w:b/>
          <w:bCs/>
        </w:rPr>
        <w:fldChar w:fldCharType="separate"/>
      </w:r>
      <w:r w:rsidRPr="00471377">
        <w:rPr>
          <w:rFonts w:cs="Times New Roman"/>
          <w:smallCaps/>
        </w:rPr>
        <w:t>Chapman, A.</w:t>
      </w:r>
      <w:r w:rsidRPr="00471377">
        <w:rPr>
          <w:rFonts w:cs="Times New Roman"/>
        </w:rPr>
        <w:t xml:space="preserve"> &amp; </w:t>
      </w:r>
      <w:r w:rsidRPr="00471377">
        <w:rPr>
          <w:rFonts w:cs="Times New Roman"/>
          <w:smallCaps/>
        </w:rPr>
        <w:t>Wieczorek, J.</w:t>
      </w:r>
      <w:r w:rsidRPr="00471377">
        <w:rPr>
          <w:rFonts w:cs="Times New Roman"/>
        </w:rPr>
        <w:t xml:space="preserve"> (2020) Georeferencing Best Practices. GBIF Secretariat.</w:t>
      </w:r>
    </w:p>
    <w:p w14:paraId="53276024" w14:textId="77777777" w:rsidR="00471377" w:rsidRPr="00471377" w:rsidRDefault="00471377" w:rsidP="00E33E99">
      <w:pPr>
        <w:pStyle w:val="Bibliography"/>
        <w:spacing w:after="0"/>
        <w:rPr>
          <w:rFonts w:cs="Times New Roman"/>
        </w:rPr>
      </w:pPr>
      <w:r w:rsidRPr="00471377">
        <w:rPr>
          <w:rFonts w:cs="Times New Roman"/>
          <w:smallCaps/>
        </w:rPr>
        <w:t>Wieczorek, J.</w:t>
      </w:r>
      <w:r w:rsidRPr="00471377">
        <w:rPr>
          <w:rFonts w:cs="Times New Roman"/>
        </w:rPr>
        <w:t xml:space="preserve">, </w:t>
      </w:r>
      <w:r w:rsidRPr="00471377">
        <w:rPr>
          <w:rFonts w:cs="Times New Roman"/>
          <w:smallCaps/>
        </w:rPr>
        <w:t>Guo, Q.</w:t>
      </w:r>
      <w:r w:rsidRPr="00471377">
        <w:rPr>
          <w:rFonts w:cs="Times New Roman"/>
        </w:rPr>
        <w:t xml:space="preserve"> &amp; </w:t>
      </w:r>
      <w:r w:rsidRPr="00471377">
        <w:rPr>
          <w:rFonts w:cs="Times New Roman"/>
          <w:smallCaps/>
        </w:rPr>
        <w:t>Hijmans, R.</w:t>
      </w:r>
      <w:r w:rsidRPr="00471377">
        <w:rPr>
          <w:rFonts w:cs="Times New Roman"/>
        </w:rPr>
        <w:t xml:space="preserve"> (2004) The point-radius method for georeferencing locality descriptions and calculating associated uncertainty. </w:t>
      </w:r>
      <w:r w:rsidRPr="00471377">
        <w:rPr>
          <w:rFonts w:cs="Times New Roman"/>
          <w:i/>
          <w:iCs/>
        </w:rPr>
        <w:t>International Journal of Geographical Information Science</w:t>
      </w:r>
      <w:r w:rsidRPr="00471377">
        <w:rPr>
          <w:rFonts w:cs="Times New Roman"/>
        </w:rPr>
        <w:t>, 18, 745–767.</w:t>
      </w:r>
    </w:p>
    <w:p w14:paraId="28A0188D" w14:textId="77777777" w:rsidR="00471377" w:rsidRPr="00471377" w:rsidRDefault="00471377" w:rsidP="00E33E99">
      <w:pPr>
        <w:pStyle w:val="Bibliography"/>
        <w:spacing w:after="0"/>
        <w:rPr>
          <w:rFonts w:cs="Times New Roman"/>
        </w:rPr>
      </w:pPr>
      <w:r w:rsidRPr="00471377">
        <w:rPr>
          <w:rFonts w:cs="Times New Roman"/>
          <w:smallCaps/>
        </w:rPr>
        <w:t>Yang, L.</w:t>
      </w:r>
      <w:r w:rsidRPr="00471377">
        <w:rPr>
          <w:rFonts w:cs="Times New Roman"/>
        </w:rPr>
        <w:t xml:space="preserve">, </w:t>
      </w:r>
      <w:r w:rsidRPr="00471377">
        <w:rPr>
          <w:rFonts w:cs="Times New Roman"/>
          <w:smallCaps/>
        </w:rPr>
        <w:t>Su, C.</w:t>
      </w:r>
      <w:r w:rsidRPr="00471377">
        <w:rPr>
          <w:rFonts w:cs="Times New Roman"/>
        </w:rPr>
        <w:t xml:space="preserve">, </w:t>
      </w:r>
      <w:r w:rsidRPr="00471377">
        <w:rPr>
          <w:rFonts w:cs="Times New Roman"/>
          <w:smallCaps/>
        </w:rPr>
        <w:t>Zhang, F.-H.</w:t>
      </w:r>
      <w:r w:rsidRPr="00471377">
        <w:rPr>
          <w:rFonts w:cs="Times New Roman"/>
        </w:rPr>
        <w:t xml:space="preserve">, </w:t>
      </w:r>
      <w:r w:rsidRPr="00471377">
        <w:rPr>
          <w:rFonts w:cs="Times New Roman"/>
          <w:smallCaps/>
        </w:rPr>
        <w:t>Wu, S.-B.</w:t>
      </w:r>
      <w:r w:rsidRPr="00471377">
        <w:rPr>
          <w:rFonts w:cs="Times New Roman"/>
        </w:rPr>
        <w:t xml:space="preserve"> &amp; </w:t>
      </w:r>
      <w:r w:rsidRPr="00471377">
        <w:rPr>
          <w:rFonts w:cs="Times New Roman"/>
          <w:smallCaps/>
        </w:rPr>
        <w:t>Ma, G.-Z.</w:t>
      </w:r>
      <w:r w:rsidRPr="00471377">
        <w:rPr>
          <w:rFonts w:cs="Times New Roman"/>
        </w:rPr>
        <w:t xml:space="preserve"> (2010) Age structure and parasites of Malayan pangolin (</w:t>
      </w:r>
      <w:r w:rsidRPr="00471377">
        <w:rPr>
          <w:rFonts w:cs="Times New Roman"/>
          <w:i/>
          <w:iCs/>
        </w:rPr>
        <w:t>Manis javanica</w:t>
      </w:r>
      <w:r w:rsidRPr="00471377">
        <w:rPr>
          <w:rFonts w:cs="Times New Roman"/>
        </w:rPr>
        <w:t xml:space="preserve">). </w:t>
      </w:r>
      <w:r w:rsidRPr="00471377">
        <w:rPr>
          <w:rFonts w:cs="Times New Roman"/>
          <w:i/>
          <w:iCs/>
        </w:rPr>
        <w:t>Journal of Economic Animal</w:t>
      </w:r>
      <w:r w:rsidRPr="00471377">
        <w:rPr>
          <w:rFonts w:cs="Times New Roman"/>
        </w:rPr>
        <w:t>, 14, 22–25.</w:t>
      </w:r>
    </w:p>
    <w:p w14:paraId="20DA9A0A" w14:textId="77777777" w:rsidR="00471377" w:rsidRPr="00471377" w:rsidRDefault="00471377" w:rsidP="00E33E99">
      <w:pPr>
        <w:pStyle w:val="Bibliography"/>
        <w:spacing w:after="0"/>
        <w:rPr>
          <w:rFonts w:cs="Times New Roman"/>
        </w:rPr>
      </w:pPr>
      <w:r w:rsidRPr="00471377">
        <w:rPr>
          <w:rFonts w:cs="Times New Roman"/>
          <w:smallCaps/>
        </w:rPr>
        <w:t>Zermoglio, P.</w:t>
      </w:r>
      <w:r w:rsidRPr="00471377">
        <w:rPr>
          <w:rFonts w:cs="Times New Roman"/>
        </w:rPr>
        <w:t xml:space="preserve">, </w:t>
      </w:r>
      <w:r w:rsidRPr="00471377">
        <w:rPr>
          <w:rFonts w:cs="Times New Roman"/>
          <w:smallCaps/>
        </w:rPr>
        <w:t>Chapman, A.</w:t>
      </w:r>
      <w:r w:rsidRPr="00471377">
        <w:rPr>
          <w:rFonts w:cs="Times New Roman"/>
        </w:rPr>
        <w:t xml:space="preserve">, </w:t>
      </w:r>
      <w:r w:rsidRPr="00471377">
        <w:rPr>
          <w:rFonts w:cs="Times New Roman"/>
          <w:smallCaps/>
        </w:rPr>
        <w:t>Wieczorek, J.</w:t>
      </w:r>
      <w:r w:rsidRPr="00471377">
        <w:rPr>
          <w:rFonts w:cs="Times New Roman"/>
        </w:rPr>
        <w:t xml:space="preserve">, </w:t>
      </w:r>
      <w:r w:rsidRPr="00471377">
        <w:rPr>
          <w:rFonts w:cs="Times New Roman"/>
          <w:smallCaps/>
        </w:rPr>
        <w:t>Luna, M.C.</w:t>
      </w:r>
      <w:r w:rsidRPr="00471377">
        <w:rPr>
          <w:rFonts w:cs="Times New Roman"/>
        </w:rPr>
        <w:t xml:space="preserve"> &amp; </w:t>
      </w:r>
      <w:r w:rsidRPr="00471377">
        <w:rPr>
          <w:rFonts w:cs="Times New Roman"/>
          <w:smallCaps/>
        </w:rPr>
        <w:t>Bloom, D.</w:t>
      </w:r>
      <w:r w:rsidRPr="00471377">
        <w:rPr>
          <w:rFonts w:cs="Times New Roman"/>
        </w:rPr>
        <w:t xml:space="preserve"> (2020) Georeferencing  Quick Reference Guide. </w:t>
      </w:r>
      <w:r w:rsidRPr="00471377">
        <w:rPr>
          <w:rFonts w:cs="Times New Roman"/>
          <w:i/>
          <w:iCs/>
        </w:rPr>
        <w:t>Copenhagen: GBIF Secretariat.</w:t>
      </w:r>
      <w:r w:rsidRPr="00471377">
        <w:rPr>
          <w:rFonts w:cs="Times New Roman"/>
        </w:rPr>
        <w:t>, 65. GBIF Secretariat.</w:t>
      </w:r>
    </w:p>
    <w:p w14:paraId="1A71D8D8" w14:textId="20CFCCF5" w:rsidR="00471377" w:rsidRPr="004A4F5A" w:rsidRDefault="00471377" w:rsidP="00E33E99">
      <w:pPr>
        <w:pStyle w:val="BodyText"/>
        <w:spacing w:after="0" w:line="240" w:lineRule="auto"/>
        <w:rPr>
          <w:b/>
          <w:bCs/>
        </w:rPr>
      </w:pPr>
      <w:r>
        <w:rPr>
          <w:b/>
          <w:bCs/>
        </w:rPr>
        <w:fldChar w:fldCharType="end"/>
      </w:r>
    </w:p>
    <w:p w14:paraId="01AD694A" w14:textId="77777777" w:rsidR="004A4F5A" w:rsidRPr="00F03675" w:rsidRDefault="004A4F5A" w:rsidP="00E33E99">
      <w:pPr>
        <w:pStyle w:val="BodyText"/>
        <w:spacing w:after="0" w:line="240" w:lineRule="auto"/>
      </w:pPr>
    </w:p>
    <w:p w14:paraId="7EC318B6" w14:textId="77777777" w:rsidR="004A4F5A" w:rsidRPr="004A4F5A" w:rsidRDefault="004A4F5A" w:rsidP="00E33E99">
      <w:pPr>
        <w:pStyle w:val="Table"/>
        <w:spacing w:line="240" w:lineRule="auto"/>
        <w:rPr>
          <w:b/>
          <w:bCs/>
          <w:smallCaps/>
        </w:rPr>
      </w:pPr>
    </w:p>
    <w:p w14:paraId="511A30D3" w14:textId="77777777" w:rsidR="004A4F5A" w:rsidRDefault="004A4F5A" w:rsidP="00E33E99">
      <w:pPr>
        <w:pStyle w:val="Table"/>
        <w:spacing w:line="240" w:lineRule="auto"/>
        <w:rPr>
          <w:smallCaps/>
        </w:rPr>
      </w:pPr>
    </w:p>
    <w:p w14:paraId="7B4F8437" w14:textId="77777777" w:rsidR="004A4F5A" w:rsidRDefault="004A4F5A">
      <w:pPr>
        <w:rPr>
          <w:smallCaps/>
        </w:rPr>
      </w:pPr>
      <w:r>
        <w:rPr>
          <w:smallCaps/>
        </w:rPr>
        <w:br w:type="page"/>
      </w:r>
    </w:p>
    <w:p w14:paraId="44173148" w14:textId="2D128542" w:rsidR="004244F1" w:rsidRDefault="00A204CF" w:rsidP="00E33E99">
      <w:pPr>
        <w:pStyle w:val="Table"/>
        <w:spacing w:line="240" w:lineRule="auto"/>
      </w:pPr>
      <w:r>
        <w:rPr>
          <w:smallCaps/>
        </w:rPr>
        <w:lastRenderedPageBreak/>
        <w:t xml:space="preserve">Supplementary </w:t>
      </w:r>
      <w:r w:rsidR="004244F1">
        <w:rPr>
          <w:smallCaps/>
        </w:rPr>
        <w:t xml:space="preserve">Table </w:t>
      </w:r>
      <w:r w:rsidR="004244F1">
        <w:t>1 Common georeferencing issues and solutions used.</w:t>
      </w:r>
    </w:p>
    <w:tbl>
      <w:tblPr>
        <w:tblW w:w="0" w:type="auto"/>
        <w:tblBorders>
          <w:top w:val="single" w:sz="2" w:space="0" w:color="000000"/>
          <w:bottom w:val="single" w:sz="2" w:space="0" w:color="000000"/>
          <w:insideH w:val="single" w:sz="2" w:space="0" w:color="000000"/>
        </w:tblBorders>
        <w:tblCellMar>
          <w:top w:w="55" w:type="dxa"/>
          <w:left w:w="55" w:type="dxa"/>
          <w:bottom w:w="55" w:type="dxa"/>
          <w:right w:w="55" w:type="dxa"/>
        </w:tblCellMar>
        <w:tblLook w:val="0000" w:firstRow="0" w:lastRow="0" w:firstColumn="0" w:lastColumn="0" w:noHBand="0" w:noVBand="0"/>
      </w:tblPr>
      <w:tblGrid>
        <w:gridCol w:w="3743"/>
        <w:gridCol w:w="5283"/>
      </w:tblGrid>
      <w:tr w:rsidR="004244F1" w14:paraId="711DBED7" w14:textId="77777777" w:rsidTr="004244F1">
        <w:tc>
          <w:tcPr>
            <w:tcW w:w="3969" w:type="dxa"/>
          </w:tcPr>
          <w:p w14:paraId="48CA5D4A" w14:textId="77777777" w:rsidR="004244F1" w:rsidRPr="009624DA" w:rsidRDefault="004244F1">
            <w:pPr>
              <w:pStyle w:val="Tablecontents"/>
            </w:pPr>
            <w:r w:rsidRPr="009624DA">
              <w:t>Common georeferencing issues</w:t>
            </w:r>
          </w:p>
        </w:tc>
        <w:tc>
          <w:tcPr>
            <w:tcW w:w="5669" w:type="dxa"/>
          </w:tcPr>
          <w:p w14:paraId="1669BA53" w14:textId="77777777" w:rsidR="004244F1" w:rsidRPr="009624DA" w:rsidRDefault="004244F1">
            <w:pPr>
              <w:pStyle w:val="Tablecontents"/>
            </w:pPr>
            <w:r w:rsidRPr="009624DA">
              <w:t>Solution</w:t>
            </w:r>
          </w:p>
        </w:tc>
      </w:tr>
      <w:tr w:rsidR="004244F1" w14:paraId="1707F88F" w14:textId="77777777" w:rsidTr="004244F1">
        <w:tc>
          <w:tcPr>
            <w:tcW w:w="3969" w:type="dxa"/>
          </w:tcPr>
          <w:p w14:paraId="1D2F4341" w14:textId="77777777" w:rsidR="004244F1" w:rsidRPr="009624DA" w:rsidRDefault="004244F1">
            <w:pPr>
              <w:pStyle w:val="Tablecontents"/>
            </w:pPr>
            <w:r w:rsidRPr="009624DA">
              <w:t>Textual description without coordinates</w:t>
            </w:r>
          </w:p>
        </w:tc>
        <w:tc>
          <w:tcPr>
            <w:tcW w:w="5669" w:type="dxa"/>
          </w:tcPr>
          <w:p w14:paraId="3933E5E9" w14:textId="77777777" w:rsidR="004244F1" w:rsidRPr="009624DA" w:rsidRDefault="004244F1">
            <w:pPr>
              <w:pStyle w:val="Tablecontents"/>
            </w:pPr>
            <w:r w:rsidRPr="009624DA">
              <w:t>Apply georeferencing methods to spatially represent the description, usually a singular point and uncertainty polygon</w:t>
            </w:r>
          </w:p>
        </w:tc>
      </w:tr>
      <w:tr w:rsidR="004244F1" w14:paraId="2D8ABF56" w14:textId="77777777" w:rsidTr="004244F1">
        <w:tc>
          <w:tcPr>
            <w:tcW w:w="3969" w:type="dxa"/>
          </w:tcPr>
          <w:p w14:paraId="27D7426B" w14:textId="77777777" w:rsidR="004244F1" w:rsidRPr="009624DA" w:rsidRDefault="004244F1">
            <w:pPr>
              <w:pStyle w:val="Tablecontents"/>
            </w:pPr>
            <w:r w:rsidRPr="009624DA">
              <w:t>Formatting and spelling inconsistency</w:t>
            </w:r>
          </w:p>
        </w:tc>
        <w:tc>
          <w:tcPr>
            <w:tcW w:w="5669" w:type="dxa"/>
          </w:tcPr>
          <w:p w14:paraId="081BCCC1" w14:textId="77777777" w:rsidR="004244F1" w:rsidRPr="009624DA" w:rsidRDefault="004244F1">
            <w:pPr>
              <w:pStyle w:val="Tablecontents"/>
            </w:pPr>
            <w:r w:rsidRPr="009624DA">
              <w:t>Using a standard gazetteer, i.e., OneMap to standardise spelling of location names</w:t>
            </w:r>
          </w:p>
        </w:tc>
      </w:tr>
      <w:tr w:rsidR="004244F1" w14:paraId="72CD87AF" w14:textId="77777777" w:rsidTr="004244F1">
        <w:tc>
          <w:tcPr>
            <w:tcW w:w="3969" w:type="dxa"/>
          </w:tcPr>
          <w:p w14:paraId="3EDB1B10" w14:textId="77777777" w:rsidR="004244F1" w:rsidRPr="009624DA" w:rsidRDefault="004244F1">
            <w:pPr>
              <w:pStyle w:val="Tablecontents"/>
            </w:pPr>
            <w:r w:rsidRPr="009624DA">
              <w:t>Outdated locality description</w:t>
            </w:r>
          </w:p>
        </w:tc>
        <w:tc>
          <w:tcPr>
            <w:tcW w:w="5669" w:type="dxa"/>
          </w:tcPr>
          <w:p w14:paraId="76A9FFF6" w14:textId="77777777" w:rsidR="004244F1" w:rsidRPr="009624DA" w:rsidRDefault="004244F1">
            <w:pPr>
              <w:pStyle w:val="Tablecontents"/>
            </w:pPr>
            <w:r w:rsidRPr="009624DA">
              <w:t>Check against old version of maps, e.g., Google Earth; consulting government agencies responsible for the locations</w:t>
            </w:r>
          </w:p>
        </w:tc>
      </w:tr>
      <w:tr w:rsidR="004244F1" w14:paraId="06DA455F" w14:textId="77777777" w:rsidTr="004244F1">
        <w:tc>
          <w:tcPr>
            <w:tcW w:w="3969" w:type="dxa"/>
            <w:tcBorders>
              <w:bottom w:val="single" w:sz="2" w:space="0" w:color="000000"/>
            </w:tcBorders>
          </w:tcPr>
          <w:p w14:paraId="51DB4693" w14:textId="77777777" w:rsidR="004244F1" w:rsidRPr="009624DA" w:rsidRDefault="004244F1">
            <w:pPr>
              <w:pStyle w:val="Tablecontents"/>
            </w:pPr>
            <w:r w:rsidRPr="009624DA">
              <w:t>Ambiguously described locations</w:t>
            </w:r>
          </w:p>
        </w:tc>
        <w:tc>
          <w:tcPr>
            <w:tcW w:w="5669" w:type="dxa"/>
            <w:tcBorders>
              <w:bottom w:val="single" w:sz="2" w:space="0" w:color="000000"/>
            </w:tcBorders>
          </w:tcPr>
          <w:p w14:paraId="642F54EF" w14:textId="77777777" w:rsidR="004244F1" w:rsidRPr="009624DA" w:rsidRDefault="004244F1">
            <w:pPr>
              <w:pStyle w:val="Tablecontents"/>
            </w:pPr>
            <w:r w:rsidRPr="009624DA">
              <w:t>Do not georeference</w:t>
            </w:r>
          </w:p>
        </w:tc>
      </w:tr>
    </w:tbl>
    <w:p w14:paraId="7EA3FA3E" w14:textId="77777777" w:rsidR="004244F1" w:rsidRDefault="004244F1"/>
    <w:p w14:paraId="6CA5898D" w14:textId="77777777" w:rsidR="00A204CF" w:rsidRDefault="00A204CF"/>
    <w:p w14:paraId="4255E25C" w14:textId="549B80B5" w:rsidR="004244F1" w:rsidRDefault="00A204CF">
      <w:r>
        <w:rPr>
          <w:smallCaps/>
        </w:rPr>
        <w:t xml:space="preserve">Supplementary </w:t>
      </w:r>
      <w:r w:rsidR="004244F1">
        <w:rPr>
          <w:smallCaps/>
        </w:rPr>
        <w:t xml:space="preserve">Table </w:t>
      </w:r>
      <w:r w:rsidR="004244F1">
        <w:t>2 Classes of locality types and their description used in this georeferencing project.</w:t>
      </w:r>
    </w:p>
    <w:tbl>
      <w:tblPr>
        <w:tblW w:w="9638" w:type="dxa"/>
        <w:tblBorders>
          <w:top w:val="single" w:sz="2" w:space="0" w:color="000000"/>
          <w:bottom w:val="single" w:sz="2" w:space="0" w:color="000000"/>
          <w:insideH w:val="single" w:sz="2" w:space="0" w:color="000000"/>
        </w:tblBorders>
        <w:tblCellMar>
          <w:top w:w="55" w:type="dxa"/>
          <w:left w:w="55" w:type="dxa"/>
          <w:bottom w:w="55" w:type="dxa"/>
          <w:right w:w="55" w:type="dxa"/>
        </w:tblCellMar>
        <w:tblLook w:val="0000" w:firstRow="0" w:lastRow="0" w:firstColumn="0" w:lastColumn="0" w:noHBand="0" w:noVBand="0"/>
      </w:tblPr>
      <w:tblGrid>
        <w:gridCol w:w="1985"/>
        <w:gridCol w:w="7653"/>
      </w:tblGrid>
      <w:tr w:rsidR="004244F1" w14:paraId="6F338FB0" w14:textId="77777777" w:rsidTr="004244F1">
        <w:tc>
          <w:tcPr>
            <w:tcW w:w="1985" w:type="dxa"/>
          </w:tcPr>
          <w:p w14:paraId="73D9B65D" w14:textId="77777777" w:rsidR="004244F1" w:rsidRPr="009624DA" w:rsidRDefault="004244F1">
            <w:pPr>
              <w:pStyle w:val="Tablecontents"/>
            </w:pPr>
            <w:r w:rsidRPr="009624DA">
              <w:t>Locality Types</w:t>
            </w:r>
          </w:p>
        </w:tc>
        <w:tc>
          <w:tcPr>
            <w:tcW w:w="7653" w:type="dxa"/>
          </w:tcPr>
          <w:p w14:paraId="023610EA" w14:textId="77777777" w:rsidR="004244F1" w:rsidRPr="009624DA" w:rsidRDefault="004244F1">
            <w:pPr>
              <w:pStyle w:val="Tablecontents"/>
            </w:pPr>
            <w:r w:rsidRPr="009624DA">
              <w:t>Description</w:t>
            </w:r>
          </w:p>
        </w:tc>
      </w:tr>
      <w:tr w:rsidR="004244F1" w14:paraId="30C54D37" w14:textId="77777777" w:rsidTr="004244F1">
        <w:tc>
          <w:tcPr>
            <w:tcW w:w="1985" w:type="dxa"/>
          </w:tcPr>
          <w:p w14:paraId="281C3300" w14:textId="77777777" w:rsidR="004244F1" w:rsidRPr="009624DA" w:rsidRDefault="004244F1">
            <w:pPr>
              <w:pStyle w:val="Tablecontents"/>
            </w:pPr>
            <w:r w:rsidRPr="009624DA">
              <w:t>Address</w:t>
            </w:r>
          </w:p>
        </w:tc>
        <w:tc>
          <w:tcPr>
            <w:tcW w:w="7653" w:type="dxa"/>
          </w:tcPr>
          <w:p w14:paraId="5CDD4C4F" w14:textId="77777777" w:rsidR="004244F1" w:rsidRPr="009624DA" w:rsidRDefault="004244F1">
            <w:pPr>
              <w:pStyle w:val="Tablecontents"/>
            </w:pPr>
            <w:r w:rsidRPr="009624DA">
              <w:t>Description contains a searchable address or feature with a determined boundary, e.g., Shuqun Primary School, Lorong Rusuk bus stop no. 34109, 100 Upper Jurong Road, Labrador Nature Park</w:t>
            </w:r>
          </w:p>
        </w:tc>
      </w:tr>
      <w:tr w:rsidR="004244F1" w14:paraId="19405C1F" w14:textId="77777777" w:rsidTr="004244F1">
        <w:tc>
          <w:tcPr>
            <w:tcW w:w="1985" w:type="dxa"/>
          </w:tcPr>
          <w:p w14:paraId="1C2FFAA5" w14:textId="77777777" w:rsidR="004244F1" w:rsidRPr="009624DA" w:rsidRDefault="004244F1">
            <w:pPr>
              <w:pStyle w:val="Tablecontents"/>
            </w:pPr>
            <w:r w:rsidRPr="009624DA">
              <w:t>Area</w:t>
            </w:r>
          </w:p>
        </w:tc>
        <w:tc>
          <w:tcPr>
            <w:tcW w:w="7653" w:type="dxa"/>
          </w:tcPr>
          <w:p w14:paraId="77AF403D" w14:textId="77777777" w:rsidR="004244F1" w:rsidRPr="009624DA" w:rsidRDefault="004244F1">
            <w:pPr>
              <w:pStyle w:val="Tablecontents"/>
            </w:pPr>
            <w:r w:rsidRPr="009624DA">
              <w:t>Descriptions containing a general location, e.g., Choa Chu Kang, Woodlands</w:t>
            </w:r>
          </w:p>
        </w:tc>
      </w:tr>
      <w:tr w:rsidR="004244F1" w14:paraId="3AFACD01" w14:textId="77777777" w:rsidTr="004244F1">
        <w:tc>
          <w:tcPr>
            <w:tcW w:w="1985" w:type="dxa"/>
          </w:tcPr>
          <w:p w14:paraId="551AE3C2" w14:textId="77777777" w:rsidR="004244F1" w:rsidRPr="009624DA" w:rsidRDefault="004244F1">
            <w:pPr>
              <w:pStyle w:val="Tablecontents"/>
            </w:pPr>
            <w:r w:rsidRPr="009624DA">
              <w:t>Coordinates</w:t>
            </w:r>
          </w:p>
        </w:tc>
        <w:tc>
          <w:tcPr>
            <w:tcW w:w="7653" w:type="dxa"/>
          </w:tcPr>
          <w:p w14:paraId="03A062CC" w14:textId="77777777" w:rsidR="004244F1" w:rsidRPr="009624DA" w:rsidRDefault="004244F1">
            <w:pPr>
              <w:pStyle w:val="Tablecontents"/>
            </w:pPr>
            <w:r w:rsidRPr="009624DA">
              <w:t>The locality description contains coordinates in any format</w:t>
            </w:r>
          </w:p>
        </w:tc>
      </w:tr>
      <w:tr w:rsidR="004244F1" w14:paraId="1A75173F" w14:textId="77777777" w:rsidTr="004244F1">
        <w:tc>
          <w:tcPr>
            <w:tcW w:w="1985" w:type="dxa"/>
            <w:tcBorders>
              <w:bottom w:val="single" w:sz="2" w:space="0" w:color="000000"/>
            </w:tcBorders>
          </w:tcPr>
          <w:p w14:paraId="42976F3D" w14:textId="77777777" w:rsidR="004244F1" w:rsidRPr="009624DA" w:rsidRDefault="004244F1">
            <w:pPr>
              <w:pStyle w:val="Tablecontents"/>
            </w:pPr>
            <w:r w:rsidRPr="009624DA">
              <w:t>Lamppost</w:t>
            </w:r>
          </w:p>
        </w:tc>
        <w:tc>
          <w:tcPr>
            <w:tcW w:w="7653" w:type="dxa"/>
            <w:tcBorders>
              <w:bottom w:val="single" w:sz="2" w:space="0" w:color="000000"/>
            </w:tcBorders>
          </w:tcPr>
          <w:p w14:paraId="469342C3" w14:textId="77777777" w:rsidR="004244F1" w:rsidRPr="009624DA" w:rsidRDefault="004244F1">
            <w:pPr>
              <w:pStyle w:val="Tablecontents"/>
            </w:pPr>
            <w:r w:rsidRPr="009624DA">
              <w:t>Description contains a lamppost number on a road, e.g., at lamppost 54, first lane towards MacRitchie Reservoir Park</w:t>
            </w:r>
          </w:p>
        </w:tc>
      </w:tr>
      <w:tr w:rsidR="004244F1" w14:paraId="38D09797" w14:textId="77777777" w:rsidTr="004244F1">
        <w:tc>
          <w:tcPr>
            <w:tcW w:w="1985" w:type="dxa"/>
            <w:tcBorders>
              <w:bottom w:val="single" w:sz="2" w:space="0" w:color="000000"/>
            </w:tcBorders>
          </w:tcPr>
          <w:p w14:paraId="19098EA7" w14:textId="77777777" w:rsidR="004244F1" w:rsidRPr="009624DA" w:rsidRDefault="004244F1">
            <w:pPr>
              <w:pStyle w:val="Tablecontents"/>
            </w:pPr>
            <w:r w:rsidRPr="009624DA">
              <w:t>Road</w:t>
            </w:r>
          </w:p>
        </w:tc>
        <w:tc>
          <w:tcPr>
            <w:tcW w:w="7653" w:type="dxa"/>
            <w:tcBorders>
              <w:bottom w:val="single" w:sz="2" w:space="0" w:color="000000"/>
            </w:tcBorders>
          </w:tcPr>
          <w:p w14:paraId="1EB24A14" w14:textId="77777777" w:rsidR="004244F1" w:rsidRPr="009624DA" w:rsidRDefault="004244F1">
            <w:pPr>
              <w:pStyle w:val="Tablecontents"/>
            </w:pPr>
            <w:r w:rsidRPr="009624DA">
              <w:t>Description contains only road names, e.g., Mandai Road, Sembawang Road area</w:t>
            </w:r>
          </w:p>
        </w:tc>
      </w:tr>
      <w:tr w:rsidR="004244F1" w14:paraId="64627B04" w14:textId="77777777" w:rsidTr="004244F1">
        <w:tc>
          <w:tcPr>
            <w:tcW w:w="1985" w:type="dxa"/>
            <w:tcBorders>
              <w:bottom w:val="single" w:sz="2" w:space="0" w:color="000000"/>
            </w:tcBorders>
          </w:tcPr>
          <w:p w14:paraId="355449C8" w14:textId="77777777" w:rsidR="004244F1" w:rsidRPr="009624DA" w:rsidRDefault="004244F1">
            <w:pPr>
              <w:pStyle w:val="Tablecontents"/>
            </w:pPr>
            <w:r w:rsidRPr="009624DA">
              <w:t>Road Junction</w:t>
            </w:r>
          </w:p>
        </w:tc>
        <w:tc>
          <w:tcPr>
            <w:tcW w:w="7653" w:type="dxa"/>
            <w:tcBorders>
              <w:bottom w:val="single" w:sz="2" w:space="0" w:color="000000"/>
            </w:tcBorders>
          </w:tcPr>
          <w:p w14:paraId="7D9F53E5" w14:textId="77777777" w:rsidR="004244F1" w:rsidRPr="009624DA" w:rsidRDefault="004244F1">
            <w:pPr>
              <w:pStyle w:val="Tablecontents"/>
            </w:pPr>
            <w:r w:rsidRPr="009624DA">
              <w:t>Description contains mentions of a crossing, junction, intersection or other terms related to an intersection of two or more paths, e.g., Lornie Road at the entrance of Sime Road, Upper Thomson Road opposite Tagore Drive</w:t>
            </w:r>
          </w:p>
        </w:tc>
      </w:tr>
      <w:tr w:rsidR="004244F1" w14:paraId="01634875" w14:textId="77777777" w:rsidTr="004244F1">
        <w:tc>
          <w:tcPr>
            <w:tcW w:w="1985" w:type="dxa"/>
            <w:tcBorders>
              <w:bottom w:val="single" w:sz="2" w:space="0" w:color="000000"/>
            </w:tcBorders>
          </w:tcPr>
          <w:p w14:paraId="311627FD" w14:textId="77777777" w:rsidR="004244F1" w:rsidRPr="009624DA" w:rsidRDefault="004244F1">
            <w:pPr>
              <w:pStyle w:val="Tablecontents"/>
            </w:pPr>
            <w:r w:rsidRPr="009624DA">
              <w:t>Road Section</w:t>
            </w:r>
          </w:p>
        </w:tc>
        <w:tc>
          <w:tcPr>
            <w:tcW w:w="7653" w:type="dxa"/>
            <w:tcBorders>
              <w:bottom w:val="single" w:sz="2" w:space="0" w:color="000000"/>
            </w:tcBorders>
          </w:tcPr>
          <w:p w14:paraId="3A08DF17" w14:textId="77777777" w:rsidR="004244F1" w:rsidRPr="009624DA" w:rsidRDefault="004244F1">
            <w:pPr>
              <w:pStyle w:val="Tablecontents"/>
            </w:pPr>
            <w:r w:rsidRPr="009624DA">
              <w:t>Description containing a road between two points or a road and an adjacent feature, e.g., vicinity of Punggol towards Central Expressway between lampposts 650 and 694</w:t>
            </w:r>
          </w:p>
        </w:tc>
      </w:tr>
    </w:tbl>
    <w:p w14:paraId="58DF4E79" w14:textId="77777777" w:rsidR="004244F1" w:rsidRDefault="004244F1"/>
    <w:p w14:paraId="09D26AFA" w14:textId="77777777" w:rsidR="004244F1" w:rsidRDefault="004244F1"/>
    <w:p w14:paraId="75A4205B" w14:textId="77777777" w:rsidR="00A204CF" w:rsidRDefault="00A204CF">
      <w:pPr>
        <w:rPr>
          <w:smallCaps/>
        </w:rPr>
      </w:pPr>
      <w:r>
        <w:rPr>
          <w:smallCaps/>
        </w:rPr>
        <w:br w:type="page"/>
      </w:r>
    </w:p>
    <w:p w14:paraId="57823C59" w14:textId="0E500C6F" w:rsidR="002F238A" w:rsidRDefault="00A204CF" w:rsidP="00E33E99">
      <w:pPr>
        <w:pStyle w:val="Table"/>
        <w:spacing w:line="240" w:lineRule="auto"/>
      </w:pPr>
      <w:r>
        <w:rPr>
          <w:smallCaps/>
        </w:rPr>
        <w:lastRenderedPageBreak/>
        <w:t xml:space="preserve">Supplementary </w:t>
      </w:r>
      <w:r w:rsidR="002F238A">
        <w:rPr>
          <w:smallCaps/>
        </w:rPr>
        <w:t xml:space="preserve">Table </w:t>
      </w:r>
      <w:r>
        <w:rPr>
          <w:smallCaps/>
        </w:rPr>
        <w:t>3</w:t>
      </w:r>
      <w:r w:rsidR="002F238A">
        <w:t xml:space="preserve"> </w:t>
      </w:r>
      <w:r w:rsidR="003614A7" w:rsidRPr="003614A7">
        <w:t>Summary of compiled Sunda pangolin records from Singapore from 2011 to June 2021.</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1710"/>
        <w:gridCol w:w="1770"/>
        <w:gridCol w:w="1785"/>
        <w:gridCol w:w="1800"/>
        <w:gridCol w:w="1800"/>
      </w:tblGrid>
      <w:tr w:rsidR="003614A7" w:rsidRPr="003614A7" w14:paraId="5753CAE0" w14:textId="77777777" w:rsidTr="004244F1">
        <w:trPr>
          <w:trHeight w:val="170"/>
        </w:trPr>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B68D7" w14:textId="77777777" w:rsidR="003614A7" w:rsidRPr="003614A7" w:rsidRDefault="003614A7">
            <w:pPr>
              <w:pStyle w:val="Table"/>
              <w:spacing w:line="240" w:lineRule="auto"/>
            </w:pPr>
            <w:r w:rsidRPr="003614A7">
              <w:t>Year</w:t>
            </w:r>
          </w:p>
        </w:tc>
        <w:tc>
          <w:tcPr>
            <w:tcW w:w="1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E1B800" w14:textId="77777777" w:rsidR="003614A7" w:rsidRPr="003614A7" w:rsidRDefault="003614A7">
            <w:pPr>
              <w:pStyle w:val="Table"/>
              <w:spacing w:line="240" w:lineRule="auto"/>
            </w:pPr>
            <w:r w:rsidRPr="003614A7">
              <w:t>Rescues</w:t>
            </w:r>
          </w:p>
        </w:tc>
        <w:tc>
          <w:tcPr>
            <w:tcW w:w="17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5CC52B" w14:textId="77777777" w:rsidR="003614A7" w:rsidRPr="003614A7" w:rsidRDefault="003614A7">
            <w:pPr>
              <w:pStyle w:val="Table"/>
              <w:spacing w:line="240" w:lineRule="auto"/>
            </w:pPr>
            <w:r w:rsidRPr="003614A7">
              <w:t>Roadkills</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04F57C" w14:textId="77777777" w:rsidR="003614A7" w:rsidRPr="003614A7" w:rsidRDefault="003614A7">
            <w:pPr>
              <w:pStyle w:val="Table"/>
              <w:spacing w:line="240" w:lineRule="auto"/>
            </w:pPr>
            <w:r w:rsidRPr="003614A7">
              <w:t>Sightings</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4A816B" w14:textId="77777777" w:rsidR="003614A7" w:rsidRPr="003614A7" w:rsidRDefault="003614A7">
            <w:pPr>
              <w:pStyle w:val="Table"/>
              <w:spacing w:line="240" w:lineRule="auto"/>
            </w:pPr>
            <w:r w:rsidRPr="003614A7">
              <w:t>Total</w:t>
            </w:r>
          </w:p>
        </w:tc>
      </w:tr>
      <w:tr w:rsidR="003614A7" w:rsidRPr="003614A7" w14:paraId="0521241F" w14:textId="77777777" w:rsidTr="004244F1">
        <w:trPr>
          <w:trHeight w:val="170"/>
        </w:trPr>
        <w:tc>
          <w:tcPr>
            <w:tcW w:w="1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9AC785" w14:textId="77777777" w:rsidR="003614A7" w:rsidRPr="003614A7" w:rsidRDefault="003614A7">
            <w:pPr>
              <w:pStyle w:val="Table"/>
              <w:spacing w:line="240" w:lineRule="auto"/>
            </w:pPr>
            <w:r w:rsidRPr="003614A7">
              <w:t>2011</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00E5127C" w14:textId="77777777" w:rsidR="003614A7" w:rsidRPr="003614A7" w:rsidRDefault="003614A7">
            <w:pPr>
              <w:pStyle w:val="Table"/>
              <w:spacing w:line="240" w:lineRule="auto"/>
            </w:pPr>
            <w:r w:rsidRPr="003614A7">
              <w:t>5</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14:paraId="6F02D85D" w14:textId="77777777" w:rsidR="003614A7" w:rsidRPr="003614A7" w:rsidRDefault="003614A7">
            <w:pPr>
              <w:pStyle w:val="Table"/>
              <w:spacing w:line="240" w:lineRule="auto"/>
            </w:pPr>
            <w:r w:rsidRPr="003614A7">
              <w:t>4</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5B336644" w14:textId="77777777" w:rsidR="003614A7" w:rsidRPr="003614A7" w:rsidRDefault="003614A7">
            <w:pPr>
              <w:pStyle w:val="Table"/>
              <w:spacing w:line="240" w:lineRule="auto"/>
            </w:pPr>
            <w:r w:rsidRPr="003614A7">
              <w:t>6</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5DE71518" w14:textId="77777777" w:rsidR="003614A7" w:rsidRPr="003614A7" w:rsidRDefault="003614A7">
            <w:pPr>
              <w:pStyle w:val="Table"/>
              <w:spacing w:line="240" w:lineRule="auto"/>
            </w:pPr>
            <w:r w:rsidRPr="003614A7">
              <w:t>15</w:t>
            </w:r>
          </w:p>
        </w:tc>
      </w:tr>
      <w:tr w:rsidR="003614A7" w:rsidRPr="003614A7" w14:paraId="6A27036B" w14:textId="77777777" w:rsidTr="004244F1">
        <w:trPr>
          <w:trHeight w:val="170"/>
        </w:trPr>
        <w:tc>
          <w:tcPr>
            <w:tcW w:w="1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736A0A" w14:textId="77777777" w:rsidR="003614A7" w:rsidRPr="003614A7" w:rsidRDefault="003614A7">
            <w:pPr>
              <w:pStyle w:val="Table"/>
              <w:spacing w:line="240" w:lineRule="auto"/>
            </w:pPr>
            <w:r w:rsidRPr="003614A7">
              <w:t>2012</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5DB7E4FC" w14:textId="77777777" w:rsidR="003614A7" w:rsidRPr="003614A7" w:rsidRDefault="003614A7">
            <w:pPr>
              <w:pStyle w:val="Table"/>
              <w:spacing w:line="240" w:lineRule="auto"/>
            </w:pPr>
            <w:r w:rsidRPr="003614A7">
              <w:t>18</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14:paraId="72D89234" w14:textId="77777777" w:rsidR="003614A7" w:rsidRPr="003614A7" w:rsidRDefault="003614A7">
            <w:pPr>
              <w:pStyle w:val="Table"/>
              <w:spacing w:line="240" w:lineRule="auto"/>
            </w:pPr>
            <w:r w:rsidRPr="003614A7">
              <w:t>3</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796DBBFD" w14:textId="77777777" w:rsidR="003614A7" w:rsidRPr="003614A7" w:rsidRDefault="003614A7">
            <w:pPr>
              <w:pStyle w:val="Table"/>
              <w:spacing w:line="240" w:lineRule="auto"/>
            </w:pPr>
            <w:r w:rsidRPr="003614A7">
              <w:t>7</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1D1D6B8" w14:textId="77777777" w:rsidR="003614A7" w:rsidRPr="003614A7" w:rsidRDefault="003614A7">
            <w:pPr>
              <w:pStyle w:val="Table"/>
              <w:spacing w:line="240" w:lineRule="auto"/>
            </w:pPr>
            <w:r w:rsidRPr="003614A7">
              <w:t>28</w:t>
            </w:r>
          </w:p>
        </w:tc>
      </w:tr>
      <w:tr w:rsidR="003614A7" w:rsidRPr="003614A7" w14:paraId="01A858B0" w14:textId="77777777" w:rsidTr="004244F1">
        <w:trPr>
          <w:trHeight w:val="170"/>
        </w:trPr>
        <w:tc>
          <w:tcPr>
            <w:tcW w:w="1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B1103" w14:textId="77777777" w:rsidR="003614A7" w:rsidRPr="003614A7" w:rsidRDefault="003614A7">
            <w:pPr>
              <w:pStyle w:val="Table"/>
              <w:spacing w:line="240" w:lineRule="auto"/>
            </w:pPr>
            <w:r w:rsidRPr="003614A7">
              <w:t>2013</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24889B93" w14:textId="77777777" w:rsidR="003614A7" w:rsidRPr="003614A7" w:rsidRDefault="003614A7">
            <w:pPr>
              <w:pStyle w:val="Table"/>
              <w:spacing w:line="240" w:lineRule="auto"/>
            </w:pPr>
            <w:r w:rsidRPr="003614A7">
              <w:t>7</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14:paraId="27C51711" w14:textId="77777777" w:rsidR="003614A7" w:rsidRPr="003614A7" w:rsidRDefault="003614A7">
            <w:pPr>
              <w:pStyle w:val="Table"/>
              <w:spacing w:line="240" w:lineRule="auto"/>
            </w:pPr>
            <w:r w:rsidRPr="003614A7">
              <w:t>4</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4F12B7A6" w14:textId="77777777" w:rsidR="003614A7" w:rsidRPr="003614A7" w:rsidRDefault="003614A7">
            <w:pPr>
              <w:pStyle w:val="Table"/>
              <w:spacing w:line="240" w:lineRule="auto"/>
            </w:pPr>
            <w:r w:rsidRPr="003614A7">
              <w:t>6</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1C1C384B" w14:textId="77777777" w:rsidR="003614A7" w:rsidRPr="003614A7" w:rsidRDefault="003614A7">
            <w:pPr>
              <w:pStyle w:val="Table"/>
              <w:spacing w:line="240" w:lineRule="auto"/>
            </w:pPr>
            <w:r w:rsidRPr="003614A7">
              <w:t>17</w:t>
            </w:r>
          </w:p>
        </w:tc>
      </w:tr>
      <w:tr w:rsidR="003614A7" w:rsidRPr="003614A7" w14:paraId="69235181" w14:textId="77777777" w:rsidTr="004244F1">
        <w:trPr>
          <w:trHeight w:val="170"/>
        </w:trPr>
        <w:tc>
          <w:tcPr>
            <w:tcW w:w="1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5EF755" w14:textId="77777777" w:rsidR="003614A7" w:rsidRPr="003614A7" w:rsidRDefault="003614A7">
            <w:pPr>
              <w:pStyle w:val="Table"/>
              <w:spacing w:line="240" w:lineRule="auto"/>
            </w:pPr>
            <w:r w:rsidRPr="003614A7">
              <w:t>2014</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004355D8" w14:textId="77777777" w:rsidR="003614A7" w:rsidRPr="003614A7" w:rsidRDefault="003614A7">
            <w:pPr>
              <w:pStyle w:val="Table"/>
              <w:spacing w:line="240" w:lineRule="auto"/>
            </w:pPr>
            <w:r w:rsidRPr="003614A7">
              <w:t>16</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14:paraId="3240F5E8" w14:textId="77777777" w:rsidR="003614A7" w:rsidRPr="003614A7" w:rsidRDefault="003614A7">
            <w:pPr>
              <w:pStyle w:val="Table"/>
              <w:spacing w:line="240" w:lineRule="auto"/>
            </w:pPr>
            <w:r w:rsidRPr="003614A7">
              <w:t>4</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1268A7C" w14:textId="77777777" w:rsidR="003614A7" w:rsidRPr="003614A7" w:rsidRDefault="003614A7">
            <w:pPr>
              <w:pStyle w:val="Table"/>
              <w:spacing w:line="240" w:lineRule="auto"/>
            </w:pPr>
            <w:r w:rsidRPr="003614A7">
              <w:t>9</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3E9B5BF3" w14:textId="77777777" w:rsidR="003614A7" w:rsidRPr="003614A7" w:rsidRDefault="003614A7">
            <w:pPr>
              <w:pStyle w:val="Table"/>
              <w:spacing w:line="240" w:lineRule="auto"/>
            </w:pPr>
            <w:r w:rsidRPr="003614A7">
              <w:t>29</w:t>
            </w:r>
          </w:p>
        </w:tc>
      </w:tr>
      <w:tr w:rsidR="003614A7" w:rsidRPr="003614A7" w14:paraId="4D7A60DD" w14:textId="77777777" w:rsidTr="004244F1">
        <w:trPr>
          <w:trHeight w:val="170"/>
        </w:trPr>
        <w:tc>
          <w:tcPr>
            <w:tcW w:w="1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FAB5DB" w14:textId="77777777" w:rsidR="003614A7" w:rsidRPr="003614A7" w:rsidRDefault="003614A7">
            <w:pPr>
              <w:pStyle w:val="Table"/>
              <w:spacing w:line="240" w:lineRule="auto"/>
            </w:pPr>
            <w:r w:rsidRPr="003614A7">
              <w:t>2015</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4F1F4CED" w14:textId="77777777" w:rsidR="003614A7" w:rsidRPr="003614A7" w:rsidRDefault="003614A7">
            <w:pPr>
              <w:pStyle w:val="Table"/>
              <w:spacing w:line="240" w:lineRule="auto"/>
            </w:pPr>
            <w:r w:rsidRPr="003614A7">
              <w:t>24</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14:paraId="7ED70D0A" w14:textId="77777777" w:rsidR="003614A7" w:rsidRPr="003614A7" w:rsidRDefault="003614A7">
            <w:pPr>
              <w:pStyle w:val="Table"/>
              <w:spacing w:line="240" w:lineRule="auto"/>
            </w:pPr>
            <w:r w:rsidRPr="003614A7">
              <w:t>6</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1B1C3CE2" w14:textId="77777777" w:rsidR="003614A7" w:rsidRPr="003614A7" w:rsidRDefault="003614A7">
            <w:pPr>
              <w:pStyle w:val="Table"/>
              <w:spacing w:line="240" w:lineRule="auto"/>
            </w:pPr>
            <w:r w:rsidRPr="003614A7">
              <w:t>19</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25587482" w14:textId="77777777" w:rsidR="003614A7" w:rsidRPr="003614A7" w:rsidRDefault="003614A7">
            <w:pPr>
              <w:pStyle w:val="Table"/>
              <w:spacing w:line="240" w:lineRule="auto"/>
            </w:pPr>
            <w:r w:rsidRPr="003614A7">
              <w:t>49</w:t>
            </w:r>
          </w:p>
        </w:tc>
      </w:tr>
      <w:tr w:rsidR="003614A7" w:rsidRPr="003614A7" w14:paraId="6C6B9929" w14:textId="77777777" w:rsidTr="004244F1">
        <w:trPr>
          <w:trHeight w:val="170"/>
        </w:trPr>
        <w:tc>
          <w:tcPr>
            <w:tcW w:w="1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E2DC9E" w14:textId="77777777" w:rsidR="003614A7" w:rsidRPr="003614A7" w:rsidRDefault="003614A7">
            <w:pPr>
              <w:pStyle w:val="Table"/>
              <w:spacing w:line="240" w:lineRule="auto"/>
            </w:pPr>
            <w:r w:rsidRPr="003614A7">
              <w:t>2016</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1C368D8A" w14:textId="77777777" w:rsidR="003614A7" w:rsidRPr="003614A7" w:rsidRDefault="003614A7">
            <w:pPr>
              <w:pStyle w:val="Table"/>
              <w:spacing w:line="240" w:lineRule="auto"/>
            </w:pPr>
            <w:r w:rsidRPr="003614A7">
              <w:t>24</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14:paraId="73E0AF96" w14:textId="77777777" w:rsidR="003614A7" w:rsidRPr="003614A7" w:rsidRDefault="003614A7">
            <w:pPr>
              <w:pStyle w:val="Table"/>
              <w:spacing w:line="240" w:lineRule="auto"/>
            </w:pPr>
            <w:r w:rsidRPr="003614A7">
              <w:t>6</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DBD0023" w14:textId="77777777" w:rsidR="003614A7" w:rsidRPr="003614A7" w:rsidRDefault="003614A7">
            <w:pPr>
              <w:pStyle w:val="Table"/>
              <w:spacing w:line="240" w:lineRule="auto"/>
            </w:pPr>
            <w:r w:rsidRPr="003614A7">
              <w:t>26</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26BAEEE5" w14:textId="77777777" w:rsidR="003614A7" w:rsidRPr="003614A7" w:rsidRDefault="003614A7">
            <w:pPr>
              <w:pStyle w:val="Table"/>
              <w:spacing w:line="240" w:lineRule="auto"/>
            </w:pPr>
            <w:r w:rsidRPr="003614A7">
              <w:t>56</w:t>
            </w:r>
          </w:p>
        </w:tc>
      </w:tr>
      <w:tr w:rsidR="003614A7" w:rsidRPr="003614A7" w14:paraId="3B050346" w14:textId="77777777" w:rsidTr="004244F1">
        <w:trPr>
          <w:trHeight w:val="170"/>
        </w:trPr>
        <w:tc>
          <w:tcPr>
            <w:tcW w:w="1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DFAF27" w14:textId="77777777" w:rsidR="003614A7" w:rsidRPr="003614A7" w:rsidRDefault="003614A7">
            <w:pPr>
              <w:pStyle w:val="Table"/>
              <w:spacing w:line="240" w:lineRule="auto"/>
            </w:pPr>
            <w:r w:rsidRPr="003614A7">
              <w:t>2017</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7E4F75B5" w14:textId="77777777" w:rsidR="003614A7" w:rsidRPr="003614A7" w:rsidRDefault="003614A7">
            <w:pPr>
              <w:pStyle w:val="Table"/>
              <w:spacing w:line="240" w:lineRule="auto"/>
            </w:pPr>
            <w:r w:rsidRPr="003614A7">
              <w:t>21</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14:paraId="49639B69" w14:textId="77777777" w:rsidR="003614A7" w:rsidRPr="003614A7" w:rsidRDefault="003614A7">
            <w:pPr>
              <w:pStyle w:val="Table"/>
              <w:spacing w:line="240" w:lineRule="auto"/>
            </w:pPr>
            <w:r w:rsidRPr="003614A7">
              <w:t>12</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D4DF253" w14:textId="77777777" w:rsidR="003614A7" w:rsidRPr="003614A7" w:rsidRDefault="003614A7">
            <w:pPr>
              <w:pStyle w:val="Table"/>
              <w:spacing w:line="240" w:lineRule="auto"/>
            </w:pPr>
            <w:r w:rsidRPr="003614A7">
              <w:t>21</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2561234" w14:textId="77777777" w:rsidR="003614A7" w:rsidRPr="003614A7" w:rsidRDefault="003614A7">
            <w:pPr>
              <w:pStyle w:val="Table"/>
              <w:spacing w:line="240" w:lineRule="auto"/>
            </w:pPr>
            <w:r w:rsidRPr="003614A7">
              <w:t>54</w:t>
            </w:r>
          </w:p>
        </w:tc>
      </w:tr>
      <w:tr w:rsidR="003614A7" w:rsidRPr="003614A7" w14:paraId="08527535" w14:textId="77777777" w:rsidTr="004244F1">
        <w:trPr>
          <w:trHeight w:val="170"/>
        </w:trPr>
        <w:tc>
          <w:tcPr>
            <w:tcW w:w="1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5B589E" w14:textId="77777777" w:rsidR="003614A7" w:rsidRPr="003614A7" w:rsidRDefault="003614A7">
            <w:pPr>
              <w:pStyle w:val="Table"/>
              <w:spacing w:line="240" w:lineRule="auto"/>
            </w:pPr>
            <w:r w:rsidRPr="003614A7">
              <w:t>2018</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2D637B1E" w14:textId="77777777" w:rsidR="003614A7" w:rsidRPr="003614A7" w:rsidRDefault="003614A7">
            <w:pPr>
              <w:pStyle w:val="Table"/>
              <w:spacing w:line="240" w:lineRule="auto"/>
            </w:pPr>
            <w:r w:rsidRPr="003614A7">
              <w:t>28</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14:paraId="5C76FFF2" w14:textId="77777777" w:rsidR="003614A7" w:rsidRPr="003614A7" w:rsidRDefault="003614A7">
            <w:pPr>
              <w:pStyle w:val="Table"/>
              <w:spacing w:line="240" w:lineRule="auto"/>
            </w:pPr>
            <w:r w:rsidRPr="003614A7">
              <w:t>8</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5C45BCC8" w14:textId="77777777" w:rsidR="003614A7" w:rsidRPr="003614A7" w:rsidRDefault="003614A7">
            <w:pPr>
              <w:pStyle w:val="Table"/>
              <w:spacing w:line="240" w:lineRule="auto"/>
            </w:pPr>
            <w:r w:rsidRPr="003614A7">
              <w:t>14</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7A6824A3" w14:textId="77777777" w:rsidR="003614A7" w:rsidRPr="003614A7" w:rsidRDefault="003614A7">
            <w:pPr>
              <w:pStyle w:val="Table"/>
              <w:spacing w:line="240" w:lineRule="auto"/>
            </w:pPr>
            <w:r w:rsidRPr="003614A7">
              <w:t>50</w:t>
            </w:r>
          </w:p>
        </w:tc>
      </w:tr>
      <w:tr w:rsidR="003614A7" w:rsidRPr="003614A7" w14:paraId="27694285" w14:textId="77777777" w:rsidTr="004244F1">
        <w:trPr>
          <w:trHeight w:val="170"/>
        </w:trPr>
        <w:tc>
          <w:tcPr>
            <w:tcW w:w="1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672C9F" w14:textId="77777777" w:rsidR="003614A7" w:rsidRPr="003614A7" w:rsidRDefault="003614A7">
            <w:pPr>
              <w:pStyle w:val="Table"/>
              <w:spacing w:line="240" w:lineRule="auto"/>
            </w:pPr>
            <w:r w:rsidRPr="003614A7">
              <w:t>2019</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3727BCB5" w14:textId="77777777" w:rsidR="003614A7" w:rsidRPr="003614A7" w:rsidRDefault="003614A7">
            <w:pPr>
              <w:pStyle w:val="Table"/>
              <w:spacing w:line="240" w:lineRule="auto"/>
            </w:pPr>
            <w:r w:rsidRPr="003614A7">
              <w:t>23</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14:paraId="0A7F49A5" w14:textId="77777777" w:rsidR="003614A7" w:rsidRPr="003614A7" w:rsidRDefault="003614A7">
            <w:pPr>
              <w:pStyle w:val="Table"/>
              <w:spacing w:line="240" w:lineRule="auto"/>
            </w:pPr>
            <w:r w:rsidRPr="003614A7">
              <w:t>9</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5038E2E8" w14:textId="77777777" w:rsidR="003614A7" w:rsidRPr="003614A7" w:rsidRDefault="003614A7">
            <w:pPr>
              <w:pStyle w:val="Table"/>
              <w:spacing w:line="240" w:lineRule="auto"/>
            </w:pPr>
            <w:r w:rsidRPr="003614A7">
              <w:t>10</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3165BF51" w14:textId="77777777" w:rsidR="003614A7" w:rsidRPr="003614A7" w:rsidRDefault="003614A7">
            <w:pPr>
              <w:pStyle w:val="Table"/>
              <w:spacing w:line="240" w:lineRule="auto"/>
            </w:pPr>
            <w:r w:rsidRPr="003614A7">
              <w:t>42</w:t>
            </w:r>
          </w:p>
        </w:tc>
      </w:tr>
      <w:tr w:rsidR="003614A7" w:rsidRPr="003614A7" w14:paraId="777AB1A3" w14:textId="77777777" w:rsidTr="004244F1">
        <w:trPr>
          <w:trHeight w:val="170"/>
        </w:trPr>
        <w:tc>
          <w:tcPr>
            <w:tcW w:w="1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29B5B9" w14:textId="77777777" w:rsidR="003614A7" w:rsidRPr="003614A7" w:rsidRDefault="003614A7">
            <w:pPr>
              <w:pStyle w:val="Table"/>
              <w:spacing w:line="240" w:lineRule="auto"/>
            </w:pPr>
            <w:r w:rsidRPr="003614A7">
              <w:t>2020</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372D1FAC" w14:textId="77777777" w:rsidR="003614A7" w:rsidRPr="003614A7" w:rsidRDefault="003614A7">
            <w:pPr>
              <w:pStyle w:val="Table"/>
              <w:spacing w:line="240" w:lineRule="auto"/>
            </w:pPr>
            <w:r w:rsidRPr="003614A7">
              <w:t>11</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14:paraId="5924DC6E" w14:textId="77777777" w:rsidR="003614A7" w:rsidRPr="003614A7" w:rsidRDefault="003614A7">
            <w:pPr>
              <w:pStyle w:val="Table"/>
              <w:spacing w:line="240" w:lineRule="auto"/>
            </w:pPr>
            <w:r w:rsidRPr="003614A7">
              <w:t>9</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762944B8" w14:textId="77777777" w:rsidR="003614A7" w:rsidRPr="003614A7" w:rsidRDefault="003614A7">
            <w:pPr>
              <w:pStyle w:val="Table"/>
              <w:spacing w:line="240" w:lineRule="auto"/>
            </w:pPr>
            <w:r w:rsidRPr="003614A7">
              <w:t>19</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283E421A" w14:textId="77777777" w:rsidR="003614A7" w:rsidRPr="003614A7" w:rsidRDefault="003614A7">
            <w:pPr>
              <w:pStyle w:val="Table"/>
              <w:spacing w:line="240" w:lineRule="auto"/>
            </w:pPr>
            <w:r w:rsidRPr="003614A7">
              <w:t>39</w:t>
            </w:r>
          </w:p>
        </w:tc>
      </w:tr>
      <w:tr w:rsidR="003614A7" w:rsidRPr="003614A7" w14:paraId="4E8FB467" w14:textId="77777777" w:rsidTr="004244F1">
        <w:trPr>
          <w:trHeight w:val="280"/>
        </w:trPr>
        <w:tc>
          <w:tcPr>
            <w:tcW w:w="1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FDC462" w14:textId="77777777" w:rsidR="003614A7" w:rsidRPr="003614A7" w:rsidRDefault="003614A7">
            <w:pPr>
              <w:pStyle w:val="Table"/>
              <w:spacing w:line="240" w:lineRule="auto"/>
            </w:pPr>
            <w:r w:rsidRPr="003614A7">
              <w:t>2021 (to end June)</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7A63BB57" w14:textId="77777777" w:rsidR="003614A7" w:rsidRPr="003614A7" w:rsidRDefault="003614A7">
            <w:pPr>
              <w:pStyle w:val="Table"/>
              <w:spacing w:line="240" w:lineRule="auto"/>
            </w:pPr>
            <w:r w:rsidRPr="003614A7">
              <w:t>12</w:t>
            </w:r>
          </w:p>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14:paraId="5F16ED58" w14:textId="77777777" w:rsidR="003614A7" w:rsidRPr="003614A7" w:rsidRDefault="003614A7">
            <w:pPr>
              <w:pStyle w:val="Table"/>
              <w:spacing w:line="240" w:lineRule="auto"/>
            </w:pPr>
            <w:r w:rsidRPr="003614A7">
              <w:t>10</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D9C22D0" w14:textId="77777777" w:rsidR="003614A7" w:rsidRPr="003614A7" w:rsidRDefault="003614A7">
            <w:pPr>
              <w:pStyle w:val="Table"/>
              <w:spacing w:line="240" w:lineRule="auto"/>
            </w:pPr>
            <w:r w:rsidRPr="003614A7">
              <w:t>3</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39F030DF" w14:textId="77777777" w:rsidR="003614A7" w:rsidRPr="003614A7" w:rsidRDefault="003614A7">
            <w:pPr>
              <w:pStyle w:val="Table"/>
              <w:spacing w:line="240" w:lineRule="auto"/>
            </w:pPr>
            <w:r w:rsidRPr="003614A7">
              <w:t>25</w:t>
            </w:r>
          </w:p>
        </w:tc>
      </w:tr>
    </w:tbl>
    <w:p w14:paraId="0B9B8D2D" w14:textId="77777777" w:rsidR="003614A7" w:rsidRDefault="003614A7" w:rsidP="00E33E99">
      <w:pPr>
        <w:pStyle w:val="Table"/>
        <w:spacing w:line="240" w:lineRule="auto"/>
        <w:rPr>
          <w:smallCaps/>
        </w:rPr>
      </w:pPr>
    </w:p>
    <w:p w14:paraId="71E18CA7" w14:textId="77777777" w:rsidR="003614A7" w:rsidRDefault="003614A7" w:rsidP="00E33E99">
      <w:pPr>
        <w:pStyle w:val="Table"/>
        <w:spacing w:line="240" w:lineRule="auto"/>
        <w:rPr>
          <w:smallCaps/>
        </w:rPr>
      </w:pPr>
    </w:p>
    <w:p w14:paraId="76461C3E" w14:textId="492BA51C" w:rsidR="002F238A" w:rsidRDefault="00A204CF" w:rsidP="00E33E99">
      <w:pPr>
        <w:pStyle w:val="Table"/>
        <w:spacing w:line="240" w:lineRule="auto"/>
      </w:pPr>
      <w:r>
        <w:rPr>
          <w:smallCaps/>
        </w:rPr>
        <w:t xml:space="preserve">Supplementary </w:t>
      </w:r>
      <w:r w:rsidR="002F238A">
        <w:rPr>
          <w:smallCaps/>
        </w:rPr>
        <w:t xml:space="preserve">Table </w:t>
      </w:r>
      <w:r>
        <w:rPr>
          <w:smallCaps/>
        </w:rPr>
        <w:t>4</w:t>
      </w:r>
      <w:r w:rsidR="002F238A">
        <w:t xml:space="preserve"> </w:t>
      </w:r>
      <w:r w:rsidR="003614A7" w:rsidRPr="003614A7">
        <w:t>Sunda pangolin roadkills in Singapore from 1996 to June 2021 by sex and age classifications. Individuals with unknown sex were omitted.</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3614A7" w:rsidRPr="003614A7" w14:paraId="50552821" w14:textId="77777777" w:rsidTr="004244F1">
        <w:tc>
          <w:tcPr>
            <w:tcW w:w="1805" w:type="dxa"/>
            <w:shd w:val="clear" w:color="auto" w:fill="auto"/>
            <w:tcMar>
              <w:top w:w="100" w:type="dxa"/>
              <w:left w:w="100" w:type="dxa"/>
              <w:bottom w:w="100" w:type="dxa"/>
              <w:right w:w="100" w:type="dxa"/>
            </w:tcMar>
          </w:tcPr>
          <w:p w14:paraId="4DAD66AB" w14:textId="77777777" w:rsidR="003614A7" w:rsidRPr="003614A7" w:rsidRDefault="003614A7">
            <w:r w:rsidRPr="003614A7">
              <w:t>Sex</w:t>
            </w:r>
          </w:p>
        </w:tc>
        <w:tc>
          <w:tcPr>
            <w:tcW w:w="1805" w:type="dxa"/>
            <w:shd w:val="clear" w:color="auto" w:fill="auto"/>
            <w:tcMar>
              <w:top w:w="100" w:type="dxa"/>
              <w:left w:w="100" w:type="dxa"/>
              <w:bottom w:w="100" w:type="dxa"/>
              <w:right w:w="100" w:type="dxa"/>
            </w:tcMar>
          </w:tcPr>
          <w:p w14:paraId="104889E9" w14:textId="77777777" w:rsidR="003614A7" w:rsidRPr="003614A7" w:rsidRDefault="003614A7">
            <w:r w:rsidRPr="003614A7">
              <w:t>Adult</w:t>
            </w:r>
          </w:p>
        </w:tc>
        <w:tc>
          <w:tcPr>
            <w:tcW w:w="1805" w:type="dxa"/>
            <w:shd w:val="clear" w:color="auto" w:fill="auto"/>
            <w:tcMar>
              <w:top w:w="100" w:type="dxa"/>
              <w:left w:w="100" w:type="dxa"/>
              <w:bottom w:w="100" w:type="dxa"/>
              <w:right w:w="100" w:type="dxa"/>
            </w:tcMar>
          </w:tcPr>
          <w:p w14:paraId="49DF76AD" w14:textId="77777777" w:rsidR="003614A7" w:rsidRPr="003614A7" w:rsidRDefault="003614A7">
            <w:r w:rsidRPr="003614A7">
              <w:t>Subadult</w:t>
            </w:r>
          </w:p>
        </w:tc>
        <w:tc>
          <w:tcPr>
            <w:tcW w:w="1805" w:type="dxa"/>
            <w:shd w:val="clear" w:color="auto" w:fill="auto"/>
            <w:tcMar>
              <w:top w:w="100" w:type="dxa"/>
              <w:left w:w="100" w:type="dxa"/>
              <w:bottom w:w="100" w:type="dxa"/>
              <w:right w:w="100" w:type="dxa"/>
            </w:tcMar>
          </w:tcPr>
          <w:p w14:paraId="1CD8AC2F" w14:textId="77777777" w:rsidR="003614A7" w:rsidRPr="003614A7" w:rsidRDefault="003614A7">
            <w:r w:rsidRPr="003614A7">
              <w:t>Juvenile</w:t>
            </w:r>
          </w:p>
        </w:tc>
        <w:tc>
          <w:tcPr>
            <w:tcW w:w="1805" w:type="dxa"/>
            <w:shd w:val="clear" w:color="auto" w:fill="auto"/>
            <w:tcMar>
              <w:top w:w="100" w:type="dxa"/>
              <w:left w:w="100" w:type="dxa"/>
              <w:bottom w:w="100" w:type="dxa"/>
              <w:right w:w="100" w:type="dxa"/>
            </w:tcMar>
          </w:tcPr>
          <w:p w14:paraId="3F5238AD" w14:textId="77777777" w:rsidR="003614A7" w:rsidRPr="003614A7" w:rsidRDefault="003614A7">
            <w:r w:rsidRPr="003614A7">
              <w:t>Age unknown</w:t>
            </w:r>
          </w:p>
        </w:tc>
      </w:tr>
      <w:tr w:rsidR="003614A7" w:rsidRPr="003614A7" w14:paraId="7604EB18" w14:textId="77777777" w:rsidTr="004244F1">
        <w:tc>
          <w:tcPr>
            <w:tcW w:w="1805" w:type="dxa"/>
            <w:shd w:val="clear" w:color="auto" w:fill="auto"/>
            <w:tcMar>
              <w:top w:w="100" w:type="dxa"/>
              <w:left w:w="100" w:type="dxa"/>
              <w:bottom w:w="100" w:type="dxa"/>
              <w:right w:w="100" w:type="dxa"/>
            </w:tcMar>
          </w:tcPr>
          <w:p w14:paraId="6DF14750" w14:textId="77777777" w:rsidR="003614A7" w:rsidRPr="003614A7" w:rsidRDefault="003614A7">
            <w:r w:rsidRPr="003614A7">
              <w:t>Female</w:t>
            </w:r>
          </w:p>
        </w:tc>
        <w:tc>
          <w:tcPr>
            <w:tcW w:w="1805" w:type="dxa"/>
            <w:shd w:val="clear" w:color="auto" w:fill="auto"/>
            <w:tcMar>
              <w:top w:w="100" w:type="dxa"/>
              <w:left w:w="100" w:type="dxa"/>
              <w:bottom w:w="100" w:type="dxa"/>
              <w:right w:w="100" w:type="dxa"/>
            </w:tcMar>
          </w:tcPr>
          <w:p w14:paraId="5C49B349" w14:textId="77777777" w:rsidR="003614A7" w:rsidRPr="003614A7" w:rsidRDefault="003614A7">
            <w:r w:rsidRPr="003614A7">
              <w:t>1</w:t>
            </w:r>
          </w:p>
        </w:tc>
        <w:tc>
          <w:tcPr>
            <w:tcW w:w="1805" w:type="dxa"/>
            <w:shd w:val="clear" w:color="auto" w:fill="auto"/>
            <w:tcMar>
              <w:top w:w="100" w:type="dxa"/>
              <w:left w:w="100" w:type="dxa"/>
              <w:bottom w:w="100" w:type="dxa"/>
              <w:right w:w="100" w:type="dxa"/>
            </w:tcMar>
          </w:tcPr>
          <w:p w14:paraId="126FCEAA" w14:textId="77777777" w:rsidR="003614A7" w:rsidRPr="003614A7" w:rsidRDefault="003614A7">
            <w:r w:rsidRPr="003614A7">
              <w:t>1</w:t>
            </w:r>
          </w:p>
        </w:tc>
        <w:tc>
          <w:tcPr>
            <w:tcW w:w="1805" w:type="dxa"/>
            <w:shd w:val="clear" w:color="auto" w:fill="auto"/>
            <w:tcMar>
              <w:top w:w="100" w:type="dxa"/>
              <w:left w:w="100" w:type="dxa"/>
              <w:bottom w:w="100" w:type="dxa"/>
              <w:right w:w="100" w:type="dxa"/>
            </w:tcMar>
          </w:tcPr>
          <w:p w14:paraId="66580CBF" w14:textId="77777777" w:rsidR="003614A7" w:rsidRPr="003614A7" w:rsidRDefault="003614A7">
            <w:r w:rsidRPr="003614A7">
              <w:t>0</w:t>
            </w:r>
          </w:p>
        </w:tc>
        <w:tc>
          <w:tcPr>
            <w:tcW w:w="1805" w:type="dxa"/>
            <w:shd w:val="clear" w:color="auto" w:fill="auto"/>
            <w:tcMar>
              <w:top w:w="100" w:type="dxa"/>
              <w:left w:w="100" w:type="dxa"/>
              <w:bottom w:w="100" w:type="dxa"/>
              <w:right w:w="100" w:type="dxa"/>
            </w:tcMar>
          </w:tcPr>
          <w:p w14:paraId="5AEDF60B" w14:textId="77777777" w:rsidR="003614A7" w:rsidRPr="003614A7" w:rsidRDefault="003614A7">
            <w:r w:rsidRPr="003614A7">
              <w:t>3</w:t>
            </w:r>
          </w:p>
        </w:tc>
      </w:tr>
      <w:tr w:rsidR="003614A7" w:rsidRPr="003614A7" w14:paraId="0EB244DB" w14:textId="77777777" w:rsidTr="004244F1">
        <w:tc>
          <w:tcPr>
            <w:tcW w:w="1805" w:type="dxa"/>
            <w:shd w:val="clear" w:color="auto" w:fill="auto"/>
            <w:tcMar>
              <w:top w:w="100" w:type="dxa"/>
              <w:left w:w="100" w:type="dxa"/>
              <w:bottom w:w="100" w:type="dxa"/>
              <w:right w:w="100" w:type="dxa"/>
            </w:tcMar>
          </w:tcPr>
          <w:p w14:paraId="35BBF586" w14:textId="77777777" w:rsidR="003614A7" w:rsidRPr="003614A7" w:rsidRDefault="003614A7">
            <w:r w:rsidRPr="003614A7">
              <w:t>Male</w:t>
            </w:r>
          </w:p>
        </w:tc>
        <w:tc>
          <w:tcPr>
            <w:tcW w:w="1805" w:type="dxa"/>
            <w:shd w:val="clear" w:color="auto" w:fill="auto"/>
            <w:tcMar>
              <w:top w:w="100" w:type="dxa"/>
              <w:left w:w="100" w:type="dxa"/>
              <w:bottom w:w="100" w:type="dxa"/>
              <w:right w:w="100" w:type="dxa"/>
            </w:tcMar>
          </w:tcPr>
          <w:p w14:paraId="06C6EEA0" w14:textId="77777777" w:rsidR="003614A7" w:rsidRPr="003614A7" w:rsidRDefault="003614A7">
            <w:r w:rsidRPr="003614A7">
              <w:t>5</w:t>
            </w:r>
          </w:p>
        </w:tc>
        <w:tc>
          <w:tcPr>
            <w:tcW w:w="1805" w:type="dxa"/>
            <w:shd w:val="clear" w:color="auto" w:fill="auto"/>
            <w:tcMar>
              <w:top w:w="100" w:type="dxa"/>
              <w:left w:w="100" w:type="dxa"/>
              <w:bottom w:w="100" w:type="dxa"/>
              <w:right w:w="100" w:type="dxa"/>
            </w:tcMar>
          </w:tcPr>
          <w:p w14:paraId="18BD148B" w14:textId="77777777" w:rsidR="003614A7" w:rsidRPr="003614A7" w:rsidRDefault="003614A7">
            <w:r w:rsidRPr="003614A7">
              <w:t>1</w:t>
            </w:r>
          </w:p>
        </w:tc>
        <w:tc>
          <w:tcPr>
            <w:tcW w:w="1805" w:type="dxa"/>
            <w:shd w:val="clear" w:color="auto" w:fill="auto"/>
            <w:tcMar>
              <w:top w:w="100" w:type="dxa"/>
              <w:left w:w="100" w:type="dxa"/>
              <w:bottom w:w="100" w:type="dxa"/>
              <w:right w:w="100" w:type="dxa"/>
            </w:tcMar>
          </w:tcPr>
          <w:p w14:paraId="28C9D69D" w14:textId="77777777" w:rsidR="003614A7" w:rsidRPr="003614A7" w:rsidRDefault="003614A7">
            <w:r w:rsidRPr="003614A7">
              <w:t>1</w:t>
            </w:r>
          </w:p>
        </w:tc>
        <w:tc>
          <w:tcPr>
            <w:tcW w:w="1805" w:type="dxa"/>
            <w:shd w:val="clear" w:color="auto" w:fill="auto"/>
            <w:tcMar>
              <w:top w:w="100" w:type="dxa"/>
              <w:left w:w="100" w:type="dxa"/>
              <w:bottom w:w="100" w:type="dxa"/>
              <w:right w:w="100" w:type="dxa"/>
            </w:tcMar>
          </w:tcPr>
          <w:p w14:paraId="623B0EC3" w14:textId="77777777" w:rsidR="003614A7" w:rsidRPr="003614A7" w:rsidRDefault="003614A7">
            <w:r w:rsidRPr="003614A7">
              <w:t>11</w:t>
            </w:r>
          </w:p>
        </w:tc>
      </w:tr>
    </w:tbl>
    <w:p w14:paraId="6AA0B5B3" w14:textId="77777777" w:rsidR="006745CB" w:rsidRDefault="006745CB"/>
    <w:sectPr w:rsidR="006745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 PL SungtiL GB">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8A"/>
    <w:rsid w:val="00051484"/>
    <w:rsid w:val="000556AA"/>
    <w:rsid w:val="000E2569"/>
    <w:rsid w:val="00104FCB"/>
    <w:rsid w:val="001720FF"/>
    <w:rsid w:val="00280C83"/>
    <w:rsid w:val="002F238A"/>
    <w:rsid w:val="003614A7"/>
    <w:rsid w:val="004244F1"/>
    <w:rsid w:val="004416BD"/>
    <w:rsid w:val="004475B8"/>
    <w:rsid w:val="00471377"/>
    <w:rsid w:val="004A4F5A"/>
    <w:rsid w:val="004D669E"/>
    <w:rsid w:val="006745CB"/>
    <w:rsid w:val="00891862"/>
    <w:rsid w:val="008A7978"/>
    <w:rsid w:val="00903AC0"/>
    <w:rsid w:val="00A204CF"/>
    <w:rsid w:val="00C86A21"/>
    <w:rsid w:val="00E32A4A"/>
    <w:rsid w:val="00E33E99"/>
    <w:rsid w:val="00F46B9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3D66"/>
  <w15:docId w15:val="{1EA798C6-5A2B-9E45-AD6F-7FE7CCAB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38A"/>
    <w:rPr>
      <w:rFonts w:ascii="Times New Roman" w:eastAsia="AR PL SungtiL GB" w:hAnsi="Times New Roman" w:cs="Lohit Devanagari"/>
      <w:kern w:val="2"/>
      <w:lang w:val="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figure and plate caption text"/>
    <w:basedOn w:val="Normal"/>
    <w:qFormat/>
    <w:rsid w:val="002F238A"/>
    <w:pPr>
      <w:spacing w:line="360" w:lineRule="auto"/>
      <w:jc w:val="both"/>
    </w:pPr>
  </w:style>
  <w:style w:type="paragraph" w:customStyle="1" w:styleId="Tablecontents">
    <w:name w:val="Table contents"/>
    <w:basedOn w:val="Normal"/>
    <w:qFormat/>
    <w:rsid w:val="002F238A"/>
    <w:pPr>
      <w:widowControl w:val="0"/>
    </w:pPr>
  </w:style>
  <w:style w:type="character" w:customStyle="1" w:styleId="InternetLink">
    <w:name w:val="Internet Link"/>
    <w:rsid w:val="004A4F5A"/>
    <w:rPr>
      <w:color w:val="000080"/>
      <w:u w:val="single"/>
    </w:rPr>
  </w:style>
  <w:style w:type="character" w:customStyle="1" w:styleId="Oryxauthornames">
    <w:name w:val="Oryx author names"/>
    <w:qFormat/>
    <w:rsid w:val="004A4F5A"/>
    <w:rPr>
      <w:smallCaps/>
    </w:rPr>
  </w:style>
  <w:style w:type="paragraph" w:customStyle="1" w:styleId="Namesaddresses">
    <w:name w:val="Names &amp; addresses"/>
    <w:basedOn w:val="Normal"/>
    <w:qFormat/>
    <w:rsid w:val="004A4F5A"/>
    <w:pPr>
      <w:spacing w:line="360" w:lineRule="auto"/>
    </w:pPr>
  </w:style>
  <w:style w:type="paragraph" w:styleId="BodyText">
    <w:name w:val="Body Text"/>
    <w:basedOn w:val="Normal"/>
    <w:link w:val="BodyTextChar"/>
    <w:qFormat/>
    <w:rsid w:val="004A4F5A"/>
    <w:pPr>
      <w:spacing w:after="113" w:line="360" w:lineRule="auto"/>
      <w:jc w:val="both"/>
    </w:pPr>
  </w:style>
  <w:style w:type="character" w:customStyle="1" w:styleId="BodyTextChar">
    <w:name w:val="Body Text Char"/>
    <w:basedOn w:val="DefaultParagraphFont"/>
    <w:link w:val="BodyText"/>
    <w:rsid w:val="004A4F5A"/>
    <w:rPr>
      <w:rFonts w:ascii="Times New Roman" w:eastAsia="AR PL SungtiL GB" w:hAnsi="Times New Roman" w:cs="Lohit Devanagari"/>
      <w:kern w:val="2"/>
      <w:lang w:val="en-GB" w:bidi="hi-IN"/>
    </w:rPr>
  </w:style>
  <w:style w:type="paragraph" w:styleId="Bibliography">
    <w:name w:val="Bibliography"/>
    <w:basedOn w:val="Normal"/>
    <w:next w:val="Normal"/>
    <w:uiPriority w:val="37"/>
    <w:unhideWhenUsed/>
    <w:rsid w:val="00471377"/>
    <w:pPr>
      <w:spacing w:after="240"/>
      <w:ind w:left="720" w:hanging="72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69a1e9-6b4d-4fb0-b622-c144d8643932">
      <Terms xmlns="http://schemas.microsoft.com/office/infopath/2007/PartnerControls"/>
    </lcf76f155ced4ddcb4097134ff3c332f>
    <Author0 xmlns="ae69a1e9-6b4d-4fb0-b622-c144d8643932" xsi:nil="true"/>
    <Document_x0020_status xmlns="ae69a1e9-6b4d-4fb0-b622-c144d8643932">Select</Document_x0020_status>
    <TaxCatchAll xmlns="5bc0285e-d98a-4166-8b94-4daf3a27d871" xsi:nil="true"/>
    <Edited_x0020_by xmlns="ae69a1e9-6b4d-4fb0-b622-c144d8643932">Select</Edited_x0020_by>
    <Comments xmlns="ae69a1e9-6b4d-4fb0-b622-c144d8643932" xsi:nil="true"/>
    <FullName xmlns="http://schemas.microsoft.com/sharepoint/v3" xsi:nil="true"/>
    <Year xmlns="ae69a1e9-6b4d-4fb0-b622-c144d8643932">Select</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A379549BBEC947BAB6558301D95F0D" ma:contentTypeVersion="30" ma:contentTypeDescription="Create a new document." ma:contentTypeScope="" ma:versionID="52fdff7971cd6aadc3d04618ca6f0154">
  <xsd:schema xmlns:xsd="http://www.w3.org/2001/XMLSchema" xmlns:xs="http://www.w3.org/2001/XMLSchema" xmlns:p="http://schemas.microsoft.com/office/2006/metadata/properties" xmlns:ns1="http://schemas.microsoft.com/sharepoint/v3" xmlns:ns2="ae69a1e9-6b4d-4fb0-b622-c144d8643932" xmlns:ns3="dc9028d0-f0cd-4261-89dd-b983541b71e9" xmlns:ns4="5bc0285e-d98a-4166-8b94-4daf3a27d871" targetNamespace="http://schemas.microsoft.com/office/2006/metadata/properties" ma:root="true" ma:fieldsID="705ba3e99d9ebcbdff53c12aa3a38ea9" ns1:_="" ns2:_="" ns3:_="" ns4:_="">
    <xsd:import namespace="http://schemas.microsoft.com/sharepoint/v3"/>
    <xsd:import namespace="ae69a1e9-6b4d-4fb0-b622-c144d8643932"/>
    <xsd:import namespace="dc9028d0-f0cd-4261-89dd-b983541b71e9"/>
    <xsd:import namespace="5bc0285e-d98a-4166-8b94-4daf3a27d871"/>
    <xsd:element name="properties">
      <xsd:complexType>
        <xsd:sequence>
          <xsd:element name="documentManagement">
            <xsd:complexType>
              <xsd:all>
                <xsd:element ref="ns2:Author0" minOccurs="0"/>
                <xsd:element ref="ns2:Edited_x0020_by" minOccurs="0"/>
                <xsd:element ref="ns2:Document_x0020_status" minOccurs="0"/>
                <xsd:element ref="ns2:Year" minOccurs="0"/>
                <xsd:element ref="ns2:Comments" minOccurs="0"/>
                <xsd:element ref="ns1:FullName" minOccurs="0"/>
                <xsd:element ref="ns3:SharedWithUsers" minOccurs="0"/>
                <xsd:element ref="ns3:SharingHintHash"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ullName" ma:index="9" nillable="true" ma:displayName="Full Name" ma:internalName="Full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9a1e9-6b4d-4fb0-b622-c144d8643932" elementFormDefault="qualified">
    <xsd:import namespace="http://schemas.microsoft.com/office/2006/documentManagement/types"/>
    <xsd:import namespace="http://schemas.microsoft.com/office/infopath/2007/PartnerControls"/>
    <xsd:element name="Author0" ma:index="4" nillable="true" ma:displayName="Author" ma:internalName="Author0" ma:readOnly="false">
      <xsd:simpleType>
        <xsd:restriction base="dms:Text">
          <xsd:maxLength value="255"/>
        </xsd:restriction>
      </xsd:simpleType>
    </xsd:element>
    <xsd:element name="Edited_x0020_by" ma:index="5" nillable="true" ma:displayName="Edited by" ma:default="Select" ma:format="Dropdown" ma:internalName="Edited_x0020_by">
      <xsd:simpleType>
        <xsd:restriction base="dms:Choice">
          <xsd:enumeration value="Select"/>
          <xsd:enumeration value="CC"/>
          <xsd:enumeration value="MF"/>
        </xsd:restriction>
      </xsd:simpleType>
    </xsd:element>
    <xsd:element name="Document_x0020_status" ma:index="6" nillable="true" ma:displayName="Document status" ma:default="Select" ma:format="Dropdown" ma:internalName="Document_x0020_status">
      <xsd:simpleType>
        <xsd:restriction base="dms:Choice">
          <xsd:enumeration value="Select"/>
          <xsd:enumeration value="Original"/>
          <xsd:enumeration value="Edited"/>
          <xsd:enumeration value="Track changes"/>
          <xsd:enumeration value="Checked"/>
          <xsd:enumeration value="Final"/>
        </xsd:restriction>
      </xsd:simpleType>
    </xsd:element>
    <xsd:element name="Year" ma:index="7" nillable="true" ma:displayName="Year" ma:default="Select" ma:format="Dropdown" ma:internalName="Year">
      <xsd:simpleType>
        <xsd:restriction base="dms:Choice">
          <xsd:enumeration value="Select"/>
          <xsd:enumeration value="2010"/>
          <xsd:enumeration value="2011"/>
          <xsd:enumeration value="2012"/>
          <xsd:enumeration value="2013"/>
          <xsd:enumeration value="2014"/>
          <xsd:enumeration value="2015"/>
        </xsd:restriction>
      </xsd:simpleType>
    </xsd:element>
    <xsd:element name="Comments" ma:index="8" nillable="true" ma:displayName="Comments" ma:internalName="Comments" ma:readOnly="false">
      <xsd:simpleType>
        <xsd:restriction base="dms:Note">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65aed29-76fb-43aa-b3f4-9c22e09c32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028d0-f0cd-4261-89dd-b983541b71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0285e-d98a-4166-8b94-4daf3a27d871"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3d2676c-07c6-472e-bec8-5219843e1a8e}" ma:internalName="TaxCatchAll" ma:showField="CatchAllData" ma:web="5bc0285e-d98a-4166-8b94-4daf3a27d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00924-E254-4AC9-8ACE-327D2CE336FF}">
  <ds:schemaRefs>
    <ds:schemaRef ds:uri="http://schemas.microsoft.com/office/2006/metadata/properties"/>
    <ds:schemaRef ds:uri="http://schemas.microsoft.com/office/infopath/2007/PartnerControls"/>
    <ds:schemaRef ds:uri="ae69a1e9-6b4d-4fb0-b622-c144d8643932"/>
    <ds:schemaRef ds:uri="5bc0285e-d98a-4166-8b94-4daf3a27d871"/>
    <ds:schemaRef ds:uri="http://schemas.microsoft.com/sharepoint/v3"/>
  </ds:schemaRefs>
</ds:datastoreItem>
</file>

<file path=customXml/itemProps2.xml><?xml version="1.0" encoding="utf-8"?>
<ds:datastoreItem xmlns:ds="http://schemas.openxmlformats.org/officeDocument/2006/customXml" ds:itemID="{71535166-8B6A-46DD-BCDE-3D992BDA8DAD}">
  <ds:schemaRefs>
    <ds:schemaRef ds:uri="http://schemas.microsoft.com/sharepoint/v3/contenttype/forms"/>
  </ds:schemaRefs>
</ds:datastoreItem>
</file>

<file path=customXml/itemProps3.xml><?xml version="1.0" encoding="utf-8"?>
<ds:datastoreItem xmlns:ds="http://schemas.openxmlformats.org/officeDocument/2006/customXml" ds:itemID="{E7AD0D28-7C76-4597-949D-A35254F8B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9a1e9-6b4d-4fb0-b622-c144d8643932"/>
    <ds:schemaRef ds:uri="dc9028d0-f0cd-4261-89dd-b983541b71e9"/>
    <ds:schemaRef ds:uri="5bc0285e-d98a-4166-8b94-4daf3a27d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Chua Aik Hwee Marcus</dc:creator>
  <cp:keywords/>
  <dc:description/>
  <cp:lastModifiedBy>Emma Sinnett</cp:lastModifiedBy>
  <cp:revision>16</cp:revision>
  <dcterms:created xsi:type="dcterms:W3CDTF">2023-04-01T05:38:00Z</dcterms:created>
  <dcterms:modified xsi:type="dcterms:W3CDTF">2024-08-07T14:06:00Z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id="9LJw1yYH"/&gt;&lt;style id="http://www.zotero.org/styles/oryx" hasBibliography="1" bibliographyStyleHasBeenSet="1"/&gt;&lt;prefs&gt;&lt;pref name="fieldType" value="Field"/&gt;&lt;/prefs&gt;&lt;/data&gt;</vt:lpwstr>
  </property>
  <property fmtid="{D5CDD505-2E9C-101B-9397-08002B2CF9AE}" pid="3" name="ContentTypeId">
    <vt:lpwstr>0x010100CEA379549BBEC947BAB6558301D95F0D</vt:lpwstr>
  </property>
  <property fmtid="{D5CDD505-2E9C-101B-9397-08002B2CF9AE}" pid="4" name="MediaServiceImageTags">
    <vt:lpwstr/>
  </property>
</Properties>
</file>