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0181" w14:textId="72F0CB0F" w:rsidR="00AD45B7" w:rsidRPr="00665138" w:rsidRDefault="00520BA3">
      <w:pPr>
        <w:rPr>
          <w:u w:val="single"/>
        </w:rPr>
      </w:pPr>
      <w:r w:rsidRPr="00665138">
        <w:rPr>
          <w:u w:val="single"/>
        </w:rPr>
        <w:t xml:space="preserve">Supplementary material </w:t>
      </w:r>
    </w:p>
    <w:p w14:paraId="46E42BDC" w14:textId="197A8189" w:rsidR="00DB6578" w:rsidRPr="00665138" w:rsidRDefault="00DB6578">
      <w:r w:rsidRPr="00665138">
        <w:rPr>
          <w:b/>
          <w:bCs/>
        </w:rPr>
        <w:t xml:space="preserve">Table </w:t>
      </w:r>
      <w:r w:rsidR="00037B4A" w:rsidRPr="00665138">
        <w:rPr>
          <w:b/>
          <w:bCs/>
        </w:rPr>
        <w:t>S</w:t>
      </w:r>
      <w:r w:rsidRPr="00665138">
        <w:rPr>
          <w:b/>
          <w:bCs/>
        </w:rPr>
        <w:t xml:space="preserve">1: </w:t>
      </w:r>
      <w:r w:rsidRPr="00665138">
        <w:t>Comparison of gut methods use</w:t>
      </w:r>
      <w:r w:rsidR="004F0224" w:rsidRPr="00665138">
        <w:t>d</w:t>
      </w:r>
      <w:r w:rsidRPr="00665138">
        <w:t xml:space="preserve"> in previous studies. </w:t>
      </w:r>
    </w:p>
    <w:tbl>
      <w:tblPr>
        <w:tblStyle w:val="TableGrid"/>
        <w:tblpPr w:leftFromText="180" w:rightFromText="180" w:vertAnchor="page" w:horzAnchor="margin" w:tblpXSpec="center" w:tblpY="2616"/>
        <w:tblW w:w="10807" w:type="dxa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701"/>
        <w:gridCol w:w="1843"/>
        <w:gridCol w:w="1598"/>
      </w:tblGrid>
      <w:tr w:rsidR="00665138" w:rsidRPr="00665138" w14:paraId="34A9A905" w14:textId="77777777" w:rsidTr="00DC7C34">
        <w:tc>
          <w:tcPr>
            <w:tcW w:w="4390" w:type="dxa"/>
          </w:tcPr>
          <w:p w14:paraId="41130697" w14:textId="77777777" w:rsidR="004868D0" w:rsidRPr="00665138" w:rsidRDefault="004868D0" w:rsidP="00DC7C34">
            <w:pPr>
              <w:rPr>
                <w:b/>
              </w:rPr>
            </w:pPr>
            <w:r w:rsidRPr="00665138">
              <w:rPr>
                <w:b/>
              </w:rPr>
              <w:t>Paper</w:t>
            </w:r>
          </w:p>
        </w:tc>
        <w:tc>
          <w:tcPr>
            <w:tcW w:w="1275" w:type="dxa"/>
          </w:tcPr>
          <w:p w14:paraId="11F09464" w14:textId="77777777" w:rsidR="004868D0" w:rsidRPr="00665138" w:rsidRDefault="004868D0" w:rsidP="00DC7C34">
            <w:pPr>
              <w:rPr>
                <w:b/>
              </w:rPr>
            </w:pPr>
            <w:r w:rsidRPr="00665138">
              <w:rPr>
                <w:b/>
              </w:rPr>
              <w:t>Settling time (hrs)</w:t>
            </w:r>
          </w:p>
        </w:tc>
        <w:tc>
          <w:tcPr>
            <w:tcW w:w="1701" w:type="dxa"/>
          </w:tcPr>
          <w:p w14:paraId="55798962" w14:textId="77777777" w:rsidR="004868D0" w:rsidRPr="00665138" w:rsidRDefault="004868D0" w:rsidP="00DC7C34">
            <w:pPr>
              <w:rPr>
                <w:b/>
              </w:rPr>
            </w:pPr>
            <w:r w:rsidRPr="00665138">
              <w:rPr>
                <w:b/>
              </w:rPr>
              <w:t>Gut dissected</w:t>
            </w:r>
          </w:p>
        </w:tc>
        <w:tc>
          <w:tcPr>
            <w:tcW w:w="1843" w:type="dxa"/>
          </w:tcPr>
          <w:p w14:paraId="32985243" w14:textId="77777777" w:rsidR="004868D0" w:rsidRPr="00665138" w:rsidRDefault="004868D0" w:rsidP="00DC7C34">
            <w:pPr>
              <w:rPr>
                <w:b/>
              </w:rPr>
            </w:pPr>
            <w:r w:rsidRPr="00665138">
              <w:rPr>
                <w:b/>
              </w:rPr>
              <w:t>Grinding guts</w:t>
            </w:r>
          </w:p>
        </w:tc>
        <w:tc>
          <w:tcPr>
            <w:tcW w:w="1598" w:type="dxa"/>
          </w:tcPr>
          <w:p w14:paraId="1898B021" w14:textId="77777777" w:rsidR="004868D0" w:rsidRPr="00665138" w:rsidRDefault="004868D0" w:rsidP="00DC7C34">
            <w:pPr>
              <w:ind w:right="72"/>
              <w:rPr>
                <w:b/>
              </w:rPr>
            </w:pPr>
            <w:r w:rsidRPr="00665138">
              <w:rPr>
                <w:b/>
              </w:rPr>
              <w:t>Other notes</w:t>
            </w:r>
          </w:p>
        </w:tc>
      </w:tr>
      <w:tr w:rsidR="00665138" w:rsidRPr="00665138" w14:paraId="3C42F89E" w14:textId="77777777" w:rsidTr="00DC7C34">
        <w:trPr>
          <w:trHeight w:val="1868"/>
        </w:trPr>
        <w:tc>
          <w:tcPr>
            <w:tcW w:w="4390" w:type="dxa"/>
          </w:tcPr>
          <w:p w14:paraId="6BC60625" w14:textId="77777777" w:rsidR="004868D0" w:rsidRPr="00665138" w:rsidRDefault="004868D0" w:rsidP="00C15A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138">
              <w:rPr>
                <w:rFonts w:asciiTheme="minorHAnsi" w:hAnsiTheme="minorHAnsi" w:cstheme="minorHAnsi"/>
                <w:sz w:val="22"/>
                <w:szCs w:val="22"/>
              </w:rPr>
              <w:t xml:space="preserve">Anthony, W. E., Palmer-Young, E. C., Leonard, A. S., Irwin, R. E., &amp; Adler, L. S. (2015). </w:t>
            </w:r>
          </w:p>
          <w:p w14:paraId="26E6B7C6" w14:textId="77777777" w:rsidR="004868D0" w:rsidRPr="00665138" w:rsidRDefault="004868D0" w:rsidP="00C15A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138">
              <w:rPr>
                <w:rFonts w:asciiTheme="minorHAnsi" w:hAnsiTheme="minorHAnsi" w:cstheme="minorHAnsi"/>
                <w:sz w:val="20"/>
                <w:szCs w:val="22"/>
              </w:rPr>
              <w:t xml:space="preserve">Testing dose-dependent effects of the nectar alkaloid </w:t>
            </w:r>
            <w:proofErr w:type="spellStart"/>
            <w:r w:rsidRPr="00665138">
              <w:rPr>
                <w:rFonts w:asciiTheme="minorHAnsi" w:hAnsiTheme="minorHAnsi" w:cstheme="minorHAnsi"/>
                <w:sz w:val="20"/>
                <w:szCs w:val="22"/>
              </w:rPr>
              <w:t>anabasine</w:t>
            </w:r>
            <w:proofErr w:type="spellEnd"/>
            <w:r w:rsidRPr="00665138">
              <w:rPr>
                <w:rFonts w:asciiTheme="minorHAnsi" w:hAnsiTheme="minorHAnsi" w:cstheme="minorHAnsi"/>
                <w:sz w:val="20"/>
                <w:szCs w:val="22"/>
              </w:rPr>
              <w:t xml:space="preserve"> on trypanosome parasite loads in adult bumble bees. </w:t>
            </w:r>
            <w:proofErr w:type="spellStart"/>
            <w:r w:rsidRPr="00665138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>PLoS</w:t>
            </w:r>
            <w:proofErr w:type="spellEnd"/>
            <w:r w:rsidRPr="00665138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 xml:space="preserve"> ONE</w:t>
            </w:r>
            <w:r w:rsidRPr="00665138">
              <w:rPr>
                <w:rFonts w:asciiTheme="minorHAnsi" w:hAnsiTheme="minorHAnsi" w:cstheme="minorHAnsi"/>
                <w:sz w:val="20"/>
                <w:szCs w:val="22"/>
              </w:rPr>
              <w:t>. https://doi.org/10.1371/journal.pone.0142496</w:t>
            </w:r>
          </w:p>
        </w:tc>
        <w:tc>
          <w:tcPr>
            <w:tcW w:w="1275" w:type="dxa"/>
          </w:tcPr>
          <w:p w14:paraId="7C24E3FE" w14:textId="77777777" w:rsidR="004868D0" w:rsidRPr="00665138" w:rsidRDefault="004868D0" w:rsidP="00DC7C34">
            <w:pPr>
              <w:rPr>
                <w:rFonts w:cstheme="minorHAnsi"/>
              </w:rPr>
            </w:pPr>
            <w:r w:rsidRPr="00665138">
              <w:rPr>
                <w:rFonts w:cstheme="minorHAnsi"/>
              </w:rPr>
              <w:t xml:space="preserve">3-8 </w:t>
            </w:r>
          </w:p>
        </w:tc>
        <w:tc>
          <w:tcPr>
            <w:tcW w:w="1701" w:type="dxa"/>
          </w:tcPr>
          <w:p w14:paraId="2E4B88E7" w14:textId="78E9108D" w:rsidR="004868D0" w:rsidRPr="00665138" w:rsidRDefault="004868D0" w:rsidP="00DC7C34">
            <w:pPr>
              <w:rPr>
                <w:rFonts w:cstheme="minorHAnsi"/>
              </w:rPr>
            </w:pPr>
            <w:r w:rsidRPr="00665138">
              <w:rPr>
                <w:rFonts w:cstheme="minorHAnsi"/>
              </w:rPr>
              <w:t>Mid and hindguts</w:t>
            </w:r>
            <w:r w:rsidR="007C2E23" w:rsidRPr="00665138">
              <w:rPr>
                <w:rFonts w:cstheme="minorHAnsi"/>
              </w:rPr>
              <w:t xml:space="preserve"> not dissected frozen</w:t>
            </w:r>
          </w:p>
        </w:tc>
        <w:tc>
          <w:tcPr>
            <w:tcW w:w="1843" w:type="dxa"/>
          </w:tcPr>
          <w:p w14:paraId="22CFC2B0" w14:textId="77777777" w:rsidR="004868D0" w:rsidRPr="00665138" w:rsidRDefault="004868D0" w:rsidP="00DC7C34">
            <w:pPr>
              <w:rPr>
                <w:rFonts w:cstheme="minorHAnsi"/>
              </w:rPr>
            </w:pPr>
            <w:r w:rsidRPr="00665138">
              <w:rPr>
                <w:rFonts w:cstheme="minorHAnsi"/>
              </w:rPr>
              <w:t>Ground guts in 300ul distilled water</w:t>
            </w:r>
          </w:p>
        </w:tc>
        <w:tc>
          <w:tcPr>
            <w:tcW w:w="1598" w:type="dxa"/>
          </w:tcPr>
          <w:p w14:paraId="176C9954" w14:textId="77777777" w:rsidR="004868D0" w:rsidRPr="00665138" w:rsidRDefault="004868D0" w:rsidP="00DC7C34">
            <w:pPr>
              <w:rPr>
                <w:rFonts w:cstheme="minorHAnsi"/>
              </w:rPr>
            </w:pPr>
          </w:p>
        </w:tc>
      </w:tr>
      <w:tr w:rsidR="00665138" w:rsidRPr="00665138" w14:paraId="68CEB54F" w14:textId="77777777" w:rsidTr="00DC7C34">
        <w:trPr>
          <w:trHeight w:val="1973"/>
        </w:trPr>
        <w:tc>
          <w:tcPr>
            <w:tcW w:w="4390" w:type="dxa"/>
          </w:tcPr>
          <w:p w14:paraId="70489BB7" w14:textId="77777777" w:rsidR="004868D0" w:rsidRPr="00665138" w:rsidRDefault="004868D0" w:rsidP="00C15A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138">
              <w:rPr>
                <w:rFonts w:asciiTheme="minorHAnsi" w:hAnsiTheme="minorHAnsi" w:cstheme="minorHAnsi"/>
                <w:sz w:val="22"/>
                <w:szCs w:val="22"/>
              </w:rPr>
              <w:t xml:space="preserve">Biller, O. M., Adler, L. S., Irwin, R. E., McAllister, C., &amp; Palmer-Young, E. C. (2015). </w:t>
            </w:r>
          </w:p>
          <w:p w14:paraId="2C8A9EE9" w14:textId="77777777" w:rsidR="004868D0" w:rsidRPr="00665138" w:rsidRDefault="004868D0" w:rsidP="00C15AFC">
            <w:pPr>
              <w:pStyle w:val="NormalWeb"/>
              <w:spacing w:before="0" w:beforeAutospacing="0" w:after="0" w:afterAutospacing="0"/>
              <w:rPr>
                <w:rFonts w:cstheme="minorHAnsi"/>
              </w:rPr>
            </w:pPr>
            <w:r w:rsidRPr="00665138">
              <w:rPr>
                <w:rFonts w:asciiTheme="minorHAnsi" w:hAnsiTheme="minorHAnsi" w:cstheme="minorHAnsi"/>
                <w:sz w:val="20"/>
                <w:szCs w:val="22"/>
              </w:rPr>
              <w:t xml:space="preserve">Possible synergistic effects of thymol and nicotine against Crithidia bombi parasitism in bumble bees. </w:t>
            </w:r>
            <w:proofErr w:type="spellStart"/>
            <w:r w:rsidRPr="00665138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>PLoS</w:t>
            </w:r>
            <w:proofErr w:type="spellEnd"/>
            <w:r w:rsidRPr="00665138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 xml:space="preserve"> ONE</w:t>
            </w:r>
            <w:r w:rsidRPr="00665138">
              <w:rPr>
                <w:rFonts w:asciiTheme="minorHAnsi" w:hAnsiTheme="minorHAnsi" w:cstheme="minorHAnsi"/>
                <w:sz w:val="20"/>
                <w:szCs w:val="22"/>
              </w:rPr>
              <w:t>. https://doi.org/10.1371/journal.pone.0144668</w:t>
            </w:r>
          </w:p>
        </w:tc>
        <w:tc>
          <w:tcPr>
            <w:tcW w:w="1275" w:type="dxa"/>
          </w:tcPr>
          <w:p w14:paraId="5CFF2BFB" w14:textId="77777777" w:rsidR="004868D0" w:rsidRPr="00665138" w:rsidRDefault="004868D0" w:rsidP="00DC7C34">
            <w:pPr>
              <w:rPr>
                <w:rFonts w:cstheme="minorHAnsi"/>
              </w:rPr>
            </w:pPr>
            <w:r w:rsidRPr="00665138">
              <w:rPr>
                <w:rFonts w:cstheme="minorHAnsi"/>
              </w:rPr>
              <w:t>4</w:t>
            </w:r>
          </w:p>
        </w:tc>
        <w:tc>
          <w:tcPr>
            <w:tcW w:w="1701" w:type="dxa"/>
          </w:tcPr>
          <w:p w14:paraId="44472622" w14:textId="201CBE34" w:rsidR="004868D0" w:rsidRPr="00665138" w:rsidRDefault="004868D0" w:rsidP="00DC7C34">
            <w:pPr>
              <w:rPr>
                <w:rFonts w:cstheme="minorHAnsi"/>
              </w:rPr>
            </w:pPr>
            <w:r w:rsidRPr="00665138">
              <w:rPr>
                <w:rFonts w:cstheme="minorHAnsi"/>
              </w:rPr>
              <w:t>Gut tracts</w:t>
            </w:r>
            <w:r w:rsidR="007C2E23" w:rsidRPr="00665138">
              <w:rPr>
                <w:rFonts w:cstheme="minorHAnsi"/>
              </w:rPr>
              <w:t xml:space="preserve"> not frozen</w:t>
            </w:r>
          </w:p>
        </w:tc>
        <w:tc>
          <w:tcPr>
            <w:tcW w:w="1843" w:type="dxa"/>
          </w:tcPr>
          <w:p w14:paraId="788EBA0B" w14:textId="77777777" w:rsidR="004868D0" w:rsidRPr="00665138" w:rsidRDefault="004868D0" w:rsidP="00DC7C34">
            <w:pPr>
              <w:rPr>
                <w:rFonts w:cstheme="minorHAnsi"/>
              </w:rPr>
            </w:pPr>
            <w:r w:rsidRPr="00665138">
              <w:rPr>
                <w:rFonts w:cstheme="minorHAnsi"/>
              </w:rPr>
              <w:t>Ground guts in 300ul distilled water</w:t>
            </w:r>
          </w:p>
        </w:tc>
        <w:tc>
          <w:tcPr>
            <w:tcW w:w="1598" w:type="dxa"/>
          </w:tcPr>
          <w:p w14:paraId="16843415" w14:textId="77777777" w:rsidR="004868D0" w:rsidRPr="00665138" w:rsidRDefault="004868D0" w:rsidP="00DC7C34">
            <w:pPr>
              <w:rPr>
                <w:rFonts w:cstheme="minorHAnsi"/>
              </w:rPr>
            </w:pPr>
          </w:p>
        </w:tc>
      </w:tr>
      <w:tr w:rsidR="00665138" w:rsidRPr="00665138" w14:paraId="2162C59F" w14:textId="77777777" w:rsidTr="00DC7C34">
        <w:tc>
          <w:tcPr>
            <w:tcW w:w="4390" w:type="dxa"/>
          </w:tcPr>
          <w:p w14:paraId="5D0E93EE" w14:textId="77777777" w:rsidR="004868D0" w:rsidRPr="00665138" w:rsidRDefault="004868D0" w:rsidP="00C15A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138">
              <w:rPr>
                <w:rFonts w:asciiTheme="minorHAnsi" w:hAnsiTheme="minorHAnsi" w:cstheme="minorHAnsi"/>
                <w:sz w:val="22"/>
                <w:szCs w:val="22"/>
              </w:rPr>
              <w:t xml:space="preserve">Palmer-Young, E. C., Hogeboom, A., Kaye, A. J., Donnelly, D., Andicoechea, J., Connon, S. J., Weston, I., Skyrm, K., Irwin, R. E., &amp; Adler, L. S. (2017). </w:t>
            </w:r>
          </w:p>
          <w:p w14:paraId="134DF172" w14:textId="77777777" w:rsidR="004868D0" w:rsidRPr="00665138" w:rsidRDefault="004868D0" w:rsidP="00C15AFC">
            <w:pPr>
              <w:pStyle w:val="NormalWeb"/>
              <w:spacing w:before="0" w:beforeAutospacing="0" w:after="0" w:afterAutospacing="0"/>
              <w:rPr>
                <w:rFonts w:cstheme="minorHAnsi"/>
              </w:rPr>
            </w:pPr>
            <w:r w:rsidRPr="00665138">
              <w:rPr>
                <w:rFonts w:asciiTheme="minorHAnsi" w:hAnsiTheme="minorHAnsi" w:cstheme="minorHAnsi"/>
                <w:sz w:val="20"/>
                <w:szCs w:val="22"/>
              </w:rPr>
              <w:t xml:space="preserve">Context-dependent medicinal effects of </w:t>
            </w:r>
            <w:proofErr w:type="spellStart"/>
            <w:r w:rsidRPr="00665138">
              <w:rPr>
                <w:rFonts w:asciiTheme="minorHAnsi" w:hAnsiTheme="minorHAnsi" w:cstheme="minorHAnsi"/>
                <w:sz w:val="20"/>
                <w:szCs w:val="22"/>
              </w:rPr>
              <w:t>anabasine</w:t>
            </w:r>
            <w:proofErr w:type="spellEnd"/>
            <w:r w:rsidRPr="00665138">
              <w:rPr>
                <w:rFonts w:asciiTheme="minorHAnsi" w:hAnsiTheme="minorHAnsi" w:cstheme="minorHAnsi"/>
                <w:sz w:val="20"/>
                <w:szCs w:val="22"/>
              </w:rPr>
              <w:t xml:space="preserve"> and infection-dependent toxicity in bumble bees. </w:t>
            </w:r>
            <w:proofErr w:type="spellStart"/>
            <w:r w:rsidRPr="00665138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>PLoS</w:t>
            </w:r>
            <w:proofErr w:type="spellEnd"/>
            <w:r w:rsidRPr="00665138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 xml:space="preserve"> ONE</w:t>
            </w:r>
            <w:r w:rsidRPr="00665138">
              <w:rPr>
                <w:rFonts w:asciiTheme="minorHAnsi" w:hAnsiTheme="minorHAnsi" w:cstheme="minorHAnsi"/>
                <w:sz w:val="20"/>
                <w:szCs w:val="22"/>
              </w:rPr>
              <w:t>. https://doi.org/10.1371/journal.pone.0183729</w:t>
            </w:r>
          </w:p>
        </w:tc>
        <w:tc>
          <w:tcPr>
            <w:tcW w:w="1275" w:type="dxa"/>
          </w:tcPr>
          <w:p w14:paraId="3034700B" w14:textId="77777777" w:rsidR="004868D0" w:rsidRPr="00665138" w:rsidRDefault="004868D0" w:rsidP="00DC7C34">
            <w:pPr>
              <w:rPr>
                <w:rFonts w:cstheme="minorHAnsi"/>
              </w:rPr>
            </w:pPr>
            <w:r w:rsidRPr="00665138">
              <w:rPr>
                <w:rFonts w:cstheme="minorHAnsi"/>
              </w:rPr>
              <w:t>5</w:t>
            </w:r>
          </w:p>
        </w:tc>
        <w:tc>
          <w:tcPr>
            <w:tcW w:w="1701" w:type="dxa"/>
          </w:tcPr>
          <w:p w14:paraId="66BB105D" w14:textId="381B9E32" w:rsidR="004868D0" w:rsidRPr="00665138" w:rsidRDefault="004868D0" w:rsidP="00DC7C34">
            <w:pPr>
              <w:rPr>
                <w:rFonts w:cstheme="minorHAnsi"/>
              </w:rPr>
            </w:pPr>
            <w:r w:rsidRPr="00665138">
              <w:rPr>
                <w:rFonts w:cstheme="minorHAnsi"/>
              </w:rPr>
              <w:t>Intestinal tracts</w:t>
            </w:r>
            <w:r w:rsidR="007C2E23" w:rsidRPr="00665138">
              <w:rPr>
                <w:rFonts w:cstheme="minorHAnsi"/>
              </w:rPr>
              <w:t xml:space="preserve"> not frozen</w:t>
            </w:r>
          </w:p>
        </w:tc>
        <w:tc>
          <w:tcPr>
            <w:tcW w:w="1843" w:type="dxa"/>
          </w:tcPr>
          <w:p w14:paraId="316FACBB" w14:textId="77777777" w:rsidR="004868D0" w:rsidRPr="00665138" w:rsidRDefault="004868D0" w:rsidP="00DC7C34">
            <w:pPr>
              <w:rPr>
                <w:rFonts w:cstheme="minorHAnsi"/>
              </w:rPr>
            </w:pPr>
            <w:r w:rsidRPr="00665138">
              <w:rPr>
                <w:rFonts w:cstheme="minorHAnsi"/>
              </w:rPr>
              <w:t>Ground guts 300ul distilled water</w:t>
            </w:r>
          </w:p>
        </w:tc>
        <w:tc>
          <w:tcPr>
            <w:tcW w:w="1598" w:type="dxa"/>
          </w:tcPr>
          <w:p w14:paraId="24425FD2" w14:textId="77777777" w:rsidR="004868D0" w:rsidRPr="00665138" w:rsidRDefault="004868D0" w:rsidP="00DC7C34">
            <w:pPr>
              <w:rPr>
                <w:rFonts w:cstheme="minorHAnsi"/>
              </w:rPr>
            </w:pPr>
          </w:p>
        </w:tc>
      </w:tr>
      <w:tr w:rsidR="00665138" w:rsidRPr="00665138" w14:paraId="26B94E4E" w14:textId="77777777" w:rsidTr="00DC7C34">
        <w:trPr>
          <w:trHeight w:val="1755"/>
        </w:trPr>
        <w:tc>
          <w:tcPr>
            <w:tcW w:w="4390" w:type="dxa"/>
          </w:tcPr>
          <w:p w14:paraId="65441F6E" w14:textId="77777777" w:rsidR="004868D0" w:rsidRPr="00665138" w:rsidRDefault="004868D0" w:rsidP="00C15AFC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138">
              <w:rPr>
                <w:rFonts w:asciiTheme="minorHAnsi" w:hAnsiTheme="minorHAnsi" w:cstheme="minorHAnsi"/>
                <w:sz w:val="22"/>
                <w:szCs w:val="22"/>
              </w:rPr>
              <w:t xml:space="preserve">Giacomini, J. J., Leslie, J., Tarpy, D. R., Palmer-Young, E. C., Irwin, R. E., &amp; Adler, L. S. (2018). </w:t>
            </w:r>
          </w:p>
          <w:p w14:paraId="0176A16C" w14:textId="77777777" w:rsidR="004868D0" w:rsidRPr="00665138" w:rsidRDefault="004868D0" w:rsidP="00C15AFC">
            <w:pPr>
              <w:pStyle w:val="NormalWeb"/>
              <w:spacing w:before="0" w:beforeAutospacing="0" w:after="0" w:afterAutospacing="0"/>
              <w:rPr>
                <w:rFonts w:cstheme="minorHAnsi"/>
              </w:rPr>
            </w:pPr>
            <w:r w:rsidRPr="00665138">
              <w:rPr>
                <w:rFonts w:asciiTheme="minorHAnsi" w:hAnsiTheme="minorHAnsi" w:cstheme="minorHAnsi"/>
                <w:sz w:val="20"/>
                <w:szCs w:val="22"/>
              </w:rPr>
              <w:t xml:space="preserve">Medicinal value of sunflower pollen against bee pathogens. </w:t>
            </w:r>
            <w:r w:rsidRPr="00665138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>Scientific Reports</w:t>
            </w:r>
            <w:r w:rsidRPr="00665138">
              <w:rPr>
                <w:rFonts w:asciiTheme="minorHAnsi" w:hAnsiTheme="minorHAnsi" w:cstheme="minorHAnsi"/>
                <w:sz w:val="20"/>
                <w:szCs w:val="22"/>
              </w:rPr>
              <w:t>. https://doi.org/10.1038/s41598-018-32681-y</w:t>
            </w:r>
          </w:p>
        </w:tc>
        <w:tc>
          <w:tcPr>
            <w:tcW w:w="1275" w:type="dxa"/>
          </w:tcPr>
          <w:p w14:paraId="3F1B5346" w14:textId="77777777" w:rsidR="004868D0" w:rsidRPr="00665138" w:rsidRDefault="004868D0" w:rsidP="00DC7C34">
            <w:pPr>
              <w:rPr>
                <w:rFonts w:cstheme="minorHAnsi"/>
              </w:rPr>
            </w:pPr>
            <w:r w:rsidRPr="00665138">
              <w:rPr>
                <w:rFonts w:cstheme="minorHAnsi"/>
              </w:rPr>
              <w:t>4-5</w:t>
            </w:r>
          </w:p>
        </w:tc>
        <w:tc>
          <w:tcPr>
            <w:tcW w:w="1701" w:type="dxa"/>
          </w:tcPr>
          <w:p w14:paraId="16567043" w14:textId="1143B320" w:rsidR="004868D0" w:rsidRPr="00665138" w:rsidRDefault="004868D0" w:rsidP="00DC7C34">
            <w:pPr>
              <w:rPr>
                <w:rFonts w:cstheme="minorHAnsi"/>
              </w:rPr>
            </w:pPr>
            <w:r w:rsidRPr="00665138">
              <w:rPr>
                <w:rFonts w:cstheme="minorHAnsi"/>
              </w:rPr>
              <w:t>Digestive tracts excluding honey crop</w:t>
            </w:r>
            <w:r w:rsidR="00626174" w:rsidRPr="00665138">
              <w:rPr>
                <w:rFonts w:cstheme="minorHAnsi"/>
              </w:rPr>
              <w:t xml:space="preserve"> not frozen</w:t>
            </w:r>
          </w:p>
        </w:tc>
        <w:tc>
          <w:tcPr>
            <w:tcW w:w="1843" w:type="dxa"/>
          </w:tcPr>
          <w:p w14:paraId="0D1D7264" w14:textId="77777777" w:rsidR="004868D0" w:rsidRPr="00665138" w:rsidRDefault="004868D0" w:rsidP="00DC7C34">
            <w:pPr>
              <w:rPr>
                <w:rFonts w:cstheme="minorHAnsi"/>
              </w:rPr>
            </w:pPr>
            <w:r w:rsidRPr="00665138">
              <w:rPr>
                <w:rFonts w:cstheme="minorHAnsi"/>
              </w:rPr>
              <w:t xml:space="preserve">Ground guts in 300ul 25% strength Ringer’s solution </w:t>
            </w:r>
          </w:p>
        </w:tc>
        <w:tc>
          <w:tcPr>
            <w:tcW w:w="1598" w:type="dxa"/>
          </w:tcPr>
          <w:p w14:paraId="3DBA14B6" w14:textId="77777777" w:rsidR="004868D0" w:rsidRPr="00665138" w:rsidRDefault="004868D0" w:rsidP="00DC7C34">
            <w:pPr>
              <w:rPr>
                <w:rFonts w:cstheme="minorHAnsi"/>
              </w:rPr>
            </w:pPr>
          </w:p>
        </w:tc>
      </w:tr>
      <w:tr w:rsidR="00665138" w:rsidRPr="00665138" w14:paraId="478908D1" w14:textId="77777777" w:rsidTr="00DC7C34">
        <w:trPr>
          <w:trHeight w:val="1541"/>
        </w:trPr>
        <w:tc>
          <w:tcPr>
            <w:tcW w:w="4390" w:type="dxa"/>
          </w:tcPr>
          <w:p w14:paraId="2DFDC50D" w14:textId="77777777" w:rsidR="004868D0" w:rsidRPr="00665138" w:rsidRDefault="004868D0" w:rsidP="00C15AFC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138">
              <w:rPr>
                <w:rFonts w:asciiTheme="minorHAnsi" w:hAnsiTheme="minorHAnsi" w:cstheme="minorHAnsi"/>
                <w:sz w:val="22"/>
                <w:szCs w:val="22"/>
              </w:rPr>
              <w:t xml:space="preserve">LoCascio, G. M., Pasquale, R., Amponsah, E., Irwin, R. E., &amp; Adler, L. S. (2019). </w:t>
            </w:r>
          </w:p>
          <w:p w14:paraId="7B7D5ED5" w14:textId="77777777" w:rsidR="004868D0" w:rsidRPr="00665138" w:rsidRDefault="004868D0" w:rsidP="00C15AFC">
            <w:pPr>
              <w:pStyle w:val="NormalWeb"/>
              <w:spacing w:before="0" w:beforeAutospacing="0"/>
              <w:rPr>
                <w:rFonts w:cstheme="minorHAnsi"/>
              </w:rPr>
            </w:pPr>
            <w:r w:rsidRPr="00665138">
              <w:rPr>
                <w:rFonts w:asciiTheme="minorHAnsi" w:hAnsiTheme="minorHAnsi" w:cstheme="minorHAnsi"/>
                <w:sz w:val="20"/>
                <w:szCs w:val="22"/>
              </w:rPr>
              <w:t xml:space="preserve">Effect of timing and exposure of sunflower pollen on a common gut pathogen of bumble bees. </w:t>
            </w:r>
            <w:r w:rsidRPr="00665138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>Ecological Entomology</w:t>
            </w:r>
            <w:r w:rsidRPr="00665138">
              <w:rPr>
                <w:rFonts w:asciiTheme="minorHAnsi" w:hAnsiTheme="minorHAnsi" w:cstheme="minorHAnsi"/>
                <w:sz w:val="20"/>
                <w:szCs w:val="22"/>
              </w:rPr>
              <w:t>. https://doi.org/10.1111/een.12751</w:t>
            </w:r>
          </w:p>
        </w:tc>
        <w:tc>
          <w:tcPr>
            <w:tcW w:w="1275" w:type="dxa"/>
          </w:tcPr>
          <w:p w14:paraId="13AC0CCA" w14:textId="77777777" w:rsidR="004868D0" w:rsidRPr="00665138" w:rsidRDefault="004868D0" w:rsidP="00DC7C34">
            <w:pPr>
              <w:rPr>
                <w:rFonts w:cstheme="minorHAnsi"/>
              </w:rPr>
            </w:pPr>
            <w:r w:rsidRPr="00665138">
              <w:rPr>
                <w:rFonts w:cstheme="minorHAnsi"/>
              </w:rPr>
              <w:t>3-4</w:t>
            </w:r>
          </w:p>
        </w:tc>
        <w:tc>
          <w:tcPr>
            <w:tcW w:w="1701" w:type="dxa"/>
          </w:tcPr>
          <w:p w14:paraId="4A735B27" w14:textId="5BA73E7D" w:rsidR="004868D0" w:rsidRPr="00665138" w:rsidRDefault="004868D0" w:rsidP="00DC7C34">
            <w:pPr>
              <w:rPr>
                <w:rFonts w:cstheme="minorHAnsi"/>
              </w:rPr>
            </w:pPr>
            <w:r w:rsidRPr="00665138">
              <w:rPr>
                <w:rFonts w:cstheme="minorHAnsi"/>
              </w:rPr>
              <w:t>Guts (not specified)</w:t>
            </w:r>
            <w:r w:rsidR="00626174" w:rsidRPr="00665138">
              <w:rPr>
                <w:rFonts w:cstheme="minorHAnsi"/>
              </w:rPr>
              <w:t xml:space="preserve"> not frozen</w:t>
            </w:r>
          </w:p>
        </w:tc>
        <w:tc>
          <w:tcPr>
            <w:tcW w:w="1843" w:type="dxa"/>
          </w:tcPr>
          <w:p w14:paraId="467CC2BB" w14:textId="77777777" w:rsidR="004868D0" w:rsidRPr="00665138" w:rsidRDefault="004868D0" w:rsidP="00DC7C34">
            <w:pPr>
              <w:rPr>
                <w:rFonts w:cstheme="minorHAnsi"/>
              </w:rPr>
            </w:pPr>
            <w:r w:rsidRPr="00665138">
              <w:rPr>
                <w:rFonts w:cstheme="minorHAnsi"/>
              </w:rPr>
              <w:t>Ground guts with 300ul 25% Ringer’s solution</w:t>
            </w:r>
          </w:p>
          <w:p w14:paraId="3B47586D" w14:textId="77777777" w:rsidR="004868D0" w:rsidRPr="00665138" w:rsidRDefault="004868D0" w:rsidP="00DC7C34">
            <w:pPr>
              <w:rPr>
                <w:rFonts w:cstheme="minorHAnsi"/>
              </w:rPr>
            </w:pPr>
          </w:p>
          <w:p w14:paraId="3B1814EE" w14:textId="77777777" w:rsidR="004868D0" w:rsidRPr="00665138" w:rsidRDefault="004868D0" w:rsidP="00DC7C34">
            <w:pPr>
              <w:rPr>
                <w:rFonts w:cstheme="minorHAnsi"/>
              </w:rPr>
            </w:pPr>
          </w:p>
        </w:tc>
        <w:tc>
          <w:tcPr>
            <w:tcW w:w="1598" w:type="dxa"/>
          </w:tcPr>
          <w:p w14:paraId="25E7C54E" w14:textId="77777777" w:rsidR="004868D0" w:rsidRPr="00665138" w:rsidRDefault="004868D0" w:rsidP="00DC7C34">
            <w:pPr>
              <w:rPr>
                <w:rFonts w:cstheme="minorHAnsi"/>
              </w:rPr>
            </w:pPr>
            <w:r w:rsidRPr="00665138">
              <w:rPr>
                <w:rFonts w:cstheme="minorHAnsi"/>
              </w:rPr>
              <w:t>Counted ‘live and actively moving Crithidia’</w:t>
            </w:r>
          </w:p>
        </w:tc>
      </w:tr>
      <w:tr w:rsidR="00665138" w:rsidRPr="00665138" w14:paraId="7D11CCEF" w14:textId="77777777" w:rsidTr="00DC7C34">
        <w:trPr>
          <w:trHeight w:val="1536"/>
        </w:trPr>
        <w:tc>
          <w:tcPr>
            <w:tcW w:w="4390" w:type="dxa"/>
          </w:tcPr>
          <w:p w14:paraId="6F241EB4" w14:textId="77777777" w:rsidR="004868D0" w:rsidRPr="00665138" w:rsidRDefault="004868D0" w:rsidP="00C15AFC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138">
              <w:rPr>
                <w:rFonts w:asciiTheme="minorHAnsi" w:hAnsiTheme="minorHAnsi" w:cstheme="minorHAnsi"/>
                <w:sz w:val="22"/>
                <w:szCs w:val="22"/>
              </w:rPr>
              <w:t xml:space="preserve">LoCascio, G. M., Aguirre, L., Irwin, R. E., &amp; Adler, L. S. (2019). </w:t>
            </w:r>
          </w:p>
          <w:p w14:paraId="57BAC4FE" w14:textId="77777777" w:rsidR="004868D0" w:rsidRPr="00665138" w:rsidRDefault="004868D0" w:rsidP="00C15AFC">
            <w:pPr>
              <w:pStyle w:val="NormalWeb"/>
              <w:spacing w:before="0" w:beforeAutospacing="0" w:after="0" w:afterAutospacing="0"/>
              <w:rPr>
                <w:rFonts w:cstheme="minorHAnsi"/>
              </w:rPr>
            </w:pPr>
            <w:r w:rsidRPr="00665138">
              <w:rPr>
                <w:rFonts w:asciiTheme="minorHAnsi" w:hAnsiTheme="minorHAnsi" w:cstheme="minorHAnsi"/>
                <w:sz w:val="20"/>
                <w:szCs w:val="22"/>
              </w:rPr>
              <w:t xml:space="preserve">Pollen from multiple sunflower cultivars and species reduces a common bumblebee gut pathogen. </w:t>
            </w:r>
            <w:r w:rsidRPr="00665138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>Royal Society Open Science</w:t>
            </w:r>
            <w:r w:rsidRPr="00665138">
              <w:rPr>
                <w:rFonts w:asciiTheme="minorHAnsi" w:hAnsiTheme="minorHAnsi" w:cstheme="minorHAnsi"/>
                <w:sz w:val="20"/>
                <w:szCs w:val="22"/>
              </w:rPr>
              <w:t>. https://doi.org/10.1098/rsos.190279</w:t>
            </w:r>
          </w:p>
        </w:tc>
        <w:tc>
          <w:tcPr>
            <w:tcW w:w="1275" w:type="dxa"/>
          </w:tcPr>
          <w:p w14:paraId="332429CD" w14:textId="77777777" w:rsidR="004868D0" w:rsidRPr="00665138" w:rsidRDefault="004868D0" w:rsidP="00DC7C34">
            <w:pPr>
              <w:rPr>
                <w:rFonts w:cstheme="minorHAnsi"/>
              </w:rPr>
            </w:pPr>
            <w:r w:rsidRPr="00665138">
              <w:rPr>
                <w:rFonts w:cstheme="minorHAnsi"/>
              </w:rPr>
              <w:t>4-5</w:t>
            </w:r>
          </w:p>
        </w:tc>
        <w:tc>
          <w:tcPr>
            <w:tcW w:w="1701" w:type="dxa"/>
          </w:tcPr>
          <w:p w14:paraId="0D647C09" w14:textId="3B008CEB" w:rsidR="004868D0" w:rsidRPr="00665138" w:rsidRDefault="004868D0" w:rsidP="00DC7C34">
            <w:pPr>
              <w:rPr>
                <w:rFonts w:cstheme="minorHAnsi"/>
              </w:rPr>
            </w:pPr>
            <w:r w:rsidRPr="00665138">
              <w:rPr>
                <w:rFonts w:cstheme="minorHAnsi"/>
              </w:rPr>
              <w:t>Mid and hindguts</w:t>
            </w:r>
            <w:r w:rsidR="00626174" w:rsidRPr="00665138">
              <w:rPr>
                <w:rFonts w:cstheme="minorHAnsi"/>
              </w:rPr>
              <w:t xml:space="preserve"> not frozen</w:t>
            </w:r>
          </w:p>
        </w:tc>
        <w:tc>
          <w:tcPr>
            <w:tcW w:w="1843" w:type="dxa"/>
          </w:tcPr>
          <w:p w14:paraId="62F72196" w14:textId="77777777" w:rsidR="004868D0" w:rsidRPr="00665138" w:rsidRDefault="004868D0" w:rsidP="00DC7C34">
            <w:pPr>
              <w:rPr>
                <w:rFonts w:cstheme="minorHAnsi"/>
              </w:rPr>
            </w:pPr>
            <w:r w:rsidRPr="00665138">
              <w:rPr>
                <w:rFonts w:cstheme="minorHAnsi"/>
              </w:rPr>
              <w:t xml:space="preserve">Ground guts in 300ul of 25% Ringer’s solution </w:t>
            </w:r>
          </w:p>
        </w:tc>
        <w:tc>
          <w:tcPr>
            <w:tcW w:w="1598" w:type="dxa"/>
          </w:tcPr>
          <w:p w14:paraId="3DD059CC" w14:textId="77777777" w:rsidR="004868D0" w:rsidRPr="00665138" w:rsidRDefault="004868D0" w:rsidP="00DC7C34">
            <w:pPr>
              <w:rPr>
                <w:rFonts w:cstheme="minorHAnsi"/>
              </w:rPr>
            </w:pPr>
          </w:p>
        </w:tc>
      </w:tr>
      <w:tr w:rsidR="00665138" w:rsidRPr="00665138" w14:paraId="760897D9" w14:textId="77777777" w:rsidTr="00DC7C34">
        <w:trPr>
          <w:trHeight w:val="1841"/>
        </w:trPr>
        <w:tc>
          <w:tcPr>
            <w:tcW w:w="4390" w:type="dxa"/>
          </w:tcPr>
          <w:p w14:paraId="2EEFE742" w14:textId="77777777" w:rsidR="004868D0" w:rsidRPr="00665138" w:rsidRDefault="004868D0" w:rsidP="00C15AFC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51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Aguirre, L. A., Davis, J. K., Stevenson, P. C., &amp; Adler, L. S. (2020). </w:t>
            </w:r>
          </w:p>
          <w:p w14:paraId="4487A153" w14:textId="77777777" w:rsidR="004868D0" w:rsidRPr="00665138" w:rsidRDefault="004868D0" w:rsidP="00C15AFC">
            <w:pPr>
              <w:pStyle w:val="NormalWeb"/>
              <w:spacing w:before="0" w:beforeAutospacing="0" w:after="0" w:afterAutospacing="0"/>
              <w:ind w:firstLine="25"/>
              <w:rPr>
                <w:rFonts w:asciiTheme="minorHAnsi" w:hAnsiTheme="minorHAnsi" w:cstheme="minorHAnsi"/>
                <w:sz w:val="22"/>
                <w:szCs w:val="22"/>
              </w:rPr>
            </w:pPr>
            <w:r w:rsidRPr="00665138">
              <w:rPr>
                <w:rFonts w:asciiTheme="minorHAnsi" w:hAnsiTheme="minorHAnsi" w:cstheme="minorHAnsi"/>
                <w:sz w:val="20"/>
                <w:szCs w:val="22"/>
              </w:rPr>
              <w:t xml:space="preserve">Herbivory and Time Since Flowering Shape Floral Rewards and Pollinator-Pathogen Interactions. </w:t>
            </w:r>
            <w:r w:rsidRPr="00665138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>Journal of Chemical Ecology</w:t>
            </w:r>
            <w:r w:rsidRPr="00665138">
              <w:rPr>
                <w:rFonts w:asciiTheme="minorHAnsi" w:hAnsiTheme="minorHAnsi" w:cstheme="minorHAnsi"/>
                <w:sz w:val="20"/>
                <w:szCs w:val="22"/>
              </w:rPr>
              <w:t>. https://doi.org/10.1007/s10886-020-01213-2</w:t>
            </w:r>
          </w:p>
        </w:tc>
        <w:tc>
          <w:tcPr>
            <w:tcW w:w="1275" w:type="dxa"/>
          </w:tcPr>
          <w:p w14:paraId="2244B888" w14:textId="77777777" w:rsidR="004868D0" w:rsidRPr="00665138" w:rsidRDefault="004868D0" w:rsidP="00DC7C34">
            <w:pPr>
              <w:rPr>
                <w:rFonts w:cstheme="minorHAnsi"/>
              </w:rPr>
            </w:pPr>
            <w:r w:rsidRPr="00665138">
              <w:rPr>
                <w:rFonts w:cstheme="minorHAnsi"/>
              </w:rPr>
              <w:t>4</w:t>
            </w:r>
          </w:p>
        </w:tc>
        <w:tc>
          <w:tcPr>
            <w:tcW w:w="1701" w:type="dxa"/>
          </w:tcPr>
          <w:p w14:paraId="416808E8" w14:textId="24886291" w:rsidR="004868D0" w:rsidRPr="00665138" w:rsidRDefault="004868D0" w:rsidP="00DC7C34">
            <w:pPr>
              <w:rPr>
                <w:rFonts w:cstheme="minorHAnsi"/>
              </w:rPr>
            </w:pPr>
            <w:r w:rsidRPr="00665138">
              <w:rPr>
                <w:rFonts w:cstheme="minorHAnsi"/>
              </w:rPr>
              <w:t>Hindguts</w:t>
            </w:r>
            <w:r w:rsidR="00626174" w:rsidRPr="00665138">
              <w:rPr>
                <w:rFonts w:cstheme="minorHAnsi"/>
              </w:rPr>
              <w:t xml:space="preserve"> not frozen</w:t>
            </w:r>
          </w:p>
        </w:tc>
        <w:tc>
          <w:tcPr>
            <w:tcW w:w="1843" w:type="dxa"/>
          </w:tcPr>
          <w:p w14:paraId="4F2A7B68" w14:textId="77777777" w:rsidR="004868D0" w:rsidRPr="00665138" w:rsidRDefault="004868D0" w:rsidP="00DC7C34">
            <w:pPr>
              <w:rPr>
                <w:rFonts w:cstheme="minorHAnsi"/>
              </w:rPr>
            </w:pPr>
            <w:r w:rsidRPr="00665138">
              <w:rPr>
                <w:rFonts w:cstheme="minorHAnsi"/>
              </w:rPr>
              <w:t>Ground hindguts in Ringer’s solution</w:t>
            </w:r>
          </w:p>
        </w:tc>
        <w:tc>
          <w:tcPr>
            <w:tcW w:w="1598" w:type="dxa"/>
          </w:tcPr>
          <w:p w14:paraId="2BCD176E" w14:textId="77777777" w:rsidR="004868D0" w:rsidRPr="00665138" w:rsidRDefault="004868D0" w:rsidP="00DC7C34">
            <w:pPr>
              <w:rPr>
                <w:rFonts w:cstheme="minorHAnsi"/>
              </w:rPr>
            </w:pPr>
            <w:r w:rsidRPr="00665138">
              <w:rPr>
                <w:rFonts w:cstheme="minorHAnsi"/>
              </w:rPr>
              <w:t xml:space="preserve">Counted ‘live’ Crithidia cells </w:t>
            </w:r>
          </w:p>
        </w:tc>
      </w:tr>
    </w:tbl>
    <w:p w14:paraId="289CD098" w14:textId="77777777" w:rsidR="00520BA3" w:rsidRPr="00665138" w:rsidRDefault="00520BA3"/>
    <w:p w14:paraId="60E34140" w14:textId="77777777" w:rsidR="0083673A" w:rsidRPr="00665138" w:rsidRDefault="0083673A"/>
    <w:p w14:paraId="23116FDF" w14:textId="79F76151" w:rsidR="0083673A" w:rsidRPr="00665138" w:rsidRDefault="0083673A">
      <w:r w:rsidRPr="00665138">
        <w:rPr>
          <w:noProof/>
        </w:rPr>
        <w:drawing>
          <wp:inline distT="0" distB="0" distL="0" distR="0" wp14:anchorId="225D635D" wp14:editId="70A5D635">
            <wp:extent cx="5731510" cy="2693670"/>
            <wp:effectExtent l="0" t="0" r="2540" b="0"/>
            <wp:docPr id="15" name="Picture 15" descr="A picture containing text, indoor, dirty, seve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text, indoor, dirty, severa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D1A0B" w14:textId="6B916F7B" w:rsidR="0083673A" w:rsidRPr="00665138" w:rsidRDefault="0083673A" w:rsidP="0025364D">
      <w:pPr>
        <w:spacing w:line="276" w:lineRule="auto"/>
        <w:jc w:val="both"/>
      </w:pPr>
      <w:r w:rsidRPr="00665138">
        <w:rPr>
          <w:b/>
          <w:bCs/>
        </w:rPr>
        <w:t xml:space="preserve">Fig. </w:t>
      </w:r>
      <w:r w:rsidR="00B1059F" w:rsidRPr="00665138">
        <w:rPr>
          <w:b/>
          <w:bCs/>
        </w:rPr>
        <w:t>S</w:t>
      </w:r>
      <w:r w:rsidRPr="00665138">
        <w:rPr>
          <w:b/>
          <w:bCs/>
        </w:rPr>
        <w:t xml:space="preserve">1 </w:t>
      </w:r>
      <w:r w:rsidRPr="00665138">
        <w:rPr>
          <w:i/>
          <w:iCs/>
        </w:rPr>
        <w:t xml:space="preserve">Bombus terrestris audax </w:t>
      </w:r>
      <w:r w:rsidRPr="00665138">
        <w:t xml:space="preserve">were housed in </w:t>
      </w:r>
      <w:proofErr w:type="spellStart"/>
      <w:r w:rsidRPr="00665138">
        <w:t>nicot</w:t>
      </w:r>
      <w:proofErr w:type="spellEnd"/>
      <w:r w:rsidRPr="00665138">
        <w:t xml:space="preserve"> cages (Becky’s bees, UK) throughout the experiment. Syringes were taped to the base of the </w:t>
      </w:r>
      <w:proofErr w:type="spellStart"/>
      <w:r w:rsidRPr="00665138">
        <w:t>nicot</w:t>
      </w:r>
      <w:proofErr w:type="spellEnd"/>
      <w:r w:rsidRPr="00665138">
        <w:t xml:space="preserve"> cage and used to inoculate and feed the bees. </w:t>
      </w:r>
    </w:p>
    <w:p w14:paraId="5CC02E24" w14:textId="77777777" w:rsidR="0083673A" w:rsidRPr="00665138" w:rsidRDefault="0083673A" w:rsidP="0025364D">
      <w:pPr>
        <w:spacing w:line="276" w:lineRule="auto"/>
        <w:jc w:val="both"/>
      </w:pPr>
    </w:p>
    <w:p w14:paraId="2A24A84E" w14:textId="667D7C9A" w:rsidR="0082427F" w:rsidRPr="00665138" w:rsidRDefault="0082427F" w:rsidP="0025364D">
      <w:pPr>
        <w:spacing w:line="276" w:lineRule="auto"/>
        <w:jc w:val="both"/>
      </w:pPr>
      <w:r w:rsidRPr="00665138">
        <w:rPr>
          <w:b/>
          <w:bCs/>
        </w:rPr>
        <w:t xml:space="preserve">Table S2. </w:t>
      </w:r>
      <w:r w:rsidRPr="00665138">
        <w:t xml:space="preserve">Comparison infection prevalence and intensity estimates from studies that use the gut and faecal sampling method. </w:t>
      </w:r>
      <w:r w:rsidR="006A7981" w:rsidRPr="00665138">
        <w:t xml:space="preserve">When empirical data was not available, </w:t>
      </w:r>
      <w:proofErr w:type="spellStart"/>
      <w:r w:rsidR="006A7981" w:rsidRPr="00665138">
        <w:t>Webplot</w:t>
      </w:r>
      <w:proofErr w:type="spellEnd"/>
      <w:r w:rsidR="006A7981" w:rsidRPr="00665138">
        <w:t xml:space="preserve"> digitizer was used to extract data from figures.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275"/>
        <w:gridCol w:w="851"/>
        <w:gridCol w:w="850"/>
        <w:gridCol w:w="1276"/>
        <w:gridCol w:w="1134"/>
        <w:gridCol w:w="1559"/>
      </w:tblGrid>
      <w:tr w:rsidR="00665138" w:rsidRPr="00665138" w14:paraId="50D3936F" w14:textId="77777777" w:rsidTr="00DF7AA7">
        <w:tc>
          <w:tcPr>
            <w:tcW w:w="988" w:type="dxa"/>
          </w:tcPr>
          <w:p w14:paraId="3CB36844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Sampling method</w:t>
            </w:r>
          </w:p>
        </w:tc>
        <w:tc>
          <w:tcPr>
            <w:tcW w:w="1701" w:type="dxa"/>
          </w:tcPr>
          <w:p w14:paraId="49B3BA7D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Study</w:t>
            </w:r>
          </w:p>
        </w:tc>
        <w:tc>
          <w:tcPr>
            <w:tcW w:w="1275" w:type="dxa"/>
          </w:tcPr>
          <w:p w14:paraId="0F0639AF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Host species</w:t>
            </w:r>
          </w:p>
        </w:tc>
        <w:tc>
          <w:tcPr>
            <w:tcW w:w="851" w:type="dxa"/>
          </w:tcPr>
          <w:p w14:paraId="7CDFB41B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Dose (cells)</w:t>
            </w:r>
          </w:p>
        </w:tc>
        <w:tc>
          <w:tcPr>
            <w:tcW w:w="850" w:type="dxa"/>
          </w:tcPr>
          <w:p w14:paraId="2D0D5F3A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Days post-infection</w:t>
            </w:r>
          </w:p>
        </w:tc>
        <w:tc>
          <w:tcPr>
            <w:tcW w:w="1276" w:type="dxa"/>
          </w:tcPr>
          <w:p w14:paraId="750B11CD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Infection intensity (cells/</w:t>
            </w:r>
            <w:proofErr w:type="spellStart"/>
            <w:r w:rsidRPr="00665138">
              <w:rPr>
                <w:sz w:val="20"/>
                <w:szCs w:val="20"/>
              </w:rPr>
              <w:t>μL</w:t>
            </w:r>
            <w:proofErr w:type="spellEnd"/>
            <w:r w:rsidRPr="0066513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44B6EE97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Infection prevalence (%)</w:t>
            </w:r>
          </w:p>
        </w:tc>
        <w:tc>
          <w:tcPr>
            <w:tcW w:w="1559" w:type="dxa"/>
          </w:tcPr>
          <w:p w14:paraId="38EC0048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Notes</w:t>
            </w:r>
          </w:p>
        </w:tc>
      </w:tr>
      <w:tr w:rsidR="00665138" w:rsidRPr="00665138" w14:paraId="676B53FF" w14:textId="77777777" w:rsidTr="00DF7AA7">
        <w:tc>
          <w:tcPr>
            <w:tcW w:w="988" w:type="dxa"/>
            <w:vMerge w:val="restart"/>
          </w:tcPr>
          <w:p w14:paraId="5FCBFBE3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Gut</w:t>
            </w:r>
          </w:p>
        </w:tc>
        <w:tc>
          <w:tcPr>
            <w:tcW w:w="1701" w:type="dxa"/>
          </w:tcPr>
          <w:p w14:paraId="2F8B2941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Aguirre LA, Davis JK, Stevenson PC, Adler LS. Herbivory and Time Since Flowering Shape Floral Rewards and Pollinator-Pathogen Interactions. J Chem Ecol. 2020;46:978–986. doi:10.1007/s10886-020-01213-2</w:t>
            </w:r>
          </w:p>
        </w:tc>
        <w:tc>
          <w:tcPr>
            <w:tcW w:w="1275" w:type="dxa"/>
          </w:tcPr>
          <w:p w14:paraId="08BA6AC6" w14:textId="77777777" w:rsidR="0082427F" w:rsidRPr="00665138" w:rsidRDefault="0082427F" w:rsidP="00DF7AA7">
            <w:pPr>
              <w:rPr>
                <w:i/>
                <w:iCs/>
                <w:sz w:val="20"/>
                <w:szCs w:val="20"/>
              </w:rPr>
            </w:pPr>
            <w:r w:rsidRPr="00665138">
              <w:rPr>
                <w:i/>
                <w:iCs/>
                <w:sz w:val="20"/>
                <w:szCs w:val="20"/>
              </w:rPr>
              <w:t>B. impatiens</w:t>
            </w:r>
          </w:p>
        </w:tc>
        <w:tc>
          <w:tcPr>
            <w:tcW w:w="851" w:type="dxa"/>
          </w:tcPr>
          <w:p w14:paraId="729EDE55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6,000</w:t>
            </w:r>
          </w:p>
        </w:tc>
        <w:tc>
          <w:tcPr>
            <w:tcW w:w="850" w:type="dxa"/>
          </w:tcPr>
          <w:p w14:paraId="53C449C1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2C4E5A17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555</w:t>
            </w:r>
          </w:p>
        </w:tc>
        <w:tc>
          <w:tcPr>
            <w:tcW w:w="1134" w:type="dxa"/>
          </w:tcPr>
          <w:p w14:paraId="54E2EA30" w14:textId="77777777" w:rsidR="0082427F" w:rsidRPr="00665138" w:rsidRDefault="0082427F" w:rsidP="00DF7AA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03F185E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Counted ‘live’ cells</w:t>
            </w:r>
          </w:p>
          <w:p w14:paraId="2F969B53" w14:textId="77777777" w:rsidR="0082427F" w:rsidRPr="00665138" w:rsidRDefault="0082427F" w:rsidP="00DF7AA7">
            <w:pPr>
              <w:rPr>
                <w:sz w:val="20"/>
                <w:szCs w:val="20"/>
              </w:rPr>
            </w:pPr>
          </w:p>
          <w:p w14:paraId="3FD19C70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Estimate taken from ‘within 1 month undamaged’ control treatment.</w:t>
            </w:r>
          </w:p>
        </w:tc>
      </w:tr>
      <w:tr w:rsidR="00665138" w:rsidRPr="00665138" w14:paraId="55F2ED34" w14:textId="77777777" w:rsidTr="00DF7AA7">
        <w:tc>
          <w:tcPr>
            <w:tcW w:w="988" w:type="dxa"/>
            <w:vMerge/>
          </w:tcPr>
          <w:p w14:paraId="1B823947" w14:textId="77777777" w:rsidR="0082427F" w:rsidRPr="00665138" w:rsidRDefault="0082427F" w:rsidP="00DF7AA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DDC11E3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 xml:space="preserve">Fowler AE, Giacomini JJ, Connon SJ, Irwin RE, Adler LS. Sunflower pollen reduces a gut pathogen in the model bee species, Bombus impatiens, but has weaker effects in three wild congeners. Proc R Soc B </w:t>
            </w:r>
            <w:proofErr w:type="spellStart"/>
            <w:r w:rsidRPr="00665138">
              <w:rPr>
                <w:sz w:val="20"/>
                <w:szCs w:val="20"/>
              </w:rPr>
              <w:t>Biol</w:t>
            </w:r>
            <w:proofErr w:type="spellEnd"/>
            <w:r w:rsidRPr="00665138">
              <w:rPr>
                <w:sz w:val="20"/>
                <w:szCs w:val="20"/>
              </w:rPr>
              <w:t xml:space="preserve"> Sci. 2022;289(1968):20211909. doi:10.1098/rspb.2021.1909</w:t>
            </w:r>
          </w:p>
        </w:tc>
        <w:tc>
          <w:tcPr>
            <w:tcW w:w="1275" w:type="dxa"/>
          </w:tcPr>
          <w:p w14:paraId="2EA71B0A" w14:textId="77777777" w:rsidR="0082427F" w:rsidRPr="00665138" w:rsidRDefault="0082427F" w:rsidP="00DF7AA7">
            <w:pPr>
              <w:rPr>
                <w:i/>
                <w:iCs/>
                <w:sz w:val="20"/>
                <w:szCs w:val="20"/>
              </w:rPr>
            </w:pPr>
            <w:r w:rsidRPr="00665138">
              <w:rPr>
                <w:i/>
                <w:iCs/>
                <w:sz w:val="20"/>
                <w:szCs w:val="20"/>
              </w:rPr>
              <w:t>B. impatiens</w:t>
            </w:r>
          </w:p>
        </w:tc>
        <w:tc>
          <w:tcPr>
            <w:tcW w:w="851" w:type="dxa"/>
          </w:tcPr>
          <w:p w14:paraId="5BC525EC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6,000</w:t>
            </w:r>
          </w:p>
        </w:tc>
        <w:tc>
          <w:tcPr>
            <w:tcW w:w="850" w:type="dxa"/>
          </w:tcPr>
          <w:p w14:paraId="354CC007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14:paraId="5C6F9898" w14:textId="77777777" w:rsidR="0082427F" w:rsidRPr="00665138" w:rsidRDefault="0082427F" w:rsidP="00DF7AA7">
            <w:pPr>
              <w:rPr>
                <w:rFonts w:cstheme="minorHAnsi"/>
                <w:sz w:val="20"/>
              </w:rPr>
            </w:pPr>
            <w:r w:rsidRPr="00665138">
              <w:rPr>
                <w:rFonts w:cstheme="minorHAnsi"/>
                <w:sz w:val="20"/>
              </w:rPr>
              <w:t>wild colony 2016: 14,450</w:t>
            </w:r>
          </w:p>
          <w:p w14:paraId="403DE712" w14:textId="77777777" w:rsidR="0082427F" w:rsidRPr="00665138" w:rsidRDefault="0082427F" w:rsidP="00DF7AA7">
            <w:pPr>
              <w:rPr>
                <w:rFonts w:cstheme="minorHAnsi"/>
                <w:sz w:val="20"/>
              </w:rPr>
            </w:pPr>
          </w:p>
          <w:p w14:paraId="21D66DF0" w14:textId="77777777" w:rsidR="0082427F" w:rsidRPr="00665138" w:rsidRDefault="0082427F" w:rsidP="00DF7AA7">
            <w:pPr>
              <w:rPr>
                <w:rFonts w:cstheme="minorHAnsi"/>
                <w:sz w:val="20"/>
              </w:rPr>
            </w:pPr>
            <w:r w:rsidRPr="00665138">
              <w:rPr>
                <w:rFonts w:cstheme="minorHAnsi"/>
                <w:sz w:val="20"/>
              </w:rPr>
              <w:t>commercial colony 2016: 2,250</w:t>
            </w:r>
          </w:p>
          <w:p w14:paraId="3A446635" w14:textId="77777777" w:rsidR="0082427F" w:rsidRPr="00665138" w:rsidRDefault="0082427F" w:rsidP="00DF7AA7">
            <w:pPr>
              <w:rPr>
                <w:rFonts w:cstheme="minorHAnsi"/>
                <w:sz w:val="20"/>
              </w:rPr>
            </w:pPr>
          </w:p>
          <w:p w14:paraId="6D11C6CF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rFonts w:cstheme="minorHAnsi"/>
                <w:sz w:val="20"/>
              </w:rPr>
              <w:t>wild colony 2020: 2,600</w:t>
            </w:r>
          </w:p>
        </w:tc>
        <w:tc>
          <w:tcPr>
            <w:tcW w:w="1134" w:type="dxa"/>
          </w:tcPr>
          <w:p w14:paraId="5E04DEF2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100</w:t>
            </w:r>
          </w:p>
          <w:p w14:paraId="7BE9CB8B" w14:textId="77777777" w:rsidR="0082427F" w:rsidRPr="00665138" w:rsidRDefault="0082427F" w:rsidP="00DF7AA7">
            <w:pPr>
              <w:rPr>
                <w:sz w:val="20"/>
                <w:szCs w:val="20"/>
              </w:rPr>
            </w:pPr>
          </w:p>
          <w:p w14:paraId="53328756" w14:textId="77777777" w:rsidR="0082427F" w:rsidRPr="00665138" w:rsidRDefault="0082427F" w:rsidP="00DF7AA7">
            <w:pPr>
              <w:rPr>
                <w:sz w:val="20"/>
                <w:szCs w:val="20"/>
              </w:rPr>
            </w:pPr>
          </w:p>
          <w:p w14:paraId="547EC130" w14:textId="77777777" w:rsidR="0082427F" w:rsidRPr="00665138" w:rsidRDefault="0082427F" w:rsidP="00DF7AA7">
            <w:pPr>
              <w:rPr>
                <w:sz w:val="20"/>
                <w:szCs w:val="20"/>
              </w:rPr>
            </w:pPr>
          </w:p>
          <w:p w14:paraId="1DC62B33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88</w:t>
            </w:r>
          </w:p>
          <w:p w14:paraId="5674186C" w14:textId="77777777" w:rsidR="0082427F" w:rsidRPr="00665138" w:rsidRDefault="0082427F" w:rsidP="00DF7AA7">
            <w:pPr>
              <w:rPr>
                <w:sz w:val="20"/>
                <w:szCs w:val="20"/>
              </w:rPr>
            </w:pPr>
          </w:p>
          <w:p w14:paraId="3ED9B95B" w14:textId="77777777" w:rsidR="0082427F" w:rsidRPr="00665138" w:rsidRDefault="0082427F" w:rsidP="00DF7AA7">
            <w:pPr>
              <w:rPr>
                <w:sz w:val="20"/>
                <w:szCs w:val="20"/>
              </w:rPr>
            </w:pPr>
          </w:p>
          <w:p w14:paraId="41A8B4E5" w14:textId="77777777" w:rsidR="0082427F" w:rsidRPr="00665138" w:rsidRDefault="0082427F" w:rsidP="00DF7AA7">
            <w:pPr>
              <w:rPr>
                <w:sz w:val="20"/>
                <w:szCs w:val="20"/>
              </w:rPr>
            </w:pPr>
          </w:p>
          <w:p w14:paraId="0030910F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93</w:t>
            </w:r>
          </w:p>
        </w:tc>
        <w:tc>
          <w:tcPr>
            <w:tcW w:w="1559" w:type="dxa"/>
          </w:tcPr>
          <w:p w14:paraId="62399416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Estimate taken from buckwheat control treatment.</w:t>
            </w:r>
          </w:p>
        </w:tc>
      </w:tr>
      <w:tr w:rsidR="00665138" w:rsidRPr="00665138" w14:paraId="71E36A97" w14:textId="77777777" w:rsidTr="00DF7AA7">
        <w:tc>
          <w:tcPr>
            <w:tcW w:w="988" w:type="dxa"/>
            <w:vMerge/>
          </w:tcPr>
          <w:p w14:paraId="6382CA9E" w14:textId="77777777" w:rsidR="0082427F" w:rsidRPr="00665138" w:rsidRDefault="0082427F" w:rsidP="00DF7AA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BA3EA5D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Giacomini JJ, Leslie J, Tarpy DR, Palmer-Young EC, Irwin RE, Adler LS. Medicinal value of sunflower pollen against bee pathogens. Sci Rep. 2018;8:14394. doi:10.1038/s41598-018-32681-y</w:t>
            </w:r>
          </w:p>
        </w:tc>
        <w:tc>
          <w:tcPr>
            <w:tcW w:w="1275" w:type="dxa"/>
          </w:tcPr>
          <w:p w14:paraId="4A62B8E4" w14:textId="77777777" w:rsidR="0082427F" w:rsidRPr="00665138" w:rsidRDefault="0082427F" w:rsidP="00DF7AA7">
            <w:pPr>
              <w:rPr>
                <w:i/>
                <w:iCs/>
                <w:sz w:val="20"/>
                <w:szCs w:val="20"/>
              </w:rPr>
            </w:pPr>
            <w:r w:rsidRPr="00665138">
              <w:rPr>
                <w:i/>
                <w:iCs/>
                <w:sz w:val="20"/>
                <w:szCs w:val="20"/>
              </w:rPr>
              <w:t>B. impatiens</w:t>
            </w:r>
          </w:p>
        </w:tc>
        <w:tc>
          <w:tcPr>
            <w:tcW w:w="851" w:type="dxa"/>
          </w:tcPr>
          <w:p w14:paraId="485BEB21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6,000</w:t>
            </w:r>
          </w:p>
        </w:tc>
        <w:tc>
          <w:tcPr>
            <w:tcW w:w="850" w:type="dxa"/>
          </w:tcPr>
          <w:p w14:paraId="095824D6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1589E309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Buckwheat pollen treatment: 5,500</w:t>
            </w:r>
          </w:p>
          <w:p w14:paraId="65D79A12" w14:textId="77777777" w:rsidR="0082427F" w:rsidRPr="00665138" w:rsidRDefault="0082427F" w:rsidP="00DF7AA7">
            <w:pPr>
              <w:rPr>
                <w:sz w:val="20"/>
                <w:szCs w:val="20"/>
              </w:rPr>
            </w:pPr>
          </w:p>
          <w:p w14:paraId="1B3EA186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Rapeseed pollen treatment: 2,000</w:t>
            </w:r>
          </w:p>
        </w:tc>
        <w:tc>
          <w:tcPr>
            <w:tcW w:w="1134" w:type="dxa"/>
          </w:tcPr>
          <w:p w14:paraId="4CC74441" w14:textId="77777777" w:rsidR="0082427F" w:rsidRPr="00665138" w:rsidRDefault="0082427F" w:rsidP="00DF7AA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39262C2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Estimate taken from buckwheat and rapeseed control treatments.</w:t>
            </w:r>
          </w:p>
        </w:tc>
      </w:tr>
      <w:tr w:rsidR="00665138" w:rsidRPr="00665138" w14:paraId="19847A54" w14:textId="77777777" w:rsidTr="00DF7AA7">
        <w:tc>
          <w:tcPr>
            <w:tcW w:w="988" w:type="dxa"/>
            <w:vMerge/>
          </w:tcPr>
          <w:p w14:paraId="3C7D12F3" w14:textId="77777777" w:rsidR="0082427F" w:rsidRPr="00665138" w:rsidRDefault="0082427F" w:rsidP="00DF7AA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54CC3EE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 xml:space="preserve">Anthony WE, Palmer-Young EC, Leonard AS, Irwin RE, Adler LS. Testing dose-dependent effects of the nectar alkaloid </w:t>
            </w:r>
            <w:proofErr w:type="spellStart"/>
            <w:r w:rsidRPr="00665138">
              <w:rPr>
                <w:sz w:val="20"/>
                <w:szCs w:val="20"/>
              </w:rPr>
              <w:t>anabasine</w:t>
            </w:r>
            <w:proofErr w:type="spellEnd"/>
            <w:r w:rsidRPr="00665138">
              <w:rPr>
                <w:sz w:val="20"/>
                <w:szCs w:val="20"/>
              </w:rPr>
              <w:t xml:space="preserve"> on trypanosome parasite loads in adult bumble bees. </w:t>
            </w:r>
            <w:proofErr w:type="spellStart"/>
            <w:r w:rsidRPr="00665138">
              <w:rPr>
                <w:sz w:val="20"/>
                <w:szCs w:val="20"/>
              </w:rPr>
              <w:t>PLoS</w:t>
            </w:r>
            <w:proofErr w:type="spellEnd"/>
            <w:r w:rsidRPr="00665138">
              <w:rPr>
                <w:sz w:val="20"/>
                <w:szCs w:val="20"/>
              </w:rPr>
              <w:t xml:space="preserve"> One. 2015;10(11):e0142496. doi:10.1371/journal.pone.0142496</w:t>
            </w:r>
          </w:p>
        </w:tc>
        <w:tc>
          <w:tcPr>
            <w:tcW w:w="1275" w:type="dxa"/>
          </w:tcPr>
          <w:p w14:paraId="0D053829" w14:textId="77777777" w:rsidR="0082427F" w:rsidRPr="00665138" w:rsidRDefault="0082427F" w:rsidP="00DF7AA7">
            <w:pPr>
              <w:rPr>
                <w:i/>
                <w:iCs/>
                <w:sz w:val="20"/>
                <w:szCs w:val="20"/>
              </w:rPr>
            </w:pPr>
            <w:r w:rsidRPr="00665138">
              <w:rPr>
                <w:i/>
                <w:iCs/>
                <w:sz w:val="20"/>
                <w:szCs w:val="20"/>
              </w:rPr>
              <w:t>B. impatiens</w:t>
            </w:r>
          </w:p>
        </w:tc>
        <w:tc>
          <w:tcPr>
            <w:tcW w:w="851" w:type="dxa"/>
          </w:tcPr>
          <w:p w14:paraId="1C48474D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6,000</w:t>
            </w:r>
          </w:p>
        </w:tc>
        <w:tc>
          <w:tcPr>
            <w:tcW w:w="850" w:type="dxa"/>
          </w:tcPr>
          <w:p w14:paraId="1BE4169D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Upon death</w:t>
            </w:r>
          </w:p>
        </w:tc>
        <w:tc>
          <w:tcPr>
            <w:tcW w:w="1276" w:type="dxa"/>
          </w:tcPr>
          <w:p w14:paraId="18443D02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885</w:t>
            </w:r>
          </w:p>
        </w:tc>
        <w:tc>
          <w:tcPr>
            <w:tcW w:w="1134" w:type="dxa"/>
          </w:tcPr>
          <w:p w14:paraId="0CE54381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14:paraId="525B742B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 xml:space="preserve">Estimate taken from 0ppm </w:t>
            </w:r>
            <w:proofErr w:type="spellStart"/>
            <w:r w:rsidRPr="00665138">
              <w:rPr>
                <w:sz w:val="20"/>
                <w:szCs w:val="20"/>
              </w:rPr>
              <w:t>anabasine</w:t>
            </w:r>
            <w:proofErr w:type="spellEnd"/>
            <w:r w:rsidRPr="00665138">
              <w:rPr>
                <w:sz w:val="20"/>
                <w:szCs w:val="20"/>
              </w:rPr>
              <w:t xml:space="preserve"> treatment.</w:t>
            </w:r>
          </w:p>
        </w:tc>
      </w:tr>
      <w:tr w:rsidR="00665138" w:rsidRPr="00665138" w14:paraId="1A9755F5" w14:textId="77777777" w:rsidTr="00DF7AA7">
        <w:tc>
          <w:tcPr>
            <w:tcW w:w="988" w:type="dxa"/>
            <w:vMerge w:val="restart"/>
          </w:tcPr>
          <w:p w14:paraId="0A55A0CA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Faecal</w:t>
            </w:r>
          </w:p>
        </w:tc>
        <w:tc>
          <w:tcPr>
            <w:tcW w:w="1701" w:type="dxa"/>
          </w:tcPr>
          <w:p w14:paraId="120628AC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 xml:space="preserve">Schmid-Hempel P, Puhr K, Krüger N, Reber C, Schmid-Hempel R. </w:t>
            </w:r>
            <w:proofErr w:type="gramStart"/>
            <w:r w:rsidRPr="00665138">
              <w:rPr>
                <w:sz w:val="20"/>
                <w:szCs w:val="20"/>
              </w:rPr>
              <w:t>Dynamic</w:t>
            </w:r>
            <w:proofErr w:type="gramEnd"/>
            <w:r w:rsidRPr="00665138">
              <w:rPr>
                <w:sz w:val="20"/>
                <w:szCs w:val="20"/>
              </w:rPr>
              <w:t xml:space="preserve"> and genetic consequences of variation in </w:t>
            </w:r>
            <w:r w:rsidRPr="00665138">
              <w:rPr>
                <w:sz w:val="20"/>
                <w:szCs w:val="20"/>
              </w:rPr>
              <w:lastRenderedPageBreak/>
              <w:t>horizontal transmission for a microparasitic infection. Evolution (N Y). 1999;53(2):426-434. doi:10.1111/j.1558-5646.1999.tb03778.x</w:t>
            </w:r>
          </w:p>
        </w:tc>
        <w:tc>
          <w:tcPr>
            <w:tcW w:w="1275" w:type="dxa"/>
          </w:tcPr>
          <w:p w14:paraId="1153064F" w14:textId="77777777" w:rsidR="0082427F" w:rsidRPr="00665138" w:rsidRDefault="0082427F" w:rsidP="00DF7AA7">
            <w:pPr>
              <w:rPr>
                <w:i/>
                <w:iCs/>
                <w:sz w:val="20"/>
                <w:szCs w:val="20"/>
              </w:rPr>
            </w:pPr>
            <w:r w:rsidRPr="00665138">
              <w:rPr>
                <w:i/>
                <w:iCs/>
                <w:sz w:val="20"/>
                <w:szCs w:val="20"/>
              </w:rPr>
              <w:lastRenderedPageBreak/>
              <w:t>B. terrestris</w:t>
            </w:r>
          </w:p>
        </w:tc>
        <w:tc>
          <w:tcPr>
            <w:tcW w:w="851" w:type="dxa"/>
          </w:tcPr>
          <w:p w14:paraId="3925C48A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10,000</w:t>
            </w:r>
          </w:p>
        </w:tc>
        <w:tc>
          <w:tcPr>
            <w:tcW w:w="850" w:type="dxa"/>
          </w:tcPr>
          <w:p w14:paraId="78F1B2AD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6B60A12A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</w:tcPr>
          <w:p w14:paraId="7513AE15" w14:textId="77777777" w:rsidR="0082427F" w:rsidRPr="00665138" w:rsidRDefault="0082427F" w:rsidP="00DF7AA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F0A5624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Estimate taken from ‘early, immediate’ treatment group</w:t>
            </w:r>
          </w:p>
        </w:tc>
      </w:tr>
      <w:tr w:rsidR="00665138" w:rsidRPr="00665138" w14:paraId="3110C2C9" w14:textId="77777777" w:rsidTr="00DF7AA7">
        <w:tc>
          <w:tcPr>
            <w:tcW w:w="988" w:type="dxa"/>
            <w:vMerge/>
          </w:tcPr>
          <w:p w14:paraId="3AC9584B" w14:textId="77777777" w:rsidR="0082427F" w:rsidRPr="00665138" w:rsidRDefault="0082427F" w:rsidP="00DF7AA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94D093D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proofErr w:type="spellStart"/>
            <w:r w:rsidRPr="00665138">
              <w:rPr>
                <w:sz w:val="20"/>
                <w:szCs w:val="20"/>
              </w:rPr>
              <w:t>Yourth</w:t>
            </w:r>
            <w:proofErr w:type="spellEnd"/>
            <w:r w:rsidRPr="00665138">
              <w:rPr>
                <w:sz w:val="20"/>
                <w:szCs w:val="20"/>
              </w:rPr>
              <w:t xml:space="preserve"> CP, Schmid-Hempel P. Serial passage of the parasite Crithidia bombi within a colony of its host, Bombus terrestris, reduces success in unrelated hosts. Proc R Soc B </w:t>
            </w:r>
            <w:proofErr w:type="spellStart"/>
            <w:r w:rsidRPr="00665138">
              <w:rPr>
                <w:sz w:val="20"/>
                <w:szCs w:val="20"/>
              </w:rPr>
              <w:t>Biol</w:t>
            </w:r>
            <w:proofErr w:type="spellEnd"/>
            <w:r w:rsidRPr="00665138">
              <w:rPr>
                <w:sz w:val="20"/>
                <w:szCs w:val="20"/>
              </w:rPr>
              <w:t xml:space="preserve"> Sci. 2006;273:655-659. doi:10.1098/rspb.2005.3371</w:t>
            </w:r>
          </w:p>
        </w:tc>
        <w:tc>
          <w:tcPr>
            <w:tcW w:w="1275" w:type="dxa"/>
          </w:tcPr>
          <w:p w14:paraId="7B685AC0" w14:textId="77777777" w:rsidR="0082427F" w:rsidRPr="00665138" w:rsidRDefault="0082427F" w:rsidP="00DF7AA7">
            <w:pPr>
              <w:rPr>
                <w:i/>
                <w:iCs/>
                <w:sz w:val="20"/>
                <w:szCs w:val="20"/>
              </w:rPr>
            </w:pPr>
            <w:r w:rsidRPr="00665138">
              <w:rPr>
                <w:i/>
                <w:iCs/>
                <w:sz w:val="20"/>
                <w:szCs w:val="20"/>
              </w:rPr>
              <w:t xml:space="preserve">B. terrestris </w:t>
            </w:r>
            <w:r w:rsidRPr="00665138">
              <w:rPr>
                <w:sz w:val="20"/>
                <w:szCs w:val="20"/>
              </w:rPr>
              <w:t xml:space="preserve">and </w:t>
            </w:r>
            <w:r w:rsidRPr="00665138">
              <w:rPr>
                <w:i/>
                <w:iCs/>
                <w:sz w:val="20"/>
                <w:szCs w:val="20"/>
              </w:rPr>
              <w:t xml:space="preserve">B. </w:t>
            </w:r>
            <w:proofErr w:type="spellStart"/>
            <w:r w:rsidRPr="00665138">
              <w:rPr>
                <w:i/>
                <w:iCs/>
                <w:sz w:val="20"/>
                <w:szCs w:val="20"/>
              </w:rPr>
              <w:t>lucorum</w:t>
            </w:r>
            <w:proofErr w:type="spellEnd"/>
          </w:p>
        </w:tc>
        <w:tc>
          <w:tcPr>
            <w:tcW w:w="851" w:type="dxa"/>
          </w:tcPr>
          <w:p w14:paraId="6D6E5FAC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10,000</w:t>
            </w:r>
          </w:p>
        </w:tc>
        <w:tc>
          <w:tcPr>
            <w:tcW w:w="850" w:type="dxa"/>
          </w:tcPr>
          <w:p w14:paraId="3E59474A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0210BAD4" w14:textId="77777777" w:rsidR="0082427F" w:rsidRPr="00665138" w:rsidRDefault="0082427F" w:rsidP="00DF7A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6DBFB6E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71</w:t>
            </w:r>
          </w:p>
        </w:tc>
        <w:tc>
          <w:tcPr>
            <w:tcW w:w="1559" w:type="dxa"/>
          </w:tcPr>
          <w:p w14:paraId="50498F71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Estimate taken from single passage between unrelated colonies.</w:t>
            </w:r>
          </w:p>
        </w:tc>
      </w:tr>
      <w:tr w:rsidR="00665138" w:rsidRPr="00665138" w14:paraId="7B1DF1CD" w14:textId="77777777" w:rsidTr="00DF7AA7">
        <w:tc>
          <w:tcPr>
            <w:tcW w:w="988" w:type="dxa"/>
            <w:vMerge/>
          </w:tcPr>
          <w:p w14:paraId="6B0D5F9A" w14:textId="77777777" w:rsidR="0082427F" w:rsidRPr="00665138" w:rsidRDefault="0082427F" w:rsidP="00DF7AA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B1974D4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Logan A, Ruiz-González MX, Brown MJF. The impact of host starvation on parasite development and population dynamics in an intestinal trypanosome parasite of bumble bees. Parasitology. 2005;130(6):637-642. doi:10.1017/S0031182005007304</w:t>
            </w:r>
          </w:p>
        </w:tc>
        <w:tc>
          <w:tcPr>
            <w:tcW w:w="1275" w:type="dxa"/>
          </w:tcPr>
          <w:p w14:paraId="1AA3D9C9" w14:textId="77777777" w:rsidR="0082427F" w:rsidRPr="00665138" w:rsidRDefault="0082427F" w:rsidP="00DF7AA7">
            <w:pPr>
              <w:rPr>
                <w:i/>
                <w:iCs/>
                <w:sz w:val="20"/>
                <w:szCs w:val="20"/>
              </w:rPr>
            </w:pPr>
            <w:r w:rsidRPr="00665138">
              <w:rPr>
                <w:i/>
                <w:iCs/>
                <w:sz w:val="20"/>
                <w:szCs w:val="20"/>
              </w:rPr>
              <w:t>B. terrestris</w:t>
            </w:r>
          </w:p>
        </w:tc>
        <w:tc>
          <w:tcPr>
            <w:tcW w:w="851" w:type="dxa"/>
          </w:tcPr>
          <w:p w14:paraId="1AE6B5BC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25,000</w:t>
            </w:r>
          </w:p>
        </w:tc>
        <w:tc>
          <w:tcPr>
            <w:tcW w:w="850" w:type="dxa"/>
          </w:tcPr>
          <w:p w14:paraId="1FD6AC3D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099A69D1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27,600</w:t>
            </w:r>
          </w:p>
        </w:tc>
        <w:tc>
          <w:tcPr>
            <w:tcW w:w="1134" w:type="dxa"/>
          </w:tcPr>
          <w:p w14:paraId="03DA3F9C" w14:textId="77777777" w:rsidR="0082427F" w:rsidRPr="00665138" w:rsidRDefault="0082427F" w:rsidP="00DF7AA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6C6FE7D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Estimate taken from pollen treatment group.</w:t>
            </w:r>
          </w:p>
        </w:tc>
      </w:tr>
      <w:tr w:rsidR="0082427F" w:rsidRPr="00665138" w14:paraId="4702E32F" w14:textId="77777777" w:rsidTr="00DF7AA7">
        <w:tc>
          <w:tcPr>
            <w:tcW w:w="988" w:type="dxa"/>
            <w:vMerge/>
          </w:tcPr>
          <w:p w14:paraId="46D230FF" w14:textId="77777777" w:rsidR="0082427F" w:rsidRPr="00665138" w:rsidRDefault="0082427F" w:rsidP="00DF7AA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8AE734B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 xml:space="preserve">Folly AJ, Barton-Navarro M, Brown MJF. Exposure to nectar-realistic sugar concentrations negatively impacts the ability of the trypanosome </w:t>
            </w:r>
            <w:r w:rsidRPr="00665138">
              <w:rPr>
                <w:sz w:val="20"/>
                <w:szCs w:val="20"/>
              </w:rPr>
              <w:lastRenderedPageBreak/>
              <w:t xml:space="preserve">parasite (Crithidia bombi) to infect its bumblebee host. </w:t>
            </w:r>
            <w:proofErr w:type="spellStart"/>
            <w:r w:rsidRPr="00665138">
              <w:rPr>
                <w:sz w:val="20"/>
                <w:szCs w:val="20"/>
              </w:rPr>
              <w:t>Ecol</w:t>
            </w:r>
            <w:proofErr w:type="spellEnd"/>
            <w:r w:rsidRPr="00665138">
              <w:rPr>
                <w:sz w:val="20"/>
                <w:szCs w:val="20"/>
              </w:rPr>
              <w:t xml:space="preserve"> </w:t>
            </w:r>
            <w:proofErr w:type="spellStart"/>
            <w:r w:rsidRPr="00665138">
              <w:rPr>
                <w:sz w:val="20"/>
                <w:szCs w:val="20"/>
              </w:rPr>
              <w:t>Entomol</w:t>
            </w:r>
            <w:proofErr w:type="spellEnd"/>
            <w:r w:rsidRPr="00665138">
              <w:rPr>
                <w:sz w:val="20"/>
                <w:szCs w:val="20"/>
              </w:rPr>
              <w:t>. 2020;45(6):1495-1498. doi:10.1111/een.12901</w:t>
            </w:r>
          </w:p>
        </w:tc>
        <w:tc>
          <w:tcPr>
            <w:tcW w:w="1275" w:type="dxa"/>
          </w:tcPr>
          <w:p w14:paraId="2789B0C1" w14:textId="77777777" w:rsidR="0082427F" w:rsidRPr="00665138" w:rsidRDefault="0082427F" w:rsidP="00DF7AA7">
            <w:pPr>
              <w:rPr>
                <w:i/>
                <w:iCs/>
                <w:sz w:val="20"/>
                <w:szCs w:val="20"/>
              </w:rPr>
            </w:pPr>
            <w:r w:rsidRPr="00665138">
              <w:rPr>
                <w:i/>
                <w:iCs/>
                <w:sz w:val="20"/>
                <w:szCs w:val="20"/>
              </w:rPr>
              <w:lastRenderedPageBreak/>
              <w:t>B. terrestris</w:t>
            </w:r>
          </w:p>
        </w:tc>
        <w:tc>
          <w:tcPr>
            <w:tcW w:w="851" w:type="dxa"/>
          </w:tcPr>
          <w:p w14:paraId="684EB1E7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10,000</w:t>
            </w:r>
          </w:p>
        </w:tc>
        <w:tc>
          <w:tcPr>
            <w:tcW w:w="850" w:type="dxa"/>
          </w:tcPr>
          <w:p w14:paraId="2E0BEA4C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1A28375C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Sugar conc. treatments:</w:t>
            </w:r>
          </w:p>
          <w:p w14:paraId="13E07E6B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10%: 5,922</w:t>
            </w:r>
          </w:p>
          <w:p w14:paraId="265E98FA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20%: 7,608</w:t>
            </w:r>
          </w:p>
          <w:p w14:paraId="161F7AF3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40%: 12,835</w:t>
            </w:r>
          </w:p>
          <w:p w14:paraId="50BC84BB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60%: 4,350</w:t>
            </w:r>
          </w:p>
          <w:p w14:paraId="6B3CEC92" w14:textId="77777777" w:rsidR="0082427F" w:rsidRPr="00665138" w:rsidRDefault="0082427F" w:rsidP="00DF7A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4C99CC" w14:textId="77777777" w:rsidR="0082427F" w:rsidRPr="00665138" w:rsidRDefault="0082427F" w:rsidP="00DF7AA7">
            <w:pPr>
              <w:rPr>
                <w:sz w:val="20"/>
                <w:szCs w:val="20"/>
              </w:rPr>
            </w:pPr>
          </w:p>
          <w:p w14:paraId="64B4EB38" w14:textId="77777777" w:rsidR="0082427F" w:rsidRPr="00665138" w:rsidRDefault="0082427F" w:rsidP="00DF7AA7">
            <w:pPr>
              <w:rPr>
                <w:sz w:val="20"/>
                <w:szCs w:val="20"/>
              </w:rPr>
            </w:pPr>
          </w:p>
          <w:p w14:paraId="0BB0A175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69</w:t>
            </w:r>
          </w:p>
          <w:p w14:paraId="122EBE61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64</w:t>
            </w:r>
          </w:p>
          <w:p w14:paraId="264A3D8C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55</w:t>
            </w:r>
          </w:p>
          <w:p w14:paraId="0927E114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71</w:t>
            </w:r>
          </w:p>
        </w:tc>
        <w:tc>
          <w:tcPr>
            <w:tcW w:w="1559" w:type="dxa"/>
          </w:tcPr>
          <w:p w14:paraId="59F27F1A" w14:textId="77777777" w:rsidR="0082427F" w:rsidRPr="00665138" w:rsidRDefault="0082427F" w:rsidP="00DF7AA7">
            <w:pPr>
              <w:rPr>
                <w:sz w:val="20"/>
                <w:szCs w:val="20"/>
              </w:rPr>
            </w:pPr>
            <w:r w:rsidRPr="00665138">
              <w:rPr>
                <w:sz w:val="20"/>
                <w:szCs w:val="20"/>
              </w:rPr>
              <w:t>Estimates taken from four sugar concentrations.</w:t>
            </w:r>
          </w:p>
        </w:tc>
      </w:tr>
    </w:tbl>
    <w:p w14:paraId="15C1CF23" w14:textId="77777777" w:rsidR="0083673A" w:rsidRPr="00665138" w:rsidRDefault="0083673A"/>
    <w:sectPr w:rsidR="0083673A" w:rsidRPr="00665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A3"/>
    <w:rsid w:val="00037B4A"/>
    <w:rsid w:val="0025364D"/>
    <w:rsid w:val="0037799E"/>
    <w:rsid w:val="004136BB"/>
    <w:rsid w:val="004868D0"/>
    <w:rsid w:val="004F0224"/>
    <w:rsid w:val="00520BA3"/>
    <w:rsid w:val="00550645"/>
    <w:rsid w:val="00626174"/>
    <w:rsid w:val="00665138"/>
    <w:rsid w:val="006A7981"/>
    <w:rsid w:val="007C2E23"/>
    <w:rsid w:val="0082427F"/>
    <w:rsid w:val="0083673A"/>
    <w:rsid w:val="00A329E2"/>
    <w:rsid w:val="00AD45B7"/>
    <w:rsid w:val="00B1059F"/>
    <w:rsid w:val="00B93D31"/>
    <w:rsid w:val="00C15AFC"/>
    <w:rsid w:val="00DB6578"/>
    <w:rsid w:val="00DC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46811"/>
  <w15:chartTrackingRefBased/>
  <w15:docId w15:val="{0649EFAE-F86E-4584-A167-162F4EAC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8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Wolmuth-Gordon</dc:creator>
  <cp:keywords/>
  <dc:description/>
  <cp:lastModifiedBy>Hannah Wolmuth-Gordon</cp:lastModifiedBy>
  <cp:revision>3</cp:revision>
  <dcterms:created xsi:type="dcterms:W3CDTF">2023-10-05T10:15:00Z</dcterms:created>
  <dcterms:modified xsi:type="dcterms:W3CDTF">2023-10-05T10:15:00Z</dcterms:modified>
</cp:coreProperties>
</file>