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430" w:type="dxa"/>
        <w:tblInd w:w="-900" w:type="dxa"/>
        <w:tblLayout w:type="fixed"/>
        <w:tblLook w:val="04A0" w:firstRow="1" w:lastRow="0" w:firstColumn="1" w:lastColumn="0" w:noHBand="0" w:noVBand="1"/>
      </w:tblPr>
      <w:tblGrid>
        <w:gridCol w:w="1980"/>
        <w:gridCol w:w="1080"/>
        <w:gridCol w:w="1170"/>
        <w:gridCol w:w="900"/>
        <w:gridCol w:w="1080"/>
        <w:gridCol w:w="1170"/>
        <w:gridCol w:w="900"/>
        <w:gridCol w:w="1080"/>
        <w:gridCol w:w="1174"/>
        <w:gridCol w:w="896"/>
      </w:tblGrid>
      <w:tr w:rsidR="00D4402F" w:rsidRPr="00733915" w:rsidTr="00BE3965">
        <w:tc>
          <w:tcPr>
            <w:tcW w:w="11430" w:type="dxa"/>
            <w:gridSpan w:val="10"/>
            <w:tcBorders>
              <w:top w:val="nil"/>
              <w:left w:val="nil"/>
              <w:bottom w:val="nil"/>
              <w:right w:val="nil"/>
            </w:tcBorders>
          </w:tcPr>
          <w:p w:rsidR="00D4402F" w:rsidRPr="00733915" w:rsidRDefault="00D4402F" w:rsidP="00BE3965">
            <w:pPr>
              <w:rPr>
                <w:sz w:val="20"/>
                <w:szCs w:val="20"/>
                <w:lang w:val="en-US"/>
              </w:rPr>
            </w:pPr>
            <w:bookmarkStart w:id="0" w:name="_GoBack"/>
            <w:bookmarkEnd w:id="0"/>
            <w:r>
              <w:rPr>
                <w:b/>
                <w:sz w:val="20"/>
                <w:szCs w:val="20"/>
                <w:lang w:val="en-US"/>
              </w:rPr>
              <w:t>Supplemental Table 1</w:t>
            </w:r>
            <w:r w:rsidRPr="00733915">
              <w:rPr>
                <w:b/>
                <w:sz w:val="20"/>
                <w:szCs w:val="20"/>
                <w:lang w:val="en-US"/>
              </w:rPr>
              <w:t>.</w:t>
            </w:r>
            <w:r w:rsidRPr="00733915">
              <w:rPr>
                <w:sz w:val="20"/>
                <w:szCs w:val="20"/>
                <w:lang w:val="en-US"/>
              </w:rPr>
              <w:t xml:space="preserve">  Associations between hypertensive and diabetic pre-pregnancy and pregnancy disorders and depressive symptoms during and after pregnancy.</w:t>
            </w:r>
          </w:p>
        </w:tc>
      </w:tr>
      <w:tr w:rsidR="00D4402F" w:rsidRPr="00240004" w:rsidTr="00BE3965">
        <w:tc>
          <w:tcPr>
            <w:tcW w:w="1980" w:type="dxa"/>
            <w:tcBorders>
              <w:top w:val="nil"/>
              <w:left w:val="nil"/>
              <w:bottom w:val="nil"/>
              <w:right w:val="nil"/>
            </w:tcBorders>
          </w:tcPr>
          <w:p w:rsidR="00D4402F" w:rsidRPr="00733915" w:rsidRDefault="00D4402F" w:rsidP="00BE3965">
            <w:pPr>
              <w:rPr>
                <w:b/>
                <w:sz w:val="20"/>
                <w:szCs w:val="20"/>
                <w:lang w:val="en-US"/>
              </w:rPr>
            </w:pPr>
          </w:p>
        </w:tc>
        <w:tc>
          <w:tcPr>
            <w:tcW w:w="3150" w:type="dxa"/>
            <w:gridSpan w:val="3"/>
            <w:tcBorders>
              <w:top w:val="nil"/>
              <w:left w:val="single" w:sz="4" w:space="0" w:color="auto"/>
              <w:bottom w:val="single" w:sz="4" w:space="0" w:color="auto"/>
              <w:right w:val="single" w:sz="4" w:space="0" w:color="auto"/>
            </w:tcBorders>
          </w:tcPr>
          <w:p w:rsidR="00D4402F" w:rsidRPr="00F30F8D" w:rsidRDefault="00D4402F" w:rsidP="00BE3965">
            <w:pPr>
              <w:spacing w:before="0" w:beforeAutospacing="0" w:after="0" w:afterAutospacing="0"/>
              <w:jc w:val="center"/>
              <w:rPr>
                <w:sz w:val="20"/>
                <w:szCs w:val="20"/>
                <w:lang w:val="en-GB"/>
              </w:rPr>
            </w:pPr>
          </w:p>
          <w:p w:rsidR="00D4402F" w:rsidRPr="009F7252" w:rsidRDefault="00D4402F" w:rsidP="00BE3965">
            <w:pPr>
              <w:spacing w:before="0" w:beforeAutospacing="0" w:after="0" w:afterAutospacing="0"/>
              <w:jc w:val="center"/>
              <w:rPr>
                <w:b/>
                <w:sz w:val="20"/>
                <w:szCs w:val="20"/>
                <w:lang w:val="en-GB"/>
              </w:rPr>
            </w:pPr>
            <w:r w:rsidRPr="009F7252">
              <w:rPr>
                <w:b/>
                <w:sz w:val="20"/>
                <w:szCs w:val="20"/>
                <w:lang w:val="en-GB"/>
              </w:rPr>
              <w:t xml:space="preserve">During pregnancy in all women </w:t>
            </w:r>
          </w:p>
          <w:p w:rsidR="00D4402F" w:rsidRPr="00F30F8D" w:rsidRDefault="00D4402F" w:rsidP="00BE3965">
            <w:pPr>
              <w:spacing w:before="0" w:beforeAutospacing="0" w:after="0" w:afterAutospacing="0"/>
              <w:jc w:val="center"/>
              <w:rPr>
                <w:sz w:val="20"/>
                <w:szCs w:val="20"/>
                <w:lang w:val="en-GB"/>
              </w:rPr>
            </w:pPr>
            <w:r>
              <w:rPr>
                <w:sz w:val="20"/>
                <w:szCs w:val="20"/>
                <w:lang w:val="en-GB"/>
              </w:rPr>
              <w:t>(N=3234</w:t>
            </w:r>
            <w:r w:rsidRPr="00F30F8D">
              <w:rPr>
                <w:sz w:val="20"/>
                <w:szCs w:val="20"/>
                <w:lang w:val="en-GB"/>
              </w:rPr>
              <w:t>)</w:t>
            </w:r>
          </w:p>
        </w:tc>
        <w:tc>
          <w:tcPr>
            <w:tcW w:w="3150" w:type="dxa"/>
            <w:gridSpan w:val="3"/>
            <w:tcBorders>
              <w:top w:val="nil"/>
              <w:left w:val="single" w:sz="4" w:space="0" w:color="auto"/>
              <w:bottom w:val="nil"/>
              <w:right w:val="single" w:sz="4" w:space="0" w:color="auto"/>
            </w:tcBorders>
          </w:tcPr>
          <w:p w:rsidR="00D4402F" w:rsidRPr="00F30F8D" w:rsidRDefault="00D4402F" w:rsidP="00BE3965">
            <w:pPr>
              <w:spacing w:before="0" w:beforeAutospacing="0" w:after="0" w:afterAutospacing="0"/>
              <w:jc w:val="center"/>
              <w:rPr>
                <w:sz w:val="20"/>
                <w:szCs w:val="20"/>
                <w:lang w:val="en-GB"/>
              </w:rPr>
            </w:pPr>
          </w:p>
          <w:p w:rsidR="00D4402F" w:rsidRPr="009F7252" w:rsidRDefault="00D4402F" w:rsidP="00BE3965">
            <w:pPr>
              <w:spacing w:before="0" w:beforeAutospacing="0" w:after="0" w:afterAutospacing="0"/>
              <w:jc w:val="center"/>
              <w:rPr>
                <w:b/>
                <w:sz w:val="20"/>
                <w:szCs w:val="20"/>
                <w:lang w:val="en-GB"/>
              </w:rPr>
            </w:pPr>
            <w:r w:rsidRPr="009F7252">
              <w:rPr>
                <w:b/>
                <w:sz w:val="20"/>
                <w:szCs w:val="20"/>
                <w:lang w:val="en-GB"/>
              </w:rPr>
              <w:t xml:space="preserve">After pregnancy in all women </w:t>
            </w:r>
          </w:p>
          <w:p w:rsidR="00D4402F" w:rsidRPr="00F30F8D" w:rsidRDefault="00D4402F" w:rsidP="00BE3965">
            <w:pPr>
              <w:spacing w:before="0" w:beforeAutospacing="0" w:after="0" w:afterAutospacing="0"/>
              <w:jc w:val="center"/>
              <w:rPr>
                <w:sz w:val="20"/>
                <w:szCs w:val="20"/>
                <w:lang w:val="en-GB"/>
              </w:rPr>
            </w:pPr>
            <w:r>
              <w:rPr>
                <w:sz w:val="20"/>
                <w:szCs w:val="20"/>
                <w:lang w:val="en-GB"/>
              </w:rPr>
              <w:t>(N=3234)</w:t>
            </w:r>
          </w:p>
        </w:tc>
        <w:tc>
          <w:tcPr>
            <w:tcW w:w="3150" w:type="dxa"/>
            <w:gridSpan w:val="3"/>
            <w:tcBorders>
              <w:top w:val="nil"/>
              <w:left w:val="single" w:sz="4" w:space="0" w:color="auto"/>
              <w:bottom w:val="nil"/>
              <w:right w:val="nil"/>
            </w:tcBorders>
          </w:tcPr>
          <w:p w:rsidR="00D4402F" w:rsidRPr="009F7252" w:rsidRDefault="00D4402F" w:rsidP="00BE3965">
            <w:pPr>
              <w:spacing w:before="0" w:beforeAutospacing="0" w:after="0" w:afterAutospacing="0"/>
              <w:jc w:val="center"/>
              <w:rPr>
                <w:b/>
                <w:sz w:val="20"/>
                <w:szCs w:val="20"/>
                <w:lang w:val="en-GB"/>
              </w:rPr>
            </w:pPr>
            <w:r w:rsidRPr="009F7252">
              <w:rPr>
                <w:b/>
                <w:sz w:val="20"/>
                <w:szCs w:val="20"/>
                <w:lang w:val="en-GB"/>
              </w:rPr>
              <w:t>After pregnancy in women without clinically relevant sym</w:t>
            </w:r>
            <w:r>
              <w:rPr>
                <w:b/>
                <w:sz w:val="20"/>
                <w:szCs w:val="20"/>
                <w:lang w:val="en-GB"/>
              </w:rPr>
              <w:t>ptoms during pregnancy (CES-D &lt;</w:t>
            </w:r>
            <w:r w:rsidRPr="009F7252">
              <w:rPr>
                <w:b/>
                <w:sz w:val="20"/>
                <w:szCs w:val="20"/>
                <w:lang w:val="en-GB"/>
              </w:rPr>
              <w:t xml:space="preserve">16) </w:t>
            </w:r>
          </w:p>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(N=</w:t>
            </w:r>
            <w:r>
              <w:rPr>
                <w:sz w:val="20"/>
                <w:szCs w:val="20"/>
                <w:lang w:val="en-GB"/>
              </w:rPr>
              <w:t>2557</w:t>
            </w:r>
            <w:r w:rsidRPr="00F30F8D">
              <w:rPr>
                <w:sz w:val="20"/>
                <w:szCs w:val="20"/>
                <w:lang w:val="en-GB"/>
              </w:rPr>
              <w:t>)</w:t>
            </w:r>
          </w:p>
        </w:tc>
      </w:tr>
      <w:tr w:rsidR="00D4402F" w:rsidRPr="00240004" w:rsidTr="00BE3965">
        <w:tc>
          <w:tcPr>
            <w:tcW w:w="1980" w:type="dxa"/>
            <w:tcBorders>
              <w:top w:val="nil"/>
              <w:left w:val="nil"/>
              <w:bottom w:val="nil"/>
              <w:right w:val="nil"/>
            </w:tcBorders>
          </w:tcPr>
          <w:p w:rsidR="00D4402F" w:rsidRPr="00240004" w:rsidRDefault="00D4402F" w:rsidP="00BE3965">
            <w:pPr>
              <w:rPr>
                <w:b/>
                <w:sz w:val="20"/>
                <w:szCs w:val="20"/>
              </w:rPr>
            </w:pPr>
          </w:p>
        </w:tc>
        <w:tc>
          <w:tcPr>
            <w:tcW w:w="1080" w:type="dxa"/>
            <w:tcBorders>
              <w:top w:val="single" w:sz="4" w:space="0" w:color="auto"/>
              <w:left w:val="single" w:sz="4" w:space="0" w:color="auto"/>
              <w:bottom w:val="single" w:sz="4" w:space="0" w:color="auto"/>
              <w:right w:val="nil"/>
            </w:tcBorders>
          </w:tcPr>
          <w:p w:rsidR="00D4402F" w:rsidRPr="00F30F8D" w:rsidRDefault="00D4402F" w:rsidP="00BE3965">
            <w:pPr>
              <w:tabs>
                <w:tab w:val="left" w:pos="210"/>
                <w:tab w:val="center" w:pos="387"/>
              </w:tabs>
              <w:spacing w:before="0" w:beforeAutospacing="0" w:after="0" w:afterAutospacing="0"/>
              <w:rPr>
                <w:sz w:val="20"/>
                <w:szCs w:val="20"/>
                <w:lang w:val="en-GB"/>
              </w:rPr>
            </w:pPr>
            <w:r w:rsidRPr="00F30F8D">
              <w:rPr>
                <w:sz w:val="20"/>
                <w:szCs w:val="20"/>
                <w:lang w:val="en-GB"/>
              </w:rPr>
              <w:tab/>
            </w:r>
            <w:r w:rsidRPr="00F30F8D">
              <w:rPr>
                <w:sz w:val="20"/>
                <w:szCs w:val="20"/>
                <w:lang w:val="en-GB"/>
              </w:rPr>
              <w:tab/>
              <w:t>Mean difference</w:t>
            </w:r>
          </w:p>
          <w:p w:rsidR="00D4402F" w:rsidRPr="00F30F8D" w:rsidRDefault="00D4402F" w:rsidP="00BE3965">
            <w:pPr>
              <w:spacing w:before="0" w:beforeAutospacing="0" w:after="0" w:afterAutospacing="0"/>
              <w:jc w:val="center"/>
              <w:rPr>
                <w:sz w:val="20"/>
                <w:szCs w:val="20"/>
                <w:lang w:val="en-GB"/>
              </w:rPr>
            </w:pPr>
          </w:p>
        </w:tc>
        <w:tc>
          <w:tcPr>
            <w:tcW w:w="1170" w:type="dxa"/>
            <w:tcBorders>
              <w:top w:val="single" w:sz="4" w:space="0" w:color="auto"/>
              <w:left w:val="nil"/>
              <w:bottom w:val="single" w:sz="4" w:space="0" w:color="auto"/>
              <w:right w:val="nil"/>
            </w:tcBorders>
          </w:tcPr>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 xml:space="preserve">95% </w:t>
            </w:r>
          </w:p>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Confidence</w:t>
            </w:r>
          </w:p>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Interval</w:t>
            </w:r>
          </w:p>
        </w:tc>
        <w:tc>
          <w:tcPr>
            <w:tcW w:w="900" w:type="dxa"/>
            <w:tcBorders>
              <w:top w:val="single" w:sz="4" w:space="0" w:color="auto"/>
              <w:left w:val="nil"/>
              <w:bottom w:val="single" w:sz="4" w:space="0" w:color="auto"/>
              <w:right w:val="single" w:sz="4" w:space="0" w:color="auto"/>
            </w:tcBorders>
          </w:tcPr>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P</w:t>
            </w:r>
            <w:r w:rsidRPr="00F30F8D">
              <w:rPr>
                <w:sz w:val="20"/>
                <w:szCs w:val="20"/>
                <w:vertAlign w:val="superscript"/>
                <w:lang w:val="en-GB"/>
              </w:rPr>
              <w:t>a</w:t>
            </w:r>
          </w:p>
        </w:tc>
        <w:tc>
          <w:tcPr>
            <w:tcW w:w="1080" w:type="dxa"/>
            <w:tcBorders>
              <w:top w:val="single" w:sz="4" w:space="0" w:color="auto"/>
              <w:left w:val="single" w:sz="4" w:space="0" w:color="auto"/>
              <w:bottom w:val="single" w:sz="4" w:space="0" w:color="auto"/>
              <w:right w:val="nil"/>
            </w:tcBorders>
          </w:tcPr>
          <w:p w:rsidR="00D4402F" w:rsidRPr="00F30F8D" w:rsidRDefault="00D4402F" w:rsidP="00BE3965">
            <w:pPr>
              <w:spacing w:before="0" w:beforeAutospacing="0" w:after="0" w:afterAutospacing="0"/>
              <w:jc w:val="center"/>
              <w:rPr>
                <w:sz w:val="20"/>
                <w:szCs w:val="20"/>
                <w:lang w:val="en-GB"/>
              </w:rPr>
            </w:pPr>
            <w:r>
              <w:rPr>
                <w:sz w:val="20"/>
                <w:szCs w:val="20"/>
                <w:lang w:val="en-GB"/>
              </w:rPr>
              <w:t>Mean difference</w:t>
            </w:r>
          </w:p>
          <w:p w:rsidR="00D4402F" w:rsidRPr="00F30F8D" w:rsidRDefault="00D4402F" w:rsidP="00BE3965">
            <w:pPr>
              <w:spacing w:before="0" w:beforeAutospacing="0" w:after="0" w:afterAutospacing="0"/>
              <w:jc w:val="center"/>
              <w:rPr>
                <w:sz w:val="20"/>
                <w:szCs w:val="20"/>
                <w:lang w:val="en-GB"/>
              </w:rPr>
            </w:pPr>
          </w:p>
        </w:tc>
        <w:tc>
          <w:tcPr>
            <w:tcW w:w="1170" w:type="dxa"/>
            <w:tcBorders>
              <w:top w:val="single" w:sz="4" w:space="0" w:color="auto"/>
              <w:left w:val="nil"/>
              <w:bottom w:val="single" w:sz="4" w:space="0" w:color="auto"/>
              <w:right w:val="nil"/>
            </w:tcBorders>
          </w:tcPr>
          <w:p w:rsidR="00D4402F" w:rsidRDefault="00D4402F" w:rsidP="00BE3965">
            <w:pPr>
              <w:spacing w:before="0" w:beforeAutospacing="0" w:after="0" w:afterAutospacing="0"/>
              <w:jc w:val="center"/>
              <w:rPr>
                <w:sz w:val="20"/>
                <w:szCs w:val="20"/>
                <w:lang w:val="en-GB"/>
              </w:rPr>
            </w:pPr>
            <w:r w:rsidRPr="00F30F8D">
              <w:rPr>
                <w:sz w:val="20"/>
                <w:szCs w:val="20"/>
                <w:lang w:val="en-GB"/>
              </w:rPr>
              <w:t xml:space="preserve">95% </w:t>
            </w:r>
          </w:p>
          <w:p w:rsidR="00D4402F" w:rsidRPr="00F30F8D" w:rsidRDefault="00D4402F" w:rsidP="00BE3965">
            <w:pPr>
              <w:spacing w:before="0" w:beforeAutospacing="0" w:after="0" w:afterAutospacing="0"/>
              <w:jc w:val="center"/>
              <w:rPr>
                <w:sz w:val="20"/>
                <w:szCs w:val="20"/>
                <w:lang w:val="en-GB"/>
              </w:rPr>
            </w:pPr>
            <w:r>
              <w:rPr>
                <w:sz w:val="20"/>
                <w:szCs w:val="20"/>
                <w:lang w:val="en-GB"/>
              </w:rPr>
              <w:t>Confidence Interval</w:t>
            </w:r>
          </w:p>
        </w:tc>
        <w:tc>
          <w:tcPr>
            <w:tcW w:w="900" w:type="dxa"/>
            <w:tcBorders>
              <w:top w:val="single" w:sz="4" w:space="0" w:color="auto"/>
              <w:left w:val="nil"/>
              <w:bottom w:val="single" w:sz="4" w:space="0" w:color="auto"/>
              <w:right w:val="single" w:sz="4" w:space="0" w:color="auto"/>
            </w:tcBorders>
          </w:tcPr>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P</w:t>
            </w:r>
            <w:r w:rsidRPr="00F30F8D">
              <w:rPr>
                <w:sz w:val="20"/>
                <w:szCs w:val="20"/>
                <w:vertAlign w:val="superscript"/>
                <w:lang w:val="en-GB"/>
              </w:rPr>
              <w:t>a</w:t>
            </w:r>
          </w:p>
        </w:tc>
        <w:tc>
          <w:tcPr>
            <w:tcW w:w="1080" w:type="dxa"/>
            <w:tcBorders>
              <w:top w:val="single" w:sz="4" w:space="0" w:color="auto"/>
              <w:left w:val="single" w:sz="4" w:space="0" w:color="auto"/>
              <w:bottom w:val="single" w:sz="4" w:space="0" w:color="auto"/>
              <w:right w:val="nil"/>
            </w:tcBorders>
          </w:tcPr>
          <w:p w:rsidR="00D4402F" w:rsidRPr="00F30F8D" w:rsidRDefault="00D4402F" w:rsidP="00BE3965">
            <w:pPr>
              <w:spacing w:before="0" w:beforeAutospacing="0" w:after="0" w:afterAutospacing="0"/>
              <w:jc w:val="center"/>
              <w:rPr>
                <w:sz w:val="20"/>
                <w:szCs w:val="20"/>
                <w:lang w:val="en-GB"/>
              </w:rPr>
            </w:pPr>
            <w:r>
              <w:rPr>
                <w:sz w:val="20"/>
                <w:szCs w:val="20"/>
                <w:lang w:val="en-GB"/>
              </w:rPr>
              <w:t>Mean difference</w:t>
            </w:r>
          </w:p>
          <w:p w:rsidR="00D4402F" w:rsidRPr="00F30F8D" w:rsidRDefault="00D4402F" w:rsidP="00BE3965">
            <w:pPr>
              <w:spacing w:before="0" w:beforeAutospacing="0" w:after="0" w:afterAutospacing="0"/>
              <w:jc w:val="center"/>
              <w:rPr>
                <w:sz w:val="20"/>
                <w:szCs w:val="20"/>
                <w:lang w:val="en-GB"/>
              </w:rPr>
            </w:pPr>
          </w:p>
        </w:tc>
        <w:tc>
          <w:tcPr>
            <w:tcW w:w="1174" w:type="dxa"/>
            <w:tcBorders>
              <w:top w:val="single" w:sz="4" w:space="0" w:color="auto"/>
              <w:left w:val="nil"/>
              <w:bottom w:val="single" w:sz="4" w:space="0" w:color="auto"/>
              <w:right w:val="nil"/>
            </w:tcBorders>
          </w:tcPr>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95%</w:t>
            </w:r>
            <w:r>
              <w:rPr>
                <w:sz w:val="20"/>
                <w:szCs w:val="20"/>
                <w:lang w:val="en-GB"/>
              </w:rPr>
              <w:t xml:space="preserve"> Confidence Interval</w:t>
            </w:r>
          </w:p>
        </w:tc>
        <w:tc>
          <w:tcPr>
            <w:tcW w:w="896" w:type="dxa"/>
            <w:tcBorders>
              <w:top w:val="single" w:sz="4" w:space="0" w:color="auto"/>
              <w:left w:val="nil"/>
              <w:bottom w:val="single" w:sz="4" w:space="0" w:color="auto"/>
              <w:right w:val="nil"/>
            </w:tcBorders>
          </w:tcPr>
          <w:p w:rsidR="00D4402F" w:rsidRPr="00F30F8D" w:rsidRDefault="00D4402F" w:rsidP="00BE3965">
            <w:pPr>
              <w:spacing w:before="0" w:beforeAutospacing="0" w:after="0" w:afterAutospacing="0"/>
              <w:jc w:val="center"/>
              <w:rPr>
                <w:sz w:val="20"/>
                <w:szCs w:val="20"/>
                <w:lang w:val="en-GB"/>
              </w:rPr>
            </w:pPr>
            <w:r w:rsidRPr="00F30F8D">
              <w:rPr>
                <w:sz w:val="20"/>
                <w:szCs w:val="20"/>
                <w:lang w:val="en-GB"/>
              </w:rPr>
              <w:t>P</w:t>
            </w:r>
            <w:r w:rsidRPr="00F30F8D">
              <w:rPr>
                <w:sz w:val="20"/>
                <w:szCs w:val="20"/>
                <w:vertAlign w:val="superscript"/>
                <w:lang w:val="en-GB"/>
              </w:rPr>
              <w:t>a</w:t>
            </w:r>
          </w:p>
        </w:tc>
      </w:tr>
      <w:tr w:rsidR="00D4402F" w:rsidRPr="00733915" w:rsidTr="00BE3965">
        <w:tc>
          <w:tcPr>
            <w:tcW w:w="1980" w:type="dxa"/>
            <w:tcBorders>
              <w:top w:val="nil"/>
              <w:left w:val="nil"/>
              <w:bottom w:val="nil"/>
              <w:right w:val="single" w:sz="4" w:space="0" w:color="auto"/>
            </w:tcBorders>
          </w:tcPr>
          <w:p w:rsidR="00D4402F" w:rsidRPr="00733915" w:rsidRDefault="00D4402F" w:rsidP="00BE3965">
            <w:pPr>
              <w:spacing w:before="0" w:beforeAutospacing="0" w:after="0" w:afterAutospacing="0"/>
              <w:rPr>
                <w:b/>
                <w:sz w:val="20"/>
                <w:szCs w:val="20"/>
                <w:lang w:val="en-US"/>
              </w:rPr>
            </w:pPr>
            <w:r w:rsidRPr="00733915">
              <w:rPr>
                <w:b/>
                <w:sz w:val="20"/>
                <w:szCs w:val="20"/>
                <w:lang w:val="en-US"/>
              </w:rPr>
              <w:t>Pre-pregnancy and pregnancy disorders:</w:t>
            </w:r>
          </w:p>
        </w:tc>
        <w:tc>
          <w:tcPr>
            <w:tcW w:w="1080" w:type="dxa"/>
            <w:tcBorders>
              <w:top w:val="nil"/>
              <w:left w:val="single" w:sz="4" w:space="0" w:color="auto"/>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1170" w:type="dxa"/>
            <w:tcBorders>
              <w:top w:val="nil"/>
              <w:left w:val="nil"/>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733915"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1170" w:type="dxa"/>
            <w:tcBorders>
              <w:top w:val="nil"/>
              <w:left w:val="nil"/>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733915"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1174" w:type="dxa"/>
            <w:tcBorders>
              <w:top w:val="nil"/>
              <w:left w:val="nil"/>
              <w:bottom w:val="nil"/>
              <w:right w:val="nil"/>
            </w:tcBorders>
          </w:tcPr>
          <w:p w:rsidR="00D4402F" w:rsidRPr="00733915" w:rsidRDefault="00D4402F" w:rsidP="00BE3965">
            <w:pPr>
              <w:spacing w:before="0" w:beforeAutospacing="0" w:after="0" w:afterAutospacing="0"/>
              <w:jc w:val="center"/>
              <w:rPr>
                <w:sz w:val="20"/>
                <w:szCs w:val="20"/>
                <w:lang w:val="en-US"/>
              </w:rPr>
            </w:pPr>
          </w:p>
        </w:tc>
        <w:tc>
          <w:tcPr>
            <w:tcW w:w="896" w:type="dxa"/>
            <w:tcBorders>
              <w:top w:val="nil"/>
              <w:left w:val="nil"/>
              <w:bottom w:val="nil"/>
              <w:right w:val="nil"/>
            </w:tcBorders>
          </w:tcPr>
          <w:p w:rsidR="00D4402F" w:rsidRPr="00733915" w:rsidRDefault="00D4402F" w:rsidP="00BE3965">
            <w:pPr>
              <w:spacing w:before="0" w:beforeAutospacing="0" w:after="0" w:afterAutospacing="0"/>
              <w:jc w:val="center"/>
              <w:rPr>
                <w:sz w:val="20"/>
                <w:szCs w:val="20"/>
                <w:lang w:val="en-US"/>
              </w:rPr>
            </w:pPr>
          </w:p>
        </w:tc>
      </w:tr>
      <w:tr w:rsidR="00D4402F" w:rsidRPr="00240004" w:rsidTr="00BE3965">
        <w:tc>
          <w:tcPr>
            <w:tcW w:w="1980" w:type="dxa"/>
            <w:tcBorders>
              <w:top w:val="nil"/>
              <w:left w:val="nil"/>
              <w:bottom w:val="nil"/>
              <w:right w:val="single" w:sz="4" w:space="0" w:color="auto"/>
            </w:tcBorders>
          </w:tcPr>
          <w:p w:rsidR="00D4402F" w:rsidRPr="003C5ECE" w:rsidRDefault="00D4402F" w:rsidP="00BE3965">
            <w:pPr>
              <w:spacing w:before="0" w:beforeAutospacing="0" w:after="0" w:afterAutospacing="0"/>
              <w:rPr>
                <w:sz w:val="20"/>
                <w:szCs w:val="20"/>
                <w:u w:val="single"/>
              </w:rPr>
            </w:pPr>
            <w:r w:rsidRPr="003C5ECE">
              <w:rPr>
                <w:sz w:val="20"/>
                <w:szCs w:val="20"/>
                <w:u w:val="single"/>
              </w:rPr>
              <w:t>Model 1</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p>
        </w:tc>
        <w:tc>
          <w:tcPr>
            <w:tcW w:w="1174"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p>
        </w:tc>
        <w:tc>
          <w:tcPr>
            <w:tcW w:w="896"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p>
        </w:tc>
      </w:tr>
      <w:tr w:rsidR="00D4402F" w:rsidRPr="00F76447" w:rsidTr="00BE3965">
        <w:tc>
          <w:tcPr>
            <w:tcW w:w="1980" w:type="dxa"/>
            <w:tcBorders>
              <w:top w:val="nil"/>
              <w:left w:val="nil"/>
              <w:bottom w:val="nil"/>
              <w:right w:val="single" w:sz="4" w:space="0" w:color="auto"/>
            </w:tcBorders>
          </w:tcPr>
          <w:p w:rsidR="00D4402F" w:rsidRPr="00F76447" w:rsidRDefault="00D4402F" w:rsidP="00BE3965">
            <w:pPr>
              <w:spacing w:before="0" w:beforeAutospacing="0" w:after="0" w:afterAutospacing="0"/>
              <w:rPr>
                <w:sz w:val="20"/>
                <w:szCs w:val="20"/>
              </w:rPr>
            </w:pPr>
            <w:r w:rsidRPr="00F76447">
              <w:rPr>
                <w:sz w:val="20"/>
                <w:szCs w:val="20"/>
              </w:rPr>
              <w:t xml:space="preserve">  No disorder</w:t>
            </w:r>
          </w:p>
        </w:tc>
        <w:tc>
          <w:tcPr>
            <w:tcW w:w="1080" w:type="dxa"/>
            <w:tcBorders>
              <w:top w:val="nil"/>
              <w:left w:val="single" w:sz="4" w:space="0" w:color="auto"/>
              <w:bottom w:val="nil"/>
              <w:right w:val="nil"/>
            </w:tcBorders>
          </w:tcPr>
          <w:p w:rsidR="00D4402F" w:rsidRPr="00F76447" w:rsidRDefault="00D4402F" w:rsidP="00BE3965">
            <w:pPr>
              <w:spacing w:before="0" w:beforeAutospacing="0" w:after="0" w:afterAutospacing="0"/>
              <w:jc w:val="center"/>
              <w:rPr>
                <w:sz w:val="20"/>
                <w:szCs w:val="20"/>
              </w:rPr>
            </w:pPr>
            <w:r w:rsidRPr="00F76447">
              <w:rPr>
                <w:sz w:val="20"/>
                <w:szCs w:val="20"/>
              </w:rPr>
              <w:t>Referent</w:t>
            </w:r>
          </w:p>
        </w:tc>
        <w:tc>
          <w:tcPr>
            <w:tcW w:w="1170" w:type="dxa"/>
            <w:tcBorders>
              <w:top w:val="nil"/>
              <w:left w:val="nil"/>
              <w:bottom w:val="nil"/>
              <w:right w:val="nil"/>
            </w:tcBorders>
          </w:tcPr>
          <w:p w:rsidR="00D4402F" w:rsidRPr="00F76447" w:rsidRDefault="00D4402F" w:rsidP="00BE3965">
            <w:pPr>
              <w:spacing w:before="0" w:beforeAutospacing="0" w:after="0" w:afterAutospacing="0"/>
              <w:jc w:val="center"/>
              <w:rPr>
                <w:sz w:val="20"/>
                <w:szCs w:val="20"/>
              </w:rPr>
            </w:pPr>
          </w:p>
        </w:tc>
        <w:tc>
          <w:tcPr>
            <w:tcW w:w="900" w:type="dxa"/>
            <w:tcBorders>
              <w:top w:val="nil"/>
              <w:left w:val="nil"/>
              <w:bottom w:val="nil"/>
              <w:right w:val="single" w:sz="4" w:space="0" w:color="auto"/>
            </w:tcBorders>
          </w:tcPr>
          <w:p w:rsidR="00D4402F" w:rsidRPr="00F76447" w:rsidRDefault="00D4402F" w:rsidP="00BE3965">
            <w:pPr>
              <w:spacing w:before="0" w:beforeAutospacing="0" w:after="0" w:afterAutospacing="0"/>
              <w:jc w:val="center"/>
              <w:rPr>
                <w:sz w:val="20"/>
                <w:szCs w:val="20"/>
              </w:rPr>
            </w:pPr>
          </w:p>
        </w:tc>
        <w:tc>
          <w:tcPr>
            <w:tcW w:w="1080" w:type="dxa"/>
            <w:tcBorders>
              <w:top w:val="nil"/>
              <w:left w:val="single" w:sz="4" w:space="0" w:color="auto"/>
              <w:bottom w:val="nil"/>
              <w:right w:val="nil"/>
            </w:tcBorders>
          </w:tcPr>
          <w:p w:rsidR="00D4402F" w:rsidRPr="00F76447" w:rsidRDefault="00D4402F" w:rsidP="00BE3965">
            <w:pPr>
              <w:spacing w:before="0" w:beforeAutospacing="0" w:after="0" w:afterAutospacing="0"/>
              <w:jc w:val="center"/>
              <w:rPr>
                <w:sz w:val="20"/>
                <w:szCs w:val="20"/>
              </w:rPr>
            </w:pPr>
            <w:r w:rsidRPr="00F76447">
              <w:rPr>
                <w:sz w:val="20"/>
                <w:szCs w:val="20"/>
              </w:rPr>
              <w:t>Referent</w:t>
            </w:r>
          </w:p>
        </w:tc>
        <w:tc>
          <w:tcPr>
            <w:tcW w:w="1170" w:type="dxa"/>
            <w:tcBorders>
              <w:top w:val="nil"/>
              <w:left w:val="nil"/>
              <w:bottom w:val="nil"/>
              <w:right w:val="nil"/>
            </w:tcBorders>
          </w:tcPr>
          <w:p w:rsidR="00D4402F" w:rsidRPr="00F76447" w:rsidRDefault="00D4402F" w:rsidP="00BE3965">
            <w:pPr>
              <w:spacing w:before="0" w:beforeAutospacing="0" w:after="0" w:afterAutospacing="0"/>
              <w:jc w:val="center"/>
              <w:rPr>
                <w:sz w:val="20"/>
                <w:szCs w:val="20"/>
              </w:rPr>
            </w:pPr>
          </w:p>
        </w:tc>
        <w:tc>
          <w:tcPr>
            <w:tcW w:w="900" w:type="dxa"/>
            <w:tcBorders>
              <w:top w:val="nil"/>
              <w:left w:val="nil"/>
              <w:bottom w:val="nil"/>
              <w:right w:val="single" w:sz="4" w:space="0" w:color="auto"/>
            </w:tcBorders>
          </w:tcPr>
          <w:p w:rsidR="00D4402F" w:rsidRPr="00F76447" w:rsidRDefault="00D4402F" w:rsidP="00BE3965">
            <w:pPr>
              <w:spacing w:before="0" w:beforeAutospacing="0" w:after="0" w:afterAutospacing="0"/>
              <w:jc w:val="center"/>
              <w:rPr>
                <w:sz w:val="20"/>
                <w:szCs w:val="20"/>
              </w:rPr>
            </w:pPr>
          </w:p>
        </w:tc>
        <w:tc>
          <w:tcPr>
            <w:tcW w:w="1080" w:type="dxa"/>
            <w:tcBorders>
              <w:top w:val="nil"/>
              <w:left w:val="single" w:sz="4" w:space="0" w:color="auto"/>
              <w:bottom w:val="nil"/>
              <w:right w:val="nil"/>
            </w:tcBorders>
          </w:tcPr>
          <w:p w:rsidR="00D4402F" w:rsidRPr="00F76447" w:rsidRDefault="00D4402F" w:rsidP="00BE3965">
            <w:pPr>
              <w:spacing w:before="0" w:beforeAutospacing="0" w:after="0" w:afterAutospacing="0"/>
              <w:jc w:val="center"/>
              <w:rPr>
                <w:sz w:val="20"/>
                <w:szCs w:val="20"/>
              </w:rPr>
            </w:pPr>
            <w:r w:rsidRPr="00F76447">
              <w:rPr>
                <w:sz w:val="20"/>
                <w:szCs w:val="20"/>
              </w:rPr>
              <w:t>Referent</w:t>
            </w:r>
          </w:p>
        </w:tc>
        <w:tc>
          <w:tcPr>
            <w:tcW w:w="1174" w:type="dxa"/>
            <w:tcBorders>
              <w:top w:val="nil"/>
              <w:left w:val="nil"/>
              <w:bottom w:val="nil"/>
              <w:right w:val="nil"/>
            </w:tcBorders>
          </w:tcPr>
          <w:p w:rsidR="00D4402F" w:rsidRPr="00F76447" w:rsidRDefault="00D4402F" w:rsidP="00BE3965">
            <w:pPr>
              <w:spacing w:before="0" w:beforeAutospacing="0" w:after="0" w:afterAutospacing="0"/>
              <w:jc w:val="center"/>
              <w:rPr>
                <w:sz w:val="20"/>
                <w:szCs w:val="20"/>
              </w:rPr>
            </w:pPr>
          </w:p>
        </w:tc>
        <w:tc>
          <w:tcPr>
            <w:tcW w:w="896" w:type="dxa"/>
            <w:tcBorders>
              <w:top w:val="nil"/>
              <w:left w:val="nil"/>
              <w:bottom w:val="nil"/>
              <w:right w:val="nil"/>
            </w:tcBorders>
          </w:tcPr>
          <w:p w:rsidR="00D4402F" w:rsidRPr="00F76447" w:rsidRDefault="00D4402F" w:rsidP="00BE3965">
            <w:pPr>
              <w:spacing w:before="0" w:beforeAutospacing="0" w:after="0" w:afterAutospacing="0"/>
              <w:jc w:val="center"/>
              <w:rPr>
                <w:sz w:val="20"/>
                <w:szCs w:val="20"/>
              </w:rPr>
            </w:pPr>
          </w:p>
        </w:tc>
      </w:tr>
      <w:tr w:rsidR="00D4402F" w:rsidRPr="00F76447"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Any disorder</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0.06</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-0.01, 0.13</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0.11</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0.09</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0.02, 0.17</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0.02</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0.09</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0, 0.17</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0.04</w:t>
            </w:r>
          </w:p>
        </w:tc>
      </w:tr>
      <w:tr w:rsidR="00D4402F" w:rsidRPr="00240004" w:rsidTr="00BE3965">
        <w:trPr>
          <w:trHeight w:val="356"/>
        </w:trPr>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Gestational</w:t>
            </w:r>
          </w:p>
          <w:p w:rsidR="00D4402F" w:rsidRPr="006C0E43" w:rsidRDefault="00D4402F" w:rsidP="00BE3965">
            <w:pPr>
              <w:spacing w:before="0" w:beforeAutospacing="0" w:after="0" w:afterAutospacing="0"/>
              <w:rPr>
                <w:sz w:val="20"/>
                <w:szCs w:val="20"/>
              </w:rPr>
            </w:pPr>
            <w:r w:rsidRPr="006C0E43">
              <w:rPr>
                <w:sz w:val="20"/>
                <w:szCs w:val="20"/>
              </w:rPr>
              <w:t xml:space="preserve">  hypertension</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0.02</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-0.12, 0.16</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0.77</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0.04</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-0.10, 0.17</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0.61</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0.05</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-0.10, 0.21</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0.50</w:t>
            </w:r>
          </w:p>
        </w:tc>
      </w:tr>
      <w:tr w:rsidR="00D4402F" w:rsidRPr="00240004"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Pre-eclampsia</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0.12</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-0.02, 0.27</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0.10</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0.12</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-0.02, 0.27</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0.10</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0.15</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-0.02, 0.31</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0.09</w:t>
            </w:r>
          </w:p>
        </w:tc>
      </w:tr>
      <w:tr w:rsidR="00D4402F" w:rsidRPr="00240004"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Chronic</w:t>
            </w:r>
          </w:p>
          <w:p w:rsidR="00D4402F" w:rsidRPr="006C0E43" w:rsidRDefault="00D4402F" w:rsidP="00BE3965">
            <w:pPr>
              <w:spacing w:before="0" w:beforeAutospacing="0" w:after="0" w:afterAutospacing="0"/>
              <w:rPr>
                <w:sz w:val="20"/>
                <w:szCs w:val="20"/>
              </w:rPr>
            </w:pPr>
            <w:r w:rsidRPr="006C0E43">
              <w:rPr>
                <w:sz w:val="20"/>
                <w:szCs w:val="20"/>
              </w:rPr>
              <w:t xml:space="preserve">  hypertension</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-0.04</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-0.19, 0.09</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0.49</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-0.01</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-0.15, 0.13</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0.90</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0.01</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-0.14, 0.16</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0.88</w:t>
            </w:r>
          </w:p>
        </w:tc>
      </w:tr>
      <w:tr w:rsidR="00D4402F" w:rsidRPr="00240004"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Gestational diabetes</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0.05</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-0.04, 0.14</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0.32</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0.08</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-0.01, 0.18</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0.08</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0.07</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-0.04, 0.17</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0.21</w:t>
            </w:r>
          </w:p>
        </w:tc>
      </w:tr>
      <w:tr w:rsidR="00D4402F" w:rsidRPr="00593E14"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rPr>
            </w:pPr>
            <w:r w:rsidRPr="006C0E43">
              <w:rPr>
                <w:sz w:val="20"/>
                <w:szCs w:val="20"/>
              </w:rPr>
              <w:t xml:space="preserve">  Type 1 diabetes</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0.12</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rPr>
              <w:t>-0.25</w:t>
            </w:r>
            <w:r w:rsidRPr="006C0E43">
              <w:rPr>
                <w:sz w:val="20"/>
                <w:szCs w:val="20"/>
                <w:lang w:val="en-US"/>
              </w:rPr>
              <w:t>, 0.49</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0.53</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0.11</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-0.28, 0.50</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0.57</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0.01</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-0.44, 0.44</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0.98</w:t>
            </w:r>
          </w:p>
        </w:tc>
      </w:tr>
      <w:tr w:rsidR="00D4402F" w:rsidRPr="00593E14"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lang w:val="en-US"/>
              </w:rPr>
            </w:pPr>
            <w:r w:rsidRPr="006C0E43">
              <w:rPr>
                <w:sz w:val="20"/>
                <w:szCs w:val="20"/>
                <w:u w:val="single"/>
                <w:lang w:val="en-US"/>
              </w:rPr>
              <w:t>Model 2</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r>
      <w:tr w:rsidR="00D4402F" w:rsidRPr="00F76447"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lang w:val="en-US"/>
              </w:rPr>
            </w:pPr>
            <w:r w:rsidRPr="006C0E43">
              <w:rPr>
                <w:sz w:val="20"/>
                <w:szCs w:val="20"/>
                <w:lang w:val="en-US"/>
              </w:rPr>
              <w:t xml:space="preserve">  No disorder</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Referent</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Referent</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lang w:val="en-US"/>
              </w:rPr>
            </w:pP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Referent</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p>
        </w:tc>
      </w:tr>
      <w:tr w:rsidR="00D4402F" w:rsidRPr="00F76447" w:rsidTr="00BE3965">
        <w:tc>
          <w:tcPr>
            <w:tcW w:w="1980" w:type="dxa"/>
            <w:tcBorders>
              <w:top w:val="nil"/>
              <w:left w:val="nil"/>
              <w:bottom w:val="nil"/>
              <w:right w:val="single" w:sz="4" w:space="0" w:color="auto"/>
            </w:tcBorders>
          </w:tcPr>
          <w:p w:rsidR="00D4402F" w:rsidRPr="006C0E43" w:rsidRDefault="00D4402F" w:rsidP="00BE3965">
            <w:pPr>
              <w:spacing w:before="0" w:beforeAutospacing="0" w:after="0" w:afterAutospacing="0"/>
              <w:rPr>
                <w:sz w:val="20"/>
                <w:szCs w:val="20"/>
                <w:lang w:val="en-US"/>
              </w:rPr>
            </w:pPr>
            <w:r w:rsidRPr="006C0E43">
              <w:rPr>
                <w:sz w:val="20"/>
                <w:szCs w:val="20"/>
                <w:lang w:val="en-US"/>
              </w:rPr>
              <w:t xml:space="preserve">  Any disorder</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0.007</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lang w:val="en-US"/>
              </w:rPr>
            </w:pPr>
            <w:r w:rsidRPr="006C0E43">
              <w:rPr>
                <w:sz w:val="20"/>
                <w:szCs w:val="20"/>
                <w:lang w:val="en-US"/>
              </w:rPr>
              <w:t>-0.07, 0.08</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lang w:val="en-US"/>
              </w:rPr>
              <w:t>0.</w:t>
            </w:r>
            <w:r w:rsidRPr="006C0E43">
              <w:rPr>
                <w:sz w:val="20"/>
                <w:szCs w:val="20"/>
              </w:rPr>
              <w:t>87</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0.03</w:t>
            </w:r>
          </w:p>
        </w:tc>
        <w:tc>
          <w:tcPr>
            <w:tcW w:w="1170"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-0.05, 0.11</w:t>
            </w:r>
          </w:p>
        </w:tc>
        <w:tc>
          <w:tcPr>
            <w:tcW w:w="900" w:type="dxa"/>
            <w:tcBorders>
              <w:top w:val="nil"/>
              <w:left w:val="nil"/>
              <w:bottom w:val="nil"/>
              <w:right w:val="single" w:sz="4" w:space="0" w:color="auto"/>
            </w:tcBorders>
          </w:tcPr>
          <w:p w:rsidR="00D4402F" w:rsidRPr="006C0E43" w:rsidRDefault="00D4402F" w:rsidP="00BE3965">
            <w:pPr>
              <w:spacing w:before="0" w:beforeAutospacing="0" w:after="0" w:afterAutospacing="0"/>
              <w:jc w:val="center"/>
              <w:rPr>
                <w:sz w:val="20"/>
                <w:szCs w:val="20"/>
              </w:rPr>
            </w:pPr>
            <w:r w:rsidRPr="006C0E43">
              <w:rPr>
                <w:sz w:val="20"/>
                <w:szCs w:val="20"/>
              </w:rPr>
              <w:t>0.42</w:t>
            </w:r>
          </w:p>
        </w:tc>
        <w:tc>
          <w:tcPr>
            <w:tcW w:w="1080" w:type="dxa"/>
            <w:tcBorders>
              <w:top w:val="nil"/>
              <w:left w:val="single" w:sz="4" w:space="0" w:color="auto"/>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0.05</w:t>
            </w:r>
          </w:p>
        </w:tc>
        <w:tc>
          <w:tcPr>
            <w:tcW w:w="1174"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-0.03, 0.14</w:t>
            </w:r>
          </w:p>
        </w:tc>
        <w:tc>
          <w:tcPr>
            <w:tcW w:w="896" w:type="dxa"/>
            <w:tcBorders>
              <w:top w:val="nil"/>
              <w:left w:val="nil"/>
              <w:bottom w:val="nil"/>
              <w:right w:val="nil"/>
            </w:tcBorders>
          </w:tcPr>
          <w:p w:rsidR="00D4402F" w:rsidRPr="006C0E43" w:rsidRDefault="00D4402F" w:rsidP="00BE3965">
            <w:pPr>
              <w:spacing w:before="0" w:beforeAutospacing="0" w:after="0" w:afterAutospacing="0"/>
              <w:jc w:val="center"/>
              <w:rPr>
                <w:sz w:val="20"/>
                <w:szCs w:val="20"/>
              </w:rPr>
            </w:pPr>
            <w:r w:rsidRPr="006C0E43">
              <w:rPr>
                <w:sz w:val="20"/>
                <w:szCs w:val="20"/>
              </w:rPr>
              <w:t>0.23</w:t>
            </w:r>
          </w:p>
        </w:tc>
      </w:tr>
      <w:tr w:rsidR="00D4402F" w:rsidRPr="00240004" w:rsidTr="00BE3965">
        <w:tc>
          <w:tcPr>
            <w:tcW w:w="1980" w:type="dxa"/>
            <w:tcBorders>
              <w:top w:val="nil"/>
              <w:left w:val="nil"/>
              <w:bottom w:val="nil"/>
              <w:right w:val="single" w:sz="4" w:space="0" w:color="auto"/>
            </w:tcBorders>
          </w:tcPr>
          <w:p w:rsidR="00D4402F" w:rsidRPr="00240004" w:rsidRDefault="00D4402F" w:rsidP="00BE3965">
            <w:pPr>
              <w:spacing w:before="0" w:beforeAutospacing="0" w:after="0" w:afterAutospacing="0"/>
              <w:rPr>
                <w:sz w:val="20"/>
                <w:szCs w:val="20"/>
              </w:rPr>
            </w:pPr>
            <w:r w:rsidRPr="00240004">
              <w:rPr>
                <w:sz w:val="20"/>
                <w:szCs w:val="20"/>
              </w:rPr>
              <w:t xml:space="preserve">  Gestational</w:t>
            </w:r>
          </w:p>
          <w:p w:rsidR="00D4402F" w:rsidRPr="00240004" w:rsidRDefault="00D4402F" w:rsidP="00BE3965">
            <w:pPr>
              <w:spacing w:before="0" w:beforeAutospacing="0" w:after="0" w:afterAutospacing="0"/>
              <w:rPr>
                <w:sz w:val="20"/>
                <w:szCs w:val="20"/>
              </w:rPr>
            </w:pPr>
            <w:r w:rsidRPr="00240004">
              <w:rPr>
                <w:sz w:val="20"/>
                <w:szCs w:val="20"/>
              </w:rPr>
              <w:t xml:space="preserve">  hypertension</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-0.02</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-0.16, 0.1</w:t>
            </w:r>
            <w:r>
              <w:rPr>
                <w:sz w:val="20"/>
                <w:szCs w:val="20"/>
              </w:rPr>
              <w:t>2</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Pr>
                <w:sz w:val="20"/>
                <w:szCs w:val="20"/>
              </w:rPr>
              <w:t>0.78</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-0.004</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-0.14, 0.13</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Pr>
                <w:sz w:val="20"/>
                <w:szCs w:val="20"/>
              </w:rPr>
              <w:t>0.94</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0.03</w:t>
            </w:r>
          </w:p>
        </w:tc>
        <w:tc>
          <w:tcPr>
            <w:tcW w:w="1174"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-0.13, 0.19</w:t>
            </w:r>
          </w:p>
        </w:tc>
        <w:tc>
          <w:tcPr>
            <w:tcW w:w="896"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0.70</w:t>
            </w:r>
          </w:p>
        </w:tc>
      </w:tr>
      <w:tr w:rsidR="00D4402F" w:rsidRPr="00240004" w:rsidTr="00BE3965">
        <w:tc>
          <w:tcPr>
            <w:tcW w:w="1980" w:type="dxa"/>
            <w:tcBorders>
              <w:top w:val="nil"/>
              <w:left w:val="nil"/>
              <w:bottom w:val="nil"/>
              <w:right w:val="single" w:sz="4" w:space="0" w:color="auto"/>
            </w:tcBorders>
          </w:tcPr>
          <w:p w:rsidR="00D4402F" w:rsidRPr="00240004" w:rsidRDefault="00D4402F" w:rsidP="00BE3965">
            <w:pPr>
              <w:spacing w:before="0" w:beforeAutospacing="0" w:after="0" w:afterAutospacing="0"/>
              <w:rPr>
                <w:sz w:val="20"/>
                <w:szCs w:val="20"/>
              </w:rPr>
            </w:pPr>
            <w:r w:rsidRPr="00240004">
              <w:rPr>
                <w:sz w:val="20"/>
                <w:szCs w:val="20"/>
              </w:rPr>
              <w:t xml:space="preserve">  Pre-eclampsia</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w:t>
            </w:r>
            <w:r>
              <w:rPr>
                <w:sz w:val="20"/>
                <w:szCs w:val="20"/>
              </w:rPr>
              <w:t>9</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w:t>
            </w:r>
            <w:r>
              <w:rPr>
                <w:sz w:val="20"/>
                <w:szCs w:val="20"/>
              </w:rPr>
              <w:t>6</w:t>
            </w:r>
            <w:r w:rsidRPr="00240004">
              <w:rPr>
                <w:sz w:val="20"/>
                <w:szCs w:val="20"/>
              </w:rPr>
              <w:t>, 0.2</w:t>
            </w:r>
            <w:r>
              <w:rPr>
                <w:sz w:val="20"/>
                <w:szCs w:val="20"/>
              </w:rPr>
              <w:t>4</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Pr>
                <w:sz w:val="20"/>
                <w:szCs w:val="20"/>
              </w:rPr>
              <w:t>0.23</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0.09</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-0.06, 0.24</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Pr>
                <w:sz w:val="20"/>
                <w:szCs w:val="20"/>
              </w:rPr>
              <w:t>0.22</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0.13</w:t>
            </w:r>
          </w:p>
        </w:tc>
        <w:tc>
          <w:tcPr>
            <w:tcW w:w="1174"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-0.04, 0.29</w:t>
            </w:r>
          </w:p>
        </w:tc>
        <w:tc>
          <w:tcPr>
            <w:tcW w:w="896"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0.13</w:t>
            </w:r>
          </w:p>
        </w:tc>
      </w:tr>
      <w:tr w:rsidR="00D4402F" w:rsidRPr="00240004" w:rsidTr="00B35AE9">
        <w:tc>
          <w:tcPr>
            <w:tcW w:w="1980" w:type="dxa"/>
            <w:tcBorders>
              <w:top w:val="nil"/>
              <w:left w:val="nil"/>
              <w:bottom w:val="nil"/>
              <w:right w:val="single" w:sz="4" w:space="0" w:color="auto"/>
            </w:tcBorders>
          </w:tcPr>
          <w:p w:rsidR="00D4402F" w:rsidRPr="00240004" w:rsidRDefault="00D4402F" w:rsidP="00BE3965">
            <w:pPr>
              <w:spacing w:before="0" w:beforeAutospacing="0" w:after="0" w:afterAutospacing="0"/>
              <w:rPr>
                <w:sz w:val="20"/>
                <w:szCs w:val="20"/>
              </w:rPr>
            </w:pPr>
            <w:r w:rsidRPr="00240004">
              <w:rPr>
                <w:sz w:val="20"/>
                <w:szCs w:val="20"/>
              </w:rPr>
              <w:t xml:space="preserve">  Chronic hypertension</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-0.12</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-0.26, 0.02</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sidRPr="00240004">
              <w:rPr>
                <w:sz w:val="20"/>
                <w:szCs w:val="20"/>
              </w:rPr>
              <w:t>0.10</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-0.08</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-0.22</w:t>
            </w:r>
            <w:r w:rsidRPr="00240004">
              <w:rPr>
                <w:sz w:val="20"/>
                <w:szCs w:val="20"/>
              </w:rPr>
              <w:t>, 0.0</w:t>
            </w:r>
            <w:r>
              <w:rPr>
                <w:sz w:val="20"/>
                <w:szCs w:val="20"/>
              </w:rPr>
              <w:t>6</w:t>
            </w:r>
          </w:p>
        </w:tc>
        <w:tc>
          <w:tcPr>
            <w:tcW w:w="900" w:type="dxa"/>
            <w:tcBorders>
              <w:top w:val="nil"/>
              <w:left w:val="nil"/>
              <w:bottom w:val="nil"/>
              <w:right w:val="single" w:sz="4" w:space="0" w:color="000000"/>
            </w:tcBorders>
          </w:tcPr>
          <w:p w:rsidR="00D4402F" w:rsidRPr="00240004" w:rsidRDefault="00D4402F" w:rsidP="00BE3965">
            <w:pPr>
              <w:spacing w:before="0" w:beforeAutospacing="0" w:after="0" w:afterAutospacing="0"/>
              <w:jc w:val="center"/>
              <w:rPr>
                <w:sz w:val="20"/>
                <w:szCs w:val="20"/>
              </w:rPr>
            </w:pPr>
            <w:r>
              <w:rPr>
                <w:sz w:val="20"/>
                <w:szCs w:val="20"/>
              </w:rPr>
              <w:t>0.28</w:t>
            </w:r>
          </w:p>
        </w:tc>
        <w:tc>
          <w:tcPr>
            <w:tcW w:w="1080" w:type="dxa"/>
            <w:tcBorders>
              <w:top w:val="nil"/>
              <w:left w:val="single" w:sz="4" w:space="0" w:color="000000"/>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-0.03</w:t>
            </w:r>
          </w:p>
        </w:tc>
        <w:tc>
          <w:tcPr>
            <w:tcW w:w="1174"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-0.18, 0.13</w:t>
            </w:r>
          </w:p>
        </w:tc>
        <w:tc>
          <w:tcPr>
            <w:tcW w:w="896"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0.74</w:t>
            </w:r>
          </w:p>
        </w:tc>
      </w:tr>
      <w:tr w:rsidR="00D4402F" w:rsidRPr="00593E14" w:rsidTr="00B35AE9">
        <w:trPr>
          <w:trHeight w:val="203"/>
        </w:trPr>
        <w:tc>
          <w:tcPr>
            <w:tcW w:w="1980" w:type="dxa"/>
            <w:tcBorders>
              <w:top w:val="nil"/>
              <w:left w:val="nil"/>
              <w:bottom w:val="nil"/>
              <w:right w:val="single" w:sz="4" w:space="0" w:color="auto"/>
            </w:tcBorders>
          </w:tcPr>
          <w:p w:rsidR="00D4402F" w:rsidRPr="00240004" w:rsidRDefault="00D4402F" w:rsidP="00BE3965">
            <w:pPr>
              <w:spacing w:before="0" w:beforeAutospacing="0" w:after="0" w:afterAutospacing="0"/>
              <w:rPr>
                <w:sz w:val="20"/>
                <w:szCs w:val="20"/>
              </w:rPr>
            </w:pPr>
            <w:r w:rsidRPr="00240004">
              <w:rPr>
                <w:sz w:val="20"/>
                <w:szCs w:val="20"/>
              </w:rPr>
              <w:t xml:space="preserve">  Gestational diabetes</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w:t>
            </w:r>
            <w:r>
              <w:rPr>
                <w:sz w:val="20"/>
                <w:szCs w:val="20"/>
              </w:rPr>
              <w:t>3</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-0.1</w:t>
            </w:r>
            <w:r>
              <w:rPr>
                <w:sz w:val="20"/>
                <w:szCs w:val="20"/>
              </w:rPr>
              <w:t>3</w:t>
            </w:r>
            <w:r w:rsidRPr="00240004">
              <w:rPr>
                <w:sz w:val="20"/>
                <w:szCs w:val="20"/>
              </w:rPr>
              <w:t>, 0.07</w:t>
            </w:r>
          </w:p>
        </w:tc>
        <w:tc>
          <w:tcPr>
            <w:tcW w:w="900" w:type="dxa"/>
            <w:tcBorders>
              <w:top w:val="nil"/>
              <w:left w:val="nil"/>
              <w:bottom w:val="nil"/>
              <w:right w:val="single" w:sz="4" w:space="0" w:color="auto"/>
            </w:tcBorders>
          </w:tcPr>
          <w:p w:rsidR="00D4402F" w:rsidRPr="00240004" w:rsidRDefault="00D4402F" w:rsidP="00BE3965">
            <w:pPr>
              <w:spacing w:before="0" w:beforeAutospacing="0" w:after="0" w:afterAutospacing="0"/>
              <w:jc w:val="center"/>
              <w:rPr>
                <w:sz w:val="20"/>
                <w:szCs w:val="20"/>
              </w:rPr>
            </w:pPr>
            <w:r>
              <w:rPr>
                <w:sz w:val="20"/>
                <w:szCs w:val="20"/>
              </w:rPr>
              <w:t>0.55</w:t>
            </w:r>
          </w:p>
        </w:tc>
        <w:tc>
          <w:tcPr>
            <w:tcW w:w="1080" w:type="dxa"/>
            <w:tcBorders>
              <w:top w:val="nil"/>
              <w:left w:val="single" w:sz="4" w:space="0" w:color="auto"/>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w:t>
            </w:r>
          </w:p>
        </w:tc>
        <w:tc>
          <w:tcPr>
            <w:tcW w:w="1170" w:type="dxa"/>
            <w:tcBorders>
              <w:top w:val="nil"/>
              <w:left w:val="nil"/>
              <w:bottom w:val="nil"/>
              <w:right w:val="nil"/>
            </w:tcBorders>
          </w:tcPr>
          <w:p w:rsidR="00D4402F" w:rsidRPr="00240004" w:rsidRDefault="00D4402F" w:rsidP="00BE3965">
            <w:pPr>
              <w:spacing w:before="0" w:beforeAutospacing="0" w:after="0" w:afterAutospacing="0"/>
              <w:jc w:val="center"/>
              <w:rPr>
                <w:sz w:val="20"/>
                <w:szCs w:val="20"/>
              </w:rPr>
            </w:pPr>
            <w:r>
              <w:rPr>
                <w:sz w:val="20"/>
                <w:szCs w:val="20"/>
              </w:rPr>
              <w:t>-0.10, 0.10</w:t>
            </w:r>
          </w:p>
        </w:tc>
        <w:tc>
          <w:tcPr>
            <w:tcW w:w="900" w:type="dxa"/>
            <w:tcBorders>
              <w:top w:val="nil"/>
              <w:left w:val="nil"/>
              <w:bottom w:val="nil"/>
              <w:right w:val="single" w:sz="4" w:space="0" w:color="000000"/>
            </w:tcBorders>
          </w:tcPr>
          <w:p w:rsidR="00D4402F" w:rsidRPr="00240004" w:rsidRDefault="00D4402F" w:rsidP="00BE3965">
            <w:pPr>
              <w:spacing w:before="0" w:beforeAutospacing="0" w:after="0" w:afterAutospacing="0"/>
              <w:jc w:val="center"/>
              <w:rPr>
                <w:sz w:val="20"/>
                <w:szCs w:val="20"/>
              </w:rPr>
            </w:pPr>
            <w:r>
              <w:rPr>
                <w:sz w:val="20"/>
                <w:szCs w:val="20"/>
              </w:rPr>
              <w:t>0.98</w:t>
            </w:r>
          </w:p>
        </w:tc>
        <w:tc>
          <w:tcPr>
            <w:tcW w:w="1080" w:type="dxa"/>
            <w:tcBorders>
              <w:top w:val="nil"/>
              <w:left w:val="single" w:sz="4" w:space="0" w:color="000000"/>
              <w:bottom w:val="nil"/>
              <w:right w:val="nil"/>
            </w:tcBorders>
          </w:tcPr>
          <w:p w:rsidR="00D4402F" w:rsidRPr="00240004" w:rsidRDefault="00D4402F" w:rsidP="00BE3965">
            <w:pPr>
              <w:spacing w:before="0" w:beforeAutospacing="0" w:after="0" w:afterAutospacing="0"/>
              <w:jc w:val="center"/>
              <w:rPr>
                <w:sz w:val="20"/>
                <w:szCs w:val="20"/>
              </w:rPr>
            </w:pPr>
            <w:r w:rsidRPr="00240004">
              <w:rPr>
                <w:sz w:val="20"/>
                <w:szCs w:val="20"/>
              </w:rPr>
              <w:t>0.02</w:t>
            </w:r>
          </w:p>
        </w:tc>
        <w:tc>
          <w:tcPr>
            <w:tcW w:w="1174"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sidRPr="00593E14">
              <w:rPr>
                <w:sz w:val="20"/>
                <w:szCs w:val="20"/>
                <w:lang w:val="en-US"/>
              </w:rPr>
              <w:t>-0.</w:t>
            </w:r>
            <w:r>
              <w:rPr>
                <w:sz w:val="20"/>
                <w:szCs w:val="20"/>
                <w:lang w:val="en-US"/>
              </w:rPr>
              <w:t>09, 0.13</w:t>
            </w:r>
          </w:p>
        </w:tc>
        <w:tc>
          <w:tcPr>
            <w:tcW w:w="896"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0.71</w:t>
            </w:r>
          </w:p>
        </w:tc>
      </w:tr>
      <w:tr w:rsidR="00D4402F" w:rsidRPr="00593E14" w:rsidTr="00B35AE9">
        <w:tc>
          <w:tcPr>
            <w:tcW w:w="1980" w:type="dxa"/>
            <w:tcBorders>
              <w:top w:val="nil"/>
              <w:left w:val="nil"/>
              <w:bottom w:val="nil"/>
              <w:right w:val="single" w:sz="4" w:space="0" w:color="auto"/>
            </w:tcBorders>
          </w:tcPr>
          <w:p w:rsidR="00D4402F" w:rsidRPr="00593E14" w:rsidRDefault="00D4402F" w:rsidP="00BE3965">
            <w:pPr>
              <w:spacing w:before="0" w:beforeAutospacing="0" w:after="0" w:afterAutospacing="0"/>
              <w:rPr>
                <w:sz w:val="20"/>
                <w:szCs w:val="20"/>
                <w:lang w:val="en-US"/>
              </w:rPr>
            </w:pPr>
            <w:r w:rsidRPr="00593E14">
              <w:rPr>
                <w:sz w:val="20"/>
                <w:szCs w:val="20"/>
                <w:lang w:val="en-US"/>
              </w:rPr>
              <w:t xml:space="preserve">  Type 1 diabetes</w:t>
            </w:r>
          </w:p>
        </w:tc>
        <w:tc>
          <w:tcPr>
            <w:tcW w:w="1080" w:type="dxa"/>
            <w:tcBorders>
              <w:top w:val="nil"/>
              <w:left w:val="single" w:sz="4" w:space="0" w:color="auto"/>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0.08</w:t>
            </w:r>
          </w:p>
        </w:tc>
        <w:tc>
          <w:tcPr>
            <w:tcW w:w="1170"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sidRPr="00593E14">
              <w:rPr>
                <w:sz w:val="20"/>
                <w:szCs w:val="20"/>
                <w:lang w:val="en-US"/>
              </w:rPr>
              <w:t>-0.28, 0.4</w:t>
            </w:r>
            <w:r>
              <w:rPr>
                <w:sz w:val="20"/>
                <w:szCs w:val="20"/>
                <w:lang w:val="en-US"/>
              </w:rPr>
              <w:t>5</w:t>
            </w:r>
          </w:p>
        </w:tc>
        <w:tc>
          <w:tcPr>
            <w:tcW w:w="900" w:type="dxa"/>
            <w:tcBorders>
              <w:top w:val="nil"/>
              <w:left w:val="nil"/>
              <w:bottom w:val="nil"/>
              <w:right w:val="single" w:sz="4" w:space="0" w:color="auto"/>
            </w:tcBorders>
          </w:tcPr>
          <w:p w:rsidR="00D4402F" w:rsidRPr="00593E14" w:rsidRDefault="00D4402F" w:rsidP="00BE3965">
            <w:pPr>
              <w:spacing w:before="0" w:beforeAutospacing="0" w:after="0" w:afterAutospacing="0"/>
              <w:jc w:val="center"/>
              <w:rPr>
                <w:sz w:val="20"/>
                <w:szCs w:val="20"/>
                <w:lang w:val="en-US"/>
              </w:rPr>
            </w:pPr>
            <w:r w:rsidRPr="00593E14">
              <w:rPr>
                <w:sz w:val="20"/>
                <w:szCs w:val="20"/>
                <w:lang w:val="en-US"/>
              </w:rPr>
              <w:t>0.6</w:t>
            </w:r>
            <w:r>
              <w:rPr>
                <w:sz w:val="20"/>
                <w:szCs w:val="20"/>
                <w:lang w:val="en-US"/>
              </w:rPr>
              <w:t>5</w:t>
            </w:r>
          </w:p>
        </w:tc>
        <w:tc>
          <w:tcPr>
            <w:tcW w:w="1080" w:type="dxa"/>
            <w:tcBorders>
              <w:top w:val="nil"/>
              <w:left w:val="single" w:sz="4" w:space="0" w:color="auto"/>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0.08</w:t>
            </w:r>
          </w:p>
        </w:tc>
        <w:tc>
          <w:tcPr>
            <w:tcW w:w="1170"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-0.31, 0.47</w:t>
            </w:r>
          </w:p>
        </w:tc>
        <w:tc>
          <w:tcPr>
            <w:tcW w:w="900" w:type="dxa"/>
            <w:tcBorders>
              <w:top w:val="nil"/>
              <w:left w:val="nil"/>
              <w:bottom w:val="nil"/>
              <w:right w:val="single" w:sz="4" w:space="0" w:color="000000"/>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0.67</w:t>
            </w:r>
          </w:p>
        </w:tc>
        <w:tc>
          <w:tcPr>
            <w:tcW w:w="1080" w:type="dxa"/>
            <w:tcBorders>
              <w:top w:val="nil"/>
              <w:left w:val="single" w:sz="4" w:space="0" w:color="000000"/>
              <w:bottom w:val="nil"/>
              <w:right w:val="nil"/>
            </w:tcBorders>
          </w:tcPr>
          <w:p w:rsidR="00D4402F" w:rsidRPr="00593E14" w:rsidRDefault="00D4402F" w:rsidP="00BE3965">
            <w:pPr>
              <w:spacing w:before="0" w:beforeAutospacing="0" w:after="0" w:afterAutospacing="0"/>
              <w:jc w:val="center"/>
              <w:rPr>
                <w:sz w:val="20"/>
                <w:szCs w:val="20"/>
                <w:lang w:val="en-US"/>
              </w:rPr>
            </w:pPr>
            <w:r w:rsidRPr="00593E14">
              <w:rPr>
                <w:sz w:val="20"/>
                <w:szCs w:val="20"/>
                <w:lang w:val="en-US"/>
              </w:rPr>
              <w:t>-0.01</w:t>
            </w:r>
          </w:p>
        </w:tc>
        <w:tc>
          <w:tcPr>
            <w:tcW w:w="1174"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-0.45, 0.42</w:t>
            </w:r>
          </w:p>
        </w:tc>
        <w:tc>
          <w:tcPr>
            <w:tcW w:w="896" w:type="dxa"/>
            <w:tcBorders>
              <w:top w:val="nil"/>
              <w:left w:val="nil"/>
              <w:bottom w:val="nil"/>
              <w:right w:val="nil"/>
            </w:tcBorders>
          </w:tcPr>
          <w:p w:rsidR="00D4402F" w:rsidRPr="00593E14" w:rsidRDefault="00D4402F" w:rsidP="00BE3965">
            <w:pPr>
              <w:spacing w:before="0" w:beforeAutospacing="0" w:after="0" w:afterAutospacing="0"/>
              <w:jc w:val="center"/>
              <w:rPr>
                <w:sz w:val="20"/>
                <w:szCs w:val="20"/>
                <w:lang w:val="en-US"/>
              </w:rPr>
            </w:pPr>
            <w:r>
              <w:rPr>
                <w:sz w:val="20"/>
                <w:szCs w:val="20"/>
                <w:lang w:val="en-US"/>
              </w:rPr>
              <w:t>0.95</w:t>
            </w:r>
          </w:p>
        </w:tc>
      </w:tr>
      <w:tr w:rsidR="00D4402F" w:rsidRPr="00733915" w:rsidTr="00BE3965">
        <w:tc>
          <w:tcPr>
            <w:tcW w:w="11430" w:type="dxa"/>
            <w:gridSpan w:val="10"/>
            <w:tcBorders>
              <w:top w:val="single" w:sz="4" w:space="0" w:color="auto"/>
              <w:left w:val="nil"/>
              <w:bottom w:val="nil"/>
              <w:right w:val="nil"/>
            </w:tcBorders>
          </w:tcPr>
          <w:p w:rsidR="00D4402F" w:rsidRDefault="00D4402F" w:rsidP="00BE3965">
            <w:pPr>
              <w:spacing w:before="0" w:beforeAutospacing="0" w:after="0" w:afterAutospacing="0"/>
              <w:rPr>
                <w:sz w:val="20"/>
                <w:szCs w:val="20"/>
                <w:lang w:val="en-US"/>
              </w:rPr>
            </w:pPr>
            <w:r w:rsidRPr="00593E14">
              <w:rPr>
                <w:sz w:val="20"/>
                <w:szCs w:val="20"/>
                <w:lang w:val="en-US"/>
              </w:rPr>
              <w:t>Note. Model 1 is adjusted for mat</w:t>
            </w:r>
            <w:r w:rsidRPr="00733915">
              <w:rPr>
                <w:sz w:val="20"/>
                <w:szCs w:val="20"/>
                <w:lang w:val="en-US"/>
              </w:rPr>
              <w:t>ernal age at delivery, maternal education, parity, maternal physical activity, maternal smoking and alcohol use during pregnancy, and analyses during pregnancy for time (gestation week), and analyses after pregnancy for child’s gestational age, birth weight, sex, and time (measurement point at an average of two weeks and six months after p</w:t>
            </w:r>
            <w:r>
              <w:rPr>
                <w:sz w:val="20"/>
                <w:szCs w:val="20"/>
                <w:lang w:val="en-US"/>
              </w:rPr>
              <w:t>regnancy); Model 2</w:t>
            </w:r>
            <w:r w:rsidRPr="00733915">
              <w:rPr>
                <w:sz w:val="20"/>
                <w:szCs w:val="20"/>
                <w:lang w:val="en-US"/>
              </w:rPr>
              <w:t xml:space="preserve"> is adjusted for model 1 covariates and BMI (continuous). </w:t>
            </w:r>
          </w:p>
          <w:p w:rsidR="00D4402F" w:rsidRPr="00733915" w:rsidRDefault="00D4402F" w:rsidP="00BE3965">
            <w:pPr>
              <w:spacing w:before="0" w:beforeAutospacing="0" w:after="0" w:afterAutospacing="0"/>
              <w:rPr>
                <w:sz w:val="20"/>
                <w:szCs w:val="20"/>
                <w:lang w:val="en-US"/>
              </w:rPr>
            </w:pPr>
            <w:proofErr w:type="spellStart"/>
            <w:r w:rsidRPr="00733915">
              <w:rPr>
                <w:sz w:val="20"/>
                <w:szCs w:val="20"/>
                <w:vertAlign w:val="superscript"/>
                <w:lang w:val="en-US"/>
              </w:rPr>
              <w:t>a</w:t>
            </w:r>
            <w:r w:rsidRPr="00733915">
              <w:rPr>
                <w:sz w:val="20"/>
                <w:szCs w:val="20"/>
                <w:lang w:val="en-US"/>
              </w:rPr>
              <w:t>Exact</w:t>
            </w:r>
            <w:proofErr w:type="spellEnd"/>
            <w:r w:rsidRPr="00733915">
              <w:rPr>
                <w:sz w:val="20"/>
                <w:szCs w:val="20"/>
                <w:lang w:val="en-US"/>
              </w:rPr>
              <w:t xml:space="preserve"> p-values are given unless they are below 0.0001</w:t>
            </w:r>
          </w:p>
        </w:tc>
      </w:tr>
    </w:tbl>
    <w:p w:rsidR="003A29FA" w:rsidRDefault="003A29FA"/>
    <w:sectPr w:rsidR="003A29FA" w:rsidSect="003C5ECE">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2F"/>
    <w:rsid w:val="00000886"/>
    <w:rsid w:val="00051D30"/>
    <w:rsid w:val="000A7272"/>
    <w:rsid w:val="000C0C5A"/>
    <w:rsid w:val="000C5B56"/>
    <w:rsid w:val="00116EBC"/>
    <w:rsid w:val="00142145"/>
    <w:rsid w:val="00151AB1"/>
    <w:rsid w:val="00152983"/>
    <w:rsid w:val="00160923"/>
    <w:rsid w:val="00192AE6"/>
    <w:rsid w:val="001D3AA9"/>
    <w:rsid w:val="001F02F5"/>
    <w:rsid w:val="00221731"/>
    <w:rsid w:val="00262EF6"/>
    <w:rsid w:val="002850BD"/>
    <w:rsid w:val="0029017D"/>
    <w:rsid w:val="002B6251"/>
    <w:rsid w:val="002C6E1A"/>
    <w:rsid w:val="003470ED"/>
    <w:rsid w:val="003A29FA"/>
    <w:rsid w:val="003C5ECE"/>
    <w:rsid w:val="003C606B"/>
    <w:rsid w:val="00404110"/>
    <w:rsid w:val="00466097"/>
    <w:rsid w:val="004E6896"/>
    <w:rsid w:val="004F1CFB"/>
    <w:rsid w:val="00510FA6"/>
    <w:rsid w:val="00595F31"/>
    <w:rsid w:val="005E2B3E"/>
    <w:rsid w:val="00673D45"/>
    <w:rsid w:val="006B7FCA"/>
    <w:rsid w:val="006D7F9A"/>
    <w:rsid w:val="00714BBA"/>
    <w:rsid w:val="00782E3F"/>
    <w:rsid w:val="007B2A46"/>
    <w:rsid w:val="007B38CF"/>
    <w:rsid w:val="007C7431"/>
    <w:rsid w:val="00845B85"/>
    <w:rsid w:val="00875C29"/>
    <w:rsid w:val="008874D9"/>
    <w:rsid w:val="008B6246"/>
    <w:rsid w:val="008B7F1E"/>
    <w:rsid w:val="008D5326"/>
    <w:rsid w:val="00901178"/>
    <w:rsid w:val="00907B34"/>
    <w:rsid w:val="0091731D"/>
    <w:rsid w:val="00965F9D"/>
    <w:rsid w:val="009A1A2D"/>
    <w:rsid w:val="009D7211"/>
    <w:rsid w:val="009E0645"/>
    <w:rsid w:val="00A00857"/>
    <w:rsid w:val="00A00E31"/>
    <w:rsid w:val="00A113A0"/>
    <w:rsid w:val="00A52147"/>
    <w:rsid w:val="00AD1FB0"/>
    <w:rsid w:val="00B06BC4"/>
    <w:rsid w:val="00B35AE9"/>
    <w:rsid w:val="00B83AB1"/>
    <w:rsid w:val="00B94F8A"/>
    <w:rsid w:val="00BA4083"/>
    <w:rsid w:val="00BE67C8"/>
    <w:rsid w:val="00C02A66"/>
    <w:rsid w:val="00C11177"/>
    <w:rsid w:val="00C7638C"/>
    <w:rsid w:val="00C81245"/>
    <w:rsid w:val="00C865BC"/>
    <w:rsid w:val="00C965A4"/>
    <w:rsid w:val="00CB13EE"/>
    <w:rsid w:val="00CF529A"/>
    <w:rsid w:val="00D009A7"/>
    <w:rsid w:val="00D01C26"/>
    <w:rsid w:val="00D109A7"/>
    <w:rsid w:val="00D158F3"/>
    <w:rsid w:val="00D4402F"/>
    <w:rsid w:val="00D56EAD"/>
    <w:rsid w:val="00D71A8C"/>
    <w:rsid w:val="00DC3546"/>
    <w:rsid w:val="00DD4E8C"/>
    <w:rsid w:val="00E01A1D"/>
    <w:rsid w:val="00E44777"/>
    <w:rsid w:val="00E557E8"/>
    <w:rsid w:val="00E95C59"/>
    <w:rsid w:val="00EC7E3C"/>
    <w:rsid w:val="00EE767E"/>
    <w:rsid w:val="00F2350C"/>
    <w:rsid w:val="00F33D8D"/>
    <w:rsid w:val="00F357BF"/>
    <w:rsid w:val="00FA1CAB"/>
    <w:rsid w:val="00FB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CE3B-E0CC-4767-8945-DE7524F9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2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02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Kumpulainen, Satu M</dc:creator>
  <cp:keywords/>
  <dc:description/>
  <cp:lastModifiedBy>Lemuel Peña</cp:lastModifiedBy>
  <cp:revision>2</cp:revision>
  <dcterms:created xsi:type="dcterms:W3CDTF">2018-02-14T08:43:00Z</dcterms:created>
  <dcterms:modified xsi:type="dcterms:W3CDTF">2018-02-14T08:43:00Z</dcterms:modified>
</cp:coreProperties>
</file>