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0E25" w14:textId="77777777" w:rsidR="00274411" w:rsidRDefault="00274411">
      <w:pPr>
        <w:rPr>
          <w:rFonts w:cs="Arial"/>
          <w:b/>
          <w:bCs/>
        </w:rPr>
      </w:pPr>
    </w:p>
    <w:p w14:paraId="48B0EFE0" w14:textId="77777777" w:rsidR="00274411" w:rsidRDefault="00274411" w:rsidP="00274411">
      <w:pPr>
        <w:tabs>
          <w:tab w:val="left" w:pos="720"/>
        </w:tabs>
        <w:rPr>
          <w:rFonts w:cs="Arial"/>
          <w:b/>
          <w:bCs/>
        </w:rPr>
      </w:pPr>
      <w:r>
        <w:rPr>
          <w:rFonts w:cs="Arial"/>
          <w:b/>
          <w:bCs/>
        </w:rPr>
        <w:t>Supplementary Methods</w:t>
      </w:r>
    </w:p>
    <w:p w14:paraId="79000AB7" w14:textId="77777777" w:rsidR="00274411" w:rsidRDefault="00274411" w:rsidP="00274411">
      <w:pPr>
        <w:tabs>
          <w:tab w:val="left" w:pos="720"/>
        </w:tabs>
        <w:rPr>
          <w:rFonts w:cs="Arial"/>
        </w:rPr>
      </w:pPr>
      <w:r>
        <w:rPr>
          <w:rFonts w:cs="Arial"/>
          <w:i/>
          <w:iCs/>
        </w:rPr>
        <w:t>Registry descriptions</w:t>
      </w:r>
    </w:p>
    <w:p w14:paraId="1BDE1758" w14:textId="77777777" w:rsidR="00274411" w:rsidRPr="00274411" w:rsidRDefault="00274411" w:rsidP="00274411">
      <w:pPr>
        <w:tabs>
          <w:tab w:val="left" w:pos="720"/>
        </w:tabs>
        <w:rPr>
          <w:rFonts w:cs="Arial"/>
          <w:u w:val="single"/>
        </w:rPr>
      </w:pPr>
      <w:r w:rsidRPr="00274411">
        <w:rPr>
          <w:rFonts w:cs="Arial"/>
          <w:u w:val="single"/>
        </w:rPr>
        <w:t>National Patient Register</w:t>
      </w:r>
    </w:p>
    <w:p w14:paraId="32324ABC" w14:textId="77777777" w:rsidR="00274411" w:rsidRPr="00274411" w:rsidRDefault="00274411" w:rsidP="00274411">
      <w:pPr>
        <w:tabs>
          <w:tab w:val="left" w:pos="720"/>
        </w:tabs>
        <w:rPr>
          <w:rFonts w:cs="Arial"/>
        </w:rPr>
      </w:pPr>
      <w:r w:rsidRPr="00274411">
        <w:rPr>
          <w:rFonts w:cs="Arial"/>
        </w:rPr>
        <w:t>In the 1960's the National Board of Health and Welfare started to collect information regarding in-patients at public hospitals, the National Patient Register (NPR). Initially it contained information about all patients treated in psychiatric care and approximately 16 percent of patients in somatic care. The register at that time covered six of the 26 county councils in Sweden. In 1984, the Ministry of Health and Welfare together with the Federation of County Councils decided a mandatory participation for all county councils. From 1987, NPR includes all in-patient care in Sweden. Since 2001, the register also covers outpatient doctor visits including day surgery and psychiatric care from both private and public caregivers. For more information, see https://www.socialstyrelsen.se/en/statistics-and-data/registers/register-information/the-national-patient-register/</w:t>
      </w:r>
    </w:p>
    <w:p w14:paraId="4E69D7E0" w14:textId="77777777" w:rsidR="00274411" w:rsidRPr="00274411" w:rsidRDefault="00274411" w:rsidP="00274411">
      <w:pPr>
        <w:tabs>
          <w:tab w:val="left" w:pos="720"/>
        </w:tabs>
        <w:rPr>
          <w:rFonts w:cs="Arial"/>
        </w:rPr>
      </w:pPr>
    </w:p>
    <w:p w14:paraId="4D8B9473" w14:textId="77777777" w:rsidR="00274411" w:rsidRPr="00274411" w:rsidRDefault="00274411" w:rsidP="00274411">
      <w:pPr>
        <w:tabs>
          <w:tab w:val="left" w:pos="720"/>
        </w:tabs>
        <w:rPr>
          <w:rFonts w:cs="Arial"/>
          <w:u w:val="single"/>
        </w:rPr>
      </w:pPr>
      <w:r w:rsidRPr="00274411">
        <w:rPr>
          <w:rFonts w:cs="Arial"/>
          <w:u w:val="single"/>
        </w:rPr>
        <w:t>Primary Care Registry</w:t>
      </w:r>
    </w:p>
    <w:p w14:paraId="7ECAE514" w14:textId="611EA5CA" w:rsidR="00274411" w:rsidRDefault="00274411" w:rsidP="00274411">
      <w:pPr>
        <w:tabs>
          <w:tab w:val="left" w:pos="720"/>
        </w:tabs>
        <w:rPr>
          <w:rFonts w:cs="Arial"/>
        </w:rPr>
      </w:pPr>
      <w:r w:rsidRPr="00274411">
        <w:rPr>
          <w:rFonts w:cs="Arial"/>
        </w:rPr>
        <w:t xml:space="preserve">We also used information from our new Primary Care Registry (PCR), a research dataset including individual-level information on clinical diagnoses from primary health care centers from the following 15 of the 21 Swedish counties: Blekinge (2009-2016), </w:t>
      </w:r>
      <w:proofErr w:type="spellStart"/>
      <w:r w:rsidRPr="00274411">
        <w:rPr>
          <w:rFonts w:cs="Arial"/>
        </w:rPr>
        <w:t>Värmland</w:t>
      </w:r>
      <w:proofErr w:type="spellEnd"/>
      <w:r w:rsidRPr="00274411">
        <w:rPr>
          <w:rFonts w:cs="Arial"/>
        </w:rPr>
        <w:t xml:space="preserve"> (2005-2015), Kalmar (2007-2016), </w:t>
      </w:r>
      <w:proofErr w:type="spellStart"/>
      <w:r w:rsidRPr="00274411">
        <w:rPr>
          <w:rFonts w:cs="Arial"/>
        </w:rPr>
        <w:t>Sörmland</w:t>
      </w:r>
      <w:proofErr w:type="spellEnd"/>
      <w:r w:rsidRPr="00274411">
        <w:rPr>
          <w:rFonts w:cs="Arial"/>
        </w:rPr>
        <w:t xml:space="preserve"> (1997-2017), Uppsala (2005-2015), </w:t>
      </w:r>
      <w:proofErr w:type="spellStart"/>
      <w:r w:rsidRPr="00274411">
        <w:rPr>
          <w:rFonts w:cs="Arial"/>
        </w:rPr>
        <w:t>Västernorrland</w:t>
      </w:r>
      <w:proofErr w:type="spellEnd"/>
      <w:r w:rsidRPr="00274411">
        <w:rPr>
          <w:rFonts w:cs="Arial"/>
        </w:rPr>
        <w:t xml:space="preserve"> (2008-2015), </w:t>
      </w:r>
      <w:proofErr w:type="spellStart"/>
      <w:r w:rsidRPr="00274411">
        <w:rPr>
          <w:rFonts w:cs="Arial"/>
        </w:rPr>
        <w:t>Norrbotten</w:t>
      </w:r>
      <w:proofErr w:type="spellEnd"/>
      <w:r w:rsidRPr="00274411">
        <w:rPr>
          <w:rFonts w:cs="Arial"/>
        </w:rPr>
        <w:t xml:space="preserve"> (2009-2016), </w:t>
      </w:r>
      <w:proofErr w:type="spellStart"/>
      <w:r w:rsidRPr="00274411">
        <w:rPr>
          <w:rFonts w:cs="Arial"/>
        </w:rPr>
        <w:t>Gävleborg</w:t>
      </w:r>
      <w:proofErr w:type="spellEnd"/>
      <w:r w:rsidRPr="00274411">
        <w:rPr>
          <w:rFonts w:cs="Arial"/>
        </w:rPr>
        <w:t xml:space="preserve"> (2010-2016), </w:t>
      </w:r>
      <w:proofErr w:type="spellStart"/>
      <w:r w:rsidRPr="00274411">
        <w:rPr>
          <w:rFonts w:cs="Arial"/>
        </w:rPr>
        <w:t>Halland</w:t>
      </w:r>
      <w:proofErr w:type="spellEnd"/>
      <w:r w:rsidRPr="00274411">
        <w:rPr>
          <w:rFonts w:cs="Arial"/>
        </w:rPr>
        <w:t xml:space="preserve"> (2007-2014), Jönköping (2008-2014), </w:t>
      </w:r>
      <w:proofErr w:type="spellStart"/>
      <w:r w:rsidRPr="00274411">
        <w:rPr>
          <w:rFonts w:cs="Arial"/>
        </w:rPr>
        <w:t>Kronoberg</w:t>
      </w:r>
      <w:proofErr w:type="spellEnd"/>
      <w:r w:rsidRPr="00274411">
        <w:rPr>
          <w:rFonts w:cs="Arial"/>
        </w:rPr>
        <w:t xml:space="preserve"> (2006-2016), </w:t>
      </w:r>
      <w:proofErr w:type="spellStart"/>
      <w:r w:rsidRPr="00274411">
        <w:rPr>
          <w:rFonts w:cs="Arial"/>
        </w:rPr>
        <w:t>Skåne</w:t>
      </w:r>
      <w:proofErr w:type="spellEnd"/>
      <w:r w:rsidRPr="00274411">
        <w:rPr>
          <w:rFonts w:cs="Arial"/>
        </w:rPr>
        <w:t xml:space="preserve"> (1998-2013), </w:t>
      </w:r>
      <w:proofErr w:type="spellStart"/>
      <w:r w:rsidRPr="00274411">
        <w:rPr>
          <w:rFonts w:cs="Arial"/>
        </w:rPr>
        <w:t>Östergötland</w:t>
      </w:r>
      <w:proofErr w:type="spellEnd"/>
      <w:r w:rsidRPr="00274411">
        <w:rPr>
          <w:rFonts w:cs="Arial"/>
        </w:rPr>
        <w:t xml:space="preserve"> (1997-2014), Stockholm (2003-2016), and </w:t>
      </w:r>
      <w:proofErr w:type="spellStart"/>
      <w:r w:rsidRPr="00274411">
        <w:rPr>
          <w:rFonts w:cs="Arial"/>
        </w:rPr>
        <w:t>Västergötland</w:t>
      </w:r>
      <w:proofErr w:type="spellEnd"/>
      <w:r w:rsidRPr="00274411">
        <w:rPr>
          <w:rFonts w:cs="Arial"/>
        </w:rPr>
        <w:t xml:space="preserve"> (2000-2013). In 2016, these counties included 87% of the Swedish population. For more information see Sundquist, J., Ohlsson, H., Sundquist, K. et al. Common adult psychiatric disorders in Swedish primary care where most mental health patients are treated</w:t>
      </w:r>
      <w:r w:rsidR="003D4985">
        <w:rPr>
          <w:rFonts w:cs="Arial"/>
        </w:rPr>
        <w:t xml:space="preserve"> </w:t>
      </w:r>
      <w:r w:rsidR="003D4985">
        <w:rPr>
          <w:rFonts w:cs="Arial"/>
        </w:rPr>
        <w:fldChar w:fldCharType="begin"/>
      </w:r>
      <w:r w:rsidR="003D4985">
        <w:rPr>
          <w:rFonts w:cs="Arial"/>
        </w:rPr>
        <w:instrText xml:space="preserve"> ADDIN EN.CITE &lt;EndNote&gt;&lt;Cite&gt;&lt;Author&gt;Sundquist&lt;/Author&gt;&lt;Year&gt;2017&lt;/Year&gt;&lt;RecNum&gt;3492&lt;/RecNum&gt;&lt;DisplayText&gt;(Sundquist, Ohlsson, Sundquist, &amp;amp; Kendler, 2017)&lt;/DisplayText&gt;&lt;record&gt;&lt;rec-number&gt;3492&lt;/rec-number&gt;&lt;foreign-keys&gt;&lt;key app="EN" db-id="s95wpwwa3ezv92e5aa3pfdx6d2e22efxw009" timestamp="1506719837"&gt;3492&lt;/key&gt;&lt;/foreign-keys&gt;&lt;ref-type name="Journal Article"&gt;17&lt;/ref-type&gt;&lt;contributors&gt;&lt;authors&gt;&lt;author&gt;Sundquist, J.&lt;/author&gt;&lt;author&gt;Ohlsson, H.&lt;/author&gt;&lt;author&gt;Sundquist, K.&lt;/author&gt;&lt;author&gt;Kendler, K. S.&lt;/author&gt;&lt;/authors&gt;&lt;/contributors&gt;&lt;auth-address&gt;Center for Primary Health Care Research, Lund University, Malmo, Sweden. jan.sundquist@med.lu.se.&amp;#xD;Center for Primary Health Care Research, Lund University, Malmo, Sweden.&amp;#xD;Department of Psychiatry, Virginia Commonwealth University, Richmond, VA, USA.&amp;#xD;Department of Human and Molecular Genetics, Virginia Commonwealth University, Richmond, VA, USA.&amp;#xD;Virginia Institute for Psychiatric and Behavioral Genetics, Virginia Commonwealth University, Richmond, VA, USA.&lt;/auth-address&gt;&lt;titles&gt;&lt;title&gt;Common adult psychiatric disorders in Swedish primary care where most mental health patients are treated&lt;/title&gt;&lt;secondary-title&gt;BMC Psychiatry&lt;/secondary-title&gt;&lt;/titles&gt;&lt;periodical&gt;&lt;full-title&gt;BMC Psychiatry&lt;/full-title&gt;&lt;/periodical&gt;&lt;pages&gt;235&lt;/pages&gt;&lt;volume&gt;17&lt;/volume&gt;&lt;number&gt;1&lt;/number&gt;&lt;keywords&gt;&lt;keyword&gt;Mental disorders&lt;/keyword&gt;&lt;keyword&gt;Mental health&lt;/keyword&gt;&lt;keyword&gt;Personality&lt;/keyword&gt;&lt;keyword&gt;Population characteristics&lt;/keyword&gt;&lt;/keywords&gt;&lt;dates&gt;&lt;year&gt;2017&lt;/year&gt;&lt;pub-dates&gt;&lt;date&gt;Jun 30&lt;/date&gt;&lt;/pub-dates&gt;&lt;/dates&gt;&lt;isbn&gt;1471-244X (Electronic)&amp;#xD;1471-244X (Linking)&lt;/isbn&gt;&lt;accession-num&gt;28666429&lt;/accession-num&gt;&lt;urls&gt;&lt;related-urls&gt;&lt;url&gt;https://www.ncbi.nlm.nih.gov/pubmed/28666429&lt;/url&gt;&lt;/related-urls&gt;&lt;/urls&gt;&lt;custom2&gt;PMC5493066&lt;/custom2&gt;&lt;electronic-resource-num&gt;10.1186/s12888-017-1381-4&lt;/electronic-resource-num&gt;&lt;/record&gt;&lt;/Cite&gt;&lt;/EndNote&gt;</w:instrText>
      </w:r>
      <w:r w:rsidR="003D4985">
        <w:rPr>
          <w:rFonts w:cs="Arial"/>
        </w:rPr>
        <w:fldChar w:fldCharType="separate"/>
      </w:r>
      <w:r w:rsidR="003D4985">
        <w:rPr>
          <w:rFonts w:cs="Arial"/>
          <w:noProof/>
        </w:rPr>
        <w:t>(Sundquist, Ohlsson, Sundquist, &amp; Kendler, 2017)</w:t>
      </w:r>
      <w:r w:rsidR="003D4985">
        <w:rPr>
          <w:rFonts w:cs="Arial"/>
        </w:rPr>
        <w:fldChar w:fldCharType="end"/>
      </w:r>
      <w:r w:rsidRPr="00274411">
        <w:rPr>
          <w:rFonts w:cs="Arial"/>
        </w:rPr>
        <w:t>.</w:t>
      </w:r>
    </w:p>
    <w:p w14:paraId="3ABA53A9" w14:textId="1928543C" w:rsidR="00274411" w:rsidRDefault="00274411" w:rsidP="00274411">
      <w:pPr>
        <w:tabs>
          <w:tab w:val="left" w:pos="720"/>
        </w:tabs>
        <w:rPr>
          <w:rFonts w:cs="Arial"/>
        </w:rPr>
      </w:pPr>
    </w:p>
    <w:p w14:paraId="3B345378" w14:textId="7264AB52" w:rsidR="00274411" w:rsidRDefault="00274411" w:rsidP="00274411">
      <w:pPr>
        <w:tabs>
          <w:tab w:val="left" w:pos="720"/>
        </w:tabs>
        <w:rPr>
          <w:rFonts w:cs="Arial"/>
        </w:rPr>
      </w:pPr>
      <w:r>
        <w:rPr>
          <w:rFonts w:cs="Arial"/>
          <w:i/>
          <w:iCs/>
        </w:rPr>
        <w:t>ICD codes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4389"/>
      </w:tblGrid>
      <w:tr w:rsidR="00274411" w:rsidRPr="00274411" w14:paraId="6CC237A7" w14:textId="77777777" w:rsidTr="00EB1058">
        <w:tc>
          <w:tcPr>
            <w:tcW w:w="2122" w:type="dxa"/>
            <w:shd w:val="clear" w:color="auto" w:fill="auto"/>
          </w:tcPr>
          <w:p w14:paraId="6BEEB4AD" w14:textId="77777777" w:rsidR="00274411" w:rsidRPr="00274411" w:rsidRDefault="00274411" w:rsidP="00EB1058">
            <w:pPr>
              <w:rPr>
                <w:rFonts w:cs="Arial"/>
                <w:sz w:val="20"/>
                <w:szCs w:val="20"/>
              </w:rPr>
            </w:pPr>
          </w:p>
        </w:tc>
        <w:tc>
          <w:tcPr>
            <w:tcW w:w="2551" w:type="dxa"/>
            <w:shd w:val="clear" w:color="auto" w:fill="auto"/>
          </w:tcPr>
          <w:p w14:paraId="3F96486F" w14:textId="77777777" w:rsidR="00274411" w:rsidRPr="00274411" w:rsidRDefault="00274411" w:rsidP="00EB1058">
            <w:pPr>
              <w:rPr>
                <w:rFonts w:cs="Arial"/>
                <w:sz w:val="20"/>
                <w:szCs w:val="20"/>
              </w:rPr>
            </w:pPr>
            <w:r w:rsidRPr="00274411">
              <w:rPr>
                <w:rFonts w:cs="Arial"/>
                <w:sz w:val="20"/>
                <w:szCs w:val="20"/>
              </w:rPr>
              <w:t>Registers Used</w:t>
            </w:r>
          </w:p>
        </w:tc>
        <w:tc>
          <w:tcPr>
            <w:tcW w:w="4389" w:type="dxa"/>
            <w:shd w:val="clear" w:color="auto" w:fill="auto"/>
          </w:tcPr>
          <w:p w14:paraId="0365A045" w14:textId="77777777" w:rsidR="00274411" w:rsidRPr="00274411" w:rsidRDefault="00274411" w:rsidP="00EB1058">
            <w:pPr>
              <w:rPr>
                <w:rFonts w:cs="Arial"/>
                <w:sz w:val="20"/>
                <w:szCs w:val="20"/>
              </w:rPr>
            </w:pPr>
            <w:r w:rsidRPr="00274411">
              <w:rPr>
                <w:rFonts w:cs="Arial"/>
                <w:sz w:val="20"/>
                <w:szCs w:val="20"/>
              </w:rPr>
              <w:t xml:space="preserve">Definition </w:t>
            </w:r>
          </w:p>
        </w:tc>
      </w:tr>
      <w:tr w:rsidR="00274411" w:rsidRPr="00274411" w14:paraId="18ADA26D" w14:textId="77777777" w:rsidTr="00EB1058">
        <w:tc>
          <w:tcPr>
            <w:tcW w:w="2122" w:type="dxa"/>
            <w:shd w:val="clear" w:color="auto" w:fill="auto"/>
          </w:tcPr>
          <w:p w14:paraId="71DDF188" w14:textId="77777777" w:rsidR="00274411" w:rsidRPr="00274411" w:rsidRDefault="00274411" w:rsidP="00EB1058">
            <w:pPr>
              <w:rPr>
                <w:rFonts w:cs="Arial"/>
                <w:sz w:val="20"/>
                <w:szCs w:val="20"/>
              </w:rPr>
            </w:pPr>
            <w:r w:rsidRPr="00274411">
              <w:rPr>
                <w:rFonts w:cs="Arial"/>
                <w:sz w:val="20"/>
                <w:szCs w:val="20"/>
              </w:rPr>
              <w:t>Suicide Attempt (SA)</w:t>
            </w:r>
          </w:p>
        </w:tc>
        <w:tc>
          <w:tcPr>
            <w:tcW w:w="2551" w:type="dxa"/>
            <w:shd w:val="clear" w:color="auto" w:fill="auto"/>
          </w:tcPr>
          <w:p w14:paraId="6A87F5F3" w14:textId="77777777" w:rsidR="00274411" w:rsidRPr="00274411" w:rsidRDefault="00274411" w:rsidP="00EB1058">
            <w:pPr>
              <w:rPr>
                <w:rFonts w:cs="Arial"/>
                <w:sz w:val="20"/>
                <w:szCs w:val="20"/>
              </w:rPr>
            </w:pPr>
            <w:r w:rsidRPr="00274411">
              <w:rPr>
                <w:rFonts w:cs="Arial"/>
                <w:sz w:val="20"/>
                <w:szCs w:val="20"/>
              </w:rPr>
              <w:t>National Patient Register and Primary Care Registry</w:t>
            </w:r>
          </w:p>
        </w:tc>
        <w:tc>
          <w:tcPr>
            <w:tcW w:w="4389" w:type="dxa"/>
            <w:shd w:val="clear" w:color="auto" w:fill="auto"/>
          </w:tcPr>
          <w:p w14:paraId="7CF35BBE" w14:textId="56DB0DA7" w:rsidR="00274411" w:rsidRPr="00274411" w:rsidRDefault="00274411" w:rsidP="00EB1058">
            <w:pPr>
              <w:rPr>
                <w:rFonts w:cs="Arial"/>
                <w:sz w:val="20"/>
                <w:szCs w:val="20"/>
              </w:rPr>
            </w:pPr>
            <w:r w:rsidRPr="00274411">
              <w:rPr>
                <w:rFonts w:cs="Arial"/>
                <w:sz w:val="20"/>
                <w:szCs w:val="20"/>
              </w:rPr>
              <w:t>IC10: X60-</w:t>
            </w:r>
            <w:r w:rsidR="00F0506C">
              <w:rPr>
                <w:rFonts w:cs="Arial"/>
                <w:sz w:val="20"/>
                <w:szCs w:val="20"/>
              </w:rPr>
              <w:t>X84 and Y10-</w:t>
            </w:r>
            <w:r w:rsidRPr="00274411">
              <w:rPr>
                <w:rFonts w:cs="Arial"/>
                <w:sz w:val="20"/>
                <w:szCs w:val="20"/>
              </w:rPr>
              <w:t>Y34</w:t>
            </w:r>
          </w:p>
          <w:p w14:paraId="1F137A84" w14:textId="77777777" w:rsidR="00274411" w:rsidRPr="00274411" w:rsidRDefault="00274411" w:rsidP="00EB1058">
            <w:pPr>
              <w:rPr>
                <w:rFonts w:cs="Arial"/>
                <w:sz w:val="20"/>
                <w:szCs w:val="20"/>
              </w:rPr>
            </w:pPr>
            <w:r w:rsidRPr="00274411">
              <w:rPr>
                <w:rFonts w:cs="Arial"/>
                <w:sz w:val="20"/>
                <w:szCs w:val="20"/>
              </w:rPr>
              <w:t>For registrations prior to 1997</w:t>
            </w:r>
          </w:p>
          <w:p w14:paraId="494FE269" w14:textId="4CCF89AE" w:rsidR="00274411" w:rsidRPr="00274411" w:rsidRDefault="00274411" w:rsidP="00EB1058">
            <w:pPr>
              <w:rPr>
                <w:rFonts w:cs="Arial"/>
                <w:sz w:val="20"/>
                <w:szCs w:val="20"/>
              </w:rPr>
            </w:pPr>
            <w:r w:rsidRPr="00274411">
              <w:rPr>
                <w:rFonts w:cs="Arial"/>
                <w:sz w:val="20"/>
                <w:szCs w:val="20"/>
              </w:rPr>
              <w:t>ICD9: E95</w:t>
            </w:r>
            <w:r w:rsidR="00F0506C">
              <w:rPr>
                <w:rFonts w:cs="Arial"/>
                <w:sz w:val="20"/>
                <w:szCs w:val="20"/>
              </w:rPr>
              <w:t>0-E959 and</w:t>
            </w:r>
            <w:r w:rsidRPr="00274411">
              <w:rPr>
                <w:rFonts w:cs="Arial"/>
                <w:sz w:val="20"/>
                <w:szCs w:val="20"/>
              </w:rPr>
              <w:t xml:space="preserve"> E98</w:t>
            </w:r>
            <w:r w:rsidR="00F0506C">
              <w:rPr>
                <w:rFonts w:cs="Arial"/>
                <w:sz w:val="20"/>
                <w:szCs w:val="20"/>
              </w:rPr>
              <w:t>0-E989</w:t>
            </w:r>
          </w:p>
        </w:tc>
      </w:tr>
      <w:tr w:rsidR="00274411" w:rsidRPr="00274411" w14:paraId="15B719A6" w14:textId="77777777" w:rsidTr="00F30891">
        <w:tc>
          <w:tcPr>
            <w:tcW w:w="2122" w:type="dxa"/>
            <w:shd w:val="clear" w:color="auto" w:fill="auto"/>
          </w:tcPr>
          <w:p w14:paraId="583CDFA0" w14:textId="77777777" w:rsidR="00274411" w:rsidRPr="00274411" w:rsidRDefault="00274411" w:rsidP="00EB1058">
            <w:pPr>
              <w:rPr>
                <w:rFonts w:cs="Arial"/>
                <w:sz w:val="20"/>
                <w:szCs w:val="20"/>
              </w:rPr>
            </w:pPr>
            <w:r w:rsidRPr="00274411">
              <w:rPr>
                <w:rFonts w:cs="Arial"/>
                <w:sz w:val="20"/>
                <w:szCs w:val="20"/>
              </w:rPr>
              <w:t>Suicide death (SD)</w:t>
            </w:r>
          </w:p>
        </w:tc>
        <w:tc>
          <w:tcPr>
            <w:tcW w:w="2551" w:type="dxa"/>
            <w:shd w:val="clear" w:color="auto" w:fill="auto"/>
          </w:tcPr>
          <w:p w14:paraId="325BE786" w14:textId="77777777" w:rsidR="00274411" w:rsidRPr="00274411" w:rsidRDefault="00274411" w:rsidP="00EB1058">
            <w:pPr>
              <w:rPr>
                <w:rFonts w:cs="Arial"/>
                <w:sz w:val="20"/>
                <w:szCs w:val="20"/>
              </w:rPr>
            </w:pPr>
            <w:r w:rsidRPr="00274411">
              <w:rPr>
                <w:rFonts w:cs="Arial"/>
                <w:sz w:val="20"/>
                <w:szCs w:val="20"/>
              </w:rPr>
              <w:t>The Swedish mortality register</w:t>
            </w:r>
          </w:p>
        </w:tc>
        <w:tc>
          <w:tcPr>
            <w:tcW w:w="4389" w:type="dxa"/>
            <w:shd w:val="clear" w:color="auto" w:fill="auto"/>
          </w:tcPr>
          <w:p w14:paraId="6F89FF3D" w14:textId="77777777" w:rsidR="00F30891" w:rsidRPr="00274411" w:rsidRDefault="00F30891" w:rsidP="00F30891">
            <w:pPr>
              <w:rPr>
                <w:rFonts w:cs="Arial"/>
                <w:sz w:val="20"/>
                <w:szCs w:val="20"/>
              </w:rPr>
            </w:pPr>
            <w:r w:rsidRPr="00274411">
              <w:rPr>
                <w:rFonts w:cs="Arial"/>
                <w:sz w:val="20"/>
                <w:szCs w:val="20"/>
              </w:rPr>
              <w:t>IC10: X60-</w:t>
            </w:r>
            <w:r>
              <w:rPr>
                <w:rFonts w:cs="Arial"/>
                <w:sz w:val="20"/>
                <w:szCs w:val="20"/>
              </w:rPr>
              <w:t>X84 and Y10-</w:t>
            </w:r>
            <w:r w:rsidRPr="00274411">
              <w:rPr>
                <w:rFonts w:cs="Arial"/>
                <w:sz w:val="20"/>
                <w:szCs w:val="20"/>
              </w:rPr>
              <w:t>Y34</w:t>
            </w:r>
          </w:p>
          <w:p w14:paraId="1C11C09F" w14:textId="77777777" w:rsidR="00F30891" w:rsidRPr="00274411" w:rsidRDefault="00F30891" w:rsidP="00F30891">
            <w:pPr>
              <w:rPr>
                <w:rFonts w:cs="Arial"/>
                <w:sz w:val="20"/>
                <w:szCs w:val="20"/>
              </w:rPr>
            </w:pPr>
            <w:r w:rsidRPr="00274411">
              <w:rPr>
                <w:rFonts w:cs="Arial"/>
                <w:sz w:val="20"/>
                <w:szCs w:val="20"/>
              </w:rPr>
              <w:t>For registrations prior to 1997</w:t>
            </w:r>
          </w:p>
          <w:p w14:paraId="0ACDD6D3" w14:textId="7017582B" w:rsidR="00274411" w:rsidRPr="00F0506C" w:rsidRDefault="00F30891" w:rsidP="00F30891">
            <w:pPr>
              <w:rPr>
                <w:rFonts w:cs="Arial"/>
                <w:sz w:val="20"/>
                <w:szCs w:val="20"/>
                <w:highlight w:val="yellow"/>
              </w:rPr>
            </w:pPr>
            <w:r w:rsidRPr="00274411">
              <w:rPr>
                <w:rFonts w:cs="Arial"/>
                <w:sz w:val="20"/>
                <w:szCs w:val="20"/>
              </w:rPr>
              <w:t>ICD9: E95</w:t>
            </w:r>
            <w:r>
              <w:rPr>
                <w:rFonts w:cs="Arial"/>
                <w:sz w:val="20"/>
                <w:szCs w:val="20"/>
              </w:rPr>
              <w:t>0-E959 and</w:t>
            </w:r>
            <w:r w:rsidRPr="00274411">
              <w:rPr>
                <w:rFonts w:cs="Arial"/>
                <w:sz w:val="20"/>
                <w:szCs w:val="20"/>
              </w:rPr>
              <w:t xml:space="preserve"> E98</w:t>
            </w:r>
            <w:r>
              <w:rPr>
                <w:rFonts w:cs="Arial"/>
                <w:sz w:val="20"/>
                <w:szCs w:val="20"/>
              </w:rPr>
              <w:t>0-E989</w:t>
            </w:r>
          </w:p>
        </w:tc>
      </w:tr>
      <w:tr w:rsidR="00274411" w:rsidRPr="00274411" w14:paraId="78B09893" w14:textId="77777777" w:rsidTr="00EB1058">
        <w:tc>
          <w:tcPr>
            <w:tcW w:w="2122" w:type="dxa"/>
            <w:shd w:val="clear" w:color="auto" w:fill="auto"/>
          </w:tcPr>
          <w:p w14:paraId="2C5FA33D" w14:textId="77777777" w:rsidR="00274411" w:rsidRPr="00274411" w:rsidRDefault="00274411" w:rsidP="00EB1058">
            <w:pPr>
              <w:rPr>
                <w:rFonts w:cs="Arial"/>
                <w:sz w:val="20"/>
                <w:szCs w:val="20"/>
              </w:rPr>
            </w:pPr>
            <w:r w:rsidRPr="00274411">
              <w:rPr>
                <w:rFonts w:cs="Arial"/>
                <w:sz w:val="20"/>
                <w:szCs w:val="20"/>
              </w:rPr>
              <w:t>Alcohol Use Disorder (AUD)</w:t>
            </w:r>
          </w:p>
        </w:tc>
        <w:tc>
          <w:tcPr>
            <w:tcW w:w="2551" w:type="dxa"/>
            <w:shd w:val="clear" w:color="auto" w:fill="auto"/>
          </w:tcPr>
          <w:p w14:paraId="6C061BE5" w14:textId="77777777" w:rsidR="00274411" w:rsidRPr="00274411" w:rsidRDefault="00274411" w:rsidP="00EB1058">
            <w:pPr>
              <w:rPr>
                <w:rFonts w:cs="Arial"/>
                <w:sz w:val="20"/>
                <w:szCs w:val="20"/>
              </w:rPr>
            </w:pPr>
            <w:r w:rsidRPr="00274411">
              <w:rPr>
                <w:rFonts w:cs="Arial"/>
                <w:sz w:val="20"/>
                <w:szCs w:val="20"/>
              </w:rPr>
              <w:t xml:space="preserve">National Patient Register and Primary Care Registry and the Swedish Drug Register (2005-2017); the Swedish Mortality Register, and the Swedish Criminal Register (1973-2017) and the Swedish Suspicion Register (1998-2017) </w:t>
            </w:r>
          </w:p>
        </w:tc>
        <w:tc>
          <w:tcPr>
            <w:tcW w:w="4389" w:type="dxa"/>
            <w:shd w:val="clear" w:color="auto" w:fill="auto"/>
          </w:tcPr>
          <w:p w14:paraId="41691DFF" w14:textId="77777777" w:rsidR="00274411" w:rsidRPr="00274411" w:rsidRDefault="00274411" w:rsidP="00EB1058">
            <w:pPr>
              <w:rPr>
                <w:rFonts w:cs="Arial"/>
                <w:sz w:val="20"/>
                <w:szCs w:val="20"/>
              </w:rPr>
            </w:pPr>
            <w:r w:rsidRPr="00274411">
              <w:rPr>
                <w:rFonts w:cs="Arial"/>
                <w:sz w:val="20"/>
                <w:szCs w:val="20"/>
              </w:rPr>
              <w:t>Alcohol Use Disorder (AUD) was identified in the Swedish medical and mortality registries by ICD codes: ICD9: V79B, 305A, 357F, 571A-D, 425F, 535D, 291, 303, 980; ICD 10: E244, G312, G621, G721, I426, K292, K70, K852, K860, O354, T51, F10); in the Crime Register by codes 3005, 3201, which reflect crimes related to alcohol abuse; in the Suspicion Register by codes 0004, 0005 (Only those individuals with at least two alcohol-related crimes or suspicion of crimes from both Crime Register and Suspicion Register were included); in the Prescribed Drug Register by the drugs disulfiram (Anatomical Therapeutic Chemical (ATC) Classification System N07BB01), acamprosate (N07BB03), and naltrexone (N07BB04).</w:t>
            </w:r>
          </w:p>
        </w:tc>
      </w:tr>
      <w:tr w:rsidR="00274411" w:rsidRPr="00274411" w14:paraId="1F846CA8" w14:textId="77777777" w:rsidTr="00EB1058">
        <w:tc>
          <w:tcPr>
            <w:tcW w:w="2122" w:type="dxa"/>
            <w:shd w:val="clear" w:color="auto" w:fill="auto"/>
          </w:tcPr>
          <w:p w14:paraId="29DA308C" w14:textId="77777777" w:rsidR="00274411" w:rsidRPr="00274411" w:rsidRDefault="00274411" w:rsidP="00EB1058">
            <w:pPr>
              <w:rPr>
                <w:rFonts w:cs="Arial"/>
                <w:sz w:val="20"/>
                <w:szCs w:val="20"/>
              </w:rPr>
            </w:pPr>
            <w:r w:rsidRPr="00274411">
              <w:rPr>
                <w:rFonts w:cs="Arial"/>
                <w:sz w:val="20"/>
                <w:szCs w:val="20"/>
              </w:rPr>
              <w:lastRenderedPageBreak/>
              <w:t>Cannabis</w:t>
            </w:r>
          </w:p>
        </w:tc>
        <w:tc>
          <w:tcPr>
            <w:tcW w:w="2551" w:type="dxa"/>
            <w:shd w:val="clear" w:color="auto" w:fill="auto"/>
          </w:tcPr>
          <w:p w14:paraId="32852920" w14:textId="77777777" w:rsidR="00274411" w:rsidRPr="00274411" w:rsidRDefault="00274411" w:rsidP="00EB1058">
            <w:pPr>
              <w:rPr>
                <w:rFonts w:cs="Arial"/>
                <w:sz w:val="20"/>
                <w:szCs w:val="20"/>
              </w:rPr>
            </w:pPr>
            <w:r w:rsidRPr="00274411">
              <w:rPr>
                <w:rFonts w:cs="Arial"/>
                <w:sz w:val="20"/>
                <w:szCs w:val="20"/>
              </w:rPr>
              <w:t>National Patient Register and Primary Care Registry</w:t>
            </w:r>
          </w:p>
        </w:tc>
        <w:tc>
          <w:tcPr>
            <w:tcW w:w="4389" w:type="dxa"/>
            <w:shd w:val="clear" w:color="auto" w:fill="auto"/>
          </w:tcPr>
          <w:p w14:paraId="3987884B" w14:textId="77777777" w:rsidR="00274411" w:rsidRPr="00274411" w:rsidRDefault="00274411" w:rsidP="00EB1058">
            <w:pPr>
              <w:rPr>
                <w:rFonts w:cs="Arial"/>
                <w:sz w:val="20"/>
                <w:szCs w:val="20"/>
              </w:rPr>
            </w:pPr>
            <w:r w:rsidRPr="00274411">
              <w:rPr>
                <w:rFonts w:cs="Arial"/>
                <w:sz w:val="20"/>
                <w:szCs w:val="20"/>
              </w:rPr>
              <w:t>ICD-9: 304D ICD-10: F12</w:t>
            </w:r>
          </w:p>
        </w:tc>
      </w:tr>
      <w:tr w:rsidR="00274411" w:rsidRPr="00274411" w14:paraId="49D2F4E3" w14:textId="77777777" w:rsidTr="00EB1058">
        <w:tc>
          <w:tcPr>
            <w:tcW w:w="2122" w:type="dxa"/>
            <w:shd w:val="clear" w:color="auto" w:fill="auto"/>
          </w:tcPr>
          <w:p w14:paraId="3649207B" w14:textId="77777777" w:rsidR="00274411" w:rsidRPr="00274411" w:rsidRDefault="00274411" w:rsidP="00EB1058">
            <w:pPr>
              <w:rPr>
                <w:rFonts w:cs="Arial"/>
                <w:sz w:val="20"/>
                <w:szCs w:val="20"/>
              </w:rPr>
            </w:pPr>
            <w:r w:rsidRPr="00274411">
              <w:rPr>
                <w:rFonts w:cs="Arial"/>
                <w:sz w:val="20"/>
                <w:szCs w:val="20"/>
              </w:rPr>
              <w:t>Cocaine/Stimulants</w:t>
            </w:r>
          </w:p>
        </w:tc>
        <w:tc>
          <w:tcPr>
            <w:tcW w:w="2551" w:type="dxa"/>
            <w:shd w:val="clear" w:color="auto" w:fill="auto"/>
          </w:tcPr>
          <w:p w14:paraId="2E6FD20C" w14:textId="77777777" w:rsidR="00274411" w:rsidRPr="00274411" w:rsidRDefault="00274411" w:rsidP="00EB1058">
            <w:pPr>
              <w:rPr>
                <w:rFonts w:cs="Arial"/>
                <w:sz w:val="20"/>
                <w:szCs w:val="20"/>
              </w:rPr>
            </w:pPr>
            <w:r w:rsidRPr="00274411">
              <w:rPr>
                <w:rFonts w:cs="Arial"/>
                <w:sz w:val="20"/>
                <w:szCs w:val="20"/>
              </w:rPr>
              <w:t>National Patient Register and Primary Care Registry</w:t>
            </w:r>
          </w:p>
        </w:tc>
        <w:tc>
          <w:tcPr>
            <w:tcW w:w="4389" w:type="dxa"/>
            <w:shd w:val="clear" w:color="auto" w:fill="auto"/>
          </w:tcPr>
          <w:p w14:paraId="12D9D527" w14:textId="77777777" w:rsidR="00274411" w:rsidRPr="00274411" w:rsidRDefault="00274411" w:rsidP="00EB1058">
            <w:pPr>
              <w:rPr>
                <w:rFonts w:cs="Arial"/>
                <w:sz w:val="20"/>
                <w:szCs w:val="20"/>
              </w:rPr>
            </w:pPr>
            <w:r w:rsidRPr="00274411">
              <w:rPr>
                <w:rFonts w:cs="Arial"/>
                <w:sz w:val="20"/>
                <w:szCs w:val="20"/>
              </w:rPr>
              <w:t>ICD-9: 304C, 304E; ICD-10: F14, F15</w:t>
            </w:r>
          </w:p>
        </w:tc>
      </w:tr>
      <w:tr w:rsidR="00274411" w:rsidRPr="00274411" w14:paraId="7AFA6EFE" w14:textId="77777777" w:rsidTr="00EB1058">
        <w:tc>
          <w:tcPr>
            <w:tcW w:w="2122" w:type="dxa"/>
            <w:shd w:val="clear" w:color="auto" w:fill="auto"/>
          </w:tcPr>
          <w:p w14:paraId="3D097963" w14:textId="77777777" w:rsidR="00274411" w:rsidRPr="00274411" w:rsidRDefault="00274411" w:rsidP="00EB1058">
            <w:pPr>
              <w:rPr>
                <w:rFonts w:cs="Arial"/>
                <w:sz w:val="20"/>
                <w:szCs w:val="20"/>
              </w:rPr>
            </w:pPr>
            <w:r w:rsidRPr="00274411">
              <w:rPr>
                <w:rFonts w:cs="Arial"/>
                <w:sz w:val="20"/>
                <w:szCs w:val="20"/>
              </w:rPr>
              <w:t>Hallucinogens</w:t>
            </w:r>
          </w:p>
        </w:tc>
        <w:tc>
          <w:tcPr>
            <w:tcW w:w="2551" w:type="dxa"/>
            <w:shd w:val="clear" w:color="auto" w:fill="auto"/>
          </w:tcPr>
          <w:p w14:paraId="2F82AB66" w14:textId="77777777" w:rsidR="00274411" w:rsidRPr="00274411" w:rsidRDefault="00274411" w:rsidP="00EB1058">
            <w:pPr>
              <w:rPr>
                <w:rFonts w:cs="Arial"/>
                <w:sz w:val="20"/>
                <w:szCs w:val="20"/>
              </w:rPr>
            </w:pPr>
            <w:r w:rsidRPr="00274411">
              <w:rPr>
                <w:rFonts w:cs="Arial"/>
                <w:sz w:val="20"/>
                <w:szCs w:val="20"/>
              </w:rPr>
              <w:t>National Patient Register and Primary Care Registry</w:t>
            </w:r>
          </w:p>
        </w:tc>
        <w:tc>
          <w:tcPr>
            <w:tcW w:w="4389" w:type="dxa"/>
            <w:shd w:val="clear" w:color="auto" w:fill="auto"/>
          </w:tcPr>
          <w:p w14:paraId="42F63921" w14:textId="77777777" w:rsidR="00274411" w:rsidRPr="00274411" w:rsidRDefault="00274411" w:rsidP="00EB1058">
            <w:pPr>
              <w:rPr>
                <w:rFonts w:cs="Arial"/>
                <w:sz w:val="20"/>
                <w:szCs w:val="20"/>
              </w:rPr>
            </w:pPr>
            <w:r w:rsidRPr="00274411">
              <w:rPr>
                <w:rFonts w:cs="Arial"/>
                <w:sz w:val="20"/>
                <w:szCs w:val="20"/>
              </w:rPr>
              <w:t>ICD-9: 304F ICD-10: F16</w:t>
            </w:r>
          </w:p>
        </w:tc>
      </w:tr>
      <w:tr w:rsidR="00274411" w:rsidRPr="00274411" w14:paraId="0BA76DD4" w14:textId="77777777" w:rsidTr="00EB1058">
        <w:tc>
          <w:tcPr>
            <w:tcW w:w="2122" w:type="dxa"/>
            <w:shd w:val="clear" w:color="auto" w:fill="auto"/>
          </w:tcPr>
          <w:p w14:paraId="7480F577" w14:textId="77777777" w:rsidR="00274411" w:rsidRPr="00274411" w:rsidRDefault="00274411" w:rsidP="00EB1058">
            <w:pPr>
              <w:rPr>
                <w:rFonts w:cs="Arial"/>
                <w:sz w:val="20"/>
                <w:szCs w:val="20"/>
              </w:rPr>
            </w:pPr>
            <w:r w:rsidRPr="00274411">
              <w:rPr>
                <w:rFonts w:cs="Arial"/>
                <w:sz w:val="20"/>
                <w:szCs w:val="20"/>
              </w:rPr>
              <w:t>Opiates</w:t>
            </w:r>
          </w:p>
        </w:tc>
        <w:tc>
          <w:tcPr>
            <w:tcW w:w="2551" w:type="dxa"/>
            <w:shd w:val="clear" w:color="auto" w:fill="auto"/>
          </w:tcPr>
          <w:p w14:paraId="1255C55A" w14:textId="77777777" w:rsidR="00274411" w:rsidRPr="00274411" w:rsidRDefault="00274411" w:rsidP="00EB1058">
            <w:pPr>
              <w:rPr>
                <w:rFonts w:cs="Arial"/>
                <w:sz w:val="20"/>
                <w:szCs w:val="20"/>
              </w:rPr>
            </w:pPr>
            <w:r w:rsidRPr="00274411">
              <w:rPr>
                <w:rFonts w:cs="Arial"/>
                <w:sz w:val="20"/>
                <w:szCs w:val="20"/>
              </w:rPr>
              <w:t>National Patient Register and Primary Care Registry</w:t>
            </w:r>
          </w:p>
        </w:tc>
        <w:tc>
          <w:tcPr>
            <w:tcW w:w="4389" w:type="dxa"/>
            <w:shd w:val="clear" w:color="auto" w:fill="auto"/>
          </w:tcPr>
          <w:p w14:paraId="7F80CF8E" w14:textId="77777777" w:rsidR="00274411" w:rsidRPr="00274411" w:rsidRDefault="00274411" w:rsidP="00EB1058">
            <w:pPr>
              <w:rPr>
                <w:rFonts w:cs="Arial"/>
                <w:sz w:val="20"/>
                <w:szCs w:val="20"/>
              </w:rPr>
            </w:pPr>
            <w:r w:rsidRPr="00274411">
              <w:rPr>
                <w:rFonts w:cs="Arial"/>
                <w:sz w:val="20"/>
                <w:szCs w:val="20"/>
              </w:rPr>
              <w:t>ICD-9: 304A ICD-10: F11</w:t>
            </w:r>
          </w:p>
        </w:tc>
      </w:tr>
      <w:tr w:rsidR="00274411" w:rsidRPr="00274411" w14:paraId="409DE92E" w14:textId="77777777" w:rsidTr="00EB1058">
        <w:tc>
          <w:tcPr>
            <w:tcW w:w="2122" w:type="dxa"/>
            <w:shd w:val="clear" w:color="auto" w:fill="auto"/>
          </w:tcPr>
          <w:p w14:paraId="312D1F94" w14:textId="77777777" w:rsidR="00274411" w:rsidRPr="00274411" w:rsidRDefault="00274411" w:rsidP="00EB1058">
            <w:pPr>
              <w:rPr>
                <w:rFonts w:cs="Arial"/>
                <w:sz w:val="20"/>
                <w:szCs w:val="20"/>
              </w:rPr>
            </w:pPr>
            <w:r w:rsidRPr="00274411">
              <w:rPr>
                <w:rFonts w:cs="Arial"/>
                <w:sz w:val="20"/>
                <w:szCs w:val="20"/>
              </w:rPr>
              <w:t>Sedatives</w:t>
            </w:r>
          </w:p>
        </w:tc>
        <w:tc>
          <w:tcPr>
            <w:tcW w:w="2551" w:type="dxa"/>
            <w:shd w:val="clear" w:color="auto" w:fill="auto"/>
          </w:tcPr>
          <w:p w14:paraId="2B214822" w14:textId="77777777" w:rsidR="00274411" w:rsidRPr="00274411" w:rsidRDefault="00274411" w:rsidP="00EB1058">
            <w:pPr>
              <w:rPr>
                <w:rFonts w:cs="Arial"/>
                <w:sz w:val="20"/>
                <w:szCs w:val="20"/>
              </w:rPr>
            </w:pPr>
            <w:r w:rsidRPr="00274411">
              <w:rPr>
                <w:rFonts w:cs="Arial"/>
                <w:sz w:val="20"/>
                <w:szCs w:val="20"/>
              </w:rPr>
              <w:t>National Patient Register and Primary Care Registry</w:t>
            </w:r>
          </w:p>
        </w:tc>
        <w:tc>
          <w:tcPr>
            <w:tcW w:w="4389" w:type="dxa"/>
            <w:shd w:val="clear" w:color="auto" w:fill="auto"/>
          </w:tcPr>
          <w:p w14:paraId="36D91240" w14:textId="77777777" w:rsidR="00274411" w:rsidRPr="00274411" w:rsidRDefault="00274411" w:rsidP="00EB1058">
            <w:pPr>
              <w:rPr>
                <w:rFonts w:cs="Arial"/>
                <w:sz w:val="20"/>
                <w:szCs w:val="20"/>
              </w:rPr>
            </w:pPr>
            <w:r w:rsidRPr="00274411">
              <w:rPr>
                <w:rFonts w:cs="Arial"/>
                <w:sz w:val="20"/>
                <w:szCs w:val="20"/>
              </w:rPr>
              <w:t>ICD-9: 305E, 304B ICD-10: F13</w:t>
            </w:r>
          </w:p>
        </w:tc>
      </w:tr>
      <w:tr w:rsidR="00274411" w:rsidRPr="00274411" w14:paraId="578B7C49" w14:textId="77777777" w:rsidTr="00EB1058">
        <w:tc>
          <w:tcPr>
            <w:tcW w:w="2122" w:type="dxa"/>
            <w:shd w:val="clear" w:color="auto" w:fill="auto"/>
          </w:tcPr>
          <w:p w14:paraId="050771F1" w14:textId="77777777" w:rsidR="00274411" w:rsidRPr="00274411" w:rsidRDefault="00274411" w:rsidP="00EB1058">
            <w:pPr>
              <w:rPr>
                <w:rFonts w:cs="Arial"/>
                <w:sz w:val="20"/>
                <w:szCs w:val="20"/>
              </w:rPr>
            </w:pPr>
            <w:r w:rsidRPr="00274411">
              <w:rPr>
                <w:rFonts w:cs="Arial"/>
                <w:sz w:val="20"/>
                <w:szCs w:val="20"/>
              </w:rPr>
              <w:t>Multiple substance abuse</w:t>
            </w:r>
          </w:p>
        </w:tc>
        <w:tc>
          <w:tcPr>
            <w:tcW w:w="2551" w:type="dxa"/>
            <w:shd w:val="clear" w:color="auto" w:fill="auto"/>
          </w:tcPr>
          <w:p w14:paraId="09AAD111" w14:textId="77777777" w:rsidR="00274411" w:rsidRPr="00274411" w:rsidRDefault="00274411" w:rsidP="00EB1058">
            <w:pPr>
              <w:rPr>
                <w:rFonts w:cs="Arial"/>
                <w:sz w:val="20"/>
                <w:szCs w:val="20"/>
              </w:rPr>
            </w:pPr>
            <w:r w:rsidRPr="00274411">
              <w:rPr>
                <w:rFonts w:cs="Arial"/>
                <w:sz w:val="20"/>
                <w:szCs w:val="20"/>
              </w:rPr>
              <w:t>National Patient Register and Primary Care Registry</w:t>
            </w:r>
          </w:p>
        </w:tc>
        <w:tc>
          <w:tcPr>
            <w:tcW w:w="4389" w:type="dxa"/>
            <w:shd w:val="clear" w:color="auto" w:fill="auto"/>
          </w:tcPr>
          <w:p w14:paraId="79233A96" w14:textId="77777777" w:rsidR="00274411" w:rsidRPr="00274411" w:rsidRDefault="00274411" w:rsidP="00EB1058">
            <w:pPr>
              <w:rPr>
                <w:rFonts w:cs="Arial"/>
                <w:sz w:val="20"/>
                <w:szCs w:val="20"/>
              </w:rPr>
            </w:pPr>
            <w:r w:rsidRPr="00274411">
              <w:rPr>
                <w:rFonts w:cs="Arial"/>
                <w:sz w:val="20"/>
                <w:szCs w:val="20"/>
              </w:rPr>
              <w:t>ICD-9: 304H; ICD-10: F19</w:t>
            </w:r>
          </w:p>
        </w:tc>
      </w:tr>
    </w:tbl>
    <w:p w14:paraId="1B0D652A" w14:textId="48C160F5" w:rsidR="00274411" w:rsidRDefault="00274411" w:rsidP="00274411">
      <w:pPr>
        <w:tabs>
          <w:tab w:val="left" w:pos="720"/>
        </w:tabs>
        <w:rPr>
          <w:rFonts w:cs="Arial"/>
        </w:rPr>
      </w:pPr>
    </w:p>
    <w:p w14:paraId="3DB161B5" w14:textId="2BB7EB95" w:rsidR="00645BED" w:rsidRDefault="00645BED" w:rsidP="00274411">
      <w:pPr>
        <w:tabs>
          <w:tab w:val="left" w:pos="720"/>
        </w:tabs>
        <w:rPr>
          <w:rFonts w:cs="Arial"/>
        </w:rPr>
      </w:pPr>
      <w:r>
        <w:rPr>
          <w:rFonts w:cs="Arial"/>
          <w:i/>
          <w:iCs/>
        </w:rPr>
        <w:t>Family Genetic Risk Score derivation</w:t>
      </w:r>
    </w:p>
    <w:tbl>
      <w:tblPr>
        <w:tblStyle w:val="TableGrid"/>
        <w:tblW w:w="0" w:type="auto"/>
        <w:tblLook w:val="04A0" w:firstRow="1" w:lastRow="0" w:firstColumn="1" w:lastColumn="0" w:noHBand="0" w:noVBand="1"/>
      </w:tblPr>
      <w:tblGrid>
        <w:gridCol w:w="9072"/>
      </w:tblGrid>
      <w:tr w:rsidR="00645BED" w:rsidRPr="00645BED" w14:paraId="048CEB22" w14:textId="77777777" w:rsidTr="00EB1058">
        <w:tc>
          <w:tcPr>
            <w:tcW w:w="9072" w:type="dxa"/>
          </w:tcPr>
          <w:p w14:paraId="341BF9F0" w14:textId="77777777"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sz w:val="20"/>
                <w:szCs w:val="20"/>
                <w:lang w:val="en-US"/>
              </w:rPr>
              <w:t>The dataset for the calculations includes:</w:t>
            </w:r>
          </w:p>
          <w:p w14:paraId="30503C23" w14:textId="77777777"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sz w:val="20"/>
                <w:szCs w:val="20"/>
                <w:lang w:val="en-US"/>
              </w:rPr>
              <w:t>Column1 = Identification number of the proband (Born 1932-1995)</w:t>
            </w:r>
          </w:p>
          <w:p w14:paraId="111FDD4A" w14:textId="77777777"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sz w:val="20"/>
                <w:szCs w:val="20"/>
                <w:lang w:val="en-US"/>
              </w:rPr>
              <w:t xml:space="preserve">Column2 = Identification number of the relative (1st to 5th degree relatives) </w:t>
            </w:r>
          </w:p>
          <w:p w14:paraId="0E7919CE" w14:textId="77777777"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sz w:val="20"/>
                <w:szCs w:val="20"/>
                <w:lang w:val="en-US"/>
              </w:rPr>
              <w:t>Column3 = Proportion of shared additive genetic effects (0.03125 to 0.50) with the proband</w:t>
            </w:r>
          </w:p>
          <w:p w14:paraId="56DFB6F8" w14:textId="77777777"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sz w:val="20"/>
                <w:szCs w:val="20"/>
                <w:lang w:val="en-US"/>
              </w:rPr>
              <w:t>Column4 = Year of Birth of relative</w:t>
            </w:r>
          </w:p>
          <w:p w14:paraId="5F7B3EB4" w14:textId="77777777"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sz w:val="20"/>
                <w:szCs w:val="20"/>
                <w:lang w:val="en-US"/>
              </w:rPr>
              <w:t>Column5 = Sex of relative</w:t>
            </w:r>
          </w:p>
          <w:p w14:paraId="16216DD6" w14:textId="77777777"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sz w:val="20"/>
                <w:szCs w:val="20"/>
                <w:lang w:val="en-US"/>
              </w:rPr>
              <w:t>Column6 = Age at registration for trait</w:t>
            </w:r>
          </w:p>
          <w:p w14:paraId="1B7F7A8B" w14:textId="77777777"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sz w:val="20"/>
                <w:szCs w:val="20"/>
                <w:lang w:val="en-US"/>
              </w:rPr>
              <w:t>Column7 = Age at end of follow-up (2017-12-31 or age at death, or age at emigration whichever came first)</w:t>
            </w:r>
          </w:p>
        </w:tc>
      </w:tr>
      <w:tr w:rsidR="00645BED" w:rsidRPr="00645BED" w14:paraId="081C3F58" w14:textId="77777777" w:rsidTr="00EB1058">
        <w:tc>
          <w:tcPr>
            <w:tcW w:w="9072" w:type="dxa"/>
          </w:tcPr>
          <w:p w14:paraId="2D253984" w14:textId="61BE02FF"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b/>
                <w:sz w:val="20"/>
                <w:szCs w:val="20"/>
                <w:lang w:val="en-US"/>
              </w:rPr>
              <w:t>Step 1:</w:t>
            </w:r>
            <w:r w:rsidRPr="00645BED">
              <w:rPr>
                <w:rFonts w:ascii="Arial" w:hAnsi="Arial" w:cs="Arial"/>
                <w:sz w:val="20"/>
                <w:szCs w:val="20"/>
                <w:lang w:val="en-US"/>
              </w:rPr>
              <w:t xml:space="preserve"> Using all unique relatives with a registration for the disorder, we non-parametrically estimated the distribution of </w:t>
            </w:r>
            <w:r w:rsidRPr="00645BED">
              <w:rPr>
                <w:rFonts w:ascii="Arial" w:hAnsi="Arial" w:cs="Arial"/>
                <w:i/>
                <w:sz w:val="20"/>
                <w:szCs w:val="20"/>
                <w:lang w:val="en-US"/>
              </w:rPr>
              <w:t>Age at first registration</w:t>
            </w:r>
            <w:r w:rsidRPr="00645BED">
              <w:rPr>
                <w:rFonts w:ascii="Arial" w:hAnsi="Arial" w:cs="Arial"/>
                <w:sz w:val="20"/>
                <w:szCs w:val="20"/>
                <w:lang w:val="en-US"/>
              </w:rPr>
              <w:t>.</w:t>
            </w:r>
            <w:r w:rsidR="00346AC8">
              <w:rPr>
                <w:rFonts w:ascii="Arial" w:hAnsi="Arial" w:cs="Arial"/>
                <w:sz w:val="20"/>
                <w:szCs w:val="20"/>
                <w:lang w:val="en-US"/>
              </w:rPr>
              <w:t xml:space="preserve"> </w:t>
            </w:r>
            <w:r w:rsidRPr="00645BED">
              <w:rPr>
                <w:rFonts w:ascii="Arial" w:hAnsi="Arial" w:cs="Arial"/>
                <w:sz w:val="20"/>
                <w:szCs w:val="20"/>
                <w:lang w:val="en-US"/>
              </w:rPr>
              <w:t xml:space="preserve">The empirical distribution is used to obtain weights for relatives without a registration for the disorder, </w:t>
            </w:r>
            <w:proofErr w:type="gramStart"/>
            <w:r w:rsidRPr="00645BED">
              <w:rPr>
                <w:rFonts w:ascii="Arial" w:hAnsi="Arial" w:cs="Arial"/>
                <w:sz w:val="20"/>
                <w:szCs w:val="20"/>
                <w:lang w:val="en-US"/>
              </w:rPr>
              <w:t>in order to</w:t>
            </w:r>
            <w:proofErr w:type="gramEnd"/>
            <w:r w:rsidRPr="00645BED">
              <w:rPr>
                <w:rFonts w:ascii="Arial" w:hAnsi="Arial" w:cs="Arial"/>
                <w:sz w:val="20"/>
                <w:szCs w:val="20"/>
                <w:lang w:val="en-US"/>
              </w:rPr>
              <w:t xml:space="preserve"> account for the proportion of the time-at-risk period they had completed at the end of follow-up. For example, for relatives at age x at end of follow-up, the weight corresponds to the proportion of relatives registered for the trait that had been registration at age x. For relatives born prior to 1958 we subtracted age at the end of follow-up with the following formula: 1958 - Year of birth of relative. This modification was done </w:t>
            </w:r>
            <w:proofErr w:type="gramStart"/>
            <w:r w:rsidRPr="00645BED">
              <w:rPr>
                <w:rFonts w:ascii="Arial" w:hAnsi="Arial" w:cs="Arial"/>
                <w:sz w:val="20"/>
                <w:szCs w:val="20"/>
                <w:lang w:val="en-US"/>
              </w:rPr>
              <w:t>in order to</w:t>
            </w:r>
            <w:proofErr w:type="gramEnd"/>
            <w:r w:rsidRPr="00645BED">
              <w:rPr>
                <w:rFonts w:ascii="Arial" w:hAnsi="Arial" w:cs="Arial"/>
                <w:sz w:val="20"/>
                <w:szCs w:val="20"/>
                <w:lang w:val="en-US"/>
              </w:rPr>
              <w:t xml:space="preserve"> control for registration effects (i.e</w:t>
            </w:r>
            <w:r w:rsidR="00346AC8">
              <w:rPr>
                <w:rFonts w:ascii="Arial" w:hAnsi="Arial" w:cs="Arial"/>
                <w:sz w:val="20"/>
                <w:szCs w:val="20"/>
                <w:lang w:val="en-US"/>
              </w:rPr>
              <w:t>.,</w:t>
            </w:r>
            <w:r w:rsidRPr="00645BED">
              <w:rPr>
                <w:rFonts w:ascii="Arial" w:hAnsi="Arial" w:cs="Arial"/>
                <w:sz w:val="20"/>
                <w:szCs w:val="20"/>
                <w:lang w:val="en-US"/>
              </w:rPr>
              <w:t xml:space="preserve"> most registers in Sweden start in 1973 suggesting that relatives from early birth cohorts do not have the possibility to be registered at younger ages). Note that all relatives with the disorder are weighted one.</w:t>
            </w:r>
          </w:p>
        </w:tc>
      </w:tr>
      <w:tr w:rsidR="00645BED" w:rsidRPr="00645BED" w14:paraId="0486197D" w14:textId="77777777" w:rsidTr="00EB1058">
        <w:tc>
          <w:tcPr>
            <w:tcW w:w="9072" w:type="dxa"/>
          </w:tcPr>
          <w:p w14:paraId="3EB6C3E6" w14:textId="1B8EA40A"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b/>
                <w:sz w:val="20"/>
                <w:szCs w:val="20"/>
                <w:lang w:val="en-US"/>
              </w:rPr>
              <w:t>Step 2:</w:t>
            </w:r>
            <w:r w:rsidRPr="00645BED">
              <w:rPr>
                <w:rFonts w:ascii="Arial" w:hAnsi="Arial" w:cs="Arial"/>
                <w:sz w:val="20"/>
                <w:szCs w:val="20"/>
                <w:lang w:val="en-US"/>
              </w:rPr>
              <w:t xml:space="preserve"> Transform the binary variable (trait yes/no) into a z-score based on the threshold for each trait. The underlying liability of the individual is not assessable. Instead</w:t>
            </w:r>
            <w:r w:rsidR="00346AC8">
              <w:rPr>
                <w:rFonts w:ascii="Arial" w:hAnsi="Arial" w:cs="Arial"/>
                <w:sz w:val="20"/>
                <w:szCs w:val="20"/>
                <w:lang w:val="en-US"/>
              </w:rPr>
              <w:t>,</w:t>
            </w:r>
            <w:r w:rsidRPr="00645BED">
              <w:rPr>
                <w:rFonts w:ascii="Arial" w:hAnsi="Arial" w:cs="Arial"/>
                <w:sz w:val="20"/>
                <w:szCs w:val="20"/>
                <w:lang w:val="en-US"/>
              </w:rPr>
              <w:t xml:space="preserve"> we estimated the mean of the underlying liability to obtain sex and birth decade specific Z-scores for relatives with the trait registration and relatives without the trait. We generate n random numbers from a N (0, 1) distribution and estimate the mean for relatives registered with the disorder (i.e., mean of the observations above the threshold) and for relatives without a registration (i.e., mean of all observation below the threshold). The thresholds are calculated for each decade of birth and sex.</w:t>
            </w:r>
          </w:p>
        </w:tc>
      </w:tr>
      <w:tr w:rsidR="00645BED" w:rsidRPr="00645BED" w14:paraId="13D6D168" w14:textId="77777777" w:rsidTr="00EB1058">
        <w:tc>
          <w:tcPr>
            <w:tcW w:w="9072" w:type="dxa"/>
          </w:tcPr>
          <w:p w14:paraId="278C761A" w14:textId="6B5F64A5" w:rsidR="00645BED" w:rsidRPr="00645BED" w:rsidRDefault="00645BED" w:rsidP="00EB1058">
            <w:pPr>
              <w:rPr>
                <w:rFonts w:ascii="Arial" w:hAnsi="Arial" w:cs="Arial"/>
                <w:sz w:val="20"/>
                <w:szCs w:val="20"/>
                <w:lang w:val="en-US"/>
              </w:rPr>
            </w:pPr>
            <w:r w:rsidRPr="00645BED">
              <w:rPr>
                <w:rFonts w:ascii="Arial" w:hAnsi="Arial" w:cs="Arial"/>
                <w:b/>
                <w:sz w:val="20"/>
                <w:szCs w:val="20"/>
                <w:lang w:val="en-US"/>
              </w:rPr>
              <w:t>Step 3</w:t>
            </w:r>
            <w:r w:rsidRPr="00645BED">
              <w:rPr>
                <w:rFonts w:ascii="Arial" w:hAnsi="Arial" w:cs="Arial"/>
                <w:sz w:val="20"/>
                <w:szCs w:val="20"/>
                <w:lang w:val="en-US"/>
              </w:rPr>
              <w:t>: Correct for cohabitation effects. To estimate the cohabitation effect (i.e.</w:t>
            </w:r>
            <w:r w:rsidR="00346AC8">
              <w:rPr>
                <w:rFonts w:ascii="Arial" w:hAnsi="Arial" w:cs="Arial"/>
                <w:sz w:val="20"/>
                <w:szCs w:val="20"/>
                <w:lang w:val="en-US"/>
              </w:rPr>
              <w:t>,</w:t>
            </w:r>
            <w:r w:rsidRPr="00645BED">
              <w:rPr>
                <w:rFonts w:ascii="Arial" w:hAnsi="Arial" w:cs="Arial"/>
                <w:sz w:val="20"/>
                <w:szCs w:val="20"/>
                <w:lang w:val="en-US"/>
              </w:rPr>
              <w:t xml:space="preserve"> “shared environment”), we created a database with all individuals in the Swedish population born in Sweden 1955-1990. We also included the number of years, during ages 0-15, that individuals resided in the same household as their biological father. We thereby were able to define two kinds of families</w:t>
            </w:r>
            <w:r w:rsidR="00346AC8">
              <w:rPr>
                <w:rFonts w:ascii="Arial" w:hAnsi="Arial" w:cs="Arial"/>
                <w:sz w:val="20"/>
                <w:szCs w:val="20"/>
                <w:lang w:val="en-US"/>
              </w:rPr>
              <w:t>:</w:t>
            </w:r>
            <w:r w:rsidRPr="00645BED">
              <w:rPr>
                <w:rFonts w:ascii="Arial" w:hAnsi="Arial" w:cs="Arial"/>
                <w:sz w:val="20"/>
                <w:szCs w:val="20"/>
                <w:lang w:val="en-US"/>
              </w:rPr>
              <w:t xml:space="preserve"> </w:t>
            </w:r>
            <w:proofErr w:type="spellStart"/>
            <w:r w:rsidRPr="00645BED">
              <w:rPr>
                <w:rFonts w:ascii="Arial" w:hAnsi="Arial" w:cs="Arial"/>
                <w:sz w:val="20"/>
                <w:szCs w:val="20"/>
                <w:lang w:val="en-US"/>
              </w:rPr>
              <w:t>i</w:t>
            </w:r>
            <w:proofErr w:type="spellEnd"/>
            <w:r w:rsidRPr="00645BED">
              <w:rPr>
                <w:rFonts w:ascii="Arial" w:hAnsi="Arial" w:cs="Arial"/>
                <w:sz w:val="20"/>
                <w:szCs w:val="20"/>
                <w:lang w:val="en-US"/>
              </w:rPr>
              <w:t xml:space="preserve">) “not-lived-with” father families (offspring never resided for more than 1 year in the same household or in the same community as their biological father); ii) “lived-with” father (offspring resided a minimum of 13 year in the same household as their biological father. We performed a logistic regression model with the binary trait in offspring as outcome and the binary trait in father, type of father, and their interaction as predictors. We used the interaction term as the difference of effect </w:t>
            </w:r>
            <w:r w:rsidRPr="00645BED">
              <w:rPr>
                <w:rFonts w:ascii="Arial" w:hAnsi="Arial" w:cs="Arial"/>
                <w:sz w:val="20"/>
                <w:szCs w:val="20"/>
                <w:lang w:val="en-US"/>
              </w:rPr>
              <w:lastRenderedPageBreak/>
              <w:t>between genes only and genes + environment. The same approach was performed for half-siblings where we compared those who were reared together versus reared apart. The following interaction terms were used in the calculations for each of our 7 main disorders:</w:t>
            </w:r>
          </w:p>
          <w:tbl>
            <w:tblPr>
              <w:tblStyle w:val="TableGrid"/>
              <w:tblW w:w="0" w:type="auto"/>
              <w:tblLook w:val="04A0" w:firstRow="1" w:lastRow="0" w:firstColumn="1" w:lastColumn="0" w:noHBand="0" w:noVBand="1"/>
            </w:tblPr>
            <w:tblGrid>
              <w:gridCol w:w="1271"/>
              <w:gridCol w:w="2126"/>
              <w:gridCol w:w="1985"/>
            </w:tblGrid>
            <w:tr w:rsidR="00645BED" w:rsidRPr="00645BED" w14:paraId="65618420" w14:textId="77777777" w:rsidTr="00EB1058">
              <w:tc>
                <w:tcPr>
                  <w:tcW w:w="1271" w:type="dxa"/>
                </w:tcPr>
                <w:p w14:paraId="529B84EF" w14:textId="77777777" w:rsidR="00645BED" w:rsidRPr="00645BED" w:rsidRDefault="00645BED" w:rsidP="00EB1058">
                  <w:pPr>
                    <w:spacing w:before="100" w:beforeAutospacing="1" w:after="100" w:afterAutospacing="1"/>
                    <w:rPr>
                      <w:rFonts w:ascii="Arial" w:hAnsi="Arial" w:cs="Arial"/>
                      <w:sz w:val="20"/>
                      <w:szCs w:val="20"/>
                      <w:lang w:val="en-US"/>
                    </w:rPr>
                  </w:pPr>
                </w:p>
              </w:tc>
              <w:tc>
                <w:tcPr>
                  <w:tcW w:w="2126" w:type="dxa"/>
                </w:tcPr>
                <w:p w14:paraId="33479539" w14:textId="77777777" w:rsidR="00645BED" w:rsidRPr="00645BED" w:rsidRDefault="00645BED" w:rsidP="00EB1058">
                  <w:pPr>
                    <w:spacing w:before="100" w:beforeAutospacing="1" w:after="100" w:afterAutospacing="1"/>
                    <w:rPr>
                      <w:rFonts w:ascii="Arial" w:hAnsi="Arial" w:cs="Arial"/>
                      <w:sz w:val="20"/>
                      <w:szCs w:val="20"/>
                    </w:rPr>
                  </w:pPr>
                  <w:proofErr w:type="spellStart"/>
                  <w:r w:rsidRPr="00645BED">
                    <w:rPr>
                      <w:rFonts w:ascii="Arial" w:hAnsi="Arial" w:cs="Arial"/>
                      <w:sz w:val="20"/>
                      <w:szCs w:val="20"/>
                    </w:rPr>
                    <w:t>Parent</w:t>
                  </w:r>
                  <w:proofErr w:type="spellEnd"/>
                  <w:r w:rsidRPr="00645BED">
                    <w:rPr>
                      <w:rFonts w:ascii="Arial" w:hAnsi="Arial" w:cs="Arial"/>
                      <w:sz w:val="20"/>
                      <w:szCs w:val="20"/>
                    </w:rPr>
                    <w:t xml:space="preserve">/Children      </w:t>
                  </w:r>
                </w:p>
              </w:tc>
              <w:tc>
                <w:tcPr>
                  <w:tcW w:w="1985" w:type="dxa"/>
                </w:tcPr>
                <w:p w14:paraId="5C3481B9" w14:textId="77777777" w:rsidR="00645BED" w:rsidRPr="00645BED" w:rsidRDefault="00645BED" w:rsidP="00EB1058">
                  <w:pPr>
                    <w:spacing w:before="100" w:beforeAutospacing="1" w:after="100" w:afterAutospacing="1"/>
                    <w:rPr>
                      <w:rFonts w:ascii="Arial" w:hAnsi="Arial" w:cs="Arial"/>
                      <w:sz w:val="20"/>
                      <w:szCs w:val="20"/>
                    </w:rPr>
                  </w:pPr>
                  <w:proofErr w:type="spellStart"/>
                  <w:r w:rsidRPr="00645BED">
                    <w:rPr>
                      <w:rFonts w:ascii="Arial" w:hAnsi="Arial" w:cs="Arial"/>
                      <w:sz w:val="20"/>
                      <w:szCs w:val="20"/>
                    </w:rPr>
                    <w:t>Siblings</w:t>
                  </w:r>
                  <w:proofErr w:type="spellEnd"/>
                </w:p>
              </w:tc>
            </w:tr>
            <w:tr w:rsidR="00645BED" w:rsidRPr="00645BED" w14:paraId="30D71363" w14:textId="77777777" w:rsidTr="00EB1058">
              <w:tc>
                <w:tcPr>
                  <w:tcW w:w="1271" w:type="dxa"/>
                </w:tcPr>
                <w:p w14:paraId="6916AB5F" w14:textId="77777777" w:rsidR="00645BED" w:rsidRPr="00645BED" w:rsidRDefault="00645BED" w:rsidP="00EB1058">
                  <w:pPr>
                    <w:spacing w:before="100" w:beforeAutospacing="1" w:after="100" w:afterAutospacing="1"/>
                    <w:rPr>
                      <w:rFonts w:ascii="Arial" w:hAnsi="Arial" w:cs="Arial"/>
                      <w:sz w:val="20"/>
                      <w:szCs w:val="20"/>
                    </w:rPr>
                  </w:pPr>
                  <w:r w:rsidRPr="00645BED">
                    <w:rPr>
                      <w:rFonts w:ascii="Arial" w:hAnsi="Arial" w:cs="Arial"/>
                      <w:sz w:val="20"/>
                      <w:szCs w:val="20"/>
                    </w:rPr>
                    <w:t>SA</w:t>
                  </w:r>
                </w:p>
              </w:tc>
              <w:tc>
                <w:tcPr>
                  <w:tcW w:w="2126" w:type="dxa"/>
                </w:tcPr>
                <w:p w14:paraId="25B93CFF" w14:textId="77777777" w:rsidR="00645BED" w:rsidRPr="00645BED" w:rsidRDefault="00645BED" w:rsidP="00EB1058">
                  <w:pPr>
                    <w:spacing w:before="100" w:beforeAutospacing="1" w:after="100" w:afterAutospacing="1"/>
                    <w:rPr>
                      <w:rFonts w:ascii="Arial" w:hAnsi="Arial" w:cs="Arial"/>
                      <w:sz w:val="20"/>
                      <w:szCs w:val="20"/>
                    </w:rPr>
                  </w:pPr>
                  <w:r w:rsidRPr="00645BED">
                    <w:rPr>
                      <w:rFonts w:ascii="Arial" w:hAnsi="Arial" w:cs="Arial"/>
                      <w:sz w:val="20"/>
                      <w:szCs w:val="20"/>
                    </w:rPr>
                    <w:t>.66</w:t>
                  </w:r>
                </w:p>
              </w:tc>
              <w:tc>
                <w:tcPr>
                  <w:tcW w:w="1985" w:type="dxa"/>
                </w:tcPr>
                <w:p w14:paraId="4E65C22D" w14:textId="77777777" w:rsidR="00645BED" w:rsidRPr="00645BED" w:rsidRDefault="00645BED" w:rsidP="00EB1058">
                  <w:pPr>
                    <w:spacing w:before="100" w:beforeAutospacing="1" w:after="100" w:afterAutospacing="1"/>
                    <w:rPr>
                      <w:rFonts w:ascii="Arial" w:hAnsi="Arial" w:cs="Arial"/>
                      <w:sz w:val="20"/>
                      <w:szCs w:val="20"/>
                    </w:rPr>
                  </w:pPr>
                  <w:r w:rsidRPr="00645BED">
                    <w:rPr>
                      <w:rFonts w:ascii="Arial" w:hAnsi="Arial" w:cs="Arial"/>
                      <w:sz w:val="20"/>
                      <w:szCs w:val="20"/>
                    </w:rPr>
                    <w:t>.76</w:t>
                  </w:r>
                </w:p>
              </w:tc>
            </w:tr>
            <w:tr w:rsidR="00645BED" w:rsidRPr="00645BED" w14:paraId="5048EDCA" w14:textId="77777777" w:rsidTr="00EB1058">
              <w:tc>
                <w:tcPr>
                  <w:tcW w:w="1271" w:type="dxa"/>
                </w:tcPr>
                <w:p w14:paraId="460F8B0A" w14:textId="77777777" w:rsidR="00645BED" w:rsidRPr="00645BED" w:rsidRDefault="00645BED" w:rsidP="00EB1058">
                  <w:pPr>
                    <w:spacing w:before="100" w:beforeAutospacing="1" w:after="100" w:afterAutospacing="1"/>
                    <w:rPr>
                      <w:rFonts w:ascii="Arial" w:hAnsi="Arial" w:cs="Arial"/>
                      <w:sz w:val="20"/>
                      <w:szCs w:val="20"/>
                    </w:rPr>
                  </w:pPr>
                  <w:r w:rsidRPr="00645BED">
                    <w:rPr>
                      <w:rFonts w:ascii="Arial" w:hAnsi="Arial" w:cs="Arial"/>
                      <w:sz w:val="20"/>
                      <w:szCs w:val="20"/>
                    </w:rPr>
                    <w:t>SD</w:t>
                  </w:r>
                </w:p>
              </w:tc>
              <w:tc>
                <w:tcPr>
                  <w:tcW w:w="2126" w:type="dxa"/>
                </w:tcPr>
                <w:p w14:paraId="5D55E2CF" w14:textId="77777777" w:rsidR="00645BED" w:rsidRPr="00645BED" w:rsidRDefault="00645BED" w:rsidP="00EB1058">
                  <w:pPr>
                    <w:spacing w:before="100" w:beforeAutospacing="1" w:after="100" w:afterAutospacing="1"/>
                    <w:rPr>
                      <w:rFonts w:ascii="Arial" w:hAnsi="Arial" w:cs="Arial"/>
                      <w:sz w:val="20"/>
                      <w:szCs w:val="20"/>
                    </w:rPr>
                  </w:pPr>
                  <w:r w:rsidRPr="00645BED">
                    <w:rPr>
                      <w:rFonts w:ascii="Arial" w:hAnsi="Arial" w:cs="Arial"/>
                      <w:sz w:val="20"/>
                      <w:szCs w:val="20"/>
                    </w:rPr>
                    <w:t>.70</w:t>
                  </w:r>
                </w:p>
              </w:tc>
              <w:tc>
                <w:tcPr>
                  <w:tcW w:w="1985" w:type="dxa"/>
                </w:tcPr>
                <w:p w14:paraId="42EB19C8" w14:textId="77777777" w:rsidR="00645BED" w:rsidRPr="00645BED" w:rsidRDefault="00645BED" w:rsidP="00EB1058">
                  <w:pPr>
                    <w:spacing w:before="100" w:beforeAutospacing="1" w:after="100" w:afterAutospacing="1"/>
                    <w:rPr>
                      <w:rFonts w:ascii="Arial" w:hAnsi="Arial" w:cs="Arial"/>
                      <w:sz w:val="20"/>
                      <w:szCs w:val="20"/>
                    </w:rPr>
                  </w:pPr>
                  <w:r w:rsidRPr="00645BED">
                    <w:rPr>
                      <w:rFonts w:ascii="Arial" w:hAnsi="Arial" w:cs="Arial"/>
                      <w:sz w:val="20"/>
                      <w:szCs w:val="20"/>
                    </w:rPr>
                    <w:t>.98</w:t>
                  </w:r>
                </w:p>
              </w:tc>
            </w:tr>
          </w:tbl>
          <w:p w14:paraId="18D739F3" w14:textId="77777777" w:rsidR="00645BED" w:rsidRPr="00645BED" w:rsidRDefault="00645BED" w:rsidP="00EB1058">
            <w:pPr>
              <w:rPr>
                <w:rFonts w:ascii="Arial" w:hAnsi="Arial" w:cs="Arial"/>
                <w:sz w:val="20"/>
                <w:szCs w:val="20"/>
                <w:lang w:val="en-US"/>
              </w:rPr>
            </w:pPr>
          </w:p>
        </w:tc>
      </w:tr>
      <w:tr w:rsidR="00645BED" w:rsidRPr="00645BED" w14:paraId="49D9EA50" w14:textId="77777777" w:rsidTr="00EB1058">
        <w:tc>
          <w:tcPr>
            <w:tcW w:w="9072" w:type="dxa"/>
          </w:tcPr>
          <w:p w14:paraId="332C4A1D" w14:textId="77777777"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b/>
                <w:sz w:val="20"/>
                <w:szCs w:val="20"/>
                <w:lang w:val="en-US"/>
              </w:rPr>
              <w:lastRenderedPageBreak/>
              <w:t>Step 4:</w:t>
            </w:r>
            <w:r w:rsidRPr="00645BED">
              <w:rPr>
                <w:rFonts w:ascii="Arial" w:hAnsi="Arial" w:cs="Arial"/>
                <w:sz w:val="20"/>
                <w:szCs w:val="20"/>
                <w:lang w:val="en-US"/>
              </w:rPr>
              <w:t xml:space="preserve"> Calculate the product for each relative using the four components:</w:t>
            </w:r>
          </w:p>
          <w:p w14:paraId="45241161" w14:textId="60A6CF94" w:rsidR="00645BED" w:rsidRPr="00645BED" w:rsidRDefault="00645BED" w:rsidP="00645BED">
            <w:pPr>
              <w:pStyle w:val="ListParagraph"/>
              <w:numPr>
                <w:ilvl w:val="0"/>
                <w:numId w:val="1"/>
              </w:numPr>
              <w:spacing w:before="100" w:beforeAutospacing="1" w:after="100" w:afterAutospacing="1" w:line="240" w:lineRule="auto"/>
              <w:rPr>
                <w:rFonts w:ascii="Arial" w:hAnsi="Arial" w:cs="Arial"/>
                <w:sz w:val="20"/>
                <w:szCs w:val="20"/>
                <w:lang w:val="en-US"/>
              </w:rPr>
            </w:pPr>
            <w:r w:rsidRPr="00645BED">
              <w:rPr>
                <w:rFonts w:ascii="Arial" w:hAnsi="Arial" w:cs="Arial"/>
                <w:sz w:val="20"/>
                <w:szCs w:val="20"/>
                <w:lang w:val="en-US"/>
              </w:rPr>
              <w:t xml:space="preserve">Z-score (reflecting sex and year of birth adjusted rates) </w:t>
            </w:r>
          </w:p>
          <w:p w14:paraId="13BB7DB9" w14:textId="77777777" w:rsidR="00645BED" w:rsidRPr="00645BED" w:rsidRDefault="00645BED" w:rsidP="00645BED">
            <w:pPr>
              <w:pStyle w:val="ListParagraph"/>
              <w:numPr>
                <w:ilvl w:val="0"/>
                <w:numId w:val="1"/>
              </w:numPr>
              <w:spacing w:before="100" w:beforeAutospacing="1" w:after="100" w:afterAutospacing="1" w:line="240" w:lineRule="auto"/>
              <w:rPr>
                <w:rFonts w:ascii="Arial" w:hAnsi="Arial" w:cs="Arial"/>
                <w:sz w:val="20"/>
                <w:szCs w:val="20"/>
                <w:lang w:val="en-US"/>
              </w:rPr>
            </w:pPr>
            <w:r w:rsidRPr="00645BED">
              <w:rPr>
                <w:rFonts w:ascii="Arial" w:hAnsi="Arial" w:cs="Arial"/>
                <w:sz w:val="20"/>
                <w:szCs w:val="20"/>
                <w:lang w:val="en-US"/>
              </w:rPr>
              <w:t xml:space="preserve">Weight (reflecting the proportion of risk period they had completed) </w:t>
            </w:r>
          </w:p>
          <w:p w14:paraId="1AD2E0A0" w14:textId="77777777" w:rsidR="00645BED" w:rsidRPr="00645BED" w:rsidRDefault="00645BED" w:rsidP="00645BED">
            <w:pPr>
              <w:pStyle w:val="ListParagraph"/>
              <w:numPr>
                <w:ilvl w:val="0"/>
                <w:numId w:val="1"/>
              </w:numPr>
              <w:spacing w:before="100" w:beforeAutospacing="1" w:after="100" w:afterAutospacing="1" w:line="240" w:lineRule="auto"/>
              <w:rPr>
                <w:rFonts w:ascii="Arial" w:hAnsi="Arial" w:cs="Arial"/>
                <w:sz w:val="20"/>
                <w:szCs w:val="20"/>
              </w:rPr>
            </w:pPr>
            <w:proofErr w:type="spellStart"/>
            <w:r w:rsidRPr="00645BED">
              <w:rPr>
                <w:rFonts w:ascii="Arial" w:hAnsi="Arial" w:cs="Arial"/>
                <w:sz w:val="20"/>
                <w:szCs w:val="20"/>
              </w:rPr>
              <w:t>Cohabitation</w:t>
            </w:r>
            <w:proofErr w:type="spellEnd"/>
            <w:r w:rsidRPr="00645BED">
              <w:rPr>
                <w:rFonts w:ascii="Arial" w:hAnsi="Arial" w:cs="Arial"/>
                <w:sz w:val="20"/>
                <w:szCs w:val="20"/>
              </w:rPr>
              <w:t xml:space="preserve"> </w:t>
            </w:r>
            <w:proofErr w:type="spellStart"/>
            <w:r w:rsidRPr="00645BED">
              <w:rPr>
                <w:rFonts w:ascii="Arial" w:hAnsi="Arial" w:cs="Arial"/>
                <w:sz w:val="20"/>
                <w:szCs w:val="20"/>
              </w:rPr>
              <w:t>effects</w:t>
            </w:r>
            <w:proofErr w:type="spellEnd"/>
          </w:p>
          <w:p w14:paraId="2700195E" w14:textId="77777777" w:rsidR="00645BED" w:rsidRPr="00645BED" w:rsidRDefault="00645BED" w:rsidP="00645BED">
            <w:pPr>
              <w:pStyle w:val="ListParagraph"/>
              <w:numPr>
                <w:ilvl w:val="0"/>
                <w:numId w:val="1"/>
              </w:numPr>
              <w:spacing w:before="100" w:beforeAutospacing="1" w:after="100" w:afterAutospacing="1" w:line="240" w:lineRule="auto"/>
              <w:rPr>
                <w:rFonts w:ascii="Arial" w:hAnsi="Arial" w:cs="Arial"/>
                <w:sz w:val="20"/>
                <w:szCs w:val="20"/>
                <w:lang w:val="en-US"/>
              </w:rPr>
            </w:pPr>
            <w:r w:rsidRPr="00645BED">
              <w:rPr>
                <w:rFonts w:ascii="Arial" w:hAnsi="Arial" w:cs="Arial"/>
                <w:sz w:val="20"/>
                <w:szCs w:val="20"/>
                <w:lang w:val="en-US"/>
              </w:rPr>
              <w:t>Proportion of shared genetic effects (0.03125 – 0.5) with the proband</w:t>
            </w:r>
          </w:p>
        </w:tc>
      </w:tr>
      <w:tr w:rsidR="00645BED" w:rsidRPr="00645BED" w14:paraId="1788FF72" w14:textId="77777777" w:rsidTr="00EB1058">
        <w:tc>
          <w:tcPr>
            <w:tcW w:w="9072" w:type="dxa"/>
          </w:tcPr>
          <w:p w14:paraId="47FEDD9F" w14:textId="77777777"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b/>
                <w:sz w:val="20"/>
                <w:szCs w:val="20"/>
                <w:lang w:val="en-US"/>
              </w:rPr>
              <w:t>Step 5:</w:t>
            </w:r>
            <w:r w:rsidRPr="00645BED">
              <w:rPr>
                <w:rFonts w:ascii="Arial" w:hAnsi="Arial" w:cs="Arial"/>
                <w:sz w:val="20"/>
                <w:szCs w:val="20"/>
                <w:lang w:val="en-US"/>
              </w:rPr>
              <w:t xml:space="preserve"> Average the product calculated in step 4 across all relatives to a proband</w:t>
            </w:r>
          </w:p>
        </w:tc>
      </w:tr>
      <w:tr w:rsidR="00645BED" w:rsidRPr="00645BED" w14:paraId="40569A6D" w14:textId="77777777" w:rsidTr="00EB1058">
        <w:tc>
          <w:tcPr>
            <w:tcW w:w="9072" w:type="dxa"/>
          </w:tcPr>
          <w:p w14:paraId="7DBC745A" w14:textId="77777777" w:rsidR="00645BED" w:rsidRPr="00645BED" w:rsidRDefault="00645BED" w:rsidP="00EB1058">
            <w:pPr>
              <w:spacing w:before="100" w:beforeAutospacing="1" w:after="100" w:afterAutospacing="1"/>
              <w:contextualSpacing/>
              <w:rPr>
                <w:rFonts w:ascii="Arial" w:hAnsi="Arial" w:cs="Arial"/>
                <w:sz w:val="20"/>
                <w:szCs w:val="20"/>
                <w:lang w:val="en-US"/>
              </w:rPr>
            </w:pPr>
            <w:r w:rsidRPr="00645BED">
              <w:rPr>
                <w:rFonts w:ascii="Arial" w:hAnsi="Arial" w:cs="Arial"/>
                <w:b/>
                <w:sz w:val="20"/>
                <w:szCs w:val="20"/>
                <w:lang w:val="en-US"/>
              </w:rPr>
              <w:t>Step 6</w:t>
            </w:r>
            <w:r w:rsidRPr="00645BED">
              <w:rPr>
                <w:rFonts w:ascii="Arial" w:hAnsi="Arial" w:cs="Arial"/>
                <w:sz w:val="20"/>
                <w:szCs w:val="20"/>
                <w:lang w:val="en-US"/>
              </w:rPr>
              <w:t xml:space="preserve">: Correct for the number of relatives. We multiplied the results from step 5 with a shrinkage factor. Shrinkage factor (SF):  B/(B+A/C).  It produces more shrinkage if B and C are </w:t>
            </w:r>
            <w:proofErr w:type="gramStart"/>
            <w:r w:rsidRPr="00645BED">
              <w:rPr>
                <w:rFonts w:ascii="Arial" w:hAnsi="Arial" w:cs="Arial"/>
                <w:sz w:val="20"/>
                <w:szCs w:val="20"/>
                <w:lang w:val="en-US"/>
              </w:rPr>
              <w:t>small</w:t>
            </w:r>
            <w:proofErr w:type="gramEnd"/>
            <w:r w:rsidRPr="00645BED">
              <w:rPr>
                <w:rFonts w:ascii="Arial" w:hAnsi="Arial" w:cs="Arial"/>
                <w:sz w:val="20"/>
                <w:szCs w:val="20"/>
                <w:lang w:val="en-US"/>
              </w:rPr>
              <w:t xml:space="preserve"> and A is large.</w:t>
            </w:r>
          </w:p>
          <w:p w14:paraId="41C8ACE3" w14:textId="77777777" w:rsidR="00645BED" w:rsidRPr="00645BED" w:rsidRDefault="00645BED" w:rsidP="00645BED">
            <w:pPr>
              <w:pStyle w:val="ListParagraph"/>
              <w:numPr>
                <w:ilvl w:val="0"/>
                <w:numId w:val="2"/>
              </w:numPr>
              <w:spacing w:before="100" w:beforeAutospacing="1" w:after="100" w:afterAutospacing="1" w:line="240" w:lineRule="auto"/>
              <w:rPr>
                <w:rFonts w:ascii="Arial" w:hAnsi="Arial" w:cs="Arial"/>
                <w:sz w:val="20"/>
                <w:szCs w:val="20"/>
                <w:lang w:val="en-US"/>
              </w:rPr>
            </w:pPr>
            <w:r w:rsidRPr="00645BED">
              <w:rPr>
                <w:rFonts w:ascii="Arial" w:hAnsi="Arial" w:cs="Arial"/>
                <w:sz w:val="20"/>
                <w:szCs w:val="20"/>
                <w:lang w:val="en-US"/>
              </w:rPr>
              <w:t xml:space="preserve">the variance of the z-score of the disorder across all relatives, </w:t>
            </w:r>
          </w:p>
          <w:p w14:paraId="4A9D549C" w14:textId="77777777" w:rsidR="00645BED" w:rsidRPr="00645BED" w:rsidRDefault="00645BED" w:rsidP="00645BED">
            <w:pPr>
              <w:pStyle w:val="ListParagraph"/>
              <w:numPr>
                <w:ilvl w:val="0"/>
                <w:numId w:val="2"/>
              </w:numPr>
              <w:spacing w:before="100" w:beforeAutospacing="1" w:after="100" w:afterAutospacing="1" w:line="240" w:lineRule="auto"/>
              <w:rPr>
                <w:rFonts w:ascii="Arial" w:hAnsi="Arial" w:cs="Arial"/>
                <w:sz w:val="20"/>
                <w:szCs w:val="20"/>
                <w:lang w:val="en-US"/>
              </w:rPr>
            </w:pPr>
            <w:r w:rsidRPr="00645BED">
              <w:rPr>
                <w:rFonts w:ascii="Arial" w:hAnsi="Arial" w:cs="Arial"/>
                <w:sz w:val="20"/>
                <w:szCs w:val="20"/>
                <w:lang w:val="en-US"/>
              </w:rPr>
              <w:t>the variance in the mean z-score across all probands,</w:t>
            </w:r>
          </w:p>
          <w:p w14:paraId="10C3BDD7" w14:textId="77777777" w:rsidR="00645BED" w:rsidRPr="00645BED" w:rsidRDefault="00645BED" w:rsidP="00645BED">
            <w:pPr>
              <w:pStyle w:val="ListParagraph"/>
              <w:numPr>
                <w:ilvl w:val="0"/>
                <w:numId w:val="2"/>
              </w:numPr>
              <w:spacing w:before="100" w:beforeAutospacing="1" w:after="100" w:afterAutospacing="1" w:line="240" w:lineRule="auto"/>
              <w:rPr>
                <w:rFonts w:ascii="Arial" w:hAnsi="Arial" w:cs="Arial"/>
                <w:sz w:val="20"/>
                <w:szCs w:val="20"/>
                <w:lang w:val="en-US"/>
              </w:rPr>
            </w:pPr>
            <w:r w:rsidRPr="00645BED">
              <w:rPr>
                <w:rFonts w:ascii="Arial" w:hAnsi="Arial" w:cs="Arial"/>
                <w:sz w:val="20"/>
                <w:szCs w:val="20"/>
                <w:lang w:val="en-US"/>
              </w:rPr>
              <w:t xml:space="preserve">the weighted number of relatives for each proband (sum of Column 3 across each proband). </w:t>
            </w:r>
          </w:p>
        </w:tc>
      </w:tr>
      <w:tr w:rsidR="00645BED" w:rsidRPr="00645BED" w14:paraId="23207A56" w14:textId="77777777" w:rsidTr="00EB1058">
        <w:tc>
          <w:tcPr>
            <w:tcW w:w="9072" w:type="dxa"/>
          </w:tcPr>
          <w:p w14:paraId="556F1FB6" w14:textId="77777777" w:rsidR="00645BED" w:rsidRPr="00645BED" w:rsidRDefault="00645BED" w:rsidP="00EB1058">
            <w:pPr>
              <w:contextualSpacing/>
              <w:rPr>
                <w:rFonts w:ascii="Arial" w:hAnsi="Arial" w:cs="Arial"/>
                <w:sz w:val="20"/>
                <w:szCs w:val="20"/>
                <w:lang w:val="en-US"/>
              </w:rPr>
            </w:pPr>
            <w:r w:rsidRPr="00645BED">
              <w:rPr>
                <w:rFonts w:ascii="Arial" w:hAnsi="Arial" w:cs="Arial"/>
                <w:b/>
                <w:sz w:val="20"/>
                <w:szCs w:val="20"/>
                <w:lang w:val="en-US"/>
              </w:rPr>
              <w:t>Step 7:</w:t>
            </w:r>
            <w:r w:rsidRPr="00645BED">
              <w:rPr>
                <w:rFonts w:ascii="Arial" w:hAnsi="Arial" w:cs="Arial"/>
                <w:sz w:val="20"/>
                <w:szCs w:val="20"/>
                <w:lang w:val="en-US"/>
              </w:rPr>
              <w:t xml:space="preserve"> Correct for difference by year of birth and county differences. There are 21 counties in Sweden. For each proband we used the county they had resided in during the maximum number of years (measured from 1969 and onwards) We standardized the risk score by year of birth and county of the proband into a z-score with mean 0 and SD 1. This was then used as the FGRS in the analyses.</w:t>
            </w:r>
          </w:p>
        </w:tc>
      </w:tr>
    </w:tbl>
    <w:p w14:paraId="49D57464" w14:textId="77777777" w:rsidR="00645BED" w:rsidRPr="00274411" w:rsidRDefault="00645BED" w:rsidP="00274411">
      <w:pPr>
        <w:tabs>
          <w:tab w:val="left" w:pos="720"/>
        </w:tabs>
        <w:rPr>
          <w:rFonts w:cs="Arial"/>
        </w:rPr>
      </w:pPr>
    </w:p>
    <w:p w14:paraId="212A816F" w14:textId="1C18A85F" w:rsidR="00274411" w:rsidRPr="00274411" w:rsidRDefault="00274411" w:rsidP="00274411">
      <w:pPr>
        <w:tabs>
          <w:tab w:val="left" w:pos="720"/>
        </w:tabs>
        <w:rPr>
          <w:rFonts w:cs="Arial"/>
          <w:i/>
          <w:iCs/>
        </w:rPr>
        <w:sectPr w:rsidR="00274411" w:rsidRPr="00274411" w:rsidSect="00274411">
          <w:pgSz w:w="12240" w:h="15840"/>
          <w:pgMar w:top="1440" w:right="1440" w:bottom="1440" w:left="1440" w:header="720" w:footer="720" w:gutter="0"/>
          <w:cols w:space="720"/>
          <w:docGrid w:linePitch="360"/>
        </w:sectPr>
      </w:pPr>
      <w:r w:rsidRPr="00274411">
        <w:rPr>
          <w:rFonts w:cs="Arial"/>
          <w:i/>
          <w:iCs/>
        </w:rPr>
        <w:t xml:space="preserve"> </w:t>
      </w:r>
    </w:p>
    <w:p w14:paraId="7A1E81FF" w14:textId="76F2E770" w:rsidR="00812896" w:rsidRPr="00EB1414" w:rsidRDefault="00812896">
      <w:pPr>
        <w:rPr>
          <w:rFonts w:cs="Arial"/>
        </w:rPr>
      </w:pPr>
      <w:r w:rsidRPr="00EB1414">
        <w:rPr>
          <w:rFonts w:cs="Arial"/>
          <w:b/>
          <w:bCs/>
        </w:rPr>
        <w:lastRenderedPageBreak/>
        <w:t>Supplementary Table 1.</w:t>
      </w:r>
      <w:r w:rsidRPr="00EB1414">
        <w:rPr>
          <w:rFonts w:cs="Arial"/>
        </w:rPr>
        <w:t xml:space="preserve"> </w:t>
      </w:r>
      <w:r w:rsidR="00F22236" w:rsidRPr="00EB1414">
        <w:rPr>
          <w:rFonts w:cs="Arial"/>
        </w:rPr>
        <w:t>Main e</w:t>
      </w:r>
      <w:r w:rsidRPr="00EB1414">
        <w:rPr>
          <w:rFonts w:cs="Arial"/>
        </w:rPr>
        <w:t>ffects</w:t>
      </w:r>
      <w:r w:rsidR="00F22236" w:rsidRPr="00EB1414">
        <w:rPr>
          <w:rFonts w:cs="Arial"/>
        </w:rPr>
        <w:t xml:space="preserve"> of, and interaction effects with, </w:t>
      </w:r>
      <w:r w:rsidRPr="00EB1414">
        <w:rPr>
          <w:rFonts w:cs="Arial"/>
        </w:rPr>
        <w:t>family genetic risk scores</w:t>
      </w:r>
      <w:r w:rsidR="00F22236" w:rsidRPr="00EB1414">
        <w:rPr>
          <w:rFonts w:cs="Arial"/>
        </w:rPr>
        <w:t xml:space="preserve"> </w:t>
      </w:r>
      <w:r w:rsidRPr="00EB1414">
        <w:rPr>
          <w:rFonts w:cs="Arial"/>
        </w:rPr>
        <w:t>for suicide attempt</w:t>
      </w:r>
      <w:r w:rsidR="00976A8C">
        <w:rPr>
          <w:rFonts w:cs="Arial"/>
        </w:rPr>
        <w:t xml:space="preserve"> (FGRS</w:t>
      </w:r>
      <w:r w:rsidR="00976A8C" w:rsidRPr="00976A8C">
        <w:rPr>
          <w:rFonts w:cs="Arial"/>
          <w:vertAlign w:val="subscript"/>
        </w:rPr>
        <w:t>SA</w:t>
      </w:r>
      <w:r w:rsidR="00976A8C">
        <w:rPr>
          <w:rFonts w:cs="Arial"/>
        </w:rPr>
        <w:t>)</w:t>
      </w:r>
      <w:r w:rsidR="00F22236" w:rsidRPr="00EB1414">
        <w:rPr>
          <w:rFonts w:cs="Arial"/>
        </w:rPr>
        <w:t xml:space="preserve">. In each model, the predictors of interest were substance use disorder registration, </w:t>
      </w:r>
      <w:r w:rsidR="00976A8C">
        <w:rPr>
          <w:rFonts w:cs="Arial"/>
        </w:rPr>
        <w:t>FGRS</w:t>
      </w:r>
      <w:r w:rsidR="00976A8C" w:rsidRPr="00976A8C">
        <w:rPr>
          <w:rFonts w:cs="Arial"/>
          <w:vertAlign w:val="subscript"/>
        </w:rPr>
        <w:t>SA</w:t>
      </w:r>
      <w:r w:rsidR="00F22236" w:rsidRPr="00EB1414">
        <w:rPr>
          <w:rFonts w:cs="Arial"/>
        </w:rPr>
        <w:t>, and the corresponding interaction term; covariates were sex, year of birth, and age at index suicide attempt.</w:t>
      </w:r>
      <w:r w:rsidR="002E4923">
        <w:rPr>
          <w:rFonts w:cs="Arial"/>
        </w:rPr>
        <w:t xml:space="preserve"> Results are presented as hazard ratios and 95% confidence intervals.</w:t>
      </w:r>
    </w:p>
    <w:p w14:paraId="49A56FF0" w14:textId="6AC41ABC" w:rsidR="00F22236" w:rsidRPr="00EB1414" w:rsidRDefault="00F22236">
      <w:pPr>
        <w:rPr>
          <w:rFonts w:cs="Arial"/>
        </w:rPr>
      </w:pPr>
    </w:p>
    <w:tbl>
      <w:tblPr>
        <w:tblStyle w:val="TableGrid"/>
        <w:tblW w:w="10484" w:type="dxa"/>
        <w:tblLook w:val="04A0" w:firstRow="1" w:lastRow="0" w:firstColumn="1" w:lastColumn="0" w:noHBand="0" w:noVBand="1"/>
      </w:tblPr>
      <w:tblGrid>
        <w:gridCol w:w="2917"/>
        <w:gridCol w:w="1784"/>
        <w:gridCol w:w="1815"/>
        <w:gridCol w:w="1984"/>
        <w:gridCol w:w="1984"/>
      </w:tblGrid>
      <w:tr w:rsidR="0062134A" w:rsidRPr="00EB1414" w14:paraId="6F4FE00C" w14:textId="77777777" w:rsidTr="006A4A22">
        <w:trPr>
          <w:trHeight w:val="255"/>
        </w:trPr>
        <w:tc>
          <w:tcPr>
            <w:tcW w:w="2917" w:type="dxa"/>
          </w:tcPr>
          <w:p w14:paraId="7D843600" w14:textId="77777777" w:rsidR="0062134A" w:rsidRPr="00EB1414" w:rsidRDefault="0062134A" w:rsidP="00976A8C">
            <w:pPr>
              <w:rPr>
                <w:rFonts w:ascii="Arial" w:hAnsi="Arial" w:cs="Arial"/>
                <w:sz w:val="20"/>
                <w:szCs w:val="20"/>
                <w:lang w:val="en-US"/>
              </w:rPr>
            </w:pPr>
          </w:p>
        </w:tc>
        <w:tc>
          <w:tcPr>
            <w:tcW w:w="3599" w:type="dxa"/>
            <w:gridSpan w:val="2"/>
          </w:tcPr>
          <w:p w14:paraId="4F408539" w14:textId="1D11B639" w:rsidR="0062134A" w:rsidRPr="00EB1414" w:rsidRDefault="0062134A" w:rsidP="0062134A">
            <w:pPr>
              <w:jc w:val="center"/>
              <w:rPr>
                <w:rFonts w:ascii="Arial" w:hAnsi="Arial" w:cs="Arial"/>
                <w:sz w:val="20"/>
                <w:szCs w:val="20"/>
                <w:lang w:val="en-US"/>
              </w:rPr>
            </w:pPr>
            <w:r>
              <w:rPr>
                <w:rFonts w:ascii="Arial" w:hAnsi="Arial" w:cs="Arial"/>
                <w:sz w:val="20"/>
                <w:szCs w:val="20"/>
                <w:lang w:val="en-US"/>
              </w:rPr>
              <w:t xml:space="preserve">Main effect </w:t>
            </w:r>
          </w:p>
        </w:tc>
        <w:tc>
          <w:tcPr>
            <w:tcW w:w="3968" w:type="dxa"/>
            <w:gridSpan w:val="2"/>
          </w:tcPr>
          <w:p w14:paraId="7943C1C2" w14:textId="6D0B2778" w:rsidR="0062134A" w:rsidRPr="0062134A" w:rsidRDefault="0062134A" w:rsidP="0062134A">
            <w:pPr>
              <w:jc w:val="center"/>
              <w:rPr>
                <w:rFonts w:cs="Arial"/>
                <w:sz w:val="20"/>
                <w:szCs w:val="20"/>
              </w:rPr>
            </w:pPr>
            <w:r w:rsidRPr="00EB1414">
              <w:rPr>
                <w:rFonts w:ascii="Arial" w:hAnsi="Arial" w:cs="Arial"/>
                <w:sz w:val="20"/>
                <w:szCs w:val="20"/>
                <w:lang w:val="en-US"/>
              </w:rPr>
              <w:t>Interaction</w:t>
            </w:r>
            <w:r>
              <w:rPr>
                <w:rFonts w:ascii="Arial" w:hAnsi="Arial" w:cs="Arial"/>
                <w:sz w:val="20"/>
                <w:szCs w:val="20"/>
                <w:lang w:val="en-US"/>
              </w:rPr>
              <w:t xml:space="preserve"> effect</w:t>
            </w:r>
          </w:p>
        </w:tc>
      </w:tr>
      <w:tr w:rsidR="0062134A" w:rsidRPr="00EB1414" w14:paraId="57A799F5" w14:textId="77777777" w:rsidTr="00976A8C">
        <w:trPr>
          <w:trHeight w:val="255"/>
        </w:trPr>
        <w:tc>
          <w:tcPr>
            <w:tcW w:w="2917" w:type="dxa"/>
          </w:tcPr>
          <w:p w14:paraId="12987C21" w14:textId="77777777" w:rsidR="0062134A" w:rsidRPr="00EB1414" w:rsidRDefault="0062134A" w:rsidP="00976A8C">
            <w:pPr>
              <w:rPr>
                <w:rFonts w:ascii="Arial" w:hAnsi="Arial" w:cs="Arial"/>
                <w:sz w:val="20"/>
                <w:szCs w:val="20"/>
                <w:lang w:val="en-US"/>
              </w:rPr>
            </w:pPr>
          </w:p>
        </w:tc>
        <w:tc>
          <w:tcPr>
            <w:tcW w:w="1784" w:type="dxa"/>
          </w:tcPr>
          <w:p w14:paraId="5A233212" w14:textId="2231C70C" w:rsidR="0062134A" w:rsidRPr="00EB1414" w:rsidRDefault="0062134A" w:rsidP="00976A8C">
            <w:pPr>
              <w:jc w:val="center"/>
              <w:rPr>
                <w:rFonts w:ascii="Arial" w:hAnsi="Arial" w:cs="Arial"/>
                <w:sz w:val="20"/>
                <w:szCs w:val="20"/>
                <w:lang w:val="en-US"/>
              </w:rPr>
            </w:pPr>
            <w:r>
              <w:rPr>
                <w:rFonts w:ascii="Arial" w:hAnsi="Arial" w:cs="Arial"/>
                <w:sz w:val="20"/>
                <w:szCs w:val="20"/>
                <w:lang w:val="en-US"/>
              </w:rPr>
              <w:t>SUD registration</w:t>
            </w:r>
          </w:p>
        </w:tc>
        <w:tc>
          <w:tcPr>
            <w:tcW w:w="1815" w:type="dxa"/>
          </w:tcPr>
          <w:p w14:paraId="1344C06C" w14:textId="23E2463B" w:rsidR="0062134A" w:rsidRPr="00EB1414" w:rsidRDefault="0062134A" w:rsidP="00976A8C">
            <w:pPr>
              <w:jc w:val="center"/>
              <w:rPr>
                <w:rFonts w:ascii="Arial" w:hAnsi="Arial" w:cs="Arial"/>
                <w:sz w:val="20"/>
                <w:szCs w:val="20"/>
                <w:lang w:val="en-US"/>
              </w:rPr>
            </w:pPr>
            <w:r w:rsidRPr="00EB1414">
              <w:rPr>
                <w:rFonts w:ascii="Arial" w:hAnsi="Arial" w:cs="Arial"/>
                <w:sz w:val="20"/>
                <w:szCs w:val="20"/>
                <w:lang w:val="en-US"/>
              </w:rPr>
              <w:t>FGRS</w:t>
            </w:r>
            <w:r w:rsidRPr="00EB1414">
              <w:rPr>
                <w:rFonts w:ascii="Arial" w:hAnsi="Arial" w:cs="Arial"/>
                <w:sz w:val="20"/>
                <w:szCs w:val="20"/>
                <w:vertAlign w:val="subscript"/>
                <w:lang w:val="en-US"/>
              </w:rPr>
              <w:t>SA</w:t>
            </w:r>
          </w:p>
        </w:tc>
        <w:tc>
          <w:tcPr>
            <w:tcW w:w="1984" w:type="dxa"/>
          </w:tcPr>
          <w:p w14:paraId="122C0D4B" w14:textId="61D6CC64" w:rsidR="0062134A" w:rsidRPr="00EB1414" w:rsidRDefault="0062134A" w:rsidP="00976A8C">
            <w:pPr>
              <w:jc w:val="center"/>
              <w:rPr>
                <w:rFonts w:cs="Arial"/>
                <w:sz w:val="20"/>
                <w:szCs w:val="20"/>
              </w:rPr>
            </w:pPr>
            <w:r w:rsidRPr="00EB1414">
              <w:rPr>
                <w:rFonts w:ascii="Arial" w:hAnsi="Arial" w:cs="Arial"/>
                <w:sz w:val="20"/>
                <w:szCs w:val="20"/>
                <w:lang w:val="en-US"/>
              </w:rPr>
              <w:t>Additive Scale (RERI)</w:t>
            </w:r>
          </w:p>
        </w:tc>
        <w:tc>
          <w:tcPr>
            <w:tcW w:w="1984" w:type="dxa"/>
          </w:tcPr>
          <w:p w14:paraId="4F96A794" w14:textId="6EC26912" w:rsidR="0062134A" w:rsidRPr="00EB1414" w:rsidRDefault="0062134A" w:rsidP="00976A8C">
            <w:pPr>
              <w:jc w:val="center"/>
              <w:rPr>
                <w:rFonts w:ascii="Arial" w:hAnsi="Arial" w:cs="Arial"/>
                <w:sz w:val="20"/>
                <w:szCs w:val="20"/>
                <w:lang w:val="en-US"/>
              </w:rPr>
            </w:pPr>
            <w:r w:rsidRPr="00EB1414">
              <w:rPr>
                <w:rFonts w:ascii="Arial" w:hAnsi="Arial" w:cs="Arial"/>
                <w:sz w:val="20"/>
                <w:szCs w:val="20"/>
                <w:lang w:val="en-US"/>
              </w:rPr>
              <w:t>Multiplicative Scale</w:t>
            </w:r>
          </w:p>
        </w:tc>
      </w:tr>
      <w:tr w:rsidR="00B04A32" w:rsidRPr="00EB1414" w14:paraId="283DDB0E" w14:textId="77777777" w:rsidTr="00976A8C">
        <w:trPr>
          <w:trHeight w:val="255"/>
        </w:trPr>
        <w:tc>
          <w:tcPr>
            <w:tcW w:w="2917" w:type="dxa"/>
          </w:tcPr>
          <w:p w14:paraId="36D818B6" w14:textId="77777777"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AUD</w:t>
            </w:r>
          </w:p>
        </w:tc>
        <w:tc>
          <w:tcPr>
            <w:tcW w:w="1784" w:type="dxa"/>
            <w:shd w:val="clear" w:color="auto" w:fill="auto"/>
          </w:tcPr>
          <w:p w14:paraId="14D5FFF4" w14:textId="63886629"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2.70 (2.49; 2.94)</w:t>
            </w:r>
          </w:p>
        </w:tc>
        <w:tc>
          <w:tcPr>
            <w:tcW w:w="1815" w:type="dxa"/>
            <w:shd w:val="clear" w:color="auto" w:fill="auto"/>
          </w:tcPr>
          <w:p w14:paraId="70C8E88A" w14:textId="30D8F7A4"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1.04 (0.98; 1.11)</w:t>
            </w:r>
          </w:p>
        </w:tc>
        <w:tc>
          <w:tcPr>
            <w:tcW w:w="1984" w:type="dxa"/>
          </w:tcPr>
          <w:p w14:paraId="6D43B647" w14:textId="1867DEFB" w:rsidR="00B04A32" w:rsidRPr="00EB1414" w:rsidRDefault="00B04A32" w:rsidP="00B04A32">
            <w:pPr>
              <w:jc w:val="center"/>
              <w:rPr>
                <w:rFonts w:cs="Arial"/>
                <w:sz w:val="20"/>
                <w:szCs w:val="20"/>
              </w:rPr>
            </w:pPr>
            <w:r w:rsidRPr="00A53E45">
              <w:rPr>
                <w:rFonts w:ascii="Arial" w:hAnsi="Arial" w:cs="Arial"/>
                <w:sz w:val="20"/>
                <w:szCs w:val="20"/>
                <w:lang w:val="en-US"/>
              </w:rPr>
              <w:t>0.10 (-0.06; 0.26)</w:t>
            </w:r>
          </w:p>
        </w:tc>
        <w:tc>
          <w:tcPr>
            <w:tcW w:w="1984" w:type="dxa"/>
          </w:tcPr>
          <w:p w14:paraId="668DD91C" w14:textId="73545AC3"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1.01 (0.93; 1.10)</w:t>
            </w:r>
          </w:p>
        </w:tc>
      </w:tr>
      <w:tr w:rsidR="00B04A32" w:rsidRPr="00EB1414" w14:paraId="4EB4D929" w14:textId="77777777" w:rsidTr="00976A8C">
        <w:trPr>
          <w:trHeight w:val="255"/>
        </w:trPr>
        <w:tc>
          <w:tcPr>
            <w:tcW w:w="2917" w:type="dxa"/>
          </w:tcPr>
          <w:p w14:paraId="092123DF" w14:textId="77777777"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Cannabis</w:t>
            </w:r>
          </w:p>
        </w:tc>
        <w:tc>
          <w:tcPr>
            <w:tcW w:w="1784" w:type="dxa"/>
            <w:shd w:val="clear" w:color="auto" w:fill="auto"/>
          </w:tcPr>
          <w:p w14:paraId="514D7D50" w14:textId="73D16E7F"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2.95 (2.46; 3.53)</w:t>
            </w:r>
          </w:p>
        </w:tc>
        <w:tc>
          <w:tcPr>
            <w:tcW w:w="1815" w:type="dxa"/>
            <w:shd w:val="clear" w:color="auto" w:fill="auto"/>
          </w:tcPr>
          <w:p w14:paraId="24CD3C9B" w14:textId="34CD0F34"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1.08 (1.03; 1.12)</w:t>
            </w:r>
          </w:p>
        </w:tc>
        <w:tc>
          <w:tcPr>
            <w:tcW w:w="1984" w:type="dxa"/>
          </w:tcPr>
          <w:p w14:paraId="32ED0F56" w14:textId="311DF719" w:rsidR="00B04A32" w:rsidRPr="00EB1414" w:rsidRDefault="00B04A32" w:rsidP="00B04A32">
            <w:pPr>
              <w:jc w:val="center"/>
              <w:rPr>
                <w:rFonts w:cs="Arial"/>
                <w:sz w:val="20"/>
                <w:szCs w:val="20"/>
              </w:rPr>
            </w:pPr>
            <w:r w:rsidRPr="00A53E45">
              <w:rPr>
                <w:rFonts w:ascii="Arial" w:hAnsi="Arial" w:cs="Arial"/>
                <w:sz w:val="20"/>
                <w:szCs w:val="20"/>
                <w:lang w:val="en-US"/>
              </w:rPr>
              <w:t>0.01 (-0.43; 0.45)</w:t>
            </w:r>
          </w:p>
        </w:tc>
        <w:tc>
          <w:tcPr>
            <w:tcW w:w="1984" w:type="dxa"/>
          </w:tcPr>
          <w:p w14:paraId="709AD847" w14:textId="099BFE8B"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0.96 (0.82; 1.12)</w:t>
            </w:r>
          </w:p>
        </w:tc>
      </w:tr>
      <w:tr w:rsidR="00B04A32" w:rsidRPr="00EB1414" w14:paraId="6AFDD61C" w14:textId="77777777" w:rsidTr="00976A8C">
        <w:trPr>
          <w:trHeight w:val="255"/>
        </w:trPr>
        <w:tc>
          <w:tcPr>
            <w:tcW w:w="2917" w:type="dxa"/>
          </w:tcPr>
          <w:p w14:paraId="0AFBC93F" w14:textId="50293764"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Cocaine/Stimulants</w:t>
            </w:r>
          </w:p>
        </w:tc>
        <w:tc>
          <w:tcPr>
            <w:tcW w:w="1784" w:type="dxa"/>
            <w:shd w:val="clear" w:color="auto" w:fill="auto"/>
          </w:tcPr>
          <w:p w14:paraId="56632A44" w14:textId="00092FBE"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2.67 (2.32; 3.08)</w:t>
            </w:r>
          </w:p>
        </w:tc>
        <w:tc>
          <w:tcPr>
            <w:tcW w:w="1815" w:type="dxa"/>
            <w:shd w:val="clear" w:color="auto" w:fill="auto"/>
          </w:tcPr>
          <w:p w14:paraId="35594700" w14:textId="3AFA17F1"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1.07 (1.03; 1.12)</w:t>
            </w:r>
          </w:p>
        </w:tc>
        <w:tc>
          <w:tcPr>
            <w:tcW w:w="1984" w:type="dxa"/>
          </w:tcPr>
          <w:p w14:paraId="734D0E18" w14:textId="5EA981EA" w:rsidR="00B04A32" w:rsidRPr="00EB1414" w:rsidRDefault="00B04A32" w:rsidP="00B04A32">
            <w:pPr>
              <w:jc w:val="center"/>
              <w:rPr>
                <w:rFonts w:cs="Arial"/>
                <w:sz w:val="20"/>
                <w:szCs w:val="20"/>
              </w:rPr>
            </w:pPr>
            <w:r w:rsidRPr="00A53E45">
              <w:rPr>
                <w:rFonts w:ascii="Arial" w:hAnsi="Arial" w:cs="Arial"/>
                <w:sz w:val="20"/>
                <w:szCs w:val="20"/>
                <w:lang w:val="en-US"/>
              </w:rPr>
              <w:t>-0.01 (-0.33; 0.30)</w:t>
            </w:r>
          </w:p>
        </w:tc>
        <w:tc>
          <w:tcPr>
            <w:tcW w:w="1984" w:type="dxa"/>
          </w:tcPr>
          <w:p w14:paraId="3D058BBD" w14:textId="2AC3601A"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0.95 (0.84; 1.08)</w:t>
            </w:r>
          </w:p>
        </w:tc>
      </w:tr>
      <w:tr w:rsidR="00B04A32" w:rsidRPr="00EB1414" w14:paraId="3AA5042A" w14:textId="77777777" w:rsidTr="00976A8C">
        <w:trPr>
          <w:trHeight w:val="255"/>
        </w:trPr>
        <w:tc>
          <w:tcPr>
            <w:tcW w:w="2917" w:type="dxa"/>
          </w:tcPr>
          <w:p w14:paraId="270BE49D" w14:textId="29B04B73"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Hallucinogens</w:t>
            </w:r>
          </w:p>
        </w:tc>
        <w:tc>
          <w:tcPr>
            <w:tcW w:w="1784" w:type="dxa"/>
            <w:shd w:val="clear" w:color="auto" w:fill="auto"/>
          </w:tcPr>
          <w:p w14:paraId="4B3A234F" w14:textId="56699348"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3.31 (2.42; 4.54)</w:t>
            </w:r>
          </w:p>
        </w:tc>
        <w:tc>
          <w:tcPr>
            <w:tcW w:w="1815" w:type="dxa"/>
            <w:shd w:val="clear" w:color="auto" w:fill="auto"/>
          </w:tcPr>
          <w:p w14:paraId="106977E0" w14:textId="35E2F5A2"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1.08 (1.04; 1.12)</w:t>
            </w:r>
          </w:p>
        </w:tc>
        <w:tc>
          <w:tcPr>
            <w:tcW w:w="1984" w:type="dxa"/>
          </w:tcPr>
          <w:p w14:paraId="44D99741" w14:textId="51CC5D2A" w:rsidR="00B04A32" w:rsidRPr="00EB1414" w:rsidRDefault="00B04A32" w:rsidP="00B04A32">
            <w:pPr>
              <w:jc w:val="center"/>
              <w:rPr>
                <w:rFonts w:cs="Arial"/>
                <w:sz w:val="20"/>
                <w:szCs w:val="20"/>
              </w:rPr>
            </w:pPr>
            <w:r w:rsidRPr="00A53E45">
              <w:rPr>
                <w:rFonts w:ascii="Arial" w:hAnsi="Arial" w:cs="Arial"/>
                <w:sz w:val="20"/>
                <w:szCs w:val="20"/>
                <w:lang w:val="en-US"/>
              </w:rPr>
              <w:t>0.40 (-0.51; 1.30)</w:t>
            </w:r>
          </w:p>
        </w:tc>
        <w:tc>
          <w:tcPr>
            <w:tcW w:w="1984" w:type="dxa"/>
          </w:tcPr>
          <w:p w14:paraId="39288E9D" w14:textId="5B2443D7"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1.06 (0.83; 1.35)</w:t>
            </w:r>
          </w:p>
        </w:tc>
      </w:tr>
      <w:tr w:rsidR="00B04A32" w:rsidRPr="00EB1414" w14:paraId="591C8274" w14:textId="77777777" w:rsidTr="00976A8C">
        <w:trPr>
          <w:trHeight w:val="243"/>
        </w:trPr>
        <w:tc>
          <w:tcPr>
            <w:tcW w:w="2917" w:type="dxa"/>
          </w:tcPr>
          <w:p w14:paraId="679D9888" w14:textId="77777777"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Opiates</w:t>
            </w:r>
          </w:p>
        </w:tc>
        <w:tc>
          <w:tcPr>
            <w:tcW w:w="1784" w:type="dxa"/>
            <w:shd w:val="clear" w:color="auto" w:fill="auto"/>
          </w:tcPr>
          <w:p w14:paraId="1EDA5D80" w14:textId="4844104F"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3.79 (3.36; 4.27)</w:t>
            </w:r>
          </w:p>
        </w:tc>
        <w:tc>
          <w:tcPr>
            <w:tcW w:w="1815" w:type="dxa"/>
            <w:shd w:val="clear" w:color="auto" w:fill="auto"/>
          </w:tcPr>
          <w:p w14:paraId="3A41C2CE" w14:textId="4E56CEE4"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1.05 (1.00; 1.10)</w:t>
            </w:r>
          </w:p>
        </w:tc>
        <w:tc>
          <w:tcPr>
            <w:tcW w:w="1984" w:type="dxa"/>
          </w:tcPr>
          <w:p w14:paraId="2B1AC647" w14:textId="447EB3D1" w:rsidR="00B04A32" w:rsidRPr="00EB1414" w:rsidRDefault="00B04A32" w:rsidP="00B04A32">
            <w:pPr>
              <w:jc w:val="center"/>
              <w:rPr>
                <w:rFonts w:cs="Arial"/>
                <w:sz w:val="20"/>
                <w:szCs w:val="20"/>
              </w:rPr>
            </w:pPr>
            <w:r w:rsidRPr="00A53E45">
              <w:rPr>
                <w:rFonts w:ascii="Arial" w:hAnsi="Arial" w:cs="Arial"/>
                <w:sz w:val="20"/>
                <w:szCs w:val="20"/>
                <w:lang w:val="en-US"/>
              </w:rPr>
              <w:t>0.27 (-0.08; 0.62)</w:t>
            </w:r>
          </w:p>
        </w:tc>
        <w:tc>
          <w:tcPr>
            <w:tcW w:w="1984" w:type="dxa"/>
          </w:tcPr>
          <w:p w14:paraId="07DB215F" w14:textId="7F981FF7"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1.03 (0.94; 1.14)</w:t>
            </w:r>
          </w:p>
        </w:tc>
      </w:tr>
      <w:tr w:rsidR="00B04A32" w:rsidRPr="00EB1414" w14:paraId="438D9760" w14:textId="77777777" w:rsidTr="00976A8C">
        <w:trPr>
          <w:trHeight w:val="255"/>
        </w:trPr>
        <w:tc>
          <w:tcPr>
            <w:tcW w:w="2917" w:type="dxa"/>
          </w:tcPr>
          <w:p w14:paraId="35C59334" w14:textId="77777777"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Sedatives</w:t>
            </w:r>
          </w:p>
        </w:tc>
        <w:tc>
          <w:tcPr>
            <w:tcW w:w="1784" w:type="dxa"/>
            <w:shd w:val="clear" w:color="auto" w:fill="auto"/>
          </w:tcPr>
          <w:p w14:paraId="03E282F7" w14:textId="00140FAE"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3.52 (3.17; 3.90)</w:t>
            </w:r>
          </w:p>
        </w:tc>
        <w:tc>
          <w:tcPr>
            <w:tcW w:w="1815" w:type="dxa"/>
            <w:shd w:val="clear" w:color="auto" w:fill="auto"/>
          </w:tcPr>
          <w:p w14:paraId="23C7024B" w14:textId="28CC8026"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1.06 (1.01; 1.11)</w:t>
            </w:r>
          </w:p>
        </w:tc>
        <w:tc>
          <w:tcPr>
            <w:tcW w:w="1984" w:type="dxa"/>
          </w:tcPr>
          <w:p w14:paraId="42331CC5" w14:textId="664AC59B" w:rsidR="00B04A32" w:rsidRPr="00EB1414" w:rsidRDefault="00B04A32" w:rsidP="00B04A32">
            <w:pPr>
              <w:jc w:val="center"/>
              <w:rPr>
                <w:rFonts w:cs="Arial"/>
                <w:sz w:val="20"/>
                <w:szCs w:val="20"/>
              </w:rPr>
            </w:pPr>
            <w:r w:rsidRPr="00A53E45">
              <w:rPr>
                <w:rFonts w:ascii="Arial" w:hAnsi="Arial" w:cs="Arial"/>
                <w:sz w:val="20"/>
                <w:szCs w:val="20"/>
                <w:lang w:val="en-US"/>
              </w:rPr>
              <w:t>0.25 (-0.05; 0.55)</w:t>
            </w:r>
          </w:p>
        </w:tc>
        <w:tc>
          <w:tcPr>
            <w:tcW w:w="1984" w:type="dxa"/>
          </w:tcPr>
          <w:p w14:paraId="24AFB271" w14:textId="095D16EA"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1.03 (0.94; 1.13)</w:t>
            </w:r>
          </w:p>
        </w:tc>
      </w:tr>
      <w:tr w:rsidR="00B04A32" w:rsidRPr="00EB1414" w14:paraId="2F3E3B76" w14:textId="77777777" w:rsidTr="00976A8C">
        <w:trPr>
          <w:trHeight w:val="255"/>
        </w:trPr>
        <w:tc>
          <w:tcPr>
            <w:tcW w:w="2917" w:type="dxa"/>
          </w:tcPr>
          <w:p w14:paraId="2292D300" w14:textId="4E16C385"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Multiple substance abuse</w:t>
            </w:r>
          </w:p>
        </w:tc>
        <w:tc>
          <w:tcPr>
            <w:tcW w:w="1784" w:type="dxa"/>
            <w:shd w:val="clear" w:color="auto" w:fill="auto"/>
          </w:tcPr>
          <w:p w14:paraId="75B57034" w14:textId="43FB3921"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3.70 (3.39; 4.03)</w:t>
            </w:r>
          </w:p>
        </w:tc>
        <w:tc>
          <w:tcPr>
            <w:tcW w:w="1815" w:type="dxa"/>
            <w:shd w:val="clear" w:color="auto" w:fill="auto"/>
          </w:tcPr>
          <w:p w14:paraId="4C9E667D" w14:textId="409A1E9E"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1.02 (0.97; 1.08)</w:t>
            </w:r>
          </w:p>
        </w:tc>
        <w:tc>
          <w:tcPr>
            <w:tcW w:w="1984" w:type="dxa"/>
          </w:tcPr>
          <w:p w14:paraId="5CFAAB5E" w14:textId="567E5899" w:rsidR="00B04A32" w:rsidRPr="00EB1414" w:rsidRDefault="00B04A32" w:rsidP="00B04A32">
            <w:pPr>
              <w:jc w:val="center"/>
              <w:rPr>
                <w:rFonts w:cs="Arial"/>
                <w:sz w:val="20"/>
                <w:szCs w:val="20"/>
              </w:rPr>
            </w:pPr>
            <w:r w:rsidRPr="00A53E45">
              <w:rPr>
                <w:rFonts w:ascii="Arial" w:hAnsi="Arial" w:cs="Arial"/>
                <w:sz w:val="20"/>
                <w:szCs w:val="20"/>
                <w:lang w:val="en-US"/>
              </w:rPr>
              <w:t>0.14 (-0.09; 0.37)</w:t>
            </w:r>
          </w:p>
        </w:tc>
        <w:tc>
          <w:tcPr>
            <w:tcW w:w="1984" w:type="dxa"/>
          </w:tcPr>
          <w:p w14:paraId="73CE9CF4" w14:textId="0FC08267" w:rsidR="00B04A32" w:rsidRPr="00EB1414" w:rsidRDefault="00B04A32" w:rsidP="00B04A32">
            <w:pPr>
              <w:jc w:val="center"/>
              <w:rPr>
                <w:rFonts w:ascii="Arial" w:hAnsi="Arial" w:cs="Arial"/>
                <w:sz w:val="20"/>
                <w:szCs w:val="20"/>
                <w:lang w:val="en-US"/>
              </w:rPr>
            </w:pPr>
            <w:r w:rsidRPr="00EB1414">
              <w:rPr>
                <w:rFonts w:ascii="Arial" w:hAnsi="Arial" w:cs="Arial"/>
                <w:sz w:val="20"/>
                <w:szCs w:val="20"/>
                <w:lang w:val="en-US"/>
              </w:rPr>
              <w:t>1.02 (0.94; 1.11)</w:t>
            </w:r>
          </w:p>
        </w:tc>
      </w:tr>
    </w:tbl>
    <w:p w14:paraId="00428241" w14:textId="237F78C4" w:rsidR="00F22236" w:rsidRDefault="00F22236">
      <w:pPr>
        <w:rPr>
          <w:rFonts w:cs="Arial"/>
        </w:rPr>
      </w:pPr>
    </w:p>
    <w:p w14:paraId="6C48BA90" w14:textId="3D2A0B77" w:rsidR="00976A8C" w:rsidRDefault="00976A8C">
      <w:pPr>
        <w:rPr>
          <w:rFonts w:cs="Arial"/>
        </w:rPr>
      </w:pPr>
    </w:p>
    <w:p w14:paraId="2503293E" w14:textId="77777777" w:rsidR="002E4923" w:rsidRDefault="002E4923" w:rsidP="00976A8C">
      <w:pPr>
        <w:rPr>
          <w:rFonts w:cs="Arial"/>
          <w:b/>
          <w:bCs/>
        </w:rPr>
      </w:pPr>
    </w:p>
    <w:p w14:paraId="35F09576" w14:textId="77777777" w:rsidR="002E4923" w:rsidRDefault="002E4923" w:rsidP="00976A8C">
      <w:pPr>
        <w:rPr>
          <w:rFonts w:cs="Arial"/>
          <w:b/>
          <w:bCs/>
        </w:rPr>
      </w:pPr>
    </w:p>
    <w:p w14:paraId="1D2ABAE6" w14:textId="77777777" w:rsidR="002E4923" w:rsidRDefault="002E4923" w:rsidP="00976A8C">
      <w:pPr>
        <w:rPr>
          <w:rFonts w:cs="Arial"/>
          <w:b/>
          <w:bCs/>
        </w:rPr>
      </w:pPr>
    </w:p>
    <w:p w14:paraId="350E9AF5" w14:textId="77777777" w:rsidR="002E4923" w:rsidRDefault="002E4923" w:rsidP="00976A8C">
      <w:pPr>
        <w:rPr>
          <w:rFonts w:cs="Arial"/>
          <w:b/>
          <w:bCs/>
        </w:rPr>
      </w:pPr>
    </w:p>
    <w:p w14:paraId="2AF449F5" w14:textId="77777777" w:rsidR="002E4923" w:rsidRDefault="002E4923" w:rsidP="00976A8C">
      <w:pPr>
        <w:rPr>
          <w:rFonts w:cs="Arial"/>
          <w:b/>
          <w:bCs/>
        </w:rPr>
      </w:pPr>
    </w:p>
    <w:p w14:paraId="5EE277F0" w14:textId="77777777" w:rsidR="002E4923" w:rsidRDefault="002E4923" w:rsidP="00976A8C">
      <w:pPr>
        <w:rPr>
          <w:rFonts w:cs="Arial"/>
          <w:b/>
          <w:bCs/>
        </w:rPr>
      </w:pPr>
    </w:p>
    <w:p w14:paraId="36BC2BBB" w14:textId="77777777" w:rsidR="002E4923" w:rsidRDefault="002E4923" w:rsidP="00976A8C">
      <w:pPr>
        <w:rPr>
          <w:rFonts w:cs="Arial"/>
          <w:b/>
          <w:bCs/>
        </w:rPr>
      </w:pPr>
    </w:p>
    <w:p w14:paraId="045B0673" w14:textId="77777777" w:rsidR="002E4923" w:rsidRDefault="002E4923" w:rsidP="00976A8C">
      <w:pPr>
        <w:rPr>
          <w:rFonts w:cs="Arial"/>
          <w:b/>
          <w:bCs/>
        </w:rPr>
      </w:pPr>
    </w:p>
    <w:p w14:paraId="015B8103" w14:textId="77777777" w:rsidR="002E4923" w:rsidRDefault="002E4923" w:rsidP="00976A8C">
      <w:pPr>
        <w:rPr>
          <w:rFonts w:cs="Arial"/>
          <w:b/>
          <w:bCs/>
        </w:rPr>
      </w:pPr>
    </w:p>
    <w:p w14:paraId="3EA2FA5F" w14:textId="77777777" w:rsidR="002E4923" w:rsidRDefault="002E4923" w:rsidP="00976A8C">
      <w:pPr>
        <w:rPr>
          <w:rFonts w:cs="Arial"/>
          <w:b/>
          <w:bCs/>
        </w:rPr>
      </w:pPr>
    </w:p>
    <w:p w14:paraId="7C580D86" w14:textId="77777777" w:rsidR="002E4923" w:rsidRDefault="002E4923" w:rsidP="00976A8C">
      <w:pPr>
        <w:rPr>
          <w:rFonts w:cs="Arial"/>
          <w:b/>
          <w:bCs/>
        </w:rPr>
      </w:pPr>
    </w:p>
    <w:p w14:paraId="3273850B" w14:textId="77777777" w:rsidR="002E4923" w:rsidRDefault="002E4923" w:rsidP="00976A8C">
      <w:pPr>
        <w:rPr>
          <w:rFonts w:cs="Arial"/>
          <w:b/>
          <w:bCs/>
        </w:rPr>
      </w:pPr>
    </w:p>
    <w:p w14:paraId="34D0EEB4" w14:textId="77777777" w:rsidR="002E4923" w:rsidRDefault="002E4923" w:rsidP="00976A8C">
      <w:pPr>
        <w:rPr>
          <w:rFonts w:cs="Arial"/>
          <w:b/>
          <w:bCs/>
        </w:rPr>
      </w:pPr>
    </w:p>
    <w:p w14:paraId="29A364FF" w14:textId="77777777" w:rsidR="002E4923" w:rsidRDefault="002E4923" w:rsidP="00976A8C">
      <w:pPr>
        <w:rPr>
          <w:rFonts w:cs="Arial"/>
          <w:b/>
          <w:bCs/>
        </w:rPr>
      </w:pPr>
    </w:p>
    <w:p w14:paraId="7F2C4DDC" w14:textId="77777777" w:rsidR="002E4923" w:rsidRDefault="002E4923" w:rsidP="00976A8C">
      <w:pPr>
        <w:rPr>
          <w:rFonts w:cs="Arial"/>
          <w:b/>
          <w:bCs/>
        </w:rPr>
      </w:pPr>
    </w:p>
    <w:p w14:paraId="4E89B221" w14:textId="77777777" w:rsidR="002E4923" w:rsidRDefault="002E4923" w:rsidP="00976A8C">
      <w:pPr>
        <w:rPr>
          <w:rFonts w:cs="Arial"/>
          <w:b/>
          <w:bCs/>
        </w:rPr>
      </w:pPr>
    </w:p>
    <w:p w14:paraId="11E09E78" w14:textId="77777777" w:rsidR="00FF5ECC" w:rsidRDefault="00FF5ECC">
      <w:pPr>
        <w:rPr>
          <w:rFonts w:cs="Arial"/>
          <w:b/>
          <w:bCs/>
        </w:rPr>
      </w:pPr>
      <w:r>
        <w:rPr>
          <w:rFonts w:cs="Arial"/>
          <w:b/>
          <w:bCs/>
        </w:rPr>
        <w:br w:type="page"/>
      </w:r>
    </w:p>
    <w:p w14:paraId="4A9445B6" w14:textId="55C8C2A9" w:rsidR="005A4EEE" w:rsidRPr="00EB1414" w:rsidRDefault="00976A8C">
      <w:pPr>
        <w:rPr>
          <w:rFonts w:cs="Arial"/>
        </w:rPr>
      </w:pPr>
      <w:r w:rsidRPr="00EB1414">
        <w:rPr>
          <w:rFonts w:cs="Arial"/>
          <w:b/>
          <w:bCs/>
        </w:rPr>
        <w:lastRenderedPageBreak/>
        <w:t xml:space="preserve">Supplementary Table </w:t>
      </w:r>
      <w:r>
        <w:rPr>
          <w:rFonts w:cs="Arial"/>
          <w:b/>
          <w:bCs/>
        </w:rPr>
        <w:t>2</w:t>
      </w:r>
      <w:r w:rsidRPr="00EB1414">
        <w:rPr>
          <w:rFonts w:cs="Arial"/>
          <w:b/>
          <w:bCs/>
        </w:rPr>
        <w:t>.</w:t>
      </w:r>
      <w:r w:rsidRPr="00EB1414">
        <w:rPr>
          <w:rFonts w:cs="Arial"/>
        </w:rPr>
        <w:t xml:space="preserve"> </w:t>
      </w:r>
      <w:r w:rsidR="005A4EEE" w:rsidRPr="00EB1414">
        <w:rPr>
          <w:rFonts w:cs="Arial"/>
        </w:rPr>
        <w:t>Results from a model testing the interaction between age at index suicide attempt and substance use disorder registration.</w:t>
      </w:r>
      <w:r w:rsidR="002E4923">
        <w:rPr>
          <w:rFonts w:cs="Arial"/>
        </w:rPr>
        <w:t xml:space="preserve"> </w:t>
      </w:r>
    </w:p>
    <w:p w14:paraId="2448F150" w14:textId="77777777" w:rsidR="005A4EEE" w:rsidRPr="00EB1414" w:rsidRDefault="005A4EEE">
      <w:pPr>
        <w:rPr>
          <w:rFonts w:cs="Arial"/>
        </w:rPr>
      </w:pPr>
    </w:p>
    <w:tbl>
      <w:tblPr>
        <w:tblStyle w:val="TableGrid"/>
        <w:tblW w:w="11520" w:type="dxa"/>
        <w:tblLook w:val="04A0" w:firstRow="1" w:lastRow="0" w:firstColumn="1" w:lastColumn="0" w:noHBand="0" w:noVBand="1"/>
      </w:tblPr>
      <w:tblGrid>
        <w:gridCol w:w="2549"/>
        <w:gridCol w:w="2161"/>
        <w:gridCol w:w="2096"/>
        <w:gridCol w:w="2279"/>
        <w:gridCol w:w="2435"/>
      </w:tblGrid>
      <w:tr w:rsidR="005C2791" w:rsidRPr="00EB1414" w14:paraId="0AB62B0C" w14:textId="77777777" w:rsidTr="0079280B">
        <w:trPr>
          <w:trHeight w:val="253"/>
        </w:trPr>
        <w:tc>
          <w:tcPr>
            <w:tcW w:w="2549" w:type="dxa"/>
          </w:tcPr>
          <w:p w14:paraId="1566C2AA" w14:textId="77777777" w:rsidR="005C2791" w:rsidRPr="00EB1414" w:rsidRDefault="005C2791" w:rsidP="009B0EFA">
            <w:pPr>
              <w:rPr>
                <w:rFonts w:cs="Arial"/>
                <w:sz w:val="20"/>
                <w:szCs w:val="20"/>
              </w:rPr>
            </w:pPr>
          </w:p>
        </w:tc>
        <w:tc>
          <w:tcPr>
            <w:tcW w:w="4257" w:type="dxa"/>
            <w:gridSpan w:val="2"/>
          </w:tcPr>
          <w:p w14:paraId="0A6547AA" w14:textId="4FFF55F5" w:rsidR="005C2791" w:rsidRPr="005C2791" w:rsidRDefault="005C2791" w:rsidP="009B0EFA">
            <w:pPr>
              <w:jc w:val="center"/>
              <w:rPr>
                <w:rFonts w:ascii="Arial" w:hAnsi="Arial" w:cs="Arial"/>
                <w:sz w:val="20"/>
                <w:szCs w:val="20"/>
              </w:rPr>
            </w:pPr>
            <w:r w:rsidRPr="005C2791">
              <w:rPr>
                <w:rFonts w:ascii="Arial" w:hAnsi="Arial" w:cs="Arial"/>
                <w:sz w:val="20"/>
                <w:szCs w:val="20"/>
              </w:rPr>
              <w:t xml:space="preserve">Main </w:t>
            </w:r>
            <w:proofErr w:type="spellStart"/>
            <w:r w:rsidRPr="005C2791">
              <w:rPr>
                <w:rFonts w:ascii="Arial" w:hAnsi="Arial" w:cs="Arial"/>
                <w:sz w:val="20"/>
                <w:szCs w:val="20"/>
              </w:rPr>
              <w:t>effect</w:t>
            </w:r>
            <w:proofErr w:type="spellEnd"/>
          </w:p>
        </w:tc>
        <w:tc>
          <w:tcPr>
            <w:tcW w:w="4714" w:type="dxa"/>
            <w:gridSpan w:val="2"/>
          </w:tcPr>
          <w:p w14:paraId="0A416B18" w14:textId="5631E04D" w:rsidR="005C2791" w:rsidRPr="00EB1414" w:rsidRDefault="005C2791" w:rsidP="009B0EFA">
            <w:pPr>
              <w:jc w:val="center"/>
              <w:rPr>
                <w:rFonts w:cs="Arial"/>
                <w:sz w:val="20"/>
                <w:szCs w:val="20"/>
              </w:rPr>
            </w:pPr>
            <w:r w:rsidRPr="00EB1414">
              <w:rPr>
                <w:rFonts w:ascii="Arial" w:hAnsi="Arial" w:cs="Arial"/>
                <w:sz w:val="20"/>
                <w:szCs w:val="20"/>
                <w:lang w:val="en-US"/>
              </w:rPr>
              <w:t>Interaction</w:t>
            </w:r>
            <w:r>
              <w:rPr>
                <w:rFonts w:ascii="Arial" w:hAnsi="Arial" w:cs="Arial"/>
                <w:sz w:val="20"/>
                <w:szCs w:val="20"/>
                <w:lang w:val="en-US"/>
              </w:rPr>
              <w:t xml:space="preserve"> effect</w:t>
            </w:r>
          </w:p>
        </w:tc>
      </w:tr>
      <w:tr w:rsidR="00976A8C" w:rsidRPr="00EB1414" w14:paraId="3963929D" w14:textId="097AD8A0" w:rsidTr="005C2791">
        <w:trPr>
          <w:trHeight w:val="253"/>
        </w:trPr>
        <w:tc>
          <w:tcPr>
            <w:tcW w:w="2549" w:type="dxa"/>
          </w:tcPr>
          <w:p w14:paraId="22D54457" w14:textId="77777777" w:rsidR="00976A8C" w:rsidRPr="00EB1414" w:rsidRDefault="00976A8C" w:rsidP="00976A8C">
            <w:pPr>
              <w:rPr>
                <w:rFonts w:ascii="Arial" w:hAnsi="Arial" w:cs="Arial"/>
                <w:sz w:val="20"/>
                <w:szCs w:val="20"/>
                <w:lang w:val="en-US"/>
              </w:rPr>
            </w:pPr>
          </w:p>
        </w:tc>
        <w:tc>
          <w:tcPr>
            <w:tcW w:w="2161" w:type="dxa"/>
          </w:tcPr>
          <w:p w14:paraId="6AAB8C47" w14:textId="160DDD28" w:rsidR="00976A8C" w:rsidRPr="00EB1414" w:rsidRDefault="002E4923" w:rsidP="00976A8C">
            <w:pPr>
              <w:jc w:val="center"/>
              <w:rPr>
                <w:rFonts w:ascii="Arial" w:hAnsi="Arial" w:cs="Arial"/>
                <w:sz w:val="20"/>
                <w:szCs w:val="20"/>
                <w:lang w:val="en-US"/>
              </w:rPr>
            </w:pPr>
            <w:r>
              <w:rPr>
                <w:rFonts w:ascii="Arial" w:hAnsi="Arial" w:cs="Arial"/>
                <w:sz w:val="20"/>
                <w:szCs w:val="20"/>
                <w:lang w:val="en-US"/>
              </w:rPr>
              <w:t>SUD registration</w:t>
            </w:r>
          </w:p>
        </w:tc>
        <w:tc>
          <w:tcPr>
            <w:tcW w:w="2096" w:type="dxa"/>
          </w:tcPr>
          <w:p w14:paraId="5231755B" w14:textId="020B72A9" w:rsidR="00976A8C" w:rsidRPr="00EB1414" w:rsidRDefault="005C2791" w:rsidP="00976A8C">
            <w:pPr>
              <w:jc w:val="center"/>
              <w:rPr>
                <w:rFonts w:ascii="Arial" w:hAnsi="Arial" w:cs="Arial"/>
                <w:sz w:val="20"/>
                <w:szCs w:val="20"/>
                <w:lang w:val="en-US"/>
              </w:rPr>
            </w:pPr>
            <w:r>
              <w:rPr>
                <w:rFonts w:ascii="Arial" w:hAnsi="Arial" w:cs="Arial"/>
                <w:sz w:val="20"/>
                <w:szCs w:val="20"/>
                <w:lang w:val="en-US"/>
              </w:rPr>
              <w:t>Age</w:t>
            </w:r>
            <w:r w:rsidR="00976A8C" w:rsidRPr="00EB1414">
              <w:rPr>
                <w:rFonts w:ascii="Arial" w:hAnsi="Arial" w:cs="Arial"/>
                <w:sz w:val="20"/>
                <w:szCs w:val="20"/>
                <w:lang w:val="en-US"/>
              </w:rPr>
              <w:t xml:space="preserve"> at SA</w:t>
            </w:r>
          </w:p>
        </w:tc>
        <w:tc>
          <w:tcPr>
            <w:tcW w:w="2279" w:type="dxa"/>
          </w:tcPr>
          <w:p w14:paraId="4E6FFDAC" w14:textId="4BE48BD7" w:rsidR="00976A8C" w:rsidRPr="00EB1414" w:rsidRDefault="00976A8C" w:rsidP="00976A8C">
            <w:pPr>
              <w:jc w:val="center"/>
              <w:rPr>
                <w:rFonts w:ascii="Arial" w:hAnsi="Arial" w:cs="Arial"/>
                <w:sz w:val="20"/>
                <w:szCs w:val="20"/>
                <w:lang w:val="en-US"/>
              </w:rPr>
            </w:pPr>
            <w:r>
              <w:rPr>
                <w:rFonts w:ascii="Arial" w:hAnsi="Arial" w:cs="Arial"/>
                <w:sz w:val="20"/>
                <w:szCs w:val="20"/>
                <w:lang w:val="en-US"/>
              </w:rPr>
              <w:t>Additive Scale (RERI)</w:t>
            </w:r>
            <w:r w:rsidR="00B04A32" w:rsidRPr="00B04A32">
              <w:rPr>
                <w:rFonts w:ascii="Arial" w:hAnsi="Arial" w:cs="Arial"/>
                <w:sz w:val="20"/>
                <w:szCs w:val="20"/>
                <w:vertAlign w:val="superscript"/>
                <w:lang w:val="en-US"/>
              </w:rPr>
              <w:t>1</w:t>
            </w:r>
          </w:p>
        </w:tc>
        <w:tc>
          <w:tcPr>
            <w:tcW w:w="2435" w:type="dxa"/>
          </w:tcPr>
          <w:p w14:paraId="48D516FD" w14:textId="3A7FFC57" w:rsidR="00976A8C" w:rsidRPr="00EB1414" w:rsidRDefault="00976A8C" w:rsidP="00976A8C">
            <w:pPr>
              <w:jc w:val="center"/>
              <w:rPr>
                <w:rFonts w:ascii="Arial" w:hAnsi="Arial" w:cs="Arial"/>
                <w:sz w:val="20"/>
                <w:szCs w:val="20"/>
                <w:lang w:val="en-US"/>
              </w:rPr>
            </w:pPr>
            <w:r>
              <w:rPr>
                <w:rFonts w:ascii="Arial" w:hAnsi="Arial" w:cs="Arial"/>
                <w:sz w:val="20"/>
                <w:szCs w:val="20"/>
                <w:lang w:val="en-US"/>
              </w:rPr>
              <w:t>Multiplicative Scale</w:t>
            </w:r>
          </w:p>
        </w:tc>
      </w:tr>
      <w:tr w:rsidR="00B04A32" w:rsidRPr="00EB1414" w14:paraId="3CF783A4" w14:textId="7A843011" w:rsidTr="005C2791">
        <w:trPr>
          <w:trHeight w:val="253"/>
        </w:trPr>
        <w:tc>
          <w:tcPr>
            <w:tcW w:w="2549" w:type="dxa"/>
          </w:tcPr>
          <w:p w14:paraId="404AF481" w14:textId="77777777"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AUD</w:t>
            </w:r>
          </w:p>
        </w:tc>
        <w:tc>
          <w:tcPr>
            <w:tcW w:w="2161" w:type="dxa"/>
            <w:shd w:val="clear" w:color="auto" w:fill="auto"/>
            <w:vAlign w:val="center"/>
          </w:tcPr>
          <w:p w14:paraId="1692D0AF" w14:textId="22DDFA6C" w:rsidR="00B04A32" w:rsidRPr="00654093" w:rsidRDefault="00B04A32" w:rsidP="006F3EE5">
            <w:pPr>
              <w:jc w:val="center"/>
              <w:rPr>
                <w:rFonts w:ascii="Arial" w:hAnsi="Arial" w:cs="Arial"/>
                <w:sz w:val="20"/>
                <w:szCs w:val="20"/>
                <w:lang w:val="en-US"/>
              </w:rPr>
            </w:pPr>
            <w:r w:rsidRPr="00654093">
              <w:rPr>
                <w:rFonts w:ascii="Arial" w:hAnsi="Arial" w:cs="Arial"/>
                <w:sz w:val="20"/>
                <w:szCs w:val="20"/>
              </w:rPr>
              <w:t>3.53 (2.62; 4.75)</w:t>
            </w:r>
          </w:p>
        </w:tc>
        <w:tc>
          <w:tcPr>
            <w:tcW w:w="2096" w:type="dxa"/>
            <w:shd w:val="clear" w:color="auto" w:fill="auto"/>
            <w:vAlign w:val="center"/>
          </w:tcPr>
          <w:p w14:paraId="195C788F" w14:textId="38DCB469" w:rsidR="00B04A32" w:rsidRPr="00654093" w:rsidRDefault="00B04A32" w:rsidP="006F3EE5">
            <w:pPr>
              <w:jc w:val="center"/>
              <w:rPr>
                <w:rFonts w:ascii="Arial" w:hAnsi="Arial" w:cs="Arial"/>
                <w:sz w:val="20"/>
                <w:szCs w:val="20"/>
                <w:lang w:val="en-US"/>
              </w:rPr>
            </w:pPr>
            <w:proofErr w:type="gramStart"/>
            <w:r w:rsidRPr="00654093">
              <w:rPr>
                <w:rFonts w:ascii="Arial" w:hAnsi="Arial" w:cs="Arial"/>
                <w:sz w:val="20"/>
                <w:szCs w:val="20"/>
              </w:rPr>
              <w:t>0.995</w:t>
            </w:r>
            <w:proofErr w:type="gramEnd"/>
            <w:r w:rsidRPr="00654093">
              <w:rPr>
                <w:rFonts w:ascii="Arial" w:hAnsi="Arial" w:cs="Arial"/>
                <w:sz w:val="20"/>
                <w:szCs w:val="20"/>
              </w:rPr>
              <w:t xml:space="preserve"> (0.985; 1.005)</w:t>
            </w:r>
          </w:p>
        </w:tc>
        <w:tc>
          <w:tcPr>
            <w:tcW w:w="2279" w:type="dxa"/>
            <w:vAlign w:val="center"/>
          </w:tcPr>
          <w:p w14:paraId="0B89B528" w14:textId="46E54026"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0.03 (0.01; 0.05)</w:t>
            </w:r>
          </w:p>
        </w:tc>
        <w:tc>
          <w:tcPr>
            <w:tcW w:w="2435" w:type="dxa"/>
            <w:vAlign w:val="center"/>
          </w:tcPr>
          <w:p w14:paraId="3C34EA8C" w14:textId="790A57D7"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0.992 (0.983; 1.001)</w:t>
            </w:r>
          </w:p>
        </w:tc>
      </w:tr>
      <w:tr w:rsidR="00B04A32" w:rsidRPr="00EB1414" w14:paraId="411338F2" w14:textId="55A8CB20" w:rsidTr="005C2791">
        <w:trPr>
          <w:trHeight w:val="253"/>
        </w:trPr>
        <w:tc>
          <w:tcPr>
            <w:tcW w:w="2549" w:type="dxa"/>
          </w:tcPr>
          <w:p w14:paraId="44C3D5EF" w14:textId="77777777"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Cannabis</w:t>
            </w:r>
          </w:p>
        </w:tc>
        <w:tc>
          <w:tcPr>
            <w:tcW w:w="2161" w:type="dxa"/>
            <w:shd w:val="clear" w:color="auto" w:fill="auto"/>
            <w:vAlign w:val="center"/>
          </w:tcPr>
          <w:p w14:paraId="27F306DF" w14:textId="4C7BB258" w:rsidR="00B04A32" w:rsidRPr="00654093" w:rsidRDefault="00B04A32" w:rsidP="006F3EE5">
            <w:pPr>
              <w:jc w:val="center"/>
              <w:rPr>
                <w:rFonts w:ascii="Arial" w:hAnsi="Arial" w:cs="Arial"/>
                <w:sz w:val="20"/>
                <w:szCs w:val="20"/>
                <w:lang w:val="en-US"/>
              </w:rPr>
            </w:pPr>
            <w:r w:rsidRPr="00654093">
              <w:rPr>
                <w:rFonts w:ascii="Arial" w:hAnsi="Arial" w:cs="Arial"/>
                <w:sz w:val="20"/>
                <w:szCs w:val="20"/>
              </w:rPr>
              <w:t>3.05 (1.61; 5.78)</w:t>
            </w:r>
          </w:p>
        </w:tc>
        <w:tc>
          <w:tcPr>
            <w:tcW w:w="2096" w:type="dxa"/>
            <w:shd w:val="clear" w:color="auto" w:fill="auto"/>
            <w:vAlign w:val="center"/>
          </w:tcPr>
          <w:p w14:paraId="315B52B5" w14:textId="4075B3CF" w:rsidR="00B04A32" w:rsidRPr="00654093" w:rsidRDefault="00B04A32" w:rsidP="006F3EE5">
            <w:pPr>
              <w:jc w:val="center"/>
              <w:rPr>
                <w:rFonts w:ascii="Arial" w:hAnsi="Arial" w:cs="Arial"/>
                <w:sz w:val="20"/>
                <w:szCs w:val="20"/>
                <w:lang w:val="en-US"/>
              </w:rPr>
            </w:pPr>
            <w:proofErr w:type="gramStart"/>
            <w:r w:rsidRPr="00654093">
              <w:rPr>
                <w:rFonts w:ascii="Arial" w:hAnsi="Arial" w:cs="Arial"/>
                <w:sz w:val="20"/>
                <w:szCs w:val="20"/>
              </w:rPr>
              <w:t>0.996</w:t>
            </w:r>
            <w:proofErr w:type="gramEnd"/>
            <w:r w:rsidRPr="00654093">
              <w:rPr>
                <w:rFonts w:ascii="Arial" w:hAnsi="Arial" w:cs="Arial"/>
                <w:sz w:val="20"/>
                <w:szCs w:val="20"/>
              </w:rPr>
              <w:t xml:space="preserve"> (0.987; 1.005)</w:t>
            </w:r>
          </w:p>
        </w:tc>
        <w:tc>
          <w:tcPr>
            <w:tcW w:w="2279" w:type="dxa"/>
            <w:vAlign w:val="center"/>
          </w:tcPr>
          <w:p w14:paraId="1780BE5A" w14:textId="5AE5F492"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0.01 (-0.05; 0.07)</w:t>
            </w:r>
          </w:p>
        </w:tc>
        <w:tc>
          <w:tcPr>
            <w:tcW w:w="2435" w:type="dxa"/>
            <w:vAlign w:val="center"/>
          </w:tcPr>
          <w:p w14:paraId="47857745" w14:textId="194E2684"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0.999 (0.979; 1.019)</w:t>
            </w:r>
          </w:p>
        </w:tc>
      </w:tr>
      <w:tr w:rsidR="00B04A32" w:rsidRPr="00EB1414" w14:paraId="2C9D1747" w14:textId="663D7A71" w:rsidTr="005C2791">
        <w:trPr>
          <w:trHeight w:val="253"/>
        </w:trPr>
        <w:tc>
          <w:tcPr>
            <w:tcW w:w="2549" w:type="dxa"/>
          </w:tcPr>
          <w:p w14:paraId="197C62E0" w14:textId="77777777"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Cocaine/Stimulants</w:t>
            </w:r>
          </w:p>
        </w:tc>
        <w:tc>
          <w:tcPr>
            <w:tcW w:w="2161" w:type="dxa"/>
            <w:shd w:val="clear" w:color="auto" w:fill="auto"/>
            <w:vAlign w:val="center"/>
          </w:tcPr>
          <w:p w14:paraId="53E9DF60" w14:textId="7E7FDDDE" w:rsidR="00B04A32" w:rsidRPr="00654093" w:rsidRDefault="00B04A32" w:rsidP="006F3EE5">
            <w:pPr>
              <w:jc w:val="center"/>
              <w:rPr>
                <w:rFonts w:ascii="Arial" w:hAnsi="Arial" w:cs="Arial"/>
                <w:sz w:val="20"/>
                <w:szCs w:val="20"/>
                <w:lang w:val="en-US"/>
              </w:rPr>
            </w:pPr>
            <w:r w:rsidRPr="00654093">
              <w:rPr>
                <w:rFonts w:ascii="Arial" w:hAnsi="Arial" w:cs="Arial"/>
                <w:sz w:val="20"/>
                <w:szCs w:val="20"/>
              </w:rPr>
              <w:t>8.13 (4.78; 13.83)</w:t>
            </w:r>
          </w:p>
        </w:tc>
        <w:tc>
          <w:tcPr>
            <w:tcW w:w="2096" w:type="dxa"/>
            <w:shd w:val="clear" w:color="auto" w:fill="auto"/>
            <w:vAlign w:val="center"/>
          </w:tcPr>
          <w:p w14:paraId="4E2B41F6" w14:textId="0A6F8D68" w:rsidR="00B04A32" w:rsidRPr="00654093" w:rsidRDefault="00B04A32" w:rsidP="006F3EE5">
            <w:pPr>
              <w:jc w:val="center"/>
              <w:rPr>
                <w:rFonts w:ascii="Arial" w:hAnsi="Arial" w:cs="Arial"/>
                <w:sz w:val="20"/>
                <w:szCs w:val="20"/>
                <w:lang w:val="en-US"/>
              </w:rPr>
            </w:pPr>
            <w:proofErr w:type="gramStart"/>
            <w:r w:rsidRPr="00654093">
              <w:rPr>
                <w:rFonts w:ascii="Arial" w:hAnsi="Arial" w:cs="Arial"/>
                <w:sz w:val="20"/>
                <w:szCs w:val="20"/>
              </w:rPr>
              <w:t>0.997</w:t>
            </w:r>
            <w:proofErr w:type="gramEnd"/>
            <w:r w:rsidRPr="00654093">
              <w:rPr>
                <w:rFonts w:ascii="Arial" w:hAnsi="Arial" w:cs="Arial"/>
                <w:sz w:val="20"/>
                <w:szCs w:val="20"/>
              </w:rPr>
              <w:t xml:space="preserve"> (0.988; 1.006)</w:t>
            </w:r>
          </w:p>
        </w:tc>
        <w:tc>
          <w:tcPr>
            <w:tcW w:w="2279" w:type="dxa"/>
            <w:vAlign w:val="center"/>
          </w:tcPr>
          <w:p w14:paraId="6C8E5D45" w14:textId="42E468D8"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0.09 (0.05; 0.14)</w:t>
            </w:r>
          </w:p>
        </w:tc>
        <w:tc>
          <w:tcPr>
            <w:tcW w:w="2435" w:type="dxa"/>
            <w:vAlign w:val="center"/>
          </w:tcPr>
          <w:p w14:paraId="5F8F1BDD" w14:textId="34421F5D"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0.966 (0.950; 0.982)</w:t>
            </w:r>
          </w:p>
        </w:tc>
      </w:tr>
      <w:tr w:rsidR="00B04A32" w:rsidRPr="00EB1414" w14:paraId="191CFB7B" w14:textId="102CCCD2" w:rsidTr="005C2791">
        <w:trPr>
          <w:trHeight w:val="253"/>
        </w:trPr>
        <w:tc>
          <w:tcPr>
            <w:tcW w:w="2549" w:type="dxa"/>
          </w:tcPr>
          <w:p w14:paraId="2192D856" w14:textId="77777777"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Hallucinogens</w:t>
            </w:r>
          </w:p>
        </w:tc>
        <w:tc>
          <w:tcPr>
            <w:tcW w:w="2161" w:type="dxa"/>
            <w:shd w:val="clear" w:color="auto" w:fill="auto"/>
            <w:vAlign w:val="center"/>
          </w:tcPr>
          <w:p w14:paraId="1982110B" w14:textId="749076B7" w:rsidR="00B04A32" w:rsidRPr="00654093" w:rsidRDefault="00B04A32" w:rsidP="006F3EE5">
            <w:pPr>
              <w:jc w:val="center"/>
              <w:rPr>
                <w:rFonts w:ascii="Arial" w:hAnsi="Arial" w:cs="Arial"/>
                <w:sz w:val="20"/>
                <w:szCs w:val="20"/>
                <w:lang w:val="en-US"/>
              </w:rPr>
            </w:pPr>
            <w:r w:rsidRPr="00654093">
              <w:rPr>
                <w:rFonts w:ascii="Arial" w:hAnsi="Arial" w:cs="Arial"/>
                <w:sz w:val="20"/>
                <w:szCs w:val="20"/>
              </w:rPr>
              <w:t>12.83 (3.89; 42.43)</w:t>
            </w:r>
          </w:p>
        </w:tc>
        <w:tc>
          <w:tcPr>
            <w:tcW w:w="2096" w:type="dxa"/>
            <w:shd w:val="clear" w:color="auto" w:fill="auto"/>
            <w:vAlign w:val="center"/>
          </w:tcPr>
          <w:p w14:paraId="2DD49682" w14:textId="65274390" w:rsidR="00B04A32" w:rsidRPr="00654093" w:rsidRDefault="00B04A32" w:rsidP="006F3EE5">
            <w:pPr>
              <w:jc w:val="center"/>
              <w:rPr>
                <w:rFonts w:ascii="Arial" w:hAnsi="Arial" w:cs="Arial"/>
                <w:sz w:val="20"/>
                <w:szCs w:val="20"/>
                <w:lang w:val="en-US"/>
              </w:rPr>
            </w:pPr>
            <w:proofErr w:type="gramStart"/>
            <w:r w:rsidRPr="00654093">
              <w:rPr>
                <w:rFonts w:ascii="Arial" w:hAnsi="Arial" w:cs="Arial"/>
                <w:sz w:val="20"/>
                <w:szCs w:val="20"/>
              </w:rPr>
              <w:t>0.997</w:t>
            </w:r>
            <w:proofErr w:type="gramEnd"/>
            <w:r w:rsidRPr="00654093">
              <w:rPr>
                <w:rFonts w:ascii="Arial" w:hAnsi="Arial" w:cs="Arial"/>
                <w:sz w:val="20"/>
                <w:szCs w:val="20"/>
              </w:rPr>
              <w:t xml:space="preserve"> (0.988; 1.007)</w:t>
            </w:r>
          </w:p>
        </w:tc>
        <w:tc>
          <w:tcPr>
            <w:tcW w:w="2279" w:type="dxa"/>
            <w:vAlign w:val="center"/>
          </w:tcPr>
          <w:p w14:paraId="4F9EC5F4" w14:textId="4F96FE36"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0.14 (0.04; 0.24)</w:t>
            </w:r>
          </w:p>
        </w:tc>
        <w:tc>
          <w:tcPr>
            <w:tcW w:w="2435" w:type="dxa"/>
            <w:vAlign w:val="center"/>
          </w:tcPr>
          <w:p w14:paraId="21BA5E78" w14:textId="676948F5"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0.955 (0.916; 0.996)</w:t>
            </w:r>
          </w:p>
        </w:tc>
      </w:tr>
      <w:tr w:rsidR="00B04A32" w:rsidRPr="00EB1414" w14:paraId="0E7919E2" w14:textId="05C6F4B1" w:rsidTr="005C2791">
        <w:trPr>
          <w:trHeight w:val="241"/>
        </w:trPr>
        <w:tc>
          <w:tcPr>
            <w:tcW w:w="2549" w:type="dxa"/>
          </w:tcPr>
          <w:p w14:paraId="07E86F5C" w14:textId="77777777"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Opiates</w:t>
            </w:r>
          </w:p>
        </w:tc>
        <w:tc>
          <w:tcPr>
            <w:tcW w:w="2161" w:type="dxa"/>
            <w:shd w:val="clear" w:color="auto" w:fill="auto"/>
            <w:vAlign w:val="center"/>
          </w:tcPr>
          <w:p w14:paraId="7B04CF72" w14:textId="2E57D989" w:rsidR="00B04A32" w:rsidRPr="00654093" w:rsidRDefault="00B04A32" w:rsidP="006F3EE5">
            <w:pPr>
              <w:jc w:val="center"/>
              <w:rPr>
                <w:rFonts w:ascii="Arial" w:hAnsi="Arial" w:cs="Arial"/>
                <w:sz w:val="20"/>
                <w:szCs w:val="20"/>
                <w:lang w:val="en-US"/>
              </w:rPr>
            </w:pPr>
            <w:r w:rsidRPr="00654093">
              <w:rPr>
                <w:rFonts w:ascii="Arial" w:hAnsi="Arial" w:cs="Arial"/>
                <w:sz w:val="20"/>
                <w:szCs w:val="20"/>
              </w:rPr>
              <w:t>7.18 (4.60; 11.20)</w:t>
            </w:r>
          </w:p>
        </w:tc>
        <w:tc>
          <w:tcPr>
            <w:tcW w:w="2096" w:type="dxa"/>
            <w:shd w:val="clear" w:color="auto" w:fill="auto"/>
            <w:vAlign w:val="center"/>
          </w:tcPr>
          <w:p w14:paraId="02973D02" w14:textId="7B4117A9" w:rsidR="00B04A32" w:rsidRPr="00654093" w:rsidRDefault="00B04A32" w:rsidP="006F3EE5">
            <w:pPr>
              <w:jc w:val="center"/>
              <w:rPr>
                <w:rFonts w:ascii="Arial" w:hAnsi="Arial" w:cs="Arial"/>
                <w:sz w:val="20"/>
                <w:szCs w:val="20"/>
                <w:lang w:val="en-US"/>
              </w:rPr>
            </w:pPr>
            <w:proofErr w:type="gramStart"/>
            <w:r w:rsidRPr="00654093">
              <w:rPr>
                <w:rFonts w:ascii="Arial" w:hAnsi="Arial" w:cs="Arial"/>
                <w:sz w:val="20"/>
                <w:szCs w:val="20"/>
              </w:rPr>
              <w:t>0.994</w:t>
            </w:r>
            <w:proofErr w:type="gramEnd"/>
            <w:r w:rsidRPr="00654093">
              <w:rPr>
                <w:rFonts w:ascii="Arial" w:hAnsi="Arial" w:cs="Arial"/>
                <w:sz w:val="20"/>
                <w:szCs w:val="20"/>
              </w:rPr>
              <w:t xml:space="preserve"> (0.984; 1.003)</w:t>
            </w:r>
          </w:p>
        </w:tc>
        <w:tc>
          <w:tcPr>
            <w:tcW w:w="2279" w:type="dxa"/>
            <w:vAlign w:val="center"/>
          </w:tcPr>
          <w:p w14:paraId="7F0C1B1D" w14:textId="6EA32BFD"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0.09 (0.04; 0.15)</w:t>
            </w:r>
          </w:p>
        </w:tc>
        <w:tc>
          <w:tcPr>
            <w:tcW w:w="2435" w:type="dxa"/>
            <w:vAlign w:val="center"/>
          </w:tcPr>
          <w:p w14:paraId="3CA5EEA3" w14:textId="00DDA8E8"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0.981 (0.968; 0.994)</w:t>
            </w:r>
          </w:p>
        </w:tc>
      </w:tr>
      <w:tr w:rsidR="00B04A32" w:rsidRPr="00EB1414" w14:paraId="63C74EEF" w14:textId="44C0AFDE" w:rsidTr="005C2791">
        <w:trPr>
          <w:trHeight w:val="253"/>
        </w:trPr>
        <w:tc>
          <w:tcPr>
            <w:tcW w:w="2549" w:type="dxa"/>
          </w:tcPr>
          <w:p w14:paraId="56E29E56" w14:textId="77777777"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Sedatives</w:t>
            </w:r>
          </w:p>
        </w:tc>
        <w:tc>
          <w:tcPr>
            <w:tcW w:w="2161" w:type="dxa"/>
            <w:shd w:val="clear" w:color="auto" w:fill="auto"/>
            <w:vAlign w:val="center"/>
          </w:tcPr>
          <w:p w14:paraId="4EE11BAA" w14:textId="0B35A5C2" w:rsidR="00B04A32" w:rsidRPr="00654093" w:rsidRDefault="00B04A32" w:rsidP="006F3EE5">
            <w:pPr>
              <w:jc w:val="center"/>
              <w:rPr>
                <w:rFonts w:ascii="Arial" w:hAnsi="Arial" w:cs="Arial"/>
                <w:sz w:val="20"/>
                <w:szCs w:val="20"/>
                <w:lang w:val="en-US"/>
              </w:rPr>
            </w:pPr>
            <w:r w:rsidRPr="00654093">
              <w:rPr>
                <w:rFonts w:ascii="Arial" w:hAnsi="Arial" w:cs="Arial"/>
                <w:sz w:val="20"/>
                <w:szCs w:val="20"/>
              </w:rPr>
              <w:t>5.38 (3.60; 7.86)</w:t>
            </w:r>
          </w:p>
        </w:tc>
        <w:tc>
          <w:tcPr>
            <w:tcW w:w="2096" w:type="dxa"/>
            <w:shd w:val="clear" w:color="auto" w:fill="auto"/>
            <w:vAlign w:val="center"/>
          </w:tcPr>
          <w:p w14:paraId="2CEF1B1B" w14:textId="2424C497" w:rsidR="00B04A32" w:rsidRPr="00654093" w:rsidRDefault="00B04A32" w:rsidP="006F3EE5">
            <w:pPr>
              <w:jc w:val="center"/>
              <w:rPr>
                <w:rFonts w:ascii="Arial" w:hAnsi="Arial" w:cs="Arial"/>
                <w:sz w:val="20"/>
                <w:szCs w:val="20"/>
                <w:lang w:val="en-US"/>
              </w:rPr>
            </w:pPr>
            <w:proofErr w:type="gramStart"/>
            <w:r w:rsidRPr="00654093">
              <w:rPr>
                <w:rFonts w:ascii="Arial" w:hAnsi="Arial" w:cs="Arial"/>
                <w:sz w:val="20"/>
                <w:szCs w:val="20"/>
              </w:rPr>
              <w:t>0.998</w:t>
            </w:r>
            <w:proofErr w:type="gramEnd"/>
            <w:r w:rsidRPr="00654093">
              <w:rPr>
                <w:rFonts w:ascii="Arial" w:hAnsi="Arial" w:cs="Arial"/>
                <w:sz w:val="20"/>
                <w:szCs w:val="20"/>
              </w:rPr>
              <w:t xml:space="preserve"> (0.988; 1.007)</w:t>
            </w:r>
          </w:p>
        </w:tc>
        <w:tc>
          <w:tcPr>
            <w:tcW w:w="2279" w:type="dxa"/>
            <w:vAlign w:val="center"/>
          </w:tcPr>
          <w:p w14:paraId="6BEFA62F" w14:textId="04DB88F7"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0.05 (0.01; 0.10)</w:t>
            </w:r>
          </w:p>
        </w:tc>
        <w:tc>
          <w:tcPr>
            <w:tcW w:w="2435" w:type="dxa"/>
            <w:vAlign w:val="center"/>
          </w:tcPr>
          <w:p w14:paraId="2F27AA85" w14:textId="2F06CAF9"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0.987 (0.976; 0.999)</w:t>
            </w:r>
          </w:p>
        </w:tc>
      </w:tr>
      <w:tr w:rsidR="00B04A32" w:rsidRPr="00EB1414" w14:paraId="573C8604" w14:textId="1FC5861D" w:rsidTr="005C2791">
        <w:trPr>
          <w:trHeight w:val="259"/>
        </w:trPr>
        <w:tc>
          <w:tcPr>
            <w:tcW w:w="2549" w:type="dxa"/>
          </w:tcPr>
          <w:p w14:paraId="702C1C62" w14:textId="77777777" w:rsidR="00B04A32" w:rsidRPr="00EB1414" w:rsidRDefault="00B04A32" w:rsidP="00B04A32">
            <w:pPr>
              <w:rPr>
                <w:rFonts w:ascii="Arial" w:hAnsi="Arial" w:cs="Arial"/>
                <w:sz w:val="20"/>
                <w:szCs w:val="20"/>
                <w:lang w:val="en-US"/>
              </w:rPr>
            </w:pPr>
            <w:r w:rsidRPr="00EB1414">
              <w:rPr>
                <w:rFonts w:ascii="Arial" w:hAnsi="Arial" w:cs="Arial"/>
                <w:sz w:val="20"/>
                <w:szCs w:val="20"/>
                <w:lang w:val="en-US"/>
              </w:rPr>
              <w:t>Multiple substance abuse</w:t>
            </w:r>
          </w:p>
        </w:tc>
        <w:tc>
          <w:tcPr>
            <w:tcW w:w="2161" w:type="dxa"/>
            <w:shd w:val="clear" w:color="auto" w:fill="auto"/>
            <w:vAlign w:val="center"/>
          </w:tcPr>
          <w:p w14:paraId="6749DB94" w14:textId="3196A8C7" w:rsidR="00B04A32" w:rsidRPr="00654093" w:rsidRDefault="00B04A32" w:rsidP="006F3EE5">
            <w:pPr>
              <w:jc w:val="center"/>
              <w:rPr>
                <w:rFonts w:ascii="Arial" w:hAnsi="Arial" w:cs="Arial"/>
                <w:sz w:val="20"/>
                <w:szCs w:val="20"/>
                <w:lang w:val="en-US"/>
              </w:rPr>
            </w:pPr>
            <w:r w:rsidRPr="00654093">
              <w:rPr>
                <w:rFonts w:ascii="Arial" w:hAnsi="Arial" w:cs="Arial"/>
                <w:sz w:val="20"/>
                <w:szCs w:val="20"/>
              </w:rPr>
              <w:t>7.16 (5.21; 9.84)</w:t>
            </w:r>
          </w:p>
        </w:tc>
        <w:tc>
          <w:tcPr>
            <w:tcW w:w="2096" w:type="dxa"/>
            <w:shd w:val="clear" w:color="auto" w:fill="auto"/>
            <w:vAlign w:val="center"/>
          </w:tcPr>
          <w:p w14:paraId="17799FE6" w14:textId="10047CC0" w:rsidR="00B04A32" w:rsidRPr="00654093" w:rsidRDefault="00B04A32" w:rsidP="006F3EE5">
            <w:pPr>
              <w:jc w:val="center"/>
              <w:rPr>
                <w:rFonts w:ascii="Arial" w:hAnsi="Arial" w:cs="Arial"/>
                <w:sz w:val="20"/>
                <w:szCs w:val="20"/>
                <w:lang w:val="en-US"/>
              </w:rPr>
            </w:pPr>
            <w:proofErr w:type="gramStart"/>
            <w:r w:rsidRPr="00654093">
              <w:rPr>
                <w:rFonts w:ascii="Arial" w:hAnsi="Arial" w:cs="Arial"/>
                <w:sz w:val="20"/>
                <w:szCs w:val="20"/>
              </w:rPr>
              <w:t>0.996</w:t>
            </w:r>
            <w:proofErr w:type="gramEnd"/>
            <w:r w:rsidRPr="00654093">
              <w:rPr>
                <w:rFonts w:ascii="Arial" w:hAnsi="Arial" w:cs="Arial"/>
                <w:sz w:val="20"/>
                <w:szCs w:val="20"/>
              </w:rPr>
              <w:t xml:space="preserve"> (0.987; 1.006</w:t>
            </w:r>
            <w:r w:rsidR="006F3EE5" w:rsidRPr="00654093">
              <w:rPr>
                <w:rFonts w:ascii="Arial" w:hAnsi="Arial" w:cs="Arial"/>
                <w:sz w:val="20"/>
                <w:szCs w:val="20"/>
              </w:rPr>
              <w:t>)</w:t>
            </w:r>
          </w:p>
        </w:tc>
        <w:tc>
          <w:tcPr>
            <w:tcW w:w="2279" w:type="dxa"/>
            <w:vAlign w:val="center"/>
          </w:tcPr>
          <w:p w14:paraId="2FF7F9F2" w14:textId="75222F8A"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0.09 (0.05; 0.12)</w:t>
            </w:r>
          </w:p>
        </w:tc>
        <w:tc>
          <w:tcPr>
            <w:tcW w:w="2435" w:type="dxa"/>
            <w:vAlign w:val="center"/>
          </w:tcPr>
          <w:p w14:paraId="77B6B92F" w14:textId="14434E70" w:rsidR="00B04A32" w:rsidRPr="00FF5ECC" w:rsidRDefault="00B04A32" w:rsidP="006F3EE5">
            <w:pPr>
              <w:jc w:val="center"/>
              <w:rPr>
                <w:rFonts w:ascii="Arial" w:hAnsi="Arial" w:cs="Arial"/>
                <w:sz w:val="20"/>
                <w:szCs w:val="20"/>
                <w:lang w:val="en-US"/>
              </w:rPr>
            </w:pPr>
            <w:r w:rsidRPr="00FF5ECC">
              <w:rPr>
                <w:rFonts w:ascii="Arial" w:hAnsi="Arial" w:cs="Arial"/>
                <w:sz w:val="20"/>
                <w:szCs w:val="20"/>
                <w:lang w:val="en-US"/>
              </w:rPr>
              <w:t>0.980 (0.971; 0.989)</w:t>
            </w:r>
          </w:p>
        </w:tc>
      </w:tr>
    </w:tbl>
    <w:p w14:paraId="29DED4F7" w14:textId="13838D6F" w:rsidR="005A4EEE" w:rsidRDefault="00B04A32" w:rsidP="00B04A32">
      <w:pPr>
        <w:pStyle w:val="CommentText"/>
      </w:pPr>
      <w:r>
        <w:rPr>
          <w:rFonts w:cs="Arial"/>
          <w:vertAlign w:val="superscript"/>
        </w:rPr>
        <w:t>1</w:t>
      </w:r>
      <w:r>
        <w:t>This is the RERI for one year decrease from the mean value of age at attempt (33 years).</w:t>
      </w:r>
    </w:p>
    <w:p w14:paraId="38D58EF3" w14:textId="5E1B60D0" w:rsidR="002E4923" w:rsidRDefault="002E4923" w:rsidP="00B04A32">
      <w:pPr>
        <w:pStyle w:val="CommentText"/>
      </w:pPr>
      <w:r>
        <w:t>RERI=relative excess risk due to interaction</w:t>
      </w:r>
    </w:p>
    <w:p w14:paraId="5B5DF9DB" w14:textId="3F472EC9" w:rsidR="00144EB7" w:rsidRDefault="00144EB7" w:rsidP="00B04A32">
      <w:pPr>
        <w:pStyle w:val="CommentText"/>
      </w:pPr>
    </w:p>
    <w:p w14:paraId="28DAA1E6" w14:textId="6681B5F7" w:rsidR="00144EB7" w:rsidRDefault="00144EB7" w:rsidP="00B04A32">
      <w:pPr>
        <w:pStyle w:val="CommentText"/>
      </w:pPr>
    </w:p>
    <w:p w14:paraId="192EB487" w14:textId="2FD052D2" w:rsidR="00144EB7" w:rsidRDefault="00144EB7" w:rsidP="00B04A32">
      <w:pPr>
        <w:pStyle w:val="CommentText"/>
      </w:pPr>
    </w:p>
    <w:p w14:paraId="66060978" w14:textId="10A62FDE" w:rsidR="00144EB7" w:rsidRDefault="00144EB7" w:rsidP="00B04A32">
      <w:pPr>
        <w:pStyle w:val="CommentText"/>
      </w:pPr>
    </w:p>
    <w:p w14:paraId="52870102" w14:textId="203E8DC2" w:rsidR="00144EB7" w:rsidRDefault="00144EB7" w:rsidP="00B04A32">
      <w:pPr>
        <w:pStyle w:val="CommentText"/>
      </w:pPr>
    </w:p>
    <w:p w14:paraId="1AD111C3" w14:textId="61A327DA" w:rsidR="00144EB7" w:rsidRDefault="00144EB7" w:rsidP="00B04A32">
      <w:pPr>
        <w:pStyle w:val="CommentText"/>
      </w:pPr>
    </w:p>
    <w:p w14:paraId="4B3CB102" w14:textId="725F7942" w:rsidR="00144EB7" w:rsidRDefault="00144EB7" w:rsidP="00B04A32">
      <w:pPr>
        <w:pStyle w:val="CommentText"/>
      </w:pPr>
    </w:p>
    <w:p w14:paraId="53BBC985" w14:textId="662EC68F" w:rsidR="00144EB7" w:rsidRDefault="00144EB7" w:rsidP="00B04A32">
      <w:pPr>
        <w:pStyle w:val="CommentText"/>
      </w:pPr>
    </w:p>
    <w:p w14:paraId="2B845496" w14:textId="0EADC2E8" w:rsidR="00144EB7" w:rsidRDefault="00144EB7" w:rsidP="00B04A32">
      <w:pPr>
        <w:pStyle w:val="CommentText"/>
      </w:pPr>
    </w:p>
    <w:p w14:paraId="3B1AEB8A" w14:textId="12CADBE3" w:rsidR="00144EB7" w:rsidRDefault="00144EB7" w:rsidP="00B04A32">
      <w:pPr>
        <w:pStyle w:val="CommentText"/>
      </w:pPr>
    </w:p>
    <w:p w14:paraId="0B624346" w14:textId="53BB838F" w:rsidR="00144EB7" w:rsidRDefault="00144EB7" w:rsidP="00B04A32">
      <w:pPr>
        <w:pStyle w:val="CommentText"/>
      </w:pPr>
    </w:p>
    <w:p w14:paraId="5BB2E874" w14:textId="798C8C5E" w:rsidR="00144EB7" w:rsidRDefault="00144EB7" w:rsidP="00B04A32">
      <w:pPr>
        <w:pStyle w:val="CommentText"/>
      </w:pPr>
    </w:p>
    <w:p w14:paraId="1FF1F760" w14:textId="20ABCFDB" w:rsidR="00144EB7" w:rsidRDefault="00144EB7" w:rsidP="00B04A32">
      <w:pPr>
        <w:pStyle w:val="CommentText"/>
      </w:pPr>
    </w:p>
    <w:p w14:paraId="7A51BDF3" w14:textId="2CF118BA" w:rsidR="00144EB7" w:rsidRDefault="00144EB7" w:rsidP="00B04A32">
      <w:pPr>
        <w:pStyle w:val="CommentText"/>
      </w:pPr>
    </w:p>
    <w:p w14:paraId="384E5E61" w14:textId="31877BAB" w:rsidR="00144EB7" w:rsidRDefault="00144EB7" w:rsidP="00B04A32">
      <w:pPr>
        <w:pStyle w:val="CommentText"/>
      </w:pPr>
    </w:p>
    <w:p w14:paraId="35A00D16" w14:textId="77777777" w:rsidR="00144EB7" w:rsidRPr="00B04A32" w:rsidRDefault="00144EB7" w:rsidP="00B04A32">
      <w:pPr>
        <w:pStyle w:val="CommentText"/>
      </w:pPr>
    </w:p>
    <w:p w14:paraId="6C3C8C9F" w14:textId="77777777" w:rsidR="005A4EEE" w:rsidRPr="00EB1414" w:rsidRDefault="005A4EEE">
      <w:pPr>
        <w:rPr>
          <w:rFonts w:cs="Arial"/>
        </w:rPr>
      </w:pPr>
    </w:p>
    <w:p w14:paraId="0F66241A" w14:textId="77777777" w:rsidR="005A4EEE" w:rsidRPr="00EB1414" w:rsidRDefault="005A4EEE">
      <w:pPr>
        <w:rPr>
          <w:rFonts w:cs="Arial"/>
        </w:rPr>
      </w:pPr>
    </w:p>
    <w:p w14:paraId="0F2E27C6" w14:textId="69EBA001" w:rsidR="005A4EEE" w:rsidRPr="00EB1414" w:rsidRDefault="005A4EEE">
      <w:pPr>
        <w:rPr>
          <w:rFonts w:cs="Arial"/>
          <w:b/>
          <w:bCs/>
        </w:rPr>
        <w:sectPr w:rsidR="005A4EEE" w:rsidRPr="00EB1414" w:rsidSect="00B04A32">
          <w:pgSz w:w="15840" w:h="12240" w:orient="landscape"/>
          <w:pgMar w:top="1440" w:right="1440" w:bottom="1440" w:left="1440" w:header="720" w:footer="720" w:gutter="0"/>
          <w:cols w:space="720"/>
          <w:docGrid w:linePitch="360"/>
        </w:sectPr>
      </w:pPr>
    </w:p>
    <w:p w14:paraId="4E0A74B2" w14:textId="66FEBECA" w:rsidR="00144EB7" w:rsidRDefault="00D873AF">
      <w:pPr>
        <w:rPr>
          <w:rFonts w:cs="Arial"/>
        </w:rPr>
      </w:pPr>
      <w:r>
        <w:rPr>
          <w:rFonts w:cs="Arial"/>
          <w:b/>
          <w:bCs/>
        </w:rPr>
        <w:lastRenderedPageBreak/>
        <w:t>Supplementary Table 3.</w:t>
      </w:r>
      <w:r>
        <w:rPr>
          <w:rFonts w:cs="Arial"/>
        </w:rPr>
        <w:t xml:space="preserve"> Results from a multivariate Cox proportional hazards model in which a suicide attempt </w:t>
      </w:r>
      <w:proofErr w:type="gramStart"/>
      <w:r>
        <w:rPr>
          <w:rFonts w:cs="Arial"/>
        </w:rPr>
        <w:t>subsequent to</w:t>
      </w:r>
      <w:proofErr w:type="gramEnd"/>
      <w:r>
        <w:rPr>
          <w:rFonts w:cs="Arial"/>
        </w:rPr>
        <w:t xml:space="preserve"> the index attempt is included as a time-varying covariate (Model 3). Models 1 and 2, which do not include that covariate, are duplicated from the main text (Table 3) for reference.</w:t>
      </w:r>
    </w:p>
    <w:p w14:paraId="55EA2D03" w14:textId="77777777" w:rsidR="00D873AF" w:rsidRDefault="00D873AF">
      <w:pPr>
        <w:rPr>
          <w:rFonts w:cs="Arial"/>
        </w:rPr>
      </w:pPr>
    </w:p>
    <w:tbl>
      <w:tblPr>
        <w:tblStyle w:val="TableGrid"/>
        <w:tblW w:w="9493" w:type="dxa"/>
        <w:tblLook w:val="04A0" w:firstRow="1" w:lastRow="0" w:firstColumn="1" w:lastColumn="0" w:noHBand="0" w:noVBand="1"/>
      </w:tblPr>
      <w:tblGrid>
        <w:gridCol w:w="2474"/>
        <w:gridCol w:w="1040"/>
        <w:gridCol w:w="1118"/>
        <w:gridCol w:w="988"/>
        <w:gridCol w:w="1393"/>
        <w:gridCol w:w="1062"/>
        <w:gridCol w:w="1418"/>
      </w:tblGrid>
      <w:tr w:rsidR="00144EB7" w:rsidRPr="00144EB7" w14:paraId="1FE86AAC" w14:textId="77777777" w:rsidTr="00147F75">
        <w:tc>
          <w:tcPr>
            <w:tcW w:w="2474" w:type="dxa"/>
            <w:tcBorders>
              <w:top w:val="single" w:sz="12" w:space="0" w:color="auto"/>
              <w:bottom w:val="dotted" w:sz="4" w:space="0" w:color="auto"/>
            </w:tcBorders>
          </w:tcPr>
          <w:p w14:paraId="629A746D" w14:textId="77777777" w:rsidR="00144EB7" w:rsidRPr="00144EB7" w:rsidRDefault="00144EB7" w:rsidP="00144EB7">
            <w:pPr>
              <w:rPr>
                <w:rFonts w:ascii="Arial" w:hAnsi="Arial" w:cs="Arial"/>
                <w:sz w:val="20"/>
                <w:szCs w:val="20"/>
              </w:rPr>
            </w:pPr>
          </w:p>
        </w:tc>
        <w:tc>
          <w:tcPr>
            <w:tcW w:w="2158" w:type="dxa"/>
            <w:gridSpan w:val="2"/>
            <w:tcBorders>
              <w:top w:val="single" w:sz="12" w:space="0" w:color="auto"/>
              <w:bottom w:val="dotted" w:sz="4" w:space="0" w:color="auto"/>
            </w:tcBorders>
          </w:tcPr>
          <w:p w14:paraId="5A717621" w14:textId="77777777" w:rsidR="00144EB7" w:rsidRPr="00144EB7" w:rsidRDefault="00144EB7" w:rsidP="00144EB7">
            <w:pPr>
              <w:jc w:val="center"/>
              <w:rPr>
                <w:rFonts w:ascii="Arial" w:hAnsi="Arial" w:cs="Arial"/>
                <w:sz w:val="20"/>
                <w:szCs w:val="20"/>
              </w:rPr>
            </w:pPr>
            <w:proofErr w:type="spellStart"/>
            <w:r w:rsidRPr="00144EB7">
              <w:rPr>
                <w:rFonts w:ascii="Arial" w:hAnsi="Arial" w:cs="Arial"/>
                <w:sz w:val="20"/>
                <w:szCs w:val="20"/>
              </w:rPr>
              <w:t>Model</w:t>
            </w:r>
            <w:proofErr w:type="spellEnd"/>
            <w:r w:rsidRPr="00144EB7">
              <w:rPr>
                <w:rFonts w:ascii="Arial" w:hAnsi="Arial" w:cs="Arial"/>
                <w:sz w:val="20"/>
                <w:szCs w:val="20"/>
              </w:rPr>
              <w:t xml:space="preserve"> 1</w:t>
            </w:r>
          </w:p>
        </w:tc>
        <w:tc>
          <w:tcPr>
            <w:tcW w:w="2381" w:type="dxa"/>
            <w:gridSpan w:val="2"/>
            <w:tcBorders>
              <w:top w:val="single" w:sz="12" w:space="0" w:color="auto"/>
              <w:bottom w:val="dotted" w:sz="4" w:space="0" w:color="auto"/>
            </w:tcBorders>
          </w:tcPr>
          <w:p w14:paraId="4DCDA57B" w14:textId="77777777" w:rsidR="00144EB7" w:rsidRPr="00144EB7" w:rsidRDefault="00144EB7" w:rsidP="00144EB7">
            <w:pPr>
              <w:jc w:val="center"/>
              <w:rPr>
                <w:rFonts w:ascii="Arial" w:hAnsi="Arial" w:cs="Arial"/>
                <w:sz w:val="20"/>
                <w:szCs w:val="20"/>
              </w:rPr>
            </w:pPr>
            <w:proofErr w:type="spellStart"/>
            <w:r w:rsidRPr="00144EB7">
              <w:rPr>
                <w:rFonts w:ascii="Arial" w:hAnsi="Arial" w:cs="Arial"/>
                <w:sz w:val="20"/>
                <w:szCs w:val="20"/>
              </w:rPr>
              <w:t>Model</w:t>
            </w:r>
            <w:proofErr w:type="spellEnd"/>
            <w:r w:rsidRPr="00144EB7">
              <w:rPr>
                <w:rFonts w:ascii="Arial" w:hAnsi="Arial" w:cs="Arial"/>
                <w:sz w:val="20"/>
                <w:szCs w:val="20"/>
              </w:rPr>
              <w:t xml:space="preserve"> 2</w:t>
            </w:r>
          </w:p>
        </w:tc>
        <w:tc>
          <w:tcPr>
            <w:tcW w:w="2480" w:type="dxa"/>
            <w:gridSpan w:val="2"/>
            <w:tcBorders>
              <w:top w:val="single" w:sz="12" w:space="0" w:color="auto"/>
              <w:bottom w:val="dotted" w:sz="4" w:space="0" w:color="auto"/>
            </w:tcBorders>
          </w:tcPr>
          <w:p w14:paraId="65524330" w14:textId="77777777" w:rsidR="00144EB7" w:rsidRPr="00144EB7" w:rsidRDefault="00144EB7" w:rsidP="00144EB7">
            <w:pPr>
              <w:jc w:val="center"/>
              <w:rPr>
                <w:rFonts w:ascii="Arial" w:hAnsi="Arial" w:cs="Arial"/>
                <w:sz w:val="20"/>
                <w:szCs w:val="20"/>
              </w:rPr>
            </w:pPr>
            <w:proofErr w:type="spellStart"/>
            <w:r w:rsidRPr="00144EB7">
              <w:rPr>
                <w:rFonts w:ascii="Arial" w:hAnsi="Arial" w:cs="Arial"/>
                <w:sz w:val="20"/>
                <w:szCs w:val="20"/>
              </w:rPr>
              <w:t>Model</w:t>
            </w:r>
            <w:proofErr w:type="spellEnd"/>
            <w:r w:rsidRPr="00144EB7">
              <w:rPr>
                <w:rFonts w:ascii="Arial" w:hAnsi="Arial" w:cs="Arial"/>
                <w:sz w:val="20"/>
                <w:szCs w:val="20"/>
              </w:rPr>
              <w:t xml:space="preserve"> 3</w:t>
            </w:r>
          </w:p>
        </w:tc>
      </w:tr>
      <w:tr w:rsidR="00144EB7" w:rsidRPr="00144EB7" w14:paraId="7E70046E" w14:textId="77777777" w:rsidTr="00147F75">
        <w:tc>
          <w:tcPr>
            <w:tcW w:w="2474" w:type="dxa"/>
            <w:tcBorders>
              <w:top w:val="dotted" w:sz="4" w:space="0" w:color="auto"/>
              <w:bottom w:val="single" w:sz="12" w:space="0" w:color="auto"/>
            </w:tcBorders>
            <w:shd w:val="clear" w:color="auto" w:fill="auto"/>
          </w:tcPr>
          <w:p w14:paraId="325100FB" w14:textId="77777777" w:rsidR="00144EB7" w:rsidRPr="00144EB7" w:rsidRDefault="00144EB7" w:rsidP="00144EB7">
            <w:pPr>
              <w:rPr>
                <w:rFonts w:ascii="Arial" w:hAnsi="Arial" w:cs="Arial"/>
                <w:sz w:val="20"/>
                <w:szCs w:val="20"/>
              </w:rPr>
            </w:pPr>
          </w:p>
        </w:tc>
        <w:tc>
          <w:tcPr>
            <w:tcW w:w="1040" w:type="dxa"/>
            <w:tcBorders>
              <w:top w:val="dotted" w:sz="4" w:space="0" w:color="auto"/>
              <w:bottom w:val="single" w:sz="12" w:space="0" w:color="auto"/>
            </w:tcBorders>
            <w:shd w:val="clear" w:color="auto" w:fill="auto"/>
          </w:tcPr>
          <w:p w14:paraId="689F755F" w14:textId="77777777" w:rsidR="00144EB7" w:rsidRPr="00144EB7" w:rsidRDefault="00144EB7" w:rsidP="00144EB7">
            <w:pPr>
              <w:jc w:val="center"/>
              <w:rPr>
                <w:rFonts w:ascii="Arial" w:hAnsi="Arial" w:cs="Arial"/>
                <w:sz w:val="20"/>
                <w:szCs w:val="20"/>
              </w:rPr>
            </w:pPr>
            <w:proofErr w:type="spellStart"/>
            <w:r w:rsidRPr="00144EB7">
              <w:rPr>
                <w:rFonts w:ascii="Arial" w:hAnsi="Arial" w:cs="Arial"/>
                <w:sz w:val="20"/>
                <w:szCs w:val="20"/>
              </w:rPr>
              <w:t>Hazard</w:t>
            </w:r>
            <w:proofErr w:type="spellEnd"/>
            <w:r w:rsidRPr="00144EB7">
              <w:rPr>
                <w:rFonts w:ascii="Arial" w:hAnsi="Arial" w:cs="Arial"/>
                <w:sz w:val="20"/>
                <w:szCs w:val="20"/>
              </w:rPr>
              <w:t xml:space="preserve"> </w:t>
            </w:r>
            <w:proofErr w:type="spellStart"/>
            <w:r w:rsidRPr="00144EB7">
              <w:rPr>
                <w:rFonts w:ascii="Arial" w:hAnsi="Arial" w:cs="Arial"/>
                <w:sz w:val="20"/>
                <w:szCs w:val="20"/>
              </w:rPr>
              <w:t>Ratio</w:t>
            </w:r>
            <w:proofErr w:type="spellEnd"/>
          </w:p>
        </w:tc>
        <w:tc>
          <w:tcPr>
            <w:tcW w:w="1118" w:type="dxa"/>
            <w:tcBorders>
              <w:top w:val="dotted" w:sz="4" w:space="0" w:color="auto"/>
              <w:bottom w:val="single" w:sz="12" w:space="0" w:color="auto"/>
            </w:tcBorders>
            <w:shd w:val="clear" w:color="auto" w:fill="auto"/>
          </w:tcPr>
          <w:p w14:paraId="4866B5B2"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95% CI</w:t>
            </w:r>
          </w:p>
        </w:tc>
        <w:tc>
          <w:tcPr>
            <w:tcW w:w="988" w:type="dxa"/>
            <w:tcBorders>
              <w:top w:val="dotted" w:sz="4" w:space="0" w:color="auto"/>
              <w:bottom w:val="single" w:sz="12" w:space="0" w:color="auto"/>
            </w:tcBorders>
            <w:shd w:val="clear" w:color="auto" w:fill="auto"/>
          </w:tcPr>
          <w:p w14:paraId="275554FE" w14:textId="77777777" w:rsidR="00144EB7" w:rsidRPr="00144EB7" w:rsidRDefault="00144EB7" w:rsidP="00144EB7">
            <w:pPr>
              <w:jc w:val="center"/>
              <w:rPr>
                <w:rFonts w:ascii="Arial" w:hAnsi="Arial" w:cs="Arial"/>
                <w:sz w:val="20"/>
                <w:szCs w:val="20"/>
              </w:rPr>
            </w:pPr>
            <w:proofErr w:type="spellStart"/>
            <w:r w:rsidRPr="00144EB7">
              <w:rPr>
                <w:rFonts w:ascii="Arial" w:hAnsi="Arial" w:cs="Arial"/>
                <w:sz w:val="20"/>
                <w:szCs w:val="20"/>
              </w:rPr>
              <w:t>Hazard</w:t>
            </w:r>
            <w:proofErr w:type="spellEnd"/>
            <w:r w:rsidRPr="00144EB7">
              <w:rPr>
                <w:rFonts w:ascii="Arial" w:hAnsi="Arial" w:cs="Arial"/>
                <w:sz w:val="20"/>
                <w:szCs w:val="20"/>
              </w:rPr>
              <w:t xml:space="preserve"> </w:t>
            </w:r>
            <w:proofErr w:type="spellStart"/>
            <w:r w:rsidRPr="00144EB7">
              <w:rPr>
                <w:rFonts w:ascii="Arial" w:hAnsi="Arial" w:cs="Arial"/>
                <w:sz w:val="20"/>
                <w:szCs w:val="20"/>
              </w:rPr>
              <w:t>Ratio</w:t>
            </w:r>
            <w:proofErr w:type="spellEnd"/>
          </w:p>
        </w:tc>
        <w:tc>
          <w:tcPr>
            <w:tcW w:w="1393" w:type="dxa"/>
            <w:tcBorders>
              <w:top w:val="dotted" w:sz="4" w:space="0" w:color="auto"/>
              <w:bottom w:val="single" w:sz="12" w:space="0" w:color="auto"/>
            </w:tcBorders>
            <w:shd w:val="clear" w:color="auto" w:fill="auto"/>
          </w:tcPr>
          <w:p w14:paraId="0FAA5A42"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95% CI</w:t>
            </w:r>
          </w:p>
        </w:tc>
        <w:tc>
          <w:tcPr>
            <w:tcW w:w="1062" w:type="dxa"/>
            <w:tcBorders>
              <w:top w:val="dotted" w:sz="4" w:space="0" w:color="auto"/>
              <w:bottom w:val="single" w:sz="12" w:space="0" w:color="auto"/>
            </w:tcBorders>
          </w:tcPr>
          <w:p w14:paraId="1555627B" w14:textId="77777777" w:rsidR="00144EB7" w:rsidRPr="00144EB7" w:rsidRDefault="00144EB7" w:rsidP="00144EB7">
            <w:pPr>
              <w:jc w:val="center"/>
              <w:rPr>
                <w:rFonts w:ascii="Arial" w:hAnsi="Arial" w:cs="Arial"/>
                <w:sz w:val="20"/>
                <w:szCs w:val="20"/>
              </w:rPr>
            </w:pPr>
            <w:proofErr w:type="spellStart"/>
            <w:r w:rsidRPr="00144EB7">
              <w:rPr>
                <w:rFonts w:ascii="Arial" w:hAnsi="Arial" w:cs="Arial"/>
                <w:sz w:val="20"/>
                <w:szCs w:val="20"/>
              </w:rPr>
              <w:t>Hazard</w:t>
            </w:r>
            <w:proofErr w:type="spellEnd"/>
            <w:r w:rsidRPr="00144EB7">
              <w:rPr>
                <w:rFonts w:ascii="Arial" w:hAnsi="Arial" w:cs="Arial"/>
                <w:sz w:val="20"/>
                <w:szCs w:val="20"/>
              </w:rPr>
              <w:t xml:space="preserve"> </w:t>
            </w:r>
            <w:proofErr w:type="spellStart"/>
            <w:r w:rsidRPr="00144EB7">
              <w:rPr>
                <w:rFonts w:ascii="Arial" w:hAnsi="Arial" w:cs="Arial"/>
                <w:sz w:val="20"/>
                <w:szCs w:val="20"/>
              </w:rPr>
              <w:t>Ratio</w:t>
            </w:r>
            <w:proofErr w:type="spellEnd"/>
          </w:p>
        </w:tc>
        <w:tc>
          <w:tcPr>
            <w:tcW w:w="1418" w:type="dxa"/>
            <w:tcBorders>
              <w:top w:val="dotted" w:sz="4" w:space="0" w:color="auto"/>
              <w:bottom w:val="single" w:sz="12" w:space="0" w:color="auto"/>
            </w:tcBorders>
          </w:tcPr>
          <w:p w14:paraId="07AFCD9F"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95% CI</w:t>
            </w:r>
          </w:p>
        </w:tc>
      </w:tr>
      <w:tr w:rsidR="00144EB7" w:rsidRPr="00144EB7" w14:paraId="355F27C7" w14:textId="77777777" w:rsidTr="00147F75">
        <w:tc>
          <w:tcPr>
            <w:tcW w:w="2474" w:type="dxa"/>
          </w:tcPr>
          <w:p w14:paraId="2A66EE97" w14:textId="77777777" w:rsidR="00144EB7" w:rsidRPr="00144EB7" w:rsidRDefault="00144EB7" w:rsidP="00144EB7">
            <w:pPr>
              <w:rPr>
                <w:rFonts w:ascii="Arial" w:hAnsi="Arial" w:cs="Arial"/>
                <w:sz w:val="20"/>
                <w:szCs w:val="20"/>
              </w:rPr>
            </w:pPr>
            <w:r w:rsidRPr="00144EB7">
              <w:rPr>
                <w:rFonts w:ascii="Arial" w:hAnsi="Arial" w:cs="Arial"/>
                <w:sz w:val="20"/>
                <w:szCs w:val="20"/>
              </w:rPr>
              <w:t>AUD</w:t>
            </w:r>
          </w:p>
        </w:tc>
        <w:tc>
          <w:tcPr>
            <w:tcW w:w="1040" w:type="dxa"/>
          </w:tcPr>
          <w:p w14:paraId="49DBEFCC"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2.72</w:t>
            </w:r>
          </w:p>
        </w:tc>
        <w:tc>
          <w:tcPr>
            <w:tcW w:w="1118" w:type="dxa"/>
          </w:tcPr>
          <w:p w14:paraId="158B2FE4"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2.50; 2.95</w:t>
            </w:r>
          </w:p>
        </w:tc>
        <w:tc>
          <w:tcPr>
            <w:tcW w:w="988" w:type="dxa"/>
            <w:shd w:val="clear" w:color="auto" w:fill="auto"/>
          </w:tcPr>
          <w:p w14:paraId="17B8FBF2"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1.86</w:t>
            </w:r>
          </w:p>
        </w:tc>
        <w:tc>
          <w:tcPr>
            <w:tcW w:w="1393" w:type="dxa"/>
          </w:tcPr>
          <w:p w14:paraId="2EA63CA5"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1.68; 2.05</w:t>
            </w:r>
          </w:p>
        </w:tc>
        <w:tc>
          <w:tcPr>
            <w:tcW w:w="1062" w:type="dxa"/>
          </w:tcPr>
          <w:p w14:paraId="3A715597" w14:textId="3D6DE912" w:rsidR="00144EB7" w:rsidRPr="00144EB7" w:rsidRDefault="00144EB7" w:rsidP="00144EB7">
            <w:pPr>
              <w:jc w:val="center"/>
              <w:rPr>
                <w:rFonts w:ascii="Arial" w:hAnsi="Arial" w:cs="Arial"/>
                <w:sz w:val="20"/>
                <w:szCs w:val="20"/>
              </w:rPr>
            </w:pPr>
            <w:r w:rsidRPr="00144EB7">
              <w:rPr>
                <w:rFonts w:ascii="Arial" w:hAnsi="Arial" w:cs="Arial"/>
                <w:sz w:val="20"/>
                <w:szCs w:val="20"/>
              </w:rPr>
              <w:t>1.76</w:t>
            </w:r>
          </w:p>
        </w:tc>
        <w:tc>
          <w:tcPr>
            <w:tcW w:w="1418" w:type="dxa"/>
          </w:tcPr>
          <w:p w14:paraId="28ED5EEB"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1.60; 1.95</w:t>
            </w:r>
          </w:p>
        </w:tc>
      </w:tr>
      <w:tr w:rsidR="00144EB7" w:rsidRPr="00144EB7" w14:paraId="7687232E" w14:textId="77777777" w:rsidTr="00147F75">
        <w:tc>
          <w:tcPr>
            <w:tcW w:w="2474" w:type="dxa"/>
          </w:tcPr>
          <w:p w14:paraId="1E85BEEF" w14:textId="77777777" w:rsidR="00144EB7" w:rsidRPr="00144EB7" w:rsidRDefault="00144EB7" w:rsidP="00144EB7">
            <w:pPr>
              <w:rPr>
                <w:rFonts w:ascii="Arial" w:hAnsi="Arial" w:cs="Arial"/>
                <w:sz w:val="20"/>
                <w:szCs w:val="20"/>
              </w:rPr>
            </w:pPr>
            <w:r w:rsidRPr="00144EB7">
              <w:rPr>
                <w:rFonts w:ascii="Arial" w:hAnsi="Arial" w:cs="Arial"/>
                <w:sz w:val="20"/>
                <w:szCs w:val="20"/>
              </w:rPr>
              <w:t>Cannabis</w:t>
            </w:r>
          </w:p>
        </w:tc>
        <w:tc>
          <w:tcPr>
            <w:tcW w:w="1040" w:type="dxa"/>
          </w:tcPr>
          <w:p w14:paraId="0BFA8ECD"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2.96</w:t>
            </w:r>
          </w:p>
        </w:tc>
        <w:tc>
          <w:tcPr>
            <w:tcW w:w="1118" w:type="dxa"/>
          </w:tcPr>
          <w:p w14:paraId="2644F5E3"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2.48; 3.53</w:t>
            </w:r>
          </w:p>
        </w:tc>
        <w:tc>
          <w:tcPr>
            <w:tcW w:w="988" w:type="dxa"/>
            <w:shd w:val="clear" w:color="auto" w:fill="auto"/>
          </w:tcPr>
          <w:p w14:paraId="3E99CDC5"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1.18</w:t>
            </w:r>
          </w:p>
        </w:tc>
        <w:tc>
          <w:tcPr>
            <w:tcW w:w="1393" w:type="dxa"/>
          </w:tcPr>
          <w:p w14:paraId="2D77E346"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0.97; 1.43</w:t>
            </w:r>
          </w:p>
        </w:tc>
        <w:tc>
          <w:tcPr>
            <w:tcW w:w="1062" w:type="dxa"/>
          </w:tcPr>
          <w:p w14:paraId="6B56ACB3"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1.22</w:t>
            </w:r>
          </w:p>
        </w:tc>
        <w:tc>
          <w:tcPr>
            <w:tcW w:w="1418" w:type="dxa"/>
          </w:tcPr>
          <w:p w14:paraId="772C38AC"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1.00; 1.48</w:t>
            </w:r>
          </w:p>
        </w:tc>
      </w:tr>
      <w:tr w:rsidR="00144EB7" w:rsidRPr="00144EB7" w14:paraId="63969427" w14:textId="77777777" w:rsidTr="00147F75">
        <w:tc>
          <w:tcPr>
            <w:tcW w:w="2474" w:type="dxa"/>
          </w:tcPr>
          <w:p w14:paraId="395D8FED" w14:textId="77777777" w:rsidR="00144EB7" w:rsidRPr="00144EB7" w:rsidRDefault="00144EB7" w:rsidP="00144EB7">
            <w:pPr>
              <w:rPr>
                <w:rFonts w:ascii="Arial" w:hAnsi="Arial" w:cs="Arial"/>
                <w:sz w:val="20"/>
                <w:szCs w:val="20"/>
              </w:rPr>
            </w:pPr>
            <w:proofErr w:type="spellStart"/>
            <w:r w:rsidRPr="00144EB7">
              <w:rPr>
                <w:rFonts w:ascii="Arial" w:hAnsi="Arial" w:cs="Arial"/>
                <w:sz w:val="20"/>
                <w:szCs w:val="20"/>
              </w:rPr>
              <w:t>Cocaine</w:t>
            </w:r>
            <w:proofErr w:type="spellEnd"/>
            <w:r w:rsidRPr="00144EB7">
              <w:rPr>
                <w:rFonts w:ascii="Arial" w:hAnsi="Arial" w:cs="Arial"/>
                <w:sz w:val="20"/>
                <w:szCs w:val="20"/>
              </w:rPr>
              <w:t>/</w:t>
            </w:r>
            <w:proofErr w:type="spellStart"/>
            <w:r w:rsidRPr="00144EB7">
              <w:rPr>
                <w:rFonts w:ascii="Arial" w:hAnsi="Arial" w:cs="Arial"/>
                <w:sz w:val="20"/>
                <w:szCs w:val="20"/>
              </w:rPr>
              <w:t>Stimulants</w:t>
            </w:r>
            <w:proofErr w:type="spellEnd"/>
          </w:p>
        </w:tc>
        <w:tc>
          <w:tcPr>
            <w:tcW w:w="1040" w:type="dxa"/>
          </w:tcPr>
          <w:p w14:paraId="55674672"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2.68</w:t>
            </w:r>
          </w:p>
        </w:tc>
        <w:tc>
          <w:tcPr>
            <w:tcW w:w="1118" w:type="dxa"/>
          </w:tcPr>
          <w:p w14:paraId="76066AF6"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2.33; 3.08</w:t>
            </w:r>
          </w:p>
        </w:tc>
        <w:tc>
          <w:tcPr>
            <w:tcW w:w="988" w:type="dxa"/>
            <w:shd w:val="clear" w:color="auto" w:fill="auto"/>
          </w:tcPr>
          <w:p w14:paraId="6F42609E"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0.94</w:t>
            </w:r>
          </w:p>
        </w:tc>
        <w:tc>
          <w:tcPr>
            <w:tcW w:w="1393" w:type="dxa"/>
          </w:tcPr>
          <w:p w14:paraId="608173F9"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0.80; 1.11</w:t>
            </w:r>
          </w:p>
        </w:tc>
        <w:tc>
          <w:tcPr>
            <w:tcW w:w="1062" w:type="dxa"/>
          </w:tcPr>
          <w:p w14:paraId="614B0AEB"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0.94</w:t>
            </w:r>
          </w:p>
        </w:tc>
        <w:tc>
          <w:tcPr>
            <w:tcW w:w="1418" w:type="dxa"/>
          </w:tcPr>
          <w:p w14:paraId="16EED60E"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0.80; 1.10</w:t>
            </w:r>
          </w:p>
        </w:tc>
      </w:tr>
      <w:tr w:rsidR="00144EB7" w:rsidRPr="00144EB7" w14:paraId="62709F63" w14:textId="77777777" w:rsidTr="00147F75">
        <w:tc>
          <w:tcPr>
            <w:tcW w:w="2474" w:type="dxa"/>
          </w:tcPr>
          <w:p w14:paraId="22BE776F" w14:textId="77777777" w:rsidR="00144EB7" w:rsidRPr="00144EB7" w:rsidRDefault="00144EB7" w:rsidP="00144EB7">
            <w:pPr>
              <w:rPr>
                <w:rFonts w:ascii="Arial" w:hAnsi="Arial" w:cs="Arial"/>
                <w:sz w:val="20"/>
                <w:szCs w:val="20"/>
              </w:rPr>
            </w:pPr>
            <w:r w:rsidRPr="00144EB7">
              <w:rPr>
                <w:rFonts w:ascii="Arial" w:hAnsi="Arial" w:cs="Arial"/>
                <w:sz w:val="20"/>
                <w:szCs w:val="20"/>
              </w:rPr>
              <w:t>Hallucinogens</w:t>
            </w:r>
          </w:p>
        </w:tc>
        <w:tc>
          <w:tcPr>
            <w:tcW w:w="1040" w:type="dxa"/>
          </w:tcPr>
          <w:p w14:paraId="7FF899F0"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3.40</w:t>
            </w:r>
          </w:p>
        </w:tc>
        <w:tc>
          <w:tcPr>
            <w:tcW w:w="1118" w:type="dxa"/>
          </w:tcPr>
          <w:p w14:paraId="7F368A5D"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2.50; 4.62</w:t>
            </w:r>
          </w:p>
        </w:tc>
        <w:tc>
          <w:tcPr>
            <w:tcW w:w="988" w:type="dxa"/>
            <w:shd w:val="clear" w:color="auto" w:fill="auto"/>
          </w:tcPr>
          <w:p w14:paraId="6A670D7D"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1.35</w:t>
            </w:r>
          </w:p>
        </w:tc>
        <w:tc>
          <w:tcPr>
            <w:tcW w:w="1393" w:type="dxa"/>
          </w:tcPr>
          <w:p w14:paraId="0E7D706B"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0.98; 1.86</w:t>
            </w:r>
          </w:p>
        </w:tc>
        <w:tc>
          <w:tcPr>
            <w:tcW w:w="1062" w:type="dxa"/>
          </w:tcPr>
          <w:p w14:paraId="7D4E83F2"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1.26</w:t>
            </w:r>
          </w:p>
        </w:tc>
        <w:tc>
          <w:tcPr>
            <w:tcW w:w="1418" w:type="dxa"/>
          </w:tcPr>
          <w:p w14:paraId="4828DB44"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0.91; 1.73</w:t>
            </w:r>
          </w:p>
        </w:tc>
      </w:tr>
      <w:tr w:rsidR="00144EB7" w:rsidRPr="00144EB7" w14:paraId="7B09A112" w14:textId="77777777" w:rsidTr="00147F75">
        <w:tc>
          <w:tcPr>
            <w:tcW w:w="2474" w:type="dxa"/>
          </w:tcPr>
          <w:p w14:paraId="159F7115" w14:textId="77777777" w:rsidR="00144EB7" w:rsidRPr="00144EB7" w:rsidRDefault="00144EB7" w:rsidP="00144EB7">
            <w:pPr>
              <w:rPr>
                <w:rFonts w:ascii="Arial" w:hAnsi="Arial" w:cs="Arial"/>
                <w:sz w:val="20"/>
                <w:szCs w:val="20"/>
              </w:rPr>
            </w:pPr>
            <w:proofErr w:type="spellStart"/>
            <w:r w:rsidRPr="00144EB7">
              <w:rPr>
                <w:rFonts w:ascii="Arial" w:hAnsi="Arial" w:cs="Arial"/>
                <w:sz w:val="20"/>
                <w:szCs w:val="20"/>
              </w:rPr>
              <w:t>Opiates</w:t>
            </w:r>
            <w:proofErr w:type="spellEnd"/>
          </w:p>
        </w:tc>
        <w:tc>
          <w:tcPr>
            <w:tcW w:w="1040" w:type="dxa"/>
          </w:tcPr>
          <w:p w14:paraId="20C1FD7C"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3.86</w:t>
            </w:r>
          </w:p>
        </w:tc>
        <w:tc>
          <w:tcPr>
            <w:tcW w:w="1118" w:type="dxa"/>
          </w:tcPr>
          <w:p w14:paraId="4D264321"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3.44; 4.34</w:t>
            </w:r>
          </w:p>
        </w:tc>
        <w:tc>
          <w:tcPr>
            <w:tcW w:w="988" w:type="dxa"/>
            <w:shd w:val="clear" w:color="auto" w:fill="auto"/>
          </w:tcPr>
          <w:p w14:paraId="4FEA34F6"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1.58</w:t>
            </w:r>
          </w:p>
        </w:tc>
        <w:tc>
          <w:tcPr>
            <w:tcW w:w="1393" w:type="dxa"/>
          </w:tcPr>
          <w:p w14:paraId="66FE9163"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1.37; 1.82</w:t>
            </w:r>
          </w:p>
        </w:tc>
        <w:tc>
          <w:tcPr>
            <w:tcW w:w="1062" w:type="dxa"/>
          </w:tcPr>
          <w:p w14:paraId="4F1C82DE"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1.57</w:t>
            </w:r>
          </w:p>
        </w:tc>
        <w:tc>
          <w:tcPr>
            <w:tcW w:w="1418" w:type="dxa"/>
          </w:tcPr>
          <w:p w14:paraId="13D55AD0"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1.37; 1.81</w:t>
            </w:r>
          </w:p>
        </w:tc>
      </w:tr>
      <w:tr w:rsidR="00144EB7" w:rsidRPr="00144EB7" w14:paraId="64DDD4A6" w14:textId="77777777" w:rsidTr="00147F75">
        <w:tc>
          <w:tcPr>
            <w:tcW w:w="2474" w:type="dxa"/>
            <w:tcBorders>
              <w:bottom w:val="single" w:sz="4" w:space="0" w:color="auto"/>
            </w:tcBorders>
          </w:tcPr>
          <w:p w14:paraId="3B7522A1" w14:textId="77777777" w:rsidR="00144EB7" w:rsidRPr="00144EB7" w:rsidRDefault="00144EB7" w:rsidP="00144EB7">
            <w:pPr>
              <w:rPr>
                <w:rFonts w:ascii="Arial" w:hAnsi="Arial" w:cs="Arial"/>
                <w:sz w:val="20"/>
                <w:szCs w:val="20"/>
              </w:rPr>
            </w:pPr>
            <w:proofErr w:type="spellStart"/>
            <w:r w:rsidRPr="00144EB7">
              <w:rPr>
                <w:rFonts w:ascii="Arial" w:hAnsi="Arial" w:cs="Arial"/>
                <w:sz w:val="20"/>
                <w:szCs w:val="20"/>
              </w:rPr>
              <w:t>Sedatives</w:t>
            </w:r>
            <w:proofErr w:type="spellEnd"/>
          </w:p>
        </w:tc>
        <w:tc>
          <w:tcPr>
            <w:tcW w:w="1040" w:type="dxa"/>
            <w:tcBorders>
              <w:bottom w:val="single" w:sz="4" w:space="0" w:color="auto"/>
            </w:tcBorders>
          </w:tcPr>
          <w:p w14:paraId="17BE5455"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3.56</w:t>
            </w:r>
          </w:p>
        </w:tc>
        <w:tc>
          <w:tcPr>
            <w:tcW w:w="1118" w:type="dxa"/>
            <w:tcBorders>
              <w:bottom w:val="single" w:sz="4" w:space="0" w:color="auto"/>
            </w:tcBorders>
          </w:tcPr>
          <w:p w14:paraId="7BB5EC2F"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3.22; 3.94</w:t>
            </w:r>
          </w:p>
        </w:tc>
        <w:tc>
          <w:tcPr>
            <w:tcW w:w="988" w:type="dxa"/>
            <w:tcBorders>
              <w:bottom w:val="single" w:sz="4" w:space="0" w:color="auto"/>
            </w:tcBorders>
            <w:shd w:val="clear" w:color="auto" w:fill="auto"/>
          </w:tcPr>
          <w:p w14:paraId="0D32C6D5"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1.93</w:t>
            </w:r>
          </w:p>
        </w:tc>
        <w:tc>
          <w:tcPr>
            <w:tcW w:w="1393" w:type="dxa"/>
            <w:tcBorders>
              <w:bottom w:val="single" w:sz="4" w:space="0" w:color="auto"/>
            </w:tcBorders>
          </w:tcPr>
          <w:p w14:paraId="70028150"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1.70; 2.18</w:t>
            </w:r>
          </w:p>
        </w:tc>
        <w:tc>
          <w:tcPr>
            <w:tcW w:w="1062" w:type="dxa"/>
            <w:tcBorders>
              <w:bottom w:val="single" w:sz="4" w:space="0" w:color="auto"/>
            </w:tcBorders>
          </w:tcPr>
          <w:p w14:paraId="2B27D326"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1.69</w:t>
            </w:r>
          </w:p>
        </w:tc>
        <w:tc>
          <w:tcPr>
            <w:tcW w:w="1418" w:type="dxa"/>
            <w:tcBorders>
              <w:bottom w:val="single" w:sz="4" w:space="0" w:color="auto"/>
            </w:tcBorders>
          </w:tcPr>
          <w:p w14:paraId="31DC20AA"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1.49; 1.91</w:t>
            </w:r>
          </w:p>
        </w:tc>
      </w:tr>
      <w:tr w:rsidR="00144EB7" w:rsidRPr="00144EB7" w14:paraId="0C7C5526" w14:textId="77777777" w:rsidTr="00147F75">
        <w:tc>
          <w:tcPr>
            <w:tcW w:w="2474" w:type="dxa"/>
          </w:tcPr>
          <w:p w14:paraId="2D33DBAB" w14:textId="77777777" w:rsidR="00144EB7" w:rsidRPr="00144EB7" w:rsidRDefault="00144EB7" w:rsidP="00144EB7">
            <w:pPr>
              <w:rPr>
                <w:rFonts w:ascii="Arial" w:hAnsi="Arial" w:cs="Arial"/>
                <w:sz w:val="20"/>
                <w:szCs w:val="20"/>
              </w:rPr>
            </w:pPr>
            <w:proofErr w:type="spellStart"/>
            <w:r w:rsidRPr="00144EB7">
              <w:rPr>
                <w:rFonts w:ascii="Arial" w:hAnsi="Arial" w:cs="Arial"/>
                <w:sz w:val="20"/>
                <w:szCs w:val="20"/>
              </w:rPr>
              <w:t>Multiple</w:t>
            </w:r>
            <w:proofErr w:type="spellEnd"/>
            <w:r w:rsidRPr="00144EB7">
              <w:rPr>
                <w:rFonts w:ascii="Arial" w:hAnsi="Arial" w:cs="Arial"/>
                <w:sz w:val="20"/>
                <w:szCs w:val="20"/>
              </w:rPr>
              <w:t xml:space="preserve"> </w:t>
            </w:r>
            <w:proofErr w:type="spellStart"/>
            <w:r w:rsidRPr="00144EB7">
              <w:rPr>
                <w:rFonts w:ascii="Arial" w:hAnsi="Arial" w:cs="Arial"/>
                <w:sz w:val="20"/>
                <w:szCs w:val="20"/>
              </w:rPr>
              <w:t>substance</w:t>
            </w:r>
            <w:proofErr w:type="spellEnd"/>
            <w:r w:rsidRPr="00144EB7">
              <w:rPr>
                <w:rFonts w:ascii="Arial" w:hAnsi="Arial" w:cs="Arial"/>
                <w:sz w:val="20"/>
                <w:szCs w:val="20"/>
              </w:rPr>
              <w:t xml:space="preserve"> abuse</w:t>
            </w:r>
          </w:p>
        </w:tc>
        <w:tc>
          <w:tcPr>
            <w:tcW w:w="1040" w:type="dxa"/>
          </w:tcPr>
          <w:p w14:paraId="397EF029"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3.72</w:t>
            </w:r>
          </w:p>
        </w:tc>
        <w:tc>
          <w:tcPr>
            <w:tcW w:w="1118" w:type="dxa"/>
          </w:tcPr>
          <w:p w14:paraId="55D021D8"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3.72; 4.05</w:t>
            </w:r>
          </w:p>
        </w:tc>
        <w:tc>
          <w:tcPr>
            <w:tcW w:w="988" w:type="dxa"/>
            <w:shd w:val="clear" w:color="auto" w:fill="auto"/>
          </w:tcPr>
          <w:p w14:paraId="2CAF4A37"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2.09</w:t>
            </w:r>
          </w:p>
        </w:tc>
        <w:tc>
          <w:tcPr>
            <w:tcW w:w="1393" w:type="dxa"/>
          </w:tcPr>
          <w:p w14:paraId="5BBEE54A"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1.86; 2.35</w:t>
            </w:r>
          </w:p>
        </w:tc>
        <w:tc>
          <w:tcPr>
            <w:tcW w:w="1062" w:type="dxa"/>
          </w:tcPr>
          <w:p w14:paraId="456F2265"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1.87</w:t>
            </w:r>
          </w:p>
        </w:tc>
        <w:tc>
          <w:tcPr>
            <w:tcW w:w="1418" w:type="dxa"/>
          </w:tcPr>
          <w:p w14:paraId="538766B7"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1.66; 2.11</w:t>
            </w:r>
          </w:p>
        </w:tc>
      </w:tr>
      <w:tr w:rsidR="00144EB7" w:rsidRPr="00144EB7" w14:paraId="79E0DBC4" w14:textId="77777777" w:rsidTr="00147F75">
        <w:tc>
          <w:tcPr>
            <w:tcW w:w="2474" w:type="dxa"/>
            <w:tcBorders>
              <w:bottom w:val="single" w:sz="12" w:space="0" w:color="auto"/>
            </w:tcBorders>
          </w:tcPr>
          <w:p w14:paraId="18DB3E0B" w14:textId="4CBEE5EF" w:rsidR="00144EB7" w:rsidRPr="00144EB7" w:rsidRDefault="00144EB7" w:rsidP="00144EB7">
            <w:pPr>
              <w:rPr>
                <w:rFonts w:ascii="Arial" w:hAnsi="Arial" w:cs="Arial"/>
                <w:sz w:val="20"/>
                <w:szCs w:val="20"/>
              </w:rPr>
            </w:pPr>
            <w:proofErr w:type="spellStart"/>
            <w:r>
              <w:rPr>
                <w:rFonts w:ascii="Arial" w:hAnsi="Arial" w:cs="Arial"/>
                <w:sz w:val="20"/>
                <w:szCs w:val="20"/>
              </w:rPr>
              <w:t>Subsequent</w:t>
            </w:r>
            <w:proofErr w:type="spellEnd"/>
            <w:r w:rsidRPr="00144EB7">
              <w:rPr>
                <w:rFonts w:ascii="Arial" w:hAnsi="Arial" w:cs="Arial"/>
                <w:sz w:val="20"/>
                <w:szCs w:val="20"/>
              </w:rPr>
              <w:t xml:space="preserve"> </w:t>
            </w:r>
            <w:proofErr w:type="spellStart"/>
            <w:r>
              <w:rPr>
                <w:rFonts w:ascii="Arial" w:hAnsi="Arial" w:cs="Arial"/>
                <w:sz w:val="20"/>
                <w:szCs w:val="20"/>
              </w:rPr>
              <w:t>s</w:t>
            </w:r>
            <w:r w:rsidRPr="00144EB7">
              <w:rPr>
                <w:rFonts w:ascii="Arial" w:hAnsi="Arial" w:cs="Arial"/>
                <w:sz w:val="20"/>
                <w:szCs w:val="20"/>
              </w:rPr>
              <w:t>uicide</w:t>
            </w:r>
            <w:proofErr w:type="spellEnd"/>
            <w:r w:rsidRPr="00144EB7">
              <w:rPr>
                <w:rFonts w:ascii="Arial" w:hAnsi="Arial" w:cs="Arial"/>
                <w:sz w:val="20"/>
                <w:szCs w:val="20"/>
              </w:rPr>
              <w:t xml:space="preserve"> </w:t>
            </w:r>
            <w:proofErr w:type="spellStart"/>
            <w:r>
              <w:rPr>
                <w:rFonts w:ascii="Arial" w:hAnsi="Arial" w:cs="Arial"/>
                <w:sz w:val="20"/>
                <w:szCs w:val="20"/>
              </w:rPr>
              <w:t>a</w:t>
            </w:r>
            <w:r w:rsidRPr="00144EB7">
              <w:rPr>
                <w:rFonts w:ascii="Arial" w:hAnsi="Arial" w:cs="Arial"/>
                <w:sz w:val="20"/>
                <w:szCs w:val="20"/>
              </w:rPr>
              <w:t>ttempt</w:t>
            </w:r>
            <w:proofErr w:type="spellEnd"/>
          </w:p>
        </w:tc>
        <w:tc>
          <w:tcPr>
            <w:tcW w:w="1040" w:type="dxa"/>
            <w:tcBorders>
              <w:bottom w:val="single" w:sz="12" w:space="0" w:color="auto"/>
            </w:tcBorders>
          </w:tcPr>
          <w:p w14:paraId="2DE7D80E" w14:textId="60069E8C" w:rsidR="00144EB7" w:rsidRPr="00144EB7" w:rsidRDefault="00144EB7" w:rsidP="00144EB7">
            <w:pPr>
              <w:jc w:val="center"/>
              <w:rPr>
                <w:rFonts w:ascii="Arial" w:hAnsi="Arial" w:cs="Arial"/>
                <w:i/>
                <w:iCs/>
                <w:sz w:val="20"/>
                <w:szCs w:val="20"/>
              </w:rPr>
            </w:pPr>
            <w:r w:rsidRPr="00144EB7">
              <w:rPr>
                <w:rFonts w:ascii="Arial" w:hAnsi="Arial" w:cs="Arial"/>
                <w:i/>
                <w:iCs/>
                <w:sz w:val="20"/>
                <w:szCs w:val="20"/>
              </w:rPr>
              <w:t>n/a</w:t>
            </w:r>
          </w:p>
        </w:tc>
        <w:tc>
          <w:tcPr>
            <w:tcW w:w="1118" w:type="dxa"/>
            <w:tcBorders>
              <w:bottom w:val="single" w:sz="12" w:space="0" w:color="auto"/>
            </w:tcBorders>
          </w:tcPr>
          <w:p w14:paraId="3258636F" w14:textId="59D59165" w:rsidR="00144EB7" w:rsidRPr="00144EB7" w:rsidRDefault="00144EB7" w:rsidP="00144EB7">
            <w:pPr>
              <w:jc w:val="center"/>
              <w:rPr>
                <w:rFonts w:ascii="Arial" w:hAnsi="Arial" w:cs="Arial"/>
                <w:i/>
                <w:iCs/>
                <w:sz w:val="20"/>
                <w:szCs w:val="20"/>
              </w:rPr>
            </w:pPr>
            <w:r w:rsidRPr="00144EB7">
              <w:rPr>
                <w:rFonts w:ascii="Arial" w:hAnsi="Arial" w:cs="Arial"/>
                <w:i/>
                <w:iCs/>
                <w:sz w:val="20"/>
                <w:szCs w:val="20"/>
              </w:rPr>
              <w:t>n/a</w:t>
            </w:r>
          </w:p>
        </w:tc>
        <w:tc>
          <w:tcPr>
            <w:tcW w:w="988" w:type="dxa"/>
            <w:tcBorders>
              <w:bottom w:val="single" w:sz="12" w:space="0" w:color="auto"/>
            </w:tcBorders>
            <w:shd w:val="clear" w:color="auto" w:fill="auto"/>
          </w:tcPr>
          <w:p w14:paraId="03EB64B5" w14:textId="7B16F5F6" w:rsidR="00144EB7" w:rsidRPr="00144EB7" w:rsidRDefault="00144EB7" w:rsidP="00144EB7">
            <w:pPr>
              <w:jc w:val="center"/>
              <w:rPr>
                <w:rFonts w:ascii="Arial" w:hAnsi="Arial" w:cs="Arial"/>
                <w:i/>
                <w:iCs/>
                <w:sz w:val="20"/>
                <w:szCs w:val="20"/>
              </w:rPr>
            </w:pPr>
            <w:r w:rsidRPr="00144EB7">
              <w:rPr>
                <w:rFonts w:ascii="Arial" w:hAnsi="Arial" w:cs="Arial"/>
                <w:i/>
                <w:iCs/>
                <w:sz w:val="20"/>
                <w:szCs w:val="20"/>
              </w:rPr>
              <w:t>n/a</w:t>
            </w:r>
          </w:p>
        </w:tc>
        <w:tc>
          <w:tcPr>
            <w:tcW w:w="1393" w:type="dxa"/>
            <w:tcBorders>
              <w:bottom w:val="single" w:sz="12" w:space="0" w:color="auto"/>
            </w:tcBorders>
          </w:tcPr>
          <w:p w14:paraId="78831CE3" w14:textId="3D353638" w:rsidR="00144EB7" w:rsidRPr="00144EB7" w:rsidRDefault="00144EB7" w:rsidP="00144EB7">
            <w:pPr>
              <w:jc w:val="center"/>
              <w:rPr>
                <w:rFonts w:ascii="Arial" w:hAnsi="Arial" w:cs="Arial"/>
                <w:i/>
                <w:iCs/>
                <w:sz w:val="20"/>
                <w:szCs w:val="20"/>
              </w:rPr>
            </w:pPr>
            <w:r w:rsidRPr="00144EB7">
              <w:rPr>
                <w:rFonts w:ascii="Arial" w:hAnsi="Arial" w:cs="Arial"/>
                <w:i/>
                <w:iCs/>
                <w:sz w:val="20"/>
                <w:szCs w:val="20"/>
              </w:rPr>
              <w:t>n/a</w:t>
            </w:r>
          </w:p>
        </w:tc>
        <w:tc>
          <w:tcPr>
            <w:tcW w:w="1062" w:type="dxa"/>
            <w:tcBorders>
              <w:bottom w:val="single" w:sz="12" w:space="0" w:color="auto"/>
            </w:tcBorders>
          </w:tcPr>
          <w:p w14:paraId="58F825F4"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2.63</w:t>
            </w:r>
          </w:p>
        </w:tc>
        <w:tc>
          <w:tcPr>
            <w:tcW w:w="1418" w:type="dxa"/>
            <w:tcBorders>
              <w:bottom w:val="single" w:sz="12" w:space="0" w:color="auto"/>
            </w:tcBorders>
          </w:tcPr>
          <w:p w14:paraId="42D4D449" w14:textId="77777777" w:rsidR="00144EB7" w:rsidRPr="00144EB7" w:rsidRDefault="00144EB7" w:rsidP="00144EB7">
            <w:pPr>
              <w:jc w:val="center"/>
              <w:rPr>
                <w:rFonts w:ascii="Arial" w:hAnsi="Arial" w:cs="Arial"/>
                <w:sz w:val="20"/>
                <w:szCs w:val="20"/>
              </w:rPr>
            </w:pPr>
            <w:r w:rsidRPr="00144EB7">
              <w:rPr>
                <w:rFonts w:ascii="Arial" w:hAnsi="Arial" w:cs="Arial"/>
                <w:sz w:val="20"/>
                <w:szCs w:val="20"/>
              </w:rPr>
              <w:t>2.40; 2.88</w:t>
            </w:r>
          </w:p>
        </w:tc>
      </w:tr>
    </w:tbl>
    <w:p w14:paraId="61BBEB2A" w14:textId="24DEFEA6" w:rsidR="00144EB7" w:rsidRDefault="00144EB7" w:rsidP="00144EB7">
      <w:pPr>
        <w:sectPr w:rsidR="00144EB7" w:rsidSect="00606F23">
          <w:pgSz w:w="12240" w:h="15840"/>
          <w:pgMar w:top="1440" w:right="1440" w:bottom="1440" w:left="1440" w:header="720" w:footer="720" w:gutter="0"/>
          <w:cols w:space="720"/>
          <w:docGrid w:linePitch="360"/>
        </w:sectPr>
      </w:pPr>
      <w:r w:rsidRPr="009D770B">
        <w:rPr>
          <w:rFonts w:cs="Arial"/>
          <w:sz w:val="20"/>
          <w:szCs w:val="20"/>
        </w:rPr>
        <w:t xml:space="preserve">AUD – alcohol use disorder; </w:t>
      </w:r>
      <w:r>
        <w:rPr>
          <w:rFonts w:cs="Arial"/>
          <w:sz w:val="20"/>
          <w:szCs w:val="20"/>
        </w:rPr>
        <w:t>CI – confidence interval</w:t>
      </w:r>
    </w:p>
    <w:p w14:paraId="35D815D3" w14:textId="3DBF1AD4" w:rsidR="00D05D74" w:rsidRPr="00EB1414" w:rsidRDefault="00D05D74">
      <w:pPr>
        <w:rPr>
          <w:rFonts w:cs="Arial"/>
        </w:rPr>
      </w:pPr>
      <w:r w:rsidRPr="00EB1414">
        <w:rPr>
          <w:rFonts w:cs="Arial"/>
          <w:b/>
          <w:bCs/>
        </w:rPr>
        <w:lastRenderedPageBreak/>
        <w:t>Supplementary Figure 1.</w:t>
      </w:r>
      <w:r w:rsidRPr="00EB1414">
        <w:rPr>
          <w:rFonts w:cs="Arial"/>
        </w:rPr>
        <w:t xml:space="preserve"> Prevalence of suicide death </w:t>
      </w:r>
      <w:r w:rsidR="00346AC8">
        <w:rPr>
          <w:rFonts w:cs="Arial"/>
        </w:rPr>
        <w:t xml:space="preserve">(with 95% confidence intervals) </w:t>
      </w:r>
      <w:r w:rsidRPr="00EB1414">
        <w:rPr>
          <w:rFonts w:cs="Arial"/>
        </w:rPr>
        <w:t>among individuals with a previous non-fatal suicide attempt, as a function of registration status for substance use disorders.</w:t>
      </w:r>
    </w:p>
    <w:p w14:paraId="0B74441E" w14:textId="77777777" w:rsidR="00D05D74" w:rsidRPr="00EB1414" w:rsidRDefault="00D05D74">
      <w:pPr>
        <w:rPr>
          <w:rFonts w:cs="Arial"/>
        </w:rPr>
      </w:pPr>
    </w:p>
    <w:p w14:paraId="7818AF50" w14:textId="1B868220" w:rsidR="00D05D74" w:rsidRPr="00EB1414" w:rsidRDefault="00EE191C">
      <w:pPr>
        <w:rPr>
          <w:rFonts w:cs="Arial"/>
        </w:rPr>
      </w:pPr>
      <w:r>
        <w:rPr>
          <w:rFonts w:cs="Arial"/>
          <w:noProof/>
        </w:rPr>
        <w:drawing>
          <wp:inline distT="0" distB="0" distL="0" distR="0" wp14:anchorId="123AD234" wp14:editId="6B22A5A8">
            <wp:extent cx="54864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0BF07794" w14:textId="77777777" w:rsidR="00D05D74" w:rsidRPr="00EB1414" w:rsidRDefault="00D05D74">
      <w:pPr>
        <w:rPr>
          <w:rFonts w:cs="Arial"/>
          <w:b/>
          <w:bCs/>
        </w:rPr>
      </w:pPr>
    </w:p>
    <w:p w14:paraId="11A4FB9F" w14:textId="77777777" w:rsidR="00D05D74" w:rsidRPr="00EB1414" w:rsidRDefault="00D05D74">
      <w:pPr>
        <w:rPr>
          <w:rFonts w:cs="Arial"/>
          <w:b/>
          <w:bCs/>
        </w:rPr>
      </w:pPr>
    </w:p>
    <w:p w14:paraId="54000882" w14:textId="77777777" w:rsidR="00D05D74" w:rsidRPr="00EB1414" w:rsidRDefault="00D05D74">
      <w:pPr>
        <w:rPr>
          <w:rFonts w:cs="Arial"/>
          <w:b/>
          <w:bCs/>
        </w:rPr>
      </w:pPr>
    </w:p>
    <w:p w14:paraId="345D722F" w14:textId="77777777" w:rsidR="00D05D74" w:rsidRPr="00EB1414" w:rsidRDefault="00D05D74">
      <w:pPr>
        <w:rPr>
          <w:rFonts w:cs="Arial"/>
          <w:b/>
          <w:bCs/>
        </w:rPr>
      </w:pPr>
    </w:p>
    <w:p w14:paraId="0BE74E69" w14:textId="77777777" w:rsidR="00D05D74" w:rsidRPr="00EB1414" w:rsidRDefault="00D05D74">
      <w:pPr>
        <w:rPr>
          <w:rFonts w:cs="Arial"/>
          <w:b/>
          <w:bCs/>
        </w:rPr>
      </w:pPr>
    </w:p>
    <w:p w14:paraId="7C5EB3D8" w14:textId="77777777" w:rsidR="00D05D74" w:rsidRPr="00EB1414" w:rsidRDefault="00D05D74">
      <w:pPr>
        <w:rPr>
          <w:rFonts w:cs="Arial"/>
          <w:b/>
          <w:bCs/>
        </w:rPr>
      </w:pPr>
    </w:p>
    <w:p w14:paraId="532B93D6" w14:textId="77777777" w:rsidR="00D05D74" w:rsidRPr="00EB1414" w:rsidRDefault="00D05D74">
      <w:pPr>
        <w:rPr>
          <w:rFonts w:cs="Arial"/>
          <w:b/>
          <w:bCs/>
        </w:rPr>
      </w:pPr>
    </w:p>
    <w:p w14:paraId="4AF45139" w14:textId="77777777" w:rsidR="00D05D74" w:rsidRPr="00EB1414" w:rsidRDefault="00D05D74">
      <w:pPr>
        <w:rPr>
          <w:rFonts w:cs="Arial"/>
          <w:b/>
          <w:bCs/>
        </w:rPr>
      </w:pPr>
    </w:p>
    <w:p w14:paraId="4859CE48" w14:textId="77777777" w:rsidR="00D05D74" w:rsidRPr="00EB1414" w:rsidRDefault="00D05D74">
      <w:pPr>
        <w:rPr>
          <w:rFonts w:cs="Arial"/>
          <w:b/>
          <w:bCs/>
        </w:rPr>
      </w:pPr>
    </w:p>
    <w:p w14:paraId="4085F4FA" w14:textId="77777777" w:rsidR="00D05D74" w:rsidRPr="00EB1414" w:rsidRDefault="00D05D74">
      <w:pPr>
        <w:rPr>
          <w:rFonts w:cs="Arial"/>
          <w:b/>
          <w:bCs/>
        </w:rPr>
      </w:pPr>
    </w:p>
    <w:p w14:paraId="0C95807A" w14:textId="77777777" w:rsidR="00D05D74" w:rsidRPr="00EB1414" w:rsidRDefault="00D05D74">
      <w:pPr>
        <w:rPr>
          <w:rFonts w:cs="Arial"/>
          <w:b/>
          <w:bCs/>
        </w:rPr>
      </w:pPr>
    </w:p>
    <w:p w14:paraId="520E3612" w14:textId="77777777" w:rsidR="00D05D74" w:rsidRPr="00EB1414" w:rsidRDefault="00D05D74">
      <w:pPr>
        <w:rPr>
          <w:rFonts w:cs="Arial"/>
          <w:b/>
          <w:bCs/>
        </w:rPr>
      </w:pPr>
    </w:p>
    <w:p w14:paraId="745E9399" w14:textId="77777777" w:rsidR="00D05D74" w:rsidRPr="00EB1414" w:rsidRDefault="00D05D74">
      <w:pPr>
        <w:rPr>
          <w:rFonts w:cs="Arial"/>
          <w:b/>
          <w:bCs/>
        </w:rPr>
      </w:pPr>
    </w:p>
    <w:p w14:paraId="25E4662C" w14:textId="77777777" w:rsidR="00D05D74" w:rsidRPr="00EB1414" w:rsidRDefault="00D05D74">
      <w:pPr>
        <w:rPr>
          <w:rFonts w:cs="Arial"/>
          <w:b/>
          <w:bCs/>
        </w:rPr>
      </w:pPr>
    </w:p>
    <w:p w14:paraId="491587D5" w14:textId="77777777" w:rsidR="00D05D74" w:rsidRPr="00EB1414" w:rsidRDefault="00D05D74">
      <w:pPr>
        <w:rPr>
          <w:rFonts w:cs="Arial"/>
          <w:b/>
          <w:bCs/>
        </w:rPr>
      </w:pPr>
    </w:p>
    <w:p w14:paraId="1CDE6067" w14:textId="77777777" w:rsidR="00D05D74" w:rsidRPr="00EB1414" w:rsidRDefault="00D05D74">
      <w:pPr>
        <w:rPr>
          <w:rFonts w:cs="Arial"/>
          <w:b/>
          <w:bCs/>
        </w:rPr>
      </w:pPr>
    </w:p>
    <w:p w14:paraId="185D2355" w14:textId="77777777" w:rsidR="00D05D74" w:rsidRPr="00EB1414" w:rsidRDefault="00D05D74">
      <w:pPr>
        <w:rPr>
          <w:rFonts w:cs="Arial"/>
          <w:b/>
          <w:bCs/>
        </w:rPr>
      </w:pPr>
    </w:p>
    <w:p w14:paraId="3D0087EF" w14:textId="77777777" w:rsidR="00D05D74" w:rsidRPr="00EB1414" w:rsidRDefault="00D05D74">
      <w:pPr>
        <w:rPr>
          <w:rFonts w:cs="Arial"/>
          <w:b/>
          <w:bCs/>
        </w:rPr>
      </w:pPr>
    </w:p>
    <w:p w14:paraId="386CBDB0" w14:textId="77777777" w:rsidR="00D05D74" w:rsidRPr="00EB1414" w:rsidRDefault="00D05D74">
      <w:pPr>
        <w:rPr>
          <w:rFonts w:cs="Arial"/>
          <w:b/>
          <w:bCs/>
        </w:rPr>
      </w:pPr>
    </w:p>
    <w:p w14:paraId="614E4F09" w14:textId="77777777" w:rsidR="00D05D74" w:rsidRPr="00EB1414" w:rsidRDefault="00D05D74">
      <w:pPr>
        <w:rPr>
          <w:rFonts w:cs="Arial"/>
          <w:b/>
          <w:bCs/>
        </w:rPr>
      </w:pPr>
    </w:p>
    <w:p w14:paraId="3391C6B9" w14:textId="77777777" w:rsidR="00D05D74" w:rsidRPr="00EB1414" w:rsidRDefault="00D05D74">
      <w:pPr>
        <w:rPr>
          <w:rFonts w:cs="Arial"/>
          <w:b/>
          <w:bCs/>
        </w:rPr>
      </w:pPr>
    </w:p>
    <w:p w14:paraId="53D08B96" w14:textId="77777777" w:rsidR="00D05D74" w:rsidRPr="00EB1414" w:rsidRDefault="00D05D74">
      <w:pPr>
        <w:rPr>
          <w:rFonts w:cs="Arial"/>
          <w:b/>
          <w:bCs/>
        </w:rPr>
      </w:pPr>
    </w:p>
    <w:p w14:paraId="05549CA8" w14:textId="77777777" w:rsidR="00346AC8" w:rsidRDefault="00346AC8">
      <w:pPr>
        <w:rPr>
          <w:rFonts w:cs="Arial"/>
          <w:b/>
          <w:bCs/>
        </w:rPr>
        <w:sectPr w:rsidR="00346AC8" w:rsidSect="00684040">
          <w:pgSz w:w="12240" w:h="15840"/>
          <w:pgMar w:top="1440" w:right="1440" w:bottom="1440" w:left="1440" w:header="720" w:footer="720" w:gutter="0"/>
          <w:cols w:space="720"/>
          <w:docGrid w:linePitch="360"/>
        </w:sectPr>
      </w:pPr>
    </w:p>
    <w:p w14:paraId="31B4734B" w14:textId="2D359F7D" w:rsidR="002B1C94" w:rsidRDefault="002B1C94">
      <w:pPr>
        <w:rPr>
          <w:rFonts w:cs="Arial"/>
        </w:rPr>
      </w:pPr>
      <w:r>
        <w:rPr>
          <w:rFonts w:cs="Arial"/>
          <w:b/>
          <w:bCs/>
        </w:rPr>
        <w:lastRenderedPageBreak/>
        <w:t>Supplementary Figure 2.</w:t>
      </w:r>
      <w:r>
        <w:rPr>
          <w:rFonts w:cs="Arial"/>
        </w:rPr>
        <w:t xml:space="preserve"> Inverse survival curves for the transition from suicide attempt to suicide death as a function of substance use disorder </w:t>
      </w:r>
      <w:r w:rsidR="00F75AF3">
        <w:rPr>
          <w:rFonts w:cs="Arial"/>
        </w:rPr>
        <w:t xml:space="preserve">(SUD) </w:t>
      </w:r>
      <w:r>
        <w:rPr>
          <w:rFonts w:cs="Arial"/>
        </w:rPr>
        <w:t>registration.</w:t>
      </w:r>
      <w:r w:rsidR="00F0506C">
        <w:rPr>
          <w:rFonts w:cs="Arial"/>
        </w:rPr>
        <w:t xml:space="preserve"> The blue line represents the prevalence of suicide death</w:t>
      </w:r>
      <w:r w:rsidR="00F75AF3">
        <w:rPr>
          <w:rFonts w:cs="Arial"/>
        </w:rPr>
        <w:t xml:space="preserve"> (y-axis) among individuals with a registration for the specific SUD; red line represents individuals without the SUD registration. Estimates are presented as a function of time elapsed in months since index suicide attempt (x-axis).</w:t>
      </w:r>
    </w:p>
    <w:p w14:paraId="065A803D" w14:textId="65559DCE" w:rsidR="00F75AF3" w:rsidRDefault="00F75AF3">
      <w:pPr>
        <w:rPr>
          <w:rFonts w:cs="Arial"/>
        </w:rPr>
      </w:pPr>
      <w:r>
        <w:rPr>
          <w:rFonts w:cs="Arial"/>
        </w:rPr>
        <w:t>AUD – alcohol use disorder; MSA – multiple substance abuse.</w:t>
      </w:r>
    </w:p>
    <w:p w14:paraId="43CE28DD" w14:textId="77777777" w:rsidR="00A95DC6" w:rsidRDefault="00A95DC6">
      <w:pPr>
        <w:rPr>
          <w:rFonts w:cs="Arial"/>
        </w:rPr>
      </w:pPr>
    </w:p>
    <w:p w14:paraId="085715E8" w14:textId="241C7FC4" w:rsidR="00A95DC6" w:rsidRPr="002B1C94" w:rsidRDefault="00735661">
      <w:pPr>
        <w:rPr>
          <w:rFonts w:cs="Arial"/>
        </w:rPr>
      </w:pPr>
      <w:r>
        <w:rPr>
          <w:rFonts w:cs="Arial"/>
          <w:noProof/>
        </w:rPr>
        <w:drawing>
          <wp:inline distT="0" distB="0" distL="0" distR="0" wp14:anchorId="745E4ACE" wp14:editId="32E922B5">
            <wp:extent cx="5943600" cy="4457700"/>
            <wp:effectExtent l="0" t="0" r="0" b="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0FA52823" w14:textId="77777777" w:rsidR="002B1C94" w:rsidRDefault="002B1C94">
      <w:pPr>
        <w:rPr>
          <w:rFonts w:cs="Arial"/>
          <w:b/>
          <w:bCs/>
        </w:rPr>
      </w:pPr>
    </w:p>
    <w:p w14:paraId="2B5768DA" w14:textId="77777777" w:rsidR="002B1C94" w:rsidRDefault="002B1C94">
      <w:pPr>
        <w:rPr>
          <w:rFonts w:cs="Arial"/>
          <w:b/>
          <w:bCs/>
        </w:rPr>
      </w:pPr>
    </w:p>
    <w:p w14:paraId="60FB03C1" w14:textId="77777777" w:rsidR="002B1C94" w:rsidRDefault="002B1C94">
      <w:pPr>
        <w:rPr>
          <w:rFonts w:cs="Arial"/>
          <w:b/>
          <w:bCs/>
        </w:rPr>
      </w:pPr>
    </w:p>
    <w:p w14:paraId="6249B2E5" w14:textId="77777777" w:rsidR="002B1C94" w:rsidRDefault="002B1C94">
      <w:pPr>
        <w:rPr>
          <w:rFonts w:cs="Arial"/>
          <w:b/>
          <w:bCs/>
        </w:rPr>
      </w:pPr>
    </w:p>
    <w:p w14:paraId="5F15975A" w14:textId="77777777" w:rsidR="002B1C94" w:rsidRDefault="002B1C94">
      <w:pPr>
        <w:rPr>
          <w:rFonts w:cs="Arial"/>
          <w:b/>
          <w:bCs/>
        </w:rPr>
      </w:pPr>
    </w:p>
    <w:p w14:paraId="1EE21B10" w14:textId="77777777" w:rsidR="002B1C94" w:rsidRDefault="002B1C94">
      <w:pPr>
        <w:rPr>
          <w:rFonts w:cs="Arial"/>
          <w:b/>
          <w:bCs/>
        </w:rPr>
      </w:pPr>
    </w:p>
    <w:p w14:paraId="02D3CD20" w14:textId="77777777" w:rsidR="002B1C94" w:rsidRDefault="002B1C94">
      <w:pPr>
        <w:rPr>
          <w:rFonts w:cs="Arial"/>
          <w:b/>
          <w:bCs/>
        </w:rPr>
      </w:pPr>
    </w:p>
    <w:p w14:paraId="105B6C9C" w14:textId="77777777" w:rsidR="002B1C94" w:rsidRDefault="002B1C94">
      <w:pPr>
        <w:rPr>
          <w:rFonts w:cs="Arial"/>
          <w:b/>
          <w:bCs/>
        </w:rPr>
      </w:pPr>
    </w:p>
    <w:p w14:paraId="3D1F6E2D" w14:textId="77777777" w:rsidR="002B1C94" w:rsidRDefault="002B1C94">
      <w:pPr>
        <w:rPr>
          <w:rFonts w:cs="Arial"/>
          <w:b/>
          <w:bCs/>
        </w:rPr>
      </w:pPr>
    </w:p>
    <w:p w14:paraId="1B4154A9" w14:textId="77777777" w:rsidR="002B1C94" w:rsidRDefault="002B1C94">
      <w:pPr>
        <w:rPr>
          <w:rFonts w:cs="Arial"/>
          <w:b/>
          <w:bCs/>
        </w:rPr>
      </w:pPr>
    </w:p>
    <w:p w14:paraId="6973A738" w14:textId="77777777" w:rsidR="002B1C94" w:rsidRDefault="002B1C94">
      <w:pPr>
        <w:rPr>
          <w:rFonts w:cs="Arial"/>
          <w:b/>
          <w:bCs/>
        </w:rPr>
      </w:pPr>
    </w:p>
    <w:p w14:paraId="608B7C92" w14:textId="77777777" w:rsidR="002B1C94" w:rsidRDefault="002B1C94">
      <w:pPr>
        <w:rPr>
          <w:rFonts w:cs="Arial"/>
          <w:b/>
          <w:bCs/>
        </w:rPr>
      </w:pPr>
    </w:p>
    <w:p w14:paraId="0DD6D6B5" w14:textId="77777777" w:rsidR="00A95DC6" w:rsidRDefault="00A95DC6">
      <w:pPr>
        <w:rPr>
          <w:rFonts w:cs="Arial"/>
          <w:b/>
          <w:bCs/>
        </w:rPr>
        <w:sectPr w:rsidR="00A95DC6" w:rsidSect="00684040">
          <w:pgSz w:w="12240" w:h="15840"/>
          <w:pgMar w:top="1440" w:right="1440" w:bottom="1440" w:left="1440" w:header="720" w:footer="720" w:gutter="0"/>
          <w:cols w:space="720"/>
          <w:docGrid w:linePitch="360"/>
        </w:sectPr>
      </w:pPr>
    </w:p>
    <w:p w14:paraId="7CDADEEB" w14:textId="24580AE6" w:rsidR="00165861" w:rsidRPr="00EB1414" w:rsidRDefault="0064136A">
      <w:pPr>
        <w:rPr>
          <w:rFonts w:cs="Arial"/>
        </w:rPr>
      </w:pPr>
      <w:r w:rsidRPr="00EB1414">
        <w:rPr>
          <w:rFonts w:cs="Arial"/>
          <w:b/>
          <w:bCs/>
        </w:rPr>
        <w:lastRenderedPageBreak/>
        <w:t xml:space="preserve">Supplementary Figure </w:t>
      </w:r>
      <w:r w:rsidR="002B1C94">
        <w:rPr>
          <w:rFonts w:cs="Arial"/>
          <w:b/>
          <w:bCs/>
        </w:rPr>
        <w:t>3</w:t>
      </w:r>
      <w:r w:rsidRPr="00EB1414">
        <w:rPr>
          <w:rFonts w:cs="Arial"/>
          <w:b/>
          <w:bCs/>
        </w:rPr>
        <w:t>.</w:t>
      </w:r>
      <w:r w:rsidRPr="00EB1414">
        <w:rPr>
          <w:rFonts w:cs="Arial"/>
        </w:rPr>
        <w:t xml:space="preserve"> Tetrachoric correlation matrix for suicide death and registration for each substance use disorder.</w:t>
      </w:r>
    </w:p>
    <w:p w14:paraId="60483CF1" w14:textId="4E56DD04" w:rsidR="0064136A" w:rsidRPr="00EB1414" w:rsidRDefault="0064136A">
      <w:pPr>
        <w:rPr>
          <w:rFonts w:cs="Arial"/>
        </w:rPr>
      </w:pPr>
    </w:p>
    <w:p w14:paraId="7569C43B" w14:textId="605915A5" w:rsidR="0064136A" w:rsidRPr="00EB1414" w:rsidRDefault="0064136A">
      <w:pPr>
        <w:rPr>
          <w:rFonts w:cs="Arial"/>
        </w:rPr>
      </w:pPr>
      <w:r w:rsidRPr="00EB1414">
        <w:rPr>
          <w:rFonts w:cs="Arial"/>
          <w:noProof/>
          <w:lang w:eastAsia="sv-SE"/>
        </w:rPr>
        <w:drawing>
          <wp:inline distT="0" distB="0" distL="0" distR="0" wp14:anchorId="4FC2B6A2" wp14:editId="7CB297ED">
            <wp:extent cx="5545659" cy="507619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l="6685" t="9868" b="4717"/>
                    <a:stretch/>
                  </pic:blipFill>
                  <pic:spPr bwMode="auto">
                    <a:xfrm>
                      <a:off x="0" y="0"/>
                      <a:ext cx="5546265" cy="5076745"/>
                    </a:xfrm>
                    <a:prstGeom prst="rect">
                      <a:avLst/>
                    </a:prstGeom>
                    <a:ln>
                      <a:noFill/>
                    </a:ln>
                    <a:extLst>
                      <a:ext uri="{53640926-AAD7-44D8-BBD7-CCE9431645EC}">
                        <a14:shadowObscured xmlns:a14="http://schemas.microsoft.com/office/drawing/2010/main"/>
                      </a:ext>
                    </a:extLst>
                  </pic:spPr>
                </pic:pic>
              </a:graphicData>
            </a:graphic>
          </wp:inline>
        </w:drawing>
      </w:r>
    </w:p>
    <w:p w14:paraId="54A04AF5" w14:textId="74A86506" w:rsidR="0064136A" w:rsidRDefault="0064136A">
      <w:pPr>
        <w:rPr>
          <w:rFonts w:cs="Arial"/>
          <w:sz w:val="20"/>
          <w:szCs w:val="20"/>
        </w:rPr>
      </w:pPr>
      <w:r w:rsidRPr="00EB1414">
        <w:rPr>
          <w:rFonts w:cs="Arial"/>
          <w:sz w:val="20"/>
          <w:szCs w:val="20"/>
        </w:rPr>
        <w:t>SD – suicide death; AUD – alcohol use disorder; CAN – cannabis; CO – cocaine/stimulants; HAL – hallucinogens; OP – opiates; SED – sedative; MSA – multiple substance abuse</w:t>
      </w:r>
    </w:p>
    <w:p w14:paraId="7B38914F" w14:textId="442B86E6" w:rsidR="00100C2E" w:rsidRDefault="00100C2E">
      <w:pPr>
        <w:rPr>
          <w:rFonts w:cs="Arial"/>
          <w:sz w:val="20"/>
          <w:szCs w:val="20"/>
        </w:rPr>
      </w:pPr>
    </w:p>
    <w:p w14:paraId="54E3017E" w14:textId="23BD13BF" w:rsidR="00100C2E" w:rsidRDefault="00100C2E">
      <w:pPr>
        <w:rPr>
          <w:rFonts w:cs="Arial"/>
          <w:sz w:val="20"/>
          <w:szCs w:val="20"/>
        </w:rPr>
      </w:pPr>
    </w:p>
    <w:p w14:paraId="27AB391D" w14:textId="6EBAE63F" w:rsidR="00100C2E" w:rsidRDefault="00100C2E">
      <w:pPr>
        <w:rPr>
          <w:rFonts w:cs="Arial"/>
          <w:sz w:val="20"/>
          <w:szCs w:val="20"/>
        </w:rPr>
      </w:pPr>
    </w:p>
    <w:p w14:paraId="1320017D" w14:textId="4DE5E2F7" w:rsidR="00100C2E" w:rsidRDefault="00100C2E">
      <w:pPr>
        <w:rPr>
          <w:rFonts w:cs="Arial"/>
          <w:sz w:val="20"/>
          <w:szCs w:val="20"/>
        </w:rPr>
      </w:pPr>
    </w:p>
    <w:p w14:paraId="0740ED4F" w14:textId="60DC9F6D" w:rsidR="00100C2E" w:rsidRDefault="00100C2E">
      <w:pPr>
        <w:rPr>
          <w:rFonts w:cs="Arial"/>
          <w:sz w:val="20"/>
          <w:szCs w:val="20"/>
        </w:rPr>
      </w:pPr>
    </w:p>
    <w:p w14:paraId="0ADD0D7D" w14:textId="5D5B35AC" w:rsidR="00100C2E" w:rsidRDefault="00100C2E">
      <w:pPr>
        <w:rPr>
          <w:rFonts w:cs="Arial"/>
          <w:sz w:val="20"/>
          <w:szCs w:val="20"/>
        </w:rPr>
      </w:pPr>
    </w:p>
    <w:p w14:paraId="0F26E958" w14:textId="62D290FC" w:rsidR="00100C2E" w:rsidRDefault="00100C2E">
      <w:pPr>
        <w:rPr>
          <w:rFonts w:cs="Arial"/>
          <w:sz w:val="20"/>
          <w:szCs w:val="20"/>
        </w:rPr>
      </w:pPr>
    </w:p>
    <w:p w14:paraId="43110058" w14:textId="7E46FFEA" w:rsidR="00100C2E" w:rsidRDefault="00100C2E">
      <w:pPr>
        <w:rPr>
          <w:rFonts w:cs="Arial"/>
          <w:sz w:val="20"/>
          <w:szCs w:val="20"/>
        </w:rPr>
      </w:pPr>
    </w:p>
    <w:p w14:paraId="04D4ACF2" w14:textId="6DFB79FB" w:rsidR="00100C2E" w:rsidRDefault="00100C2E">
      <w:pPr>
        <w:rPr>
          <w:rFonts w:cs="Arial"/>
          <w:sz w:val="20"/>
          <w:szCs w:val="20"/>
        </w:rPr>
      </w:pPr>
    </w:p>
    <w:p w14:paraId="6383899E" w14:textId="484360EB" w:rsidR="00100C2E" w:rsidRDefault="00100C2E">
      <w:pPr>
        <w:rPr>
          <w:rFonts w:cs="Arial"/>
          <w:sz w:val="20"/>
          <w:szCs w:val="20"/>
        </w:rPr>
      </w:pPr>
    </w:p>
    <w:p w14:paraId="5BE9EE23" w14:textId="38619B98" w:rsidR="00100C2E" w:rsidRDefault="00100C2E">
      <w:pPr>
        <w:rPr>
          <w:rFonts w:cs="Arial"/>
          <w:sz w:val="20"/>
          <w:szCs w:val="20"/>
        </w:rPr>
      </w:pPr>
    </w:p>
    <w:p w14:paraId="139AD8C2" w14:textId="367A4958" w:rsidR="00100C2E" w:rsidRDefault="00100C2E">
      <w:pPr>
        <w:rPr>
          <w:rFonts w:cs="Arial"/>
          <w:sz w:val="20"/>
          <w:szCs w:val="20"/>
        </w:rPr>
      </w:pPr>
    </w:p>
    <w:p w14:paraId="0C5C77A9" w14:textId="526734D5" w:rsidR="00100C2E" w:rsidRDefault="00100C2E">
      <w:pPr>
        <w:rPr>
          <w:rFonts w:cs="Arial"/>
          <w:sz w:val="20"/>
          <w:szCs w:val="20"/>
        </w:rPr>
      </w:pPr>
    </w:p>
    <w:p w14:paraId="5C62B02F" w14:textId="510DEEFD" w:rsidR="00100C2E" w:rsidRDefault="00100C2E">
      <w:pPr>
        <w:rPr>
          <w:rFonts w:cs="Arial"/>
          <w:sz w:val="20"/>
          <w:szCs w:val="20"/>
        </w:rPr>
      </w:pPr>
    </w:p>
    <w:p w14:paraId="5F480933" w14:textId="77777777" w:rsidR="003D4985" w:rsidRDefault="003D4985">
      <w:pPr>
        <w:rPr>
          <w:rFonts w:cs="Arial"/>
          <w:sz w:val="20"/>
          <w:szCs w:val="20"/>
        </w:rPr>
      </w:pPr>
    </w:p>
    <w:p w14:paraId="35E70B9C" w14:textId="77777777" w:rsidR="003D4985" w:rsidRDefault="003D4985">
      <w:pPr>
        <w:rPr>
          <w:rFonts w:cs="Arial"/>
          <w:sz w:val="20"/>
          <w:szCs w:val="20"/>
        </w:rPr>
      </w:pPr>
    </w:p>
    <w:p w14:paraId="799EA1C6" w14:textId="77777777" w:rsidR="003D4985" w:rsidRPr="003D4985" w:rsidRDefault="003D4985" w:rsidP="003D4985">
      <w:pPr>
        <w:pStyle w:val="EndNoteBibliographyTitle"/>
        <w:rPr>
          <w:b/>
          <w:noProof/>
        </w:rPr>
      </w:pPr>
      <w:r>
        <w:lastRenderedPageBreak/>
        <w:fldChar w:fldCharType="begin"/>
      </w:r>
      <w:r>
        <w:instrText xml:space="preserve"> ADDIN EN.REFLIST </w:instrText>
      </w:r>
      <w:r>
        <w:fldChar w:fldCharType="separate"/>
      </w:r>
      <w:r w:rsidRPr="003D4985">
        <w:rPr>
          <w:b/>
          <w:noProof/>
        </w:rPr>
        <w:t>References</w:t>
      </w:r>
    </w:p>
    <w:p w14:paraId="050E76EF" w14:textId="77777777" w:rsidR="003D4985" w:rsidRPr="003D4985" w:rsidRDefault="003D4985" w:rsidP="003D4985">
      <w:pPr>
        <w:pStyle w:val="EndNoteBibliographyTitle"/>
        <w:rPr>
          <w:b/>
          <w:noProof/>
        </w:rPr>
      </w:pPr>
    </w:p>
    <w:p w14:paraId="33478600" w14:textId="77777777" w:rsidR="003D4985" w:rsidRPr="003D4985" w:rsidRDefault="003D4985" w:rsidP="003D4985">
      <w:pPr>
        <w:pStyle w:val="EndNoteBibliography"/>
        <w:ind w:left="720" w:hanging="720"/>
        <w:rPr>
          <w:noProof/>
        </w:rPr>
      </w:pPr>
      <w:r w:rsidRPr="003D4985">
        <w:rPr>
          <w:noProof/>
        </w:rPr>
        <w:t xml:space="preserve">Sundquist, J., Ohlsson, H., Sundquist, K., &amp; Kendler, K. S. (2017). Common adult psychiatric disorders in Swedish primary care where most mental health patients are treated. </w:t>
      </w:r>
      <w:r w:rsidRPr="003D4985">
        <w:rPr>
          <w:i/>
          <w:noProof/>
        </w:rPr>
        <w:t>BMC Psychiatry, 17</w:t>
      </w:r>
      <w:r w:rsidRPr="003D4985">
        <w:rPr>
          <w:noProof/>
        </w:rPr>
        <w:t>(1), 235. doi:10.1186/s12888-017-1381-4</w:t>
      </w:r>
    </w:p>
    <w:p w14:paraId="3D15EBD7" w14:textId="3C62BF09" w:rsidR="00100C2E" w:rsidRPr="00EB1414" w:rsidRDefault="003D4985">
      <w:pPr>
        <w:rPr>
          <w:rFonts w:cs="Arial"/>
          <w:sz w:val="20"/>
          <w:szCs w:val="20"/>
        </w:rPr>
      </w:pPr>
      <w:r>
        <w:rPr>
          <w:rFonts w:cs="Arial"/>
          <w:sz w:val="20"/>
          <w:szCs w:val="20"/>
        </w:rPr>
        <w:fldChar w:fldCharType="end"/>
      </w:r>
    </w:p>
    <w:sectPr w:rsidR="00100C2E" w:rsidRPr="00EB1414" w:rsidSect="00684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37FC"/>
    <w:multiLevelType w:val="hybridMultilevel"/>
    <w:tmpl w:val="90582B88"/>
    <w:lvl w:ilvl="0" w:tplc="E44CF626">
      <w:start w:val="1"/>
      <w:numFmt w:val="lowerRoman"/>
      <w:lvlText w:val="%1)"/>
      <w:lvlJc w:val="left"/>
      <w:pPr>
        <w:ind w:left="1125" w:hanging="72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1" w15:restartNumberingAfterBreak="0">
    <w:nsid w:val="63C421F2"/>
    <w:multiLevelType w:val="hybridMultilevel"/>
    <w:tmpl w:val="60FC1FC4"/>
    <w:lvl w:ilvl="0" w:tplc="0AC43BFA">
      <w:start w:val="1"/>
      <w:numFmt w:val="upperLetter"/>
      <w:lvlText w:val="(%1)"/>
      <w:lvlJc w:val="left"/>
      <w:pPr>
        <w:ind w:left="765" w:hanging="36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num w:numId="1" w16cid:durableId="350226171">
    <w:abstractNumId w:val="0"/>
  </w:num>
  <w:num w:numId="2" w16cid:durableId="7937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 modified&lt;/Style&gt;&lt;LeftDelim&gt;{&lt;/LeftDelim&gt;&lt;RightDelim&gt;}&lt;/RightDelim&gt;&lt;FontName&gt;Arial&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5wpwwa3ezv92e5aa3pfdx6d2e22efxw009&quot;&gt;VIPBG Library-Converted&lt;record-ids&gt;&lt;item&gt;3492&lt;/item&gt;&lt;/record-ids&gt;&lt;/item&gt;&lt;/Libraries&gt;"/>
  </w:docVars>
  <w:rsids>
    <w:rsidRoot w:val="0064136A"/>
    <w:rsid w:val="00010C47"/>
    <w:rsid w:val="000402C8"/>
    <w:rsid w:val="000405F2"/>
    <w:rsid w:val="00060EF3"/>
    <w:rsid w:val="000932CD"/>
    <w:rsid w:val="000A2C6D"/>
    <w:rsid w:val="000A41C7"/>
    <w:rsid w:val="00100C2E"/>
    <w:rsid w:val="00107157"/>
    <w:rsid w:val="001140FC"/>
    <w:rsid w:val="00114849"/>
    <w:rsid w:val="00144EB7"/>
    <w:rsid w:val="00160949"/>
    <w:rsid w:val="00165861"/>
    <w:rsid w:val="001842F5"/>
    <w:rsid w:val="00196BC4"/>
    <w:rsid w:val="001C6C2B"/>
    <w:rsid w:val="001C73F8"/>
    <w:rsid w:val="001D42BD"/>
    <w:rsid w:val="001F5D27"/>
    <w:rsid w:val="001F5D39"/>
    <w:rsid w:val="00222B83"/>
    <w:rsid w:val="00233155"/>
    <w:rsid w:val="0026095E"/>
    <w:rsid w:val="00274411"/>
    <w:rsid w:val="002815BD"/>
    <w:rsid w:val="002A39E9"/>
    <w:rsid w:val="002B1C94"/>
    <w:rsid w:val="002D50AF"/>
    <w:rsid w:val="002E4923"/>
    <w:rsid w:val="003050C4"/>
    <w:rsid w:val="003065A4"/>
    <w:rsid w:val="0030733A"/>
    <w:rsid w:val="003207C1"/>
    <w:rsid w:val="00326004"/>
    <w:rsid w:val="0033440D"/>
    <w:rsid w:val="00346AC8"/>
    <w:rsid w:val="00347B03"/>
    <w:rsid w:val="00363553"/>
    <w:rsid w:val="003B7DFB"/>
    <w:rsid w:val="003D283F"/>
    <w:rsid w:val="003D4985"/>
    <w:rsid w:val="0040212E"/>
    <w:rsid w:val="00420275"/>
    <w:rsid w:val="0042196D"/>
    <w:rsid w:val="00436622"/>
    <w:rsid w:val="00462AF7"/>
    <w:rsid w:val="0046345B"/>
    <w:rsid w:val="00476953"/>
    <w:rsid w:val="004A0925"/>
    <w:rsid w:val="004D43EF"/>
    <w:rsid w:val="004E1A5A"/>
    <w:rsid w:val="004E56BB"/>
    <w:rsid w:val="00521397"/>
    <w:rsid w:val="00523A53"/>
    <w:rsid w:val="005344A8"/>
    <w:rsid w:val="00570779"/>
    <w:rsid w:val="00593AA9"/>
    <w:rsid w:val="005A4EEE"/>
    <w:rsid w:val="005B6F15"/>
    <w:rsid w:val="005C2791"/>
    <w:rsid w:val="005C4A08"/>
    <w:rsid w:val="005D2B35"/>
    <w:rsid w:val="005D2C12"/>
    <w:rsid w:val="005E5BB8"/>
    <w:rsid w:val="005E7278"/>
    <w:rsid w:val="00612455"/>
    <w:rsid w:val="00612AF6"/>
    <w:rsid w:val="0061350D"/>
    <w:rsid w:val="006171DE"/>
    <w:rsid w:val="0062134A"/>
    <w:rsid w:val="006218EF"/>
    <w:rsid w:val="00626836"/>
    <w:rsid w:val="0064136A"/>
    <w:rsid w:val="00645BED"/>
    <w:rsid w:val="0064748F"/>
    <w:rsid w:val="00654093"/>
    <w:rsid w:val="006708E6"/>
    <w:rsid w:val="00684040"/>
    <w:rsid w:val="00684C3F"/>
    <w:rsid w:val="006C4490"/>
    <w:rsid w:val="006D37D3"/>
    <w:rsid w:val="006F08F3"/>
    <w:rsid w:val="006F3EE5"/>
    <w:rsid w:val="007073C0"/>
    <w:rsid w:val="00710C54"/>
    <w:rsid w:val="00721641"/>
    <w:rsid w:val="007265E3"/>
    <w:rsid w:val="00735661"/>
    <w:rsid w:val="007542C4"/>
    <w:rsid w:val="007A35FE"/>
    <w:rsid w:val="007A7978"/>
    <w:rsid w:val="007C50A6"/>
    <w:rsid w:val="007D1430"/>
    <w:rsid w:val="007D5AE7"/>
    <w:rsid w:val="007F675A"/>
    <w:rsid w:val="00801406"/>
    <w:rsid w:val="00803E53"/>
    <w:rsid w:val="00812896"/>
    <w:rsid w:val="00850F6C"/>
    <w:rsid w:val="00851096"/>
    <w:rsid w:val="00851B61"/>
    <w:rsid w:val="0086338A"/>
    <w:rsid w:val="008A0697"/>
    <w:rsid w:val="008A6B49"/>
    <w:rsid w:val="008C302F"/>
    <w:rsid w:val="008C7310"/>
    <w:rsid w:val="008E17CC"/>
    <w:rsid w:val="0093528C"/>
    <w:rsid w:val="009404A0"/>
    <w:rsid w:val="00954334"/>
    <w:rsid w:val="00971CF9"/>
    <w:rsid w:val="00976A8C"/>
    <w:rsid w:val="009A5994"/>
    <w:rsid w:val="009D1022"/>
    <w:rsid w:val="009F284D"/>
    <w:rsid w:val="009F3400"/>
    <w:rsid w:val="009F5D99"/>
    <w:rsid w:val="00A1350D"/>
    <w:rsid w:val="00A179F7"/>
    <w:rsid w:val="00A272FF"/>
    <w:rsid w:val="00A34663"/>
    <w:rsid w:val="00A84A97"/>
    <w:rsid w:val="00A92E64"/>
    <w:rsid w:val="00A95DC6"/>
    <w:rsid w:val="00A9671E"/>
    <w:rsid w:val="00AA223B"/>
    <w:rsid w:val="00AD143C"/>
    <w:rsid w:val="00AE0FCC"/>
    <w:rsid w:val="00B04A32"/>
    <w:rsid w:val="00B243BA"/>
    <w:rsid w:val="00BA3D78"/>
    <w:rsid w:val="00BB4810"/>
    <w:rsid w:val="00BB78D8"/>
    <w:rsid w:val="00BE4CA1"/>
    <w:rsid w:val="00BE7F9B"/>
    <w:rsid w:val="00C0773C"/>
    <w:rsid w:val="00C175EA"/>
    <w:rsid w:val="00C2794C"/>
    <w:rsid w:val="00C51E90"/>
    <w:rsid w:val="00C8124A"/>
    <w:rsid w:val="00CA0905"/>
    <w:rsid w:val="00CA4EE9"/>
    <w:rsid w:val="00CD01C8"/>
    <w:rsid w:val="00D05D74"/>
    <w:rsid w:val="00D10611"/>
    <w:rsid w:val="00D114F5"/>
    <w:rsid w:val="00D13010"/>
    <w:rsid w:val="00D25955"/>
    <w:rsid w:val="00D66206"/>
    <w:rsid w:val="00D76A8C"/>
    <w:rsid w:val="00D873AF"/>
    <w:rsid w:val="00D97463"/>
    <w:rsid w:val="00DC4A04"/>
    <w:rsid w:val="00DD4BB8"/>
    <w:rsid w:val="00DE00E2"/>
    <w:rsid w:val="00DE3700"/>
    <w:rsid w:val="00E00530"/>
    <w:rsid w:val="00E27BE7"/>
    <w:rsid w:val="00E61906"/>
    <w:rsid w:val="00E66381"/>
    <w:rsid w:val="00E67A1C"/>
    <w:rsid w:val="00E80B8D"/>
    <w:rsid w:val="00E84C13"/>
    <w:rsid w:val="00EB1414"/>
    <w:rsid w:val="00EE191C"/>
    <w:rsid w:val="00EF2F6F"/>
    <w:rsid w:val="00F03914"/>
    <w:rsid w:val="00F0506C"/>
    <w:rsid w:val="00F114C9"/>
    <w:rsid w:val="00F22236"/>
    <w:rsid w:val="00F30891"/>
    <w:rsid w:val="00F33761"/>
    <w:rsid w:val="00F36BC0"/>
    <w:rsid w:val="00F37095"/>
    <w:rsid w:val="00F74E2E"/>
    <w:rsid w:val="00F75AF3"/>
    <w:rsid w:val="00FA04DB"/>
    <w:rsid w:val="00FB4E07"/>
    <w:rsid w:val="00FC229B"/>
    <w:rsid w:val="00FC62E1"/>
    <w:rsid w:val="00FD1DDB"/>
    <w:rsid w:val="00FE369D"/>
    <w:rsid w:val="00FF5ECC"/>
    <w:rsid w:val="00FF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7503"/>
  <w15:chartTrackingRefBased/>
  <w15:docId w15:val="{122C8306-8835-074E-BA0D-2E0C0576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236"/>
    <w:rPr>
      <w:rFonts w:asciiTheme="minorHAnsi" w:hAnsiTheme="minorHAnsi" w:cstheme="minorBidi"/>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7BE7"/>
    <w:rPr>
      <w:sz w:val="16"/>
      <w:szCs w:val="16"/>
    </w:rPr>
  </w:style>
  <w:style w:type="paragraph" w:styleId="CommentText">
    <w:name w:val="annotation text"/>
    <w:basedOn w:val="Normal"/>
    <w:link w:val="CommentTextChar"/>
    <w:uiPriority w:val="99"/>
    <w:unhideWhenUsed/>
    <w:rsid w:val="00E27BE7"/>
    <w:rPr>
      <w:sz w:val="20"/>
      <w:szCs w:val="20"/>
    </w:rPr>
  </w:style>
  <w:style w:type="character" w:customStyle="1" w:styleId="CommentTextChar">
    <w:name w:val="Comment Text Char"/>
    <w:basedOn w:val="DefaultParagraphFont"/>
    <w:link w:val="CommentText"/>
    <w:uiPriority w:val="99"/>
    <w:rsid w:val="00E27BE7"/>
    <w:rPr>
      <w:sz w:val="20"/>
      <w:szCs w:val="20"/>
    </w:rPr>
  </w:style>
  <w:style w:type="paragraph" w:styleId="CommentSubject">
    <w:name w:val="annotation subject"/>
    <w:basedOn w:val="CommentText"/>
    <w:next w:val="CommentText"/>
    <w:link w:val="CommentSubjectChar"/>
    <w:uiPriority w:val="99"/>
    <w:semiHidden/>
    <w:unhideWhenUsed/>
    <w:rsid w:val="00E27BE7"/>
    <w:rPr>
      <w:b/>
      <w:bCs/>
    </w:rPr>
  </w:style>
  <w:style w:type="character" w:customStyle="1" w:styleId="CommentSubjectChar">
    <w:name w:val="Comment Subject Char"/>
    <w:basedOn w:val="CommentTextChar"/>
    <w:link w:val="CommentSubject"/>
    <w:uiPriority w:val="99"/>
    <w:semiHidden/>
    <w:rsid w:val="00E27BE7"/>
    <w:rPr>
      <w:b/>
      <w:bCs/>
      <w:sz w:val="20"/>
      <w:szCs w:val="20"/>
    </w:rPr>
  </w:style>
  <w:style w:type="paragraph" w:styleId="BalloonText">
    <w:name w:val="Balloon Text"/>
    <w:basedOn w:val="Normal"/>
    <w:link w:val="BalloonTextChar"/>
    <w:uiPriority w:val="99"/>
    <w:semiHidden/>
    <w:unhideWhenUsed/>
    <w:rsid w:val="00E27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BE7"/>
    <w:rPr>
      <w:rFonts w:ascii="Segoe UI" w:hAnsi="Segoe UI" w:cs="Segoe UI"/>
      <w:sz w:val="18"/>
      <w:szCs w:val="18"/>
    </w:rPr>
  </w:style>
  <w:style w:type="character" w:customStyle="1" w:styleId="a">
    <w:name w:val="_"/>
    <w:basedOn w:val="DefaultParagraphFont"/>
    <w:rsid w:val="00E27BE7"/>
  </w:style>
  <w:style w:type="paragraph" w:styleId="ListParagraph">
    <w:name w:val="List Paragraph"/>
    <w:basedOn w:val="Normal"/>
    <w:uiPriority w:val="34"/>
    <w:qFormat/>
    <w:rsid w:val="00645BED"/>
    <w:pPr>
      <w:spacing w:after="160" w:line="259" w:lineRule="auto"/>
      <w:ind w:left="720"/>
      <w:contextualSpacing/>
    </w:pPr>
    <w:rPr>
      <w:rFonts w:asciiTheme="minorHAnsi" w:hAnsiTheme="minorHAnsi" w:cstheme="minorBidi"/>
      <w:szCs w:val="22"/>
      <w:lang w:val="sv-SE"/>
    </w:rPr>
  </w:style>
  <w:style w:type="paragraph" w:customStyle="1" w:styleId="EndNoteBibliographyTitle">
    <w:name w:val="EndNote Bibliography Title"/>
    <w:basedOn w:val="Normal"/>
    <w:link w:val="EndNoteBibliographyTitleChar"/>
    <w:rsid w:val="003D4985"/>
    <w:pPr>
      <w:jc w:val="center"/>
    </w:pPr>
    <w:rPr>
      <w:rFonts w:cs="Arial"/>
    </w:rPr>
  </w:style>
  <w:style w:type="character" w:customStyle="1" w:styleId="EndNoteBibliographyTitleChar">
    <w:name w:val="EndNote Bibliography Title Char"/>
    <w:basedOn w:val="DefaultParagraphFont"/>
    <w:link w:val="EndNoteBibliographyTitle"/>
    <w:rsid w:val="003D4985"/>
    <w:rPr>
      <w:rFonts w:cs="Arial"/>
    </w:rPr>
  </w:style>
  <w:style w:type="paragraph" w:customStyle="1" w:styleId="EndNoteBibliography">
    <w:name w:val="EndNote Bibliography"/>
    <w:basedOn w:val="Normal"/>
    <w:link w:val="EndNoteBibliographyChar"/>
    <w:rsid w:val="003D4985"/>
    <w:rPr>
      <w:rFonts w:cs="Arial"/>
    </w:rPr>
  </w:style>
  <w:style w:type="character" w:customStyle="1" w:styleId="EndNoteBibliographyChar">
    <w:name w:val="EndNote Bibliography Char"/>
    <w:basedOn w:val="DefaultParagraphFont"/>
    <w:link w:val="EndNoteBibliography"/>
    <w:rsid w:val="003D4985"/>
    <w:rPr>
      <w:rFonts w:cs="Arial"/>
    </w:rPr>
  </w:style>
  <w:style w:type="paragraph" w:styleId="Revision">
    <w:name w:val="Revision"/>
    <w:hidden/>
    <w:uiPriority w:val="99"/>
    <w:semiHidden/>
    <w:rsid w:val="00D8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68442">
      <w:bodyDiv w:val="1"/>
      <w:marLeft w:val="0"/>
      <w:marRight w:val="0"/>
      <w:marTop w:val="0"/>
      <w:marBottom w:val="0"/>
      <w:divBdr>
        <w:top w:val="none" w:sz="0" w:space="0" w:color="auto"/>
        <w:left w:val="none" w:sz="0" w:space="0" w:color="auto"/>
        <w:bottom w:val="none" w:sz="0" w:space="0" w:color="auto"/>
        <w:right w:val="none" w:sz="0" w:space="0" w:color="auto"/>
      </w:divBdr>
    </w:div>
    <w:div w:id="189368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Edwards</dc:creator>
  <cp:keywords/>
  <dc:description/>
  <cp:lastModifiedBy>Alexis Edwards</cp:lastModifiedBy>
  <cp:revision>2</cp:revision>
  <dcterms:created xsi:type="dcterms:W3CDTF">2022-06-21T14:38:00Z</dcterms:created>
  <dcterms:modified xsi:type="dcterms:W3CDTF">2022-06-21T14:38:00Z</dcterms:modified>
</cp:coreProperties>
</file>