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06839" w14:textId="77777777" w:rsidR="00E90280" w:rsidRDefault="00000000">
      <w:pPr>
        <w:shd w:val="clear" w:color="auto" w:fill="FFFFFF"/>
        <w:spacing w:before="220" w:line="480" w:lineRule="auto"/>
        <w:jc w:val="center"/>
        <w:rPr>
          <w:rFonts w:ascii="Times New Roman" w:eastAsia="Times New Roman" w:hAnsi="Times New Roman" w:cs="Times New Roman"/>
          <w:sz w:val="24"/>
          <w:szCs w:val="24"/>
        </w:rPr>
      </w:pPr>
      <w:r>
        <w:rPr>
          <w:b/>
          <w:sz w:val="24"/>
          <w:szCs w:val="24"/>
        </w:rPr>
        <w:t xml:space="preserve"> </w:t>
      </w:r>
      <w:r>
        <w:rPr>
          <w:rFonts w:ascii="Times New Roman" w:eastAsia="Times New Roman" w:hAnsi="Times New Roman" w:cs="Times New Roman"/>
          <w:b/>
          <w:sz w:val="24"/>
          <w:szCs w:val="24"/>
        </w:rPr>
        <w:t xml:space="preserve">Supplement for: </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“Trying to name what doesn’t change: Neural nonresponse to Cognitive Therapy for depression”</w:t>
      </w:r>
    </w:p>
    <w:p w14:paraId="786B287F" w14:textId="77777777" w:rsidR="00E90280" w:rsidRDefault="00E90280">
      <w:pPr>
        <w:rPr>
          <w:rFonts w:ascii="Times New Roman" w:eastAsia="Times New Roman" w:hAnsi="Times New Roman" w:cs="Times New Roman"/>
        </w:rPr>
      </w:pPr>
    </w:p>
    <w:p w14:paraId="41FD8F84" w14:textId="77777777" w:rsidR="00E90280" w:rsidRDefault="00000000">
      <w:pPr>
        <w:jc w:val="center"/>
        <w:rPr>
          <w:rFonts w:ascii="Times New Roman" w:eastAsia="Times New Roman" w:hAnsi="Times New Roman" w:cs="Times New Roman"/>
          <w:b/>
        </w:rPr>
      </w:pPr>
      <w:r>
        <w:rPr>
          <w:rFonts w:ascii="Times New Roman" w:eastAsia="Times New Roman" w:hAnsi="Times New Roman" w:cs="Times New Roman"/>
          <w:b/>
        </w:rPr>
        <w:t>Table of Content</w:t>
      </w:r>
    </w:p>
    <w:sdt>
      <w:sdtPr>
        <w:id w:val="-969507272"/>
        <w:docPartObj>
          <w:docPartGallery w:val="Table of Contents"/>
          <w:docPartUnique/>
        </w:docPartObj>
      </w:sdtPr>
      <w:sdtContent>
        <w:p w14:paraId="37778CB3" w14:textId="05528430" w:rsidR="00E90280" w:rsidRDefault="00000000">
          <w:pPr>
            <w:tabs>
              <w:tab w:val="right" w:pos="9360"/>
            </w:tabs>
            <w:spacing w:before="80" w:line="240" w:lineRule="auto"/>
            <w:rPr>
              <w:rFonts w:ascii="Times New Roman" w:eastAsia="Times New Roman" w:hAnsi="Times New Roman" w:cs="Times New Roman"/>
              <w:noProof/>
              <w:color w:val="000000"/>
            </w:rPr>
          </w:pPr>
          <w:r>
            <w:fldChar w:fldCharType="begin"/>
          </w:r>
          <w:r>
            <w:instrText xml:space="preserve"> TOC \h \u \z </w:instrText>
          </w:r>
          <w:r>
            <w:fldChar w:fldCharType="separate"/>
          </w:r>
          <w:hyperlink w:anchor="_51r5v6sxxz00">
            <w:r>
              <w:rPr>
                <w:rFonts w:ascii="Times New Roman" w:eastAsia="Times New Roman" w:hAnsi="Times New Roman" w:cs="Times New Roman"/>
                <w:noProof/>
                <w:color w:val="000000"/>
              </w:rPr>
              <w:t>Supplement 1. Consort diagram</w:t>
            </w:r>
          </w:hyperlink>
          <w:r>
            <w:rPr>
              <w:rFonts w:ascii="Times New Roman" w:eastAsia="Times New Roman" w:hAnsi="Times New Roman" w:cs="Times New Roman"/>
              <w:noProof/>
              <w:color w:val="000000"/>
            </w:rPr>
            <w:tab/>
          </w:r>
          <w:r>
            <w:rPr>
              <w:noProof/>
            </w:rPr>
            <w:fldChar w:fldCharType="begin"/>
          </w:r>
          <w:r>
            <w:rPr>
              <w:noProof/>
            </w:rPr>
            <w:instrText xml:space="preserve"> PAGEREF _51r5v6sxxz00 \h </w:instrText>
          </w:r>
          <w:r>
            <w:rPr>
              <w:noProof/>
            </w:rPr>
          </w:r>
          <w:r>
            <w:rPr>
              <w:noProof/>
            </w:rPr>
            <w:fldChar w:fldCharType="separate"/>
          </w:r>
          <w:r w:rsidR="000116E6">
            <w:rPr>
              <w:noProof/>
            </w:rPr>
            <w:t>2</w:t>
          </w:r>
          <w:r>
            <w:rPr>
              <w:noProof/>
            </w:rPr>
            <w:fldChar w:fldCharType="end"/>
          </w:r>
        </w:p>
        <w:p w14:paraId="005D8F64" w14:textId="0323F5ED" w:rsidR="00E90280" w:rsidRDefault="00000000">
          <w:pPr>
            <w:tabs>
              <w:tab w:val="right" w:pos="9360"/>
            </w:tabs>
            <w:spacing w:before="200" w:line="240" w:lineRule="auto"/>
            <w:rPr>
              <w:rFonts w:ascii="Times New Roman" w:eastAsia="Times New Roman" w:hAnsi="Times New Roman" w:cs="Times New Roman"/>
              <w:noProof/>
              <w:color w:val="000000"/>
            </w:rPr>
          </w:pPr>
          <w:hyperlink w:anchor="_30j0zll">
            <w:r>
              <w:rPr>
                <w:rFonts w:ascii="Times New Roman" w:eastAsia="Times New Roman" w:hAnsi="Times New Roman" w:cs="Times New Roman"/>
                <w:noProof/>
                <w:color w:val="000000"/>
              </w:rPr>
              <w:t>Supplement 2. Demographics and clinical features of samples</w:t>
            </w:r>
          </w:hyperlink>
          <w:r>
            <w:rPr>
              <w:rFonts w:ascii="Times New Roman" w:eastAsia="Times New Roman" w:hAnsi="Times New Roman" w:cs="Times New Roman"/>
              <w:noProof/>
              <w:color w:val="000000"/>
            </w:rPr>
            <w:tab/>
          </w:r>
          <w:r>
            <w:rPr>
              <w:noProof/>
            </w:rPr>
            <w:fldChar w:fldCharType="begin"/>
          </w:r>
          <w:r>
            <w:rPr>
              <w:noProof/>
            </w:rPr>
            <w:instrText xml:space="preserve"> PAGEREF _30j0zll \h </w:instrText>
          </w:r>
          <w:r>
            <w:rPr>
              <w:noProof/>
            </w:rPr>
          </w:r>
          <w:r>
            <w:rPr>
              <w:noProof/>
            </w:rPr>
            <w:fldChar w:fldCharType="separate"/>
          </w:r>
          <w:r w:rsidR="000116E6">
            <w:rPr>
              <w:noProof/>
            </w:rPr>
            <w:t>3</w:t>
          </w:r>
          <w:r>
            <w:rPr>
              <w:noProof/>
            </w:rPr>
            <w:fldChar w:fldCharType="end"/>
          </w:r>
        </w:p>
        <w:p w14:paraId="20529312" w14:textId="66E591AA" w:rsidR="00E90280" w:rsidRDefault="00000000">
          <w:pPr>
            <w:tabs>
              <w:tab w:val="right" w:pos="9360"/>
            </w:tabs>
            <w:spacing w:before="200" w:line="240" w:lineRule="auto"/>
            <w:rPr>
              <w:rFonts w:ascii="Times New Roman" w:eastAsia="Times New Roman" w:hAnsi="Times New Roman" w:cs="Times New Roman"/>
              <w:noProof/>
              <w:color w:val="000000"/>
            </w:rPr>
          </w:pPr>
          <w:hyperlink w:anchor="_htc3fs5l4y6c">
            <w:r>
              <w:rPr>
                <w:rFonts w:ascii="Times New Roman" w:eastAsia="Times New Roman" w:hAnsi="Times New Roman" w:cs="Times New Roman"/>
                <w:noProof/>
                <w:color w:val="000000"/>
              </w:rPr>
              <w:t>Supplement 3. Details on calculating voxelwise Cohen’s d values</w:t>
            </w:r>
          </w:hyperlink>
          <w:r>
            <w:rPr>
              <w:rFonts w:ascii="Times New Roman" w:eastAsia="Times New Roman" w:hAnsi="Times New Roman" w:cs="Times New Roman"/>
              <w:noProof/>
              <w:color w:val="000000"/>
            </w:rPr>
            <w:tab/>
          </w:r>
          <w:r>
            <w:rPr>
              <w:noProof/>
            </w:rPr>
            <w:fldChar w:fldCharType="begin"/>
          </w:r>
          <w:r>
            <w:rPr>
              <w:noProof/>
            </w:rPr>
            <w:instrText xml:space="preserve"> PAGEREF _htc3fs5l4y6c \h </w:instrText>
          </w:r>
          <w:r>
            <w:rPr>
              <w:noProof/>
            </w:rPr>
          </w:r>
          <w:r>
            <w:rPr>
              <w:noProof/>
            </w:rPr>
            <w:fldChar w:fldCharType="separate"/>
          </w:r>
          <w:r w:rsidR="000116E6">
            <w:rPr>
              <w:noProof/>
            </w:rPr>
            <w:t>4</w:t>
          </w:r>
          <w:r>
            <w:rPr>
              <w:noProof/>
            </w:rPr>
            <w:fldChar w:fldCharType="end"/>
          </w:r>
        </w:p>
        <w:p w14:paraId="1AE0E5AC" w14:textId="64454912" w:rsidR="00E90280" w:rsidRDefault="00000000">
          <w:pPr>
            <w:tabs>
              <w:tab w:val="right" w:pos="9360"/>
            </w:tabs>
            <w:spacing w:before="200" w:line="240" w:lineRule="auto"/>
            <w:rPr>
              <w:rFonts w:ascii="Times New Roman" w:eastAsia="Times New Roman" w:hAnsi="Times New Roman" w:cs="Times New Roman"/>
              <w:noProof/>
              <w:color w:val="000000"/>
            </w:rPr>
          </w:pPr>
          <w:hyperlink w:anchor="_6788spy1ylsl">
            <w:r>
              <w:rPr>
                <w:rFonts w:ascii="Times New Roman" w:eastAsia="Times New Roman" w:hAnsi="Times New Roman" w:cs="Times New Roman"/>
                <w:noProof/>
                <w:color w:val="000000"/>
              </w:rPr>
              <w:t>Supplement 4. Results for positive words</w:t>
            </w:r>
          </w:hyperlink>
          <w:r>
            <w:rPr>
              <w:rFonts w:ascii="Times New Roman" w:eastAsia="Times New Roman" w:hAnsi="Times New Roman" w:cs="Times New Roman"/>
              <w:noProof/>
              <w:color w:val="000000"/>
            </w:rPr>
            <w:tab/>
          </w:r>
          <w:r>
            <w:rPr>
              <w:noProof/>
            </w:rPr>
            <w:fldChar w:fldCharType="begin"/>
          </w:r>
          <w:r>
            <w:rPr>
              <w:noProof/>
            </w:rPr>
            <w:instrText xml:space="preserve"> PAGEREF _6788spy1ylsl \h </w:instrText>
          </w:r>
          <w:r>
            <w:rPr>
              <w:noProof/>
            </w:rPr>
          </w:r>
          <w:r>
            <w:rPr>
              <w:noProof/>
            </w:rPr>
            <w:fldChar w:fldCharType="separate"/>
          </w:r>
          <w:r w:rsidR="000116E6">
            <w:rPr>
              <w:noProof/>
            </w:rPr>
            <w:t>5</w:t>
          </w:r>
          <w:r>
            <w:rPr>
              <w:noProof/>
            </w:rPr>
            <w:fldChar w:fldCharType="end"/>
          </w:r>
        </w:p>
        <w:p w14:paraId="40D7A7F7" w14:textId="32887552" w:rsidR="00E90280" w:rsidRDefault="00000000">
          <w:pPr>
            <w:tabs>
              <w:tab w:val="right" w:pos="9360"/>
            </w:tabs>
            <w:spacing w:before="200" w:line="240" w:lineRule="auto"/>
            <w:rPr>
              <w:rFonts w:ascii="Times New Roman" w:eastAsia="Times New Roman" w:hAnsi="Times New Roman" w:cs="Times New Roman"/>
              <w:noProof/>
              <w:color w:val="000000"/>
            </w:rPr>
          </w:pPr>
          <w:hyperlink w:anchor="_qjjfn8vstbfw">
            <w:r>
              <w:rPr>
                <w:rFonts w:ascii="Times New Roman" w:eastAsia="Times New Roman" w:hAnsi="Times New Roman" w:cs="Times New Roman"/>
                <w:noProof/>
                <w:color w:val="000000"/>
              </w:rPr>
              <w:t>Supplement 5. Results for neutral words</w:t>
            </w:r>
          </w:hyperlink>
          <w:r>
            <w:rPr>
              <w:rFonts w:ascii="Times New Roman" w:eastAsia="Times New Roman" w:hAnsi="Times New Roman" w:cs="Times New Roman"/>
              <w:noProof/>
              <w:color w:val="000000"/>
            </w:rPr>
            <w:tab/>
          </w:r>
          <w:r>
            <w:rPr>
              <w:noProof/>
            </w:rPr>
            <w:fldChar w:fldCharType="begin"/>
          </w:r>
          <w:r>
            <w:rPr>
              <w:noProof/>
            </w:rPr>
            <w:instrText xml:space="preserve"> PAGEREF _qjjfn8vstbfw \h </w:instrText>
          </w:r>
          <w:r>
            <w:rPr>
              <w:noProof/>
            </w:rPr>
          </w:r>
          <w:r>
            <w:rPr>
              <w:noProof/>
            </w:rPr>
            <w:fldChar w:fldCharType="separate"/>
          </w:r>
          <w:r w:rsidR="000116E6">
            <w:rPr>
              <w:noProof/>
            </w:rPr>
            <w:t>9</w:t>
          </w:r>
          <w:r>
            <w:rPr>
              <w:noProof/>
            </w:rPr>
            <w:fldChar w:fldCharType="end"/>
          </w:r>
        </w:p>
        <w:p w14:paraId="2C537637" w14:textId="3B438634" w:rsidR="00E90280" w:rsidRDefault="00000000">
          <w:pPr>
            <w:tabs>
              <w:tab w:val="right" w:pos="9360"/>
            </w:tabs>
            <w:spacing w:before="200" w:after="80" w:line="240" w:lineRule="auto"/>
            <w:rPr>
              <w:rFonts w:ascii="Times New Roman" w:eastAsia="Times New Roman" w:hAnsi="Times New Roman" w:cs="Times New Roman"/>
              <w:color w:val="000000"/>
            </w:rPr>
          </w:pPr>
          <w:hyperlink w:anchor="_r5l8b0xrei96">
            <w:r>
              <w:rPr>
                <w:rFonts w:ascii="Times New Roman" w:eastAsia="Times New Roman" w:hAnsi="Times New Roman" w:cs="Times New Roman"/>
                <w:noProof/>
                <w:color w:val="000000"/>
              </w:rPr>
              <w:t>Supplement 6. M</w:t>
            </w:r>
            <w:r w:rsidR="00527C82">
              <w:rPr>
                <w:rFonts w:ascii="Times New Roman" w:eastAsia="Times New Roman" w:hAnsi="Times New Roman" w:cs="Times New Roman"/>
                <w:noProof/>
                <w:color w:val="000000"/>
              </w:rPr>
              <w:t>ixed-effects</w:t>
            </w:r>
            <w:r>
              <w:rPr>
                <w:rFonts w:ascii="Times New Roman" w:eastAsia="Times New Roman" w:hAnsi="Times New Roman" w:cs="Times New Roman"/>
                <w:noProof/>
                <w:color w:val="000000"/>
              </w:rPr>
              <w:t xml:space="preserve"> analysis</w:t>
            </w:r>
          </w:hyperlink>
          <w:r>
            <w:rPr>
              <w:rFonts w:ascii="Times New Roman" w:eastAsia="Times New Roman" w:hAnsi="Times New Roman" w:cs="Times New Roman"/>
              <w:noProof/>
              <w:color w:val="000000"/>
            </w:rPr>
            <w:tab/>
          </w:r>
          <w:r>
            <w:rPr>
              <w:noProof/>
            </w:rPr>
            <w:fldChar w:fldCharType="begin"/>
          </w:r>
          <w:r>
            <w:rPr>
              <w:noProof/>
            </w:rPr>
            <w:instrText xml:space="preserve"> PAGEREF _r5l8b0xrei96 \h </w:instrText>
          </w:r>
          <w:r>
            <w:rPr>
              <w:noProof/>
            </w:rPr>
          </w:r>
          <w:r>
            <w:rPr>
              <w:noProof/>
            </w:rPr>
            <w:fldChar w:fldCharType="separate"/>
          </w:r>
          <w:r w:rsidR="000116E6">
            <w:rPr>
              <w:noProof/>
            </w:rPr>
            <w:t>16</w:t>
          </w:r>
          <w:r>
            <w:rPr>
              <w:noProof/>
            </w:rPr>
            <w:fldChar w:fldCharType="end"/>
          </w:r>
          <w:r>
            <w:fldChar w:fldCharType="end"/>
          </w:r>
        </w:p>
      </w:sdtContent>
    </w:sdt>
    <w:p w14:paraId="18EADA66" w14:textId="77777777" w:rsidR="00E90280" w:rsidRDefault="00E90280">
      <w:pPr>
        <w:spacing w:line="480" w:lineRule="auto"/>
        <w:rPr>
          <w:rFonts w:ascii="Times New Roman" w:eastAsia="Times New Roman" w:hAnsi="Times New Roman" w:cs="Times New Roman"/>
        </w:rPr>
        <w:sectPr w:rsidR="00E90280">
          <w:headerReference w:type="default" r:id="rId6"/>
          <w:footerReference w:type="default" r:id="rId7"/>
          <w:headerReference w:type="first" r:id="rId8"/>
          <w:footerReference w:type="first" r:id="rId9"/>
          <w:pgSz w:w="12240" w:h="15840"/>
          <w:pgMar w:top="1440" w:right="1440" w:bottom="1440" w:left="1440" w:header="720" w:footer="720" w:gutter="0"/>
          <w:pgNumType w:start="0"/>
          <w:cols w:space="720"/>
          <w:titlePg/>
        </w:sectPr>
      </w:pPr>
    </w:p>
    <w:p w14:paraId="04C93A4C" w14:textId="77777777" w:rsidR="00E90280" w:rsidRDefault="00000000">
      <w:pPr>
        <w:pStyle w:val="Heading2"/>
        <w:spacing w:line="480" w:lineRule="auto"/>
        <w:sectPr w:rsidR="00E90280">
          <w:headerReference w:type="first" r:id="rId10"/>
          <w:type w:val="continuous"/>
          <w:pgSz w:w="15840" w:h="12240" w:orient="landscape"/>
          <w:pgMar w:top="1440" w:right="1440" w:bottom="1440" w:left="1440" w:header="720" w:footer="720" w:gutter="0"/>
          <w:pgNumType w:start="2"/>
          <w:cols w:space="720"/>
          <w:titlePg/>
        </w:sectPr>
      </w:pPr>
      <w:bookmarkStart w:id="0" w:name="_51r5v6sxxz00" w:colFirst="0" w:colLast="0"/>
      <w:bookmarkEnd w:id="0"/>
      <w:r>
        <w:lastRenderedPageBreak/>
        <w:t xml:space="preserve">Supplement 1. Consort diagram </w:t>
      </w:r>
      <w:r>
        <w:rPr>
          <w:noProof/>
        </w:rPr>
        <w:drawing>
          <wp:inline distT="114300" distB="114300" distL="114300" distR="114300" wp14:anchorId="6E0022FA" wp14:editId="164ACF87">
            <wp:extent cx="7577138" cy="5284424"/>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7577138" cy="5284424"/>
                    </a:xfrm>
                    <a:prstGeom prst="rect">
                      <a:avLst/>
                    </a:prstGeom>
                    <a:ln/>
                  </pic:spPr>
                </pic:pic>
              </a:graphicData>
            </a:graphic>
          </wp:inline>
        </w:drawing>
      </w:r>
    </w:p>
    <w:p w14:paraId="36CE34C6" w14:textId="77777777" w:rsidR="00E90280" w:rsidRDefault="00000000">
      <w:pPr>
        <w:pStyle w:val="Heading2"/>
        <w:spacing w:line="480" w:lineRule="auto"/>
      </w:pPr>
      <w:bookmarkStart w:id="1" w:name="_30j0zll" w:colFirst="0" w:colLast="0"/>
      <w:bookmarkEnd w:id="1"/>
      <w:r>
        <w:lastRenderedPageBreak/>
        <w:t>Supplement 2. Demographics and clinical features of samples</w:t>
      </w:r>
    </w:p>
    <w:tbl>
      <w:tblPr>
        <w:tblStyle w:val="a"/>
        <w:tblW w:w="12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15"/>
        <w:gridCol w:w="4350"/>
        <w:gridCol w:w="3870"/>
      </w:tblGrid>
      <w:tr w:rsidR="00E90280" w14:paraId="18EEF13A" w14:textId="77777777">
        <w:trPr>
          <w:trHeight w:val="233"/>
        </w:trPr>
        <w:tc>
          <w:tcPr>
            <w:tcW w:w="3915" w:type="dxa"/>
            <w:tcBorders>
              <w:top w:val="single" w:sz="4" w:space="0" w:color="000000"/>
              <w:left w:val="nil"/>
              <w:bottom w:val="single" w:sz="4" w:space="0" w:color="000000"/>
              <w:right w:val="nil"/>
            </w:tcBorders>
            <w:shd w:val="clear" w:color="auto" w:fill="auto"/>
            <w:vAlign w:val="center"/>
          </w:tcPr>
          <w:p w14:paraId="1FCB6E7E" w14:textId="77777777" w:rsidR="00E90280" w:rsidRDefault="00E90280">
            <w:pPr>
              <w:rPr>
                <w:rFonts w:ascii="Times New Roman" w:eastAsia="Times New Roman" w:hAnsi="Times New Roman" w:cs="Times New Roman"/>
                <w:b/>
              </w:rPr>
            </w:pPr>
          </w:p>
        </w:tc>
        <w:tc>
          <w:tcPr>
            <w:tcW w:w="4350" w:type="dxa"/>
            <w:tcBorders>
              <w:top w:val="single" w:sz="4" w:space="0" w:color="000000"/>
              <w:left w:val="nil"/>
              <w:bottom w:val="single" w:sz="4" w:space="0" w:color="000000"/>
              <w:right w:val="nil"/>
            </w:tcBorders>
            <w:vAlign w:val="center"/>
          </w:tcPr>
          <w:p w14:paraId="5A5A9417" w14:textId="77777777" w:rsidR="00E90280" w:rsidRDefault="00000000">
            <w:pPr>
              <w:rPr>
                <w:rFonts w:ascii="Times New Roman" w:eastAsia="Times New Roman" w:hAnsi="Times New Roman" w:cs="Times New Roman"/>
                <w:b/>
              </w:rPr>
            </w:pPr>
            <w:r>
              <w:rPr>
                <w:rFonts w:ascii="Times New Roman" w:eastAsia="Times New Roman" w:hAnsi="Times New Roman" w:cs="Times New Roman"/>
                <w:b/>
              </w:rPr>
              <w:t>Patient Sample (n = 58)</w:t>
            </w:r>
          </w:p>
        </w:tc>
        <w:tc>
          <w:tcPr>
            <w:tcW w:w="3870" w:type="dxa"/>
            <w:tcBorders>
              <w:top w:val="single" w:sz="4" w:space="0" w:color="000000"/>
              <w:left w:val="nil"/>
              <w:bottom w:val="single" w:sz="4" w:space="0" w:color="000000"/>
              <w:right w:val="nil"/>
            </w:tcBorders>
            <w:vAlign w:val="center"/>
          </w:tcPr>
          <w:p w14:paraId="5FF018A9" w14:textId="77777777" w:rsidR="00E90280" w:rsidRDefault="00000000">
            <w:pPr>
              <w:rPr>
                <w:rFonts w:ascii="Times New Roman" w:eastAsia="Times New Roman" w:hAnsi="Times New Roman" w:cs="Times New Roman"/>
                <w:b/>
              </w:rPr>
            </w:pPr>
            <w:r>
              <w:rPr>
                <w:rFonts w:ascii="Times New Roman" w:eastAsia="Times New Roman" w:hAnsi="Times New Roman" w:cs="Times New Roman"/>
                <w:b/>
              </w:rPr>
              <w:t>Control Sample (n = 34)</w:t>
            </w:r>
          </w:p>
        </w:tc>
      </w:tr>
      <w:tr w:rsidR="00E90280" w14:paraId="239F33B9" w14:textId="77777777">
        <w:trPr>
          <w:trHeight w:val="233"/>
        </w:trPr>
        <w:tc>
          <w:tcPr>
            <w:tcW w:w="3915" w:type="dxa"/>
            <w:tcBorders>
              <w:top w:val="single" w:sz="4" w:space="0" w:color="000000"/>
              <w:left w:val="nil"/>
              <w:bottom w:val="single" w:sz="4" w:space="0" w:color="000000"/>
              <w:right w:val="single" w:sz="4" w:space="0" w:color="000000"/>
            </w:tcBorders>
            <w:shd w:val="clear" w:color="auto" w:fill="auto"/>
            <w:vAlign w:val="center"/>
          </w:tcPr>
          <w:p w14:paraId="21A8EBC7"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Gender</w:t>
            </w:r>
          </w:p>
        </w:tc>
        <w:tc>
          <w:tcPr>
            <w:tcW w:w="4350" w:type="dxa"/>
            <w:tcBorders>
              <w:top w:val="single" w:sz="4" w:space="0" w:color="000000"/>
              <w:left w:val="single" w:sz="4" w:space="0" w:color="000000"/>
              <w:bottom w:val="single" w:sz="4" w:space="0" w:color="000000"/>
              <w:right w:val="single" w:sz="4" w:space="0" w:color="000000"/>
            </w:tcBorders>
            <w:vAlign w:val="center"/>
          </w:tcPr>
          <w:p w14:paraId="686A037D"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Female (n = 41, 70.69%)</w:t>
            </w:r>
          </w:p>
        </w:tc>
        <w:tc>
          <w:tcPr>
            <w:tcW w:w="3870" w:type="dxa"/>
            <w:tcBorders>
              <w:top w:val="single" w:sz="4" w:space="0" w:color="000000"/>
              <w:left w:val="single" w:sz="4" w:space="0" w:color="000000"/>
              <w:bottom w:val="single" w:sz="4" w:space="0" w:color="000000"/>
              <w:right w:val="nil"/>
            </w:tcBorders>
            <w:vAlign w:val="center"/>
          </w:tcPr>
          <w:p w14:paraId="4614B637"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Female (n = 22, 64.71%)</w:t>
            </w:r>
          </w:p>
        </w:tc>
      </w:tr>
      <w:tr w:rsidR="00E90280" w14:paraId="5D9F2ECF" w14:textId="77777777">
        <w:trPr>
          <w:trHeight w:val="233"/>
        </w:trPr>
        <w:tc>
          <w:tcPr>
            <w:tcW w:w="3915" w:type="dxa"/>
            <w:tcBorders>
              <w:top w:val="single" w:sz="4" w:space="0" w:color="000000"/>
              <w:left w:val="nil"/>
              <w:bottom w:val="single" w:sz="4" w:space="0" w:color="000000"/>
              <w:right w:val="single" w:sz="4" w:space="0" w:color="000000"/>
            </w:tcBorders>
            <w:shd w:val="clear" w:color="auto" w:fill="auto"/>
            <w:vAlign w:val="center"/>
          </w:tcPr>
          <w:p w14:paraId="2D900E95"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 xml:space="preserve">Age  </w:t>
            </w:r>
          </w:p>
        </w:tc>
        <w:tc>
          <w:tcPr>
            <w:tcW w:w="4350" w:type="dxa"/>
            <w:tcBorders>
              <w:top w:val="single" w:sz="4" w:space="0" w:color="000000"/>
              <w:left w:val="single" w:sz="4" w:space="0" w:color="000000"/>
              <w:bottom w:val="single" w:sz="4" w:space="0" w:color="000000"/>
              <w:right w:val="single" w:sz="4" w:space="0" w:color="000000"/>
            </w:tcBorders>
            <w:vAlign w:val="center"/>
          </w:tcPr>
          <w:p w14:paraId="0A8C43D2"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36.12 (10.20) years</w:t>
            </w:r>
          </w:p>
        </w:tc>
        <w:tc>
          <w:tcPr>
            <w:tcW w:w="3870" w:type="dxa"/>
            <w:tcBorders>
              <w:top w:val="single" w:sz="4" w:space="0" w:color="000000"/>
              <w:left w:val="single" w:sz="4" w:space="0" w:color="000000"/>
              <w:bottom w:val="single" w:sz="4" w:space="0" w:color="000000"/>
              <w:right w:val="nil"/>
            </w:tcBorders>
            <w:vAlign w:val="center"/>
          </w:tcPr>
          <w:p w14:paraId="42129306"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35.06 (9.63) years</w:t>
            </w:r>
          </w:p>
        </w:tc>
      </w:tr>
      <w:tr w:rsidR="00E90280" w14:paraId="246DAB28" w14:textId="77777777">
        <w:trPr>
          <w:trHeight w:val="233"/>
        </w:trPr>
        <w:tc>
          <w:tcPr>
            <w:tcW w:w="3915" w:type="dxa"/>
            <w:tcBorders>
              <w:top w:val="single" w:sz="4" w:space="0" w:color="000000"/>
              <w:left w:val="nil"/>
              <w:bottom w:val="single" w:sz="4" w:space="0" w:color="000000"/>
              <w:right w:val="single" w:sz="4" w:space="0" w:color="000000"/>
            </w:tcBorders>
            <w:shd w:val="clear" w:color="auto" w:fill="auto"/>
            <w:vAlign w:val="center"/>
          </w:tcPr>
          <w:p w14:paraId="3ED3AF0A"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Ethnicity</w:t>
            </w:r>
          </w:p>
        </w:tc>
        <w:tc>
          <w:tcPr>
            <w:tcW w:w="4350" w:type="dxa"/>
            <w:tcBorders>
              <w:top w:val="single" w:sz="4" w:space="0" w:color="000000"/>
              <w:left w:val="single" w:sz="4" w:space="0" w:color="000000"/>
              <w:bottom w:val="single" w:sz="4" w:space="0" w:color="000000"/>
              <w:right w:val="single" w:sz="4" w:space="0" w:color="000000"/>
            </w:tcBorders>
            <w:vAlign w:val="center"/>
          </w:tcPr>
          <w:p w14:paraId="59EEE56D"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Caucasian (n = 47, 81.03%)</w:t>
            </w:r>
            <w:r>
              <w:rPr>
                <w:rFonts w:ascii="Times New Roman" w:eastAsia="Times New Roman" w:hAnsi="Times New Roman" w:cs="Times New Roman"/>
              </w:rPr>
              <w:br/>
            </w:r>
            <w:proofErr w:type="gramStart"/>
            <w:r>
              <w:rPr>
                <w:rFonts w:ascii="Times New Roman" w:eastAsia="Times New Roman" w:hAnsi="Times New Roman" w:cs="Times New Roman"/>
              </w:rPr>
              <w:t>Non-Caucasian</w:t>
            </w:r>
            <w:proofErr w:type="gramEnd"/>
            <w:r>
              <w:rPr>
                <w:rFonts w:ascii="Times New Roman" w:eastAsia="Times New Roman" w:hAnsi="Times New Roman" w:cs="Times New Roman"/>
              </w:rPr>
              <w:t xml:space="preserve"> (n = 11, 18.97%)</w:t>
            </w:r>
          </w:p>
        </w:tc>
        <w:tc>
          <w:tcPr>
            <w:tcW w:w="3870" w:type="dxa"/>
            <w:tcBorders>
              <w:top w:val="single" w:sz="4" w:space="0" w:color="000000"/>
              <w:left w:val="single" w:sz="4" w:space="0" w:color="000000"/>
              <w:bottom w:val="single" w:sz="4" w:space="0" w:color="000000"/>
              <w:right w:val="nil"/>
            </w:tcBorders>
            <w:vAlign w:val="center"/>
          </w:tcPr>
          <w:p w14:paraId="3CE47BC9"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Caucasian (n = 28, 82.35%)</w:t>
            </w:r>
            <w:r>
              <w:rPr>
                <w:rFonts w:ascii="Times New Roman" w:eastAsia="Times New Roman" w:hAnsi="Times New Roman" w:cs="Times New Roman"/>
                <w:color w:val="FF0000"/>
              </w:rPr>
              <w:br/>
            </w:r>
            <w:proofErr w:type="gramStart"/>
            <w:r>
              <w:rPr>
                <w:rFonts w:ascii="Times New Roman" w:eastAsia="Times New Roman" w:hAnsi="Times New Roman" w:cs="Times New Roman"/>
              </w:rPr>
              <w:t>Non-Caucasian</w:t>
            </w:r>
            <w:proofErr w:type="gramEnd"/>
            <w:r>
              <w:rPr>
                <w:rFonts w:ascii="Times New Roman" w:eastAsia="Times New Roman" w:hAnsi="Times New Roman" w:cs="Times New Roman"/>
              </w:rPr>
              <w:t xml:space="preserve"> (n = 6, 17.65%)</w:t>
            </w:r>
          </w:p>
        </w:tc>
      </w:tr>
      <w:tr w:rsidR="00E90280" w14:paraId="2988E18B" w14:textId="77777777">
        <w:trPr>
          <w:trHeight w:val="222"/>
        </w:trPr>
        <w:tc>
          <w:tcPr>
            <w:tcW w:w="3915" w:type="dxa"/>
            <w:tcBorders>
              <w:top w:val="single" w:sz="4" w:space="0" w:color="000000"/>
              <w:left w:val="nil"/>
              <w:bottom w:val="single" w:sz="4" w:space="0" w:color="000000"/>
              <w:right w:val="single" w:sz="4" w:space="0" w:color="000000"/>
            </w:tcBorders>
            <w:shd w:val="clear" w:color="auto" w:fill="auto"/>
            <w:vAlign w:val="center"/>
          </w:tcPr>
          <w:p w14:paraId="1E4BEEE8"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 xml:space="preserve">Education </w:t>
            </w:r>
          </w:p>
        </w:tc>
        <w:tc>
          <w:tcPr>
            <w:tcW w:w="4350" w:type="dxa"/>
            <w:tcBorders>
              <w:top w:val="single" w:sz="4" w:space="0" w:color="000000"/>
              <w:left w:val="single" w:sz="4" w:space="0" w:color="000000"/>
              <w:bottom w:val="single" w:sz="4" w:space="0" w:color="000000"/>
              <w:right w:val="single" w:sz="4" w:space="0" w:color="000000"/>
            </w:tcBorders>
            <w:vAlign w:val="center"/>
          </w:tcPr>
          <w:p w14:paraId="6218F7CC"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15.77 (2.15) years</w:t>
            </w:r>
          </w:p>
        </w:tc>
        <w:tc>
          <w:tcPr>
            <w:tcW w:w="3870" w:type="dxa"/>
            <w:tcBorders>
              <w:top w:val="single" w:sz="4" w:space="0" w:color="000000"/>
              <w:left w:val="single" w:sz="4" w:space="0" w:color="000000"/>
              <w:bottom w:val="single" w:sz="4" w:space="0" w:color="000000"/>
              <w:right w:val="nil"/>
            </w:tcBorders>
            <w:vAlign w:val="center"/>
          </w:tcPr>
          <w:p w14:paraId="72E72BD1"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16.03 (2.21) years</w:t>
            </w:r>
          </w:p>
        </w:tc>
      </w:tr>
      <w:tr w:rsidR="00E90280" w14:paraId="163D83AF" w14:textId="77777777">
        <w:trPr>
          <w:trHeight w:val="233"/>
        </w:trPr>
        <w:tc>
          <w:tcPr>
            <w:tcW w:w="3915" w:type="dxa"/>
            <w:tcBorders>
              <w:top w:val="single" w:sz="4" w:space="0" w:color="000000"/>
              <w:left w:val="nil"/>
              <w:bottom w:val="single" w:sz="4" w:space="0" w:color="000000"/>
              <w:right w:val="single" w:sz="4" w:space="0" w:color="000000"/>
            </w:tcBorders>
            <w:shd w:val="clear" w:color="auto" w:fill="auto"/>
            <w:vAlign w:val="center"/>
          </w:tcPr>
          <w:p w14:paraId="03416BA4" w14:textId="77777777" w:rsidR="00E90280" w:rsidRDefault="00000000">
            <w:pPr>
              <w:tabs>
                <w:tab w:val="left" w:pos="498"/>
              </w:tabs>
              <w:rPr>
                <w:rFonts w:ascii="Times New Roman" w:eastAsia="Times New Roman" w:hAnsi="Times New Roman" w:cs="Times New Roman"/>
              </w:rPr>
            </w:pPr>
            <w:r>
              <w:rPr>
                <w:rFonts w:ascii="Times New Roman" w:eastAsia="Times New Roman" w:hAnsi="Times New Roman" w:cs="Times New Roman"/>
              </w:rPr>
              <w:t>Beck Depression Inventory - II (BDI-II)*</w:t>
            </w:r>
          </w:p>
        </w:tc>
        <w:tc>
          <w:tcPr>
            <w:tcW w:w="4350" w:type="dxa"/>
            <w:tcBorders>
              <w:top w:val="single" w:sz="4" w:space="0" w:color="000000"/>
              <w:left w:val="single" w:sz="4" w:space="0" w:color="000000"/>
              <w:bottom w:val="single" w:sz="4" w:space="0" w:color="000000"/>
              <w:right w:val="single" w:sz="4" w:space="0" w:color="000000"/>
            </w:tcBorders>
            <w:vAlign w:val="center"/>
          </w:tcPr>
          <w:p w14:paraId="7FCB1365"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Pre Treatment: 30.63 (8.21)</w:t>
            </w:r>
          </w:p>
          <w:p w14:paraId="2CB3F8F7"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Post Treatment: 11.75 (9.50)</w:t>
            </w:r>
          </w:p>
        </w:tc>
        <w:tc>
          <w:tcPr>
            <w:tcW w:w="3870" w:type="dxa"/>
            <w:tcBorders>
              <w:top w:val="single" w:sz="4" w:space="0" w:color="000000"/>
              <w:left w:val="single" w:sz="4" w:space="0" w:color="000000"/>
              <w:bottom w:val="single" w:sz="4" w:space="0" w:color="000000"/>
              <w:right w:val="nil"/>
            </w:tcBorders>
            <w:vAlign w:val="center"/>
          </w:tcPr>
          <w:p w14:paraId="0F62DC19"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Time 1: 1.15 (1.67)</w:t>
            </w:r>
          </w:p>
          <w:p w14:paraId="5EA25FAE"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Time 2: 3.00 (4.66)</w:t>
            </w:r>
          </w:p>
        </w:tc>
      </w:tr>
      <w:tr w:rsidR="00E90280" w14:paraId="094E6EFE" w14:textId="77777777">
        <w:trPr>
          <w:trHeight w:val="233"/>
        </w:trPr>
        <w:tc>
          <w:tcPr>
            <w:tcW w:w="3915" w:type="dxa"/>
            <w:tcBorders>
              <w:top w:val="single" w:sz="4" w:space="0" w:color="000000"/>
              <w:left w:val="nil"/>
              <w:bottom w:val="single" w:sz="4" w:space="0" w:color="000000"/>
              <w:right w:val="single" w:sz="4" w:space="0" w:color="000000"/>
            </w:tcBorders>
            <w:shd w:val="clear" w:color="auto" w:fill="auto"/>
            <w:vAlign w:val="center"/>
          </w:tcPr>
          <w:p w14:paraId="50F19283"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 xml:space="preserve">Depressive episodes </w:t>
            </w:r>
          </w:p>
        </w:tc>
        <w:tc>
          <w:tcPr>
            <w:tcW w:w="4350" w:type="dxa"/>
            <w:tcBorders>
              <w:top w:val="single" w:sz="4" w:space="0" w:color="000000"/>
              <w:left w:val="single" w:sz="4" w:space="0" w:color="000000"/>
              <w:bottom w:val="single" w:sz="4" w:space="0" w:color="000000"/>
              <w:right w:val="single" w:sz="4" w:space="0" w:color="000000"/>
            </w:tcBorders>
            <w:vAlign w:val="center"/>
          </w:tcPr>
          <w:p w14:paraId="5E8E7F6F"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3.21 (1.96)</w:t>
            </w:r>
          </w:p>
        </w:tc>
        <w:tc>
          <w:tcPr>
            <w:tcW w:w="3870" w:type="dxa"/>
            <w:tcBorders>
              <w:top w:val="single" w:sz="4" w:space="0" w:color="000000"/>
              <w:left w:val="single" w:sz="4" w:space="0" w:color="000000"/>
              <w:bottom w:val="single" w:sz="4" w:space="0" w:color="000000"/>
              <w:right w:val="nil"/>
            </w:tcBorders>
            <w:vAlign w:val="center"/>
          </w:tcPr>
          <w:p w14:paraId="1BBBA8FB"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NA</w:t>
            </w:r>
          </w:p>
        </w:tc>
      </w:tr>
      <w:tr w:rsidR="00E90280" w14:paraId="5EE59EB1" w14:textId="77777777">
        <w:trPr>
          <w:trHeight w:val="233"/>
        </w:trPr>
        <w:tc>
          <w:tcPr>
            <w:tcW w:w="3915" w:type="dxa"/>
            <w:tcBorders>
              <w:top w:val="single" w:sz="4" w:space="0" w:color="000000"/>
              <w:left w:val="nil"/>
              <w:bottom w:val="single" w:sz="4" w:space="0" w:color="000000"/>
              <w:right w:val="single" w:sz="4" w:space="0" w:color="000000"/>
            </w:tcBorders>
            <w:shd w:val="clear" w:color="auto" w:fill="auto"/>
            <w:vAlign w:val="center"/>
          </w:tcPr>
          <w:p w14:paraId="2104B688" w14:textId="77777777" w:rsidR="00E90280" w:rsidRDefault="00000000">
            <w:pPr>
              <w:tabs>
                <w:tab w:val="left" w:pos="498"/>
              </w:tabs>
              <w:rPr>
                <w:rFonts w:ascii="Times New Roman" w:eastAsia="Times New Roman" w:hAnsi="Times New Roman" w:cs="Times New Roman"/>
              </w:rPr>
            </w:pPr>
            <w:r>
              <w:rPr>
                <w:rFonts w:ascii="Times New Roman" w:eastAsia="Times New Roman" w:hAnsi="Times New Roman" w:cs="Times New Roman"/>
              </w:rPr>
              <w:t>Comorbid Psychiatric Conditions</w:t>
            </w:r>
          </w:p>
        </w:tc>
        <w:tc>
          <w:tcPr>
            <w:tcW w:w="4350" w:type="dxa"/>
            <w:tcBorders>
              <w:top w:val="single" w:sz="4" w:space="0" w:color="000000"/>
              <w:left w:val="single" w:sz="4" w:space="0" w:color="000000"/>
              <w:bottom w:val="single" w:sz="4" w:space="0" w:color="000000"/>
              <w:right w:val="single" w:sz="4" w:space="0" w:color="000000"/>
            </w:tcBorders>
            <w:vAlign w:val="center"/>
          </w:tcPr>
          <w:p w14:paraId="4CDB31FB" w14:textId="77777777" w:rsidR="00E90280" w:rsidRDefault="00000000">
            <w:pPr>
              <w:rPr>
                <w:rFonts w:ascii="Times New Roman" w:eastAsia="Times New Roman" w:hAnsi="Times New Roman" w:cs="Times New Roman"/>
                <w:color w:val="0B0318"/>
              </w:rPr>
            </w:pPr>
            <w:r>
              <w:rPr>
                <w:rFonts w:ascii="Times New Roman" w:eastAsia="Times New Roman" w:hAnsi="Times New Roman" w:cs="Times New Roman"/>
                <w:color w:val="0B0318"/>
              </w:rPr>
              <w:t>Agoraphobia (n = 1, 1.72%)</w:t>
            </w:r>
          </w:p>
          <w:p w14:paraId="10195B54" w14:textId="77777777" w:rsidR="00E90280" w:rsidRDefault="00000000">
            <w:pPr>
              <w:rPr>
                <w:rFonts w:ascii="Times New Roman" w:eastAsia="Times New Roman" w:hAnsi="Times New Roman" w:cs="Times New Roman"/>
                <w:color w:val="0B0318"/>
              </w:rPr>
            </w:pPr>
            <w:r>
              <w:rPr>
                <w:rFonts w:ascii="Times New Roman" w:eastAsia="Times New Roman" w:hAnsi="Times New Roman" w:cs="Times New Roman"/>
                <w:color w:val="0B0318"/>
              </w:rPr>
              <w:t>Anxiety NOS (n = 1, 1.72%)</w:t>
            </w:r>
          </w:p>
          <w:p w14:paraId="37D163A2" w14:textId="77777777" w:rsidR="00E90280" w:rsidRDefault="00000000">
            <w:pPr>
              <w:rPr>
                <w:rFonts w:ascii="Times New Roman" w:eastAsia="Times New Roman" w:hAnsi="Times New Roman" w:cs="Times New Roman"/>
                <w:color w:val="0B0318"/>
              </w:rPr>
            </w:pPr>
            <w:r>
              <w:rPr>
                <w:rFonts w:ascii="Times New Roman" w:eastAsia="Times New Roman" w:hAnsi="Times New Roman" w:cs="Times New Roman"/>
                <w:color w:val="0B0318"/>
              </w:rPr>
              <w:t>Cannabis Abuse (n = 1, 1.72%)</w:t>
            </w:r>
          </w:p>
          <w:p w14:paraId="76E80794" w14:textId="77777777" w:rsidR="00E90280" w:rsidRDefault="00000000">
            <w:pPr>
              <w:rPr>
                <w:rFonts w:ascii="Times New Roman" w:eastAsia="Times New Roman" w:hAnsi="Times New Roman" w:cs="Times New Roman"/>
                <w:color w:val="0B0318"/>
              </w:rPr>
            </w:pPr>
            <w:r>
              <w:rPr>
                <w:rFonts w:ascii="Times New Roman" w:eastAsia="Times New Roman" w:hAnsi="Times New Roman" w:cs="Times New Roman"/>
                <w:color w:val="0B0318"/>
              </w:rPr>
              <w:t>Dysthymic Disorder (n = 3, 5.17%)</w:t>
            </w:r>
          </w:p>
          <w:p w14:paraId="3E77AEC7" w14:textId="77777777" w:rsidR="00E90280" w:rsidRDefault="00000000">
            <w:pPr>
              <w:rPr>
                <w:rFonts w:ascii="Times New Roman" w:eastAsia="Times New Roman" w:hAnsi="Times New Roman" w:cs="Times New Roman"/>
                <w:color w:val="0B0318"/>
              </w:rPr>
            </w:pPr>
            <w:r>
              <w:rPr>
                <w:rFonts w:ascii="Times New Roman" w:eastAsia="Times New Roman" w:hAnsi="Times New Roman" w:cs="Times New Roman"/>
                <w:color w:val="0B0318"/>
              </w:rPr>
              <w:t>Generalized Anxiety Disorder (n = 2, 3.45%)</w:t>
            </w:r>
          </w:p>
          <w:p w14:paraId="1078E56F" w14:textId="77777777" w:rsidR="00E90280" w:rsidRDefault="00000000">
            <w:pPr>
              <w:rPr>
                <w:rFonts w:ascii="Times New Roman" w:eastAsia="Times New Roman" w:hAnsi="Times New Roman" w:cs="Times New Roman"/>
                <w:color w:val="0B0318"/>
              </w:rPr>
            </w:pPr>
            <w:r>
              <w:rPr>
                <w:rFonts w:ascii="Times New Roman" w:eastAsia="Times New Roman" w:hAnsi="Times New Roman" w:cs="Times New Roman"/>
                <w:color w:val="0B0318"/>
              </w:rPr>
              <w:t>Post-Traumatic Stress Disorder (n = 1, 1.72%)</w:t>
            </w:r>
          </w:p>
          <w:p w14:paraId="09067E56" w14:textId="77777777" w:rsidR="00E90280" w:rsidRDefault="00000000">
            <w:pPr>
              <w:rPr>
                <w:rFonts w:ascii="Times New Roman" w:eastAsia="Times New Roman" w:hAnsi="Times New Roman" w:cs="Times New Roman"/>
                <w:color w:val="0B0318"/>
              </w:rPr>
            </w:pPr>
            <w:r>
              <w:rPr>
                <w:rFonts w:ascii="Times New Roman" w:eastAsia="Times New Roman" w:hAnsi="Times New Roman" w:cs="Times New Roman"/>
                <w:color w:val="0B0318"/>
              </w:rPr>
              <w:t>Social Anxiety Disorder (n = 10, 17.24%)</w:t>
            </w:r>
          </w:p>
          <w:p w14:paraId="592966C2" w14:textId="77777777" w:rsidR="00E90280" w:rsidRDefault="00000000">
            <w:pPr>
              <w:rPr>
                <w:rFonts w:ascii="Times New Roman" w:eastAsia="Times New Roman" w:hAnsi="Times New Roman" w:cs="Times New Roman"/>
                <w:color w:val="0B0318"/>
              </w:rPr>
            </w:pPr>
            <w:r>
              <w:rPr>
                <w:rFonts w:ascii="Times New Roman" w:eastAsia="Times New Roman" w:hAnsi="Times New Roman" w:cs="Times New Roman"/>
                <w:color w:val="0B0318"/>
              </w:rPr>
              <w:t>Specific Phobia (n = 2, 3.45%)</w:t>
            </w:r>
          </w:p>
        </w:tc>
        <w:tc>
          <w:tcPr>
            <w:tcW w:w="3870" w:type="dxa"/>
            <w:tcBorders>
              <w:top w:val="single" w:sz="4" w:space="0" w:color="000000"/>
              <w:left w:val="single" w:sz="4" w:space="0" w:color="000000"/>
              <w:bottom w:val="single" w:sz="4" w:space="0" w:color="000000"/>
              <w:right w:val="nil"/>
            </w:tcBorders>
            <w:vAlign w:val="center"/>
          </w:tcPr>
          <w:p w14:paraId="2457FF30" w14:textId="77777777" w:rsidR="00E90280" w:rsidRDefault="00000000">
            <w:pPr>
              <w:rPr>
                <w:rFonts w:ascii="Times New Roman" w:eastAsia="Times New Roman" w:hAnsi="Times New Roman" w:cs="Times New Roman"/>
              </w:rPr>
            </w:pPr>
            <w:r>
              <w:rPr>
                <w:rFonts w:ascii="Times New Roman" w:eastAsia="Times New Roman" w:hAnsi="Times New Roman" w:cs="Times New Roman"/>
              </w:rPr>
              <w:t>NA</w:t>
            </w:r>
          </w:p>
        </w:tc>
      </w:tr>
    </w:tbl>
    <w:p w14:paraId="2A05C65E" w14:textId="77777777" w:rsidR="00E90280" w:rsidRDefault="00000000">
      <w:pPr>
        <w:sectPr w:rsidR="00E90280">
          <w:pgSz w:w="15840" w:h="12240" w:orient="landscape"/>
          <w:pgMar w:top="1440" w:right="1440" w:bottom="1440" w:left="1440" w:header="720" w:footer="720" w:gutter="0"/>
          <w:cols w:space="720"/>
        </w:sectPr>
      </w:pPr>
      <w:r>
        <w:rPr>
          <w:rFonts w:ascii="Times New Roman" w:eastAsia="Times New Roman" w:hAnsi="Times New Roman" w:cs="Times New Roman"/>
          <w:sz w:val="24"/>
          <w:szCs w:val="24"/>
        </w:rPr>
        <w:t xml:space="preserve">Note.  Means for age, education, number of depressive episodes, and </w:t>
      </w:r>
      <w:r>
        <w:rPr>
          <w:rFonts w:ascii="Times New Roman" w:eastAsia="Times New Roman" w:hAnsi="Times New Roman" w:cs="Times New Roman"/>
        </w:rPr>
        <w:t xml:space="preserve">BDI-II scores </w:t>
      </w:r>
      <w:r>
        <w:rPr>
          <w:rFonts w:ascii="Times New Roman" w:eastAsia="Times New Roman" w:hAnsi="Times New Roman" w:cs="Times New Roman"/>
          <w:sz w:val="24"/>
          <w:szCs w:val="24"/>
        </w:rPr>
        <w:t>are followed by standard deviations in parentheses. Patient sample education (n=56</w:t>
      </w:r>
      <w:r>
        <w:rPr>
          <w:rFonts w:ascii="Times New Roman" w:eastAsia="Times New Roman" w:hAnsi="Times New Roman" w:cs="Times New Roman"/>
          <w:color w:val="0B0318"/>
          <w:sz w:val="24"/>
          <w:szCs w:val="24"/>
        </w:rPr>
        <w:t>), number of depressive episodes (n=53)</w:t>
      </w:r>
      <w:r>
        <w:rPr>
          <w:rFonts w:ascii="Times New Roman" w:eastAsia="Times New Roman" w:hAnsi="Times New Roman" w:cs="Times New Roman"/>
          <w:sz w:val="24"/>
          <w:szCs w:val="24"/>
        </w:rPr>
        <w:t>. Control sample Time 1 BDI-II (n=33), Time 2 BDI-II (n=33).</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Patients and controls did not differ on demographic variables. *Patients and controls differed on depression symptoms, with the patients reporting greater depression symptoms both before (t(64.89) -26.41, </w:t>
      </w:r>
      <w:r>
        <w:rPr>
          <w:rFonts w:ascii="Times New Roman" w:eastAsia="Times New Roman" w:hAnsi="Times New Roman" w:cs="Times New Roman"/>
          <w:i/>
          <w:sz w:val="24"/>
          <w:szCs w:val="24"/>
        </w:rPr>
        <w:t xml:space="preserve">p </w:t>
      </w:r>
      <w:r>
        <w:rPr>
          <w:rFonts w:ascii="Times New Roman" w:eastAsia="Times New Roman" w:hAnsi="Times New Roman" w:cs="Times New Roman"/>
          <w:sz w:val="24"/>
          <w:szCs w:val="24"/>
        </w:rPr>
        <w:t xml:space="preserve">&lt; .001) and after treatment (t(87.54) -5.88, </w:t>
      </w:r>
      <w:r>
        <w:rPr>
          <w:rFonts w:ascii="Times New Roman" w:eastAsia="Times New Roman" w:hAnsi="Times New Roman" w:cs="Times New Roman"/>
          <w:i/>
          <w:sz w:val="24"/>
          <w:szCs w:val="24"/>
        </w:rPr>
        <w:t xml:space="preserve">p </w:t>
      </w:r>
      <w:r>
        <w:rPr>
          <w:rFonts w:ascii="Times New Roman" w:eastAsia="Times New Roman" w:hAnsi="Times New Roman" w:cs="Times New Roman"/>
          <w:sz w:val="24"/>
          <w:szCs w:val="24"/>
        </w:rPr>
        <w:t>&lt; .001). (Equal variances could not be assumed for BDI-II scores; variances were un-</w:t>
      </w:r>
      <w:proofErr w:type="gramStart"/>
      <w:r>
        <w:rPr>
          <w:rFonts w:ascii="Times New Roman" w:eastAsia="Times New Roman" w:hAnsi="Times New Roman" w:cs="Times New Roman"/>
          <w:sz w:val="24"/>
          <w:szCs w:val="24"/>
        </w:rPr>
        <w:t>pooled</w:t>
      </w:r>
      <w:proofErr w:type="gramEnd"/>
      <w:r>
        <w:rPr>
          <w:rFonts w:ascii="Times New Roman" w:eastAsia="Times New Roman" w:hAnsi="Times New Roman" w:cs="Times New Roman"/>
          <w:sz w:val="24"/>
          <w:szCs w:val="24"/>
        </w:rPr>
        <w:t xml:space="preserve"> and degrees of freedom corrected). </w:t>
      </w:r>
    </w:p>
    <w:p w14:paraId="3A97C45D" w14:textId="77777777" w:rsidR="00E90280" w:rsidRDefault="00000000">
      <w:pPr>
        <w:pStyle w:val="Heading2"/>
        <w:spacing w:line="480" w:lineRule="auto"/>
      </w:pPr>
      <w:bookmarkStart w:id="2" w:name="_htc3fs5l4y6c" w:colFirst="0" w:colLast="0"/>
      <w:bookmarkEnd w:id="2"/>
      <w:r>
        <w:lastRenderedPageBreak/>
        <w:t xml:space="preserve">Supplement 3. Details on calculating </w:t>
      </w:r>
      <w:proofErr w:type="spellStart"/>
      <w:r>
        <w:t>voxelwise</w:t>
      </w:r>
      <w:proofErr w:type="spellEnd"/>
      <w:r>
        <w:t xml:space="preserve"> Cohen’s d values</w:t>
      </w:r>
    </w:p>
    <w:p w14:paraId="6B54F0CF" w14:textId="028369DC" w:rsidR="00E90280" w:rsidRDefault="00000000">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calculate </w:t>
      </w:r>
      <w:proofErr w:type="spellStart"/>
      <w:r>
        <w:rPr>
          <w:rFonts w:ascii="Times New Roman" w:eastAsia="Times New Roman" w:hAnsi="Times New Roman" w:cs="Times New Roman"/>
          <w:sz w:val="24"/>
          <w:szCs w:val="24"/>
        </w:rPr>
        <w:t>voxelwise</w:t>
      </w:r>
      <w:proofErr w:type="spellEnd"/>
      <w:r>
        <w:rPr>
          <w:rFonts w:ascii="Times New Roman" w:eastAsia="Times New Roman" w:hAnsi="Times New Roman" w:cs="Times New Roman"/>
          <w:sz w:val="24"/>
          <w:szCs w:val="24"/>
        </w:rPr>
        <w:t xml:space="preserve"> Cohen’s d for conjunction analyses, we used a custom MATLAB script to first calculate </w:t>
      </w:r>
      <w:proofErr w:type="spellStart"/>
      <w:r>
        <w:rPr>
          <w:rFonts w:ascii="Times New Roman" w:eastAsia="Times New Roman" w:hAnsi="Times New Roman" w:cs="Times New Roman"/>
          <w:sz w:val="24"/>
          <w:szCs w:val="24"/>
        </w:rPr>
        <w:t>voxelwise</w:t>
      </w:r>
      <w:proofErr w:type="spellEnd"/>
      <w:r>
        <w:rPr>
          <w:rFonts w:ascii="Times New Roman" w:eastAsia="Times New Roman" w:hAnsi="Times New Roman" w:cs="Times New Roman"/>
          <w:sz w:val="24"/>
          <w:szCs w:val="24"/>
        </w:rPr>
        <w:t xml:space="preserve"> t values for all contrasts (defined in the preceding section). The custom MATLAB script allowed restriction of effect size estimates to voxels that had good coverage in the sample and also allowed the inclusion of a covariate, data collection scanner (two scanners). To calculate effect size estimates for voxels with good coverage, effect size was only calculated for a voxel if it had functional data for more than 50% of the sample. To address the covariate of site, we ran </w:t>
      </w:r>
      <w:proofErr w:type="spellStart"/>
      <w:r>
        <w:rPr>
          <w:rFonts w:ascii="Times New Roman" w:eastAsia="Times New Roman" w:hAnsi="Times New Roman" w:cs="Times New Roman"/>
          <w:sz w:val="24"/>
          <w:szCs w:val="24"/>
        </w:rPr>
        <w:t>voxelwise</w:t>
      </w:r>
      <w:proofErr w:type="spellEnd"/>
      <w:r>
        <w:rPr>
          <w:rFonts w:ascii="Times New Roman" w:eastAsia="Times New Roman" w:hAnsi="Times New Roman" w:cs="Times New Roman"/>
          <w:sz w:val="24"/>
          <w:szCs w:val="24"/>
        </w:rPr>
        <w:t xml:space="preserve"> regressions, with % signal change regressed on site. We converted betas from </w:t>
      </w:r>
      <w:proofErr w:type="spellStart"/>
      <w:r>
        <w:rPr>
          <w:rFonts w:ascii="Times New Roman" w:eastAsia="Times New Roman" w:hAnsi="Times New Roman" w:cs="Times New Roman"/>
          <w:sz w:val="24"/>
          <w:szCs w:val="24"/>
        </w:rPr>
        <w:t>voxelwise</w:t>
      </w:r>
      <w:proofErr w:type="spellEnd"/>
      <w:r>
        <w:rPr>
          <w:rFonts w:ascii="Times New Roman" w:eastAsia="Times New Roman" w:hAnsi="Times New Roman" w:cs="Times New Roman"/>
          <w:sz w:val="24"/>
          <w:szCs w:val="24"/>
        </w:rPr>
        <w:t xml:space="preserve"> regressions into within-subjects or between-subjects t values, saved in the original space of the functional images. The custom MATLAB script also saved </w:t>
      </w:r>
      <w:proofErr w:type="spellStart"/>
      <w:r>
        <w:rPr>
          <w:rFonts w:ascii="Times New Roman" w:eastAsia="Times New Roman" w:hAnsi="Times New Roman" w:cs="Times New Roman"/>
          <w:sz w:val="24"/>
          <w:szCs w:val="24"/>
        </w:rPr>
        <w:t>voxelwise</w:t>
      </w:r>
      <w:proofErr w:type="spellEnd"/>
      <w:r>
        <w:rPr>
          <w:rFonts w:ascii="Times New Roman" w:eastAsia="Times New Roman" w:hAnsi="Times New Roman" w:cs="Times New Roman"/>
          <w:sz w:val="24"/>
          <w:szCs w:val="24"/>
        </w:rPr>
        <w:t xml:space="preserve"> Ns, used for conversion of t values into Cohen’s d. We calculated </w:t>
      </w:r>
      <w:proofErr w:type="spellStart"/>
      <w:r>
        <w:rPr>
          <w:rFonts w:ascii="Times New Roman" w:eastAsia="Times New Roman" w:hAnsi="Times New Roman" w:cs="Times New Roman"/>
          <w:sz w:val="24"/>
          <w:szCs w:val="24"/>
        </w:rPr>
        <w:t>voxelwise</w:t>
      </w:r>
      <w:proofErr w:type="spellEnd"/>
      <w:r>
        <w:rPr>
          <w:rFonts w:ascii="Times New Roman" w:eastAsia="Times New Roman" w:hAnsi="Times New Roman" w:cs="Times New Roman"/>
          <w:sz w:val="24"/>
          <w:szCs w:val="24"/>
        </w:rPr>
        <w:t xml:space="preserve"> Cohen’s d for contrasts of interest with AFNI’s 3dcalc function (within-</w:t>
      </w:r>
      <w:r w:rsidRPr="007972AE">
        <w:rPr>
          <w:rFonts w:ascii="Times New Roman" w:eastAsia="Times New Roman" w:hAnsi="Times New Roman" w:cs="Times New Roman"/>
          <w:sz w:val="24"/>
          <w:szCs w:val="24"/>
        </w:rPr>
        <w:t>subjects [</w:t>
      </w:r>
      <w:r w:rsidRPr="007972AE">
        <w:rPr>
          <w:rFonts w:ascii="Times New Roman" w:eastAsia="Times New Roman" w:hAnsi="Times New Roman" w:cs="Times New Roman"/>
          <w:i/>
          <w:sz w:val="24"/>
          <w:szCs w:val="24"/>
        </w:rPr>
        <w:t>d</w:t>
      </w:r>
      <w:r w:rsidRPr="007972AE">
        <w:rPr>
          <w:rFonts w:ascii="Times New Roman" w:eastAsia="Times New Roman" w:hAnsi="Times New Roman" w:cs="Times New Roman"/>
          <w:sz w:val="24"/>
          <w:szCs w:val="24"/>
        </w:rPr>
        <w:t>=</w:t>
      </w:r>
      <w:r w:rsidRPr="007972AE">
        <w:rPr>
          <w:rFonts w:ascii="Times New Roman" w:eastAsia="Times New Roman" w:hAnsi="Times New Roman" w:cs="Times New Roman"/>
          <w:i/>
          <w:sz w:val="24"/>
          <w:szCs w:val="24"/>
        </w:rPr>
        <w:t>t*</w:t>
      </w:r>
      <m:oMath>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1/n</m:t>
            </m:r>
          </m:e>
        </m:rad>
      </m:oMath>
      <w:r w:rsidRPr="007972AE">
        <w:rPr>
          <w:rFonts w:ascii="Times New Roman" w:eastAsia="Times New Roman" w:hAnsi="Times New Roman" w:cs="Times New Roman"/>
          <w:sz w:val="24"/>
          <w:szCs w:val="24"/>
        </w:rPr>
        <w:t>]; between-subjects [</w:t>
      </w:r>
      <w:r w:rsidRPr="007972AE">
        <w:rPr>
          <w:rFonts w:ascii="Times New Roman" w:eastAsia="Times New Roman" w:hAnsi="Times New Roman" w:cs="Times New Roman"/>
          <w:i/>
          <w:sz w:val="24"/>
          <w:szCs w:val="24"/>
        </w:rPr>
        <w:t>d</w:t>
      </w:r>
      <w:r w:rsidRPr="007972AE">
        <w:rPr>
          <w:rFonts w:ascii="Times New Roman" w:eastAsia="Times New Roman" w:hAnsi="Times New Roman" w:cs="Times New Roman"/>
          <w:sz w:val="24"/>
          <w:szCs w:val="24"/>
        </w:rPr>
        <w:t>=</w:t>
      </w:r>
      <w:r w:rsidRPr="007972AE">
        <w:rPr>
          <w:rFonts w:ascii="Times New Roman" w:eastAsia="Times New Roman" w:hAnsi="Times New Roman" w:cs="Times New Roman"/>
          <w:i/>
          <w:sz w:val="24"/>
          <w:szCs w:val="24"/>
        </w:rPr>
        <w:t>t</w:t>
      </w:r>
      <w:r w:rsidRPr="007972AE">
        <w:rPr>
          <w:rFonts w:ascii="Times New Roman" w:eastAsia="Times New Roman" w:hAnsi="Times New Roman" w:cs="Times New Roman"/>
          <w:sz w:val="24"/>
          <w:szCs w:val="24"/>
        </w:rPr>
        <w:t>*</w:t>
      </w:r>
      <m:oMath>
        <m:rad>
          <m:radPr>
            <m:degHide m:val="1"/>
            <m:ctrlPr>
              <w:rPr>
                <w:rFonts w:ascii="Cambria Math" w:eastAsia="Times New Roman" w:hAnsi="Cambria Math" w:cs="Times New Roman"/>
                <w:sz w:val="24"/>
                <w:szCs w:val="24"/>
              </w:rPr>
            </m:ctrlPr>
          </m:radPr>
          <m:deg/>
          <m:e>
            <m:r>
              <w:rPr>
                <w:rFonts w:ascii="Cambria Math" w:eastAsia="Times New Roman" w:hAnsi="Cambria Math" w:cs="Times New Roman"/>
                <w:sz w:val="24"/>
                <w:szCs w:val="24"/>
              </w:rPr>
              <m:t>1/n1 +1/n2</m:t>
            </m:r>
          </m:e>
        </m:rad>
      </m:oMath>
      <w:r w:rsidRPr="007972AE">
        <w:rPr>
          <w:rFonts w:ascii="Times New Roman" w:eastAsia="Times New Roman" w:hAnsi="Times New Roman" w:cs="Times New Roman"/>
          <w:sz w:val="24"/>
          <w:szCs w:val="24"/>
        </w:rPr>
        <w:t xml:space="preserve"> ];</w:t>
      </w:r>
      <w:hyperlink r:id="rId12">
        <w:r w:rsidRPr="007972AE">
          <w:rPr>
            <w:rFonts w:ascii="Times New Roman" w:eastAsia="Times New Roman" w:hAnsi="Times New Roman" w:cs="Times New Roman"/>
            <w:color w:val="000000"/>
            <w:sz w:val="24"/>
            <w:szCs w:val="24"/>
          </w:rPr>
          <w:t>(</w:t>
        </w:r>
        <w:proofErr w:type="spellStart"/>
        <w:r w:rsidRPr="007972AE">
          <w:rPr>
            <w:rFonts w:ascii="Times New Roman" w:eastAsia="Times New Roman" w:hAnsi="Times New Roman" w:cs="Times New Roman"/>
            <w:color w:val="000000"/>
            <w:sz w:val="24"/>
            <w:szCs w:val="24"/>
          </w:rPr>
          <w:t>Lakens</w:t>
        </w:r>
        <w:proofErr w:type="spellEnd"/>
        <w:r w:rsidR="007713C3" w:rsidRPr="007972AE">
          <w:rPr>
            <w:rFonts w:ascii="Times New Roman" w:eastAsia="Times New Roman" w:hAnsi="Times New Roman" w:cs="Times New Roman"/>
            <w:color w:val="000000"/>
            <w:sz w:val="24"/>
            <w:szCs w:val="24"/>
          </w:rPr>
          <w:t xml:space="preserve">, </w:t>
        </w:r>
        <w:r w:rsidRPr="007972AE">
          <w:rPr>
            <w:rFonts w:ascii="Times New Roman" w:eastAsia="Times New Roman" w:hAnsi="Times New Roman" w:cs="Times New Roman"/>
            <w:color w:val="000000"/>
            <w:sz w:val="24"/>
            <w:szCs w:val="24"/>
          </w:rPr>
          <w:t>2013)</w:t>
        </w:r>
      </w:hyperlink>
      <w:r w:rsidR="007713C3" w:rsidRPr="007972AE">
        <w:rPr>
          <w:rFonts w:ascii="Times New Roman" w:eastAsia="Times New Roman" w:hAnsi="Times New Roman" w:cs="Times New Roman"/>
          <w:color w:val="000000"/>
          <w:sz w:val="24"/>
          <w:szCs w:val="24"/>
        </w:rPr>
        <w:t>)</w:t>
      </w:r>
      <w:r w:rsidRPr="007972AE">
        <w:rPr>
          <w:rFonts w:ascii="Times New Roman" w:eastAsia="Times New Roman" w:hAnsi="Times New Roman" w:cs="Times New Roman"/>
          <w:sz w:val="24"/>
          <w:szCs w:val="24"/>
        </w:rPr>
        <w:t>, which provided Cohen’s</w:t>
      </w:r>
      <w:r>
        <w:rPr>
          <w:rFonts w:ascii="Times New Roman" w:eastAsia="Times New Roman" w:hAnsi="Times New Roman" w:cs="Times New Roman"/>
          <w:sz w:val="24"/>
          <w:szCs w:val="24"/>
        </w:rPr>
        <w:t xml:space="preserve"> d maps for all contrasts.</w:t>
      </w:r>
    </w:p>
    <w:p w14:paraId="34A72AEA" w14:textId="77777777" w:rsidR="00E90280" w:rsidRDefault="00E90280">
      <w:pPr>
        <w:spacing w:line="480" w:lineRule="auto"/>
        <w:jc w:val="both"/>
        <w:rPr>
          <w:rFonts w:ascii="Times New Roman" w:eastAsia="Times New Roman" w:hAnsi="Times New Roman" w:cs="Times New Roman"/>
          <w:sz w:val="24"/>
          <w:szCs w:val="24"/>
        </w:rPr>
      </w:pPr>
    </w:p>
    <w:p w14:paraId="0C261446" w14:textId="77777777" w:rsidR="00E90280" w:rsidRDefault="00E90280">
      <w:pPr>
        <w:spacing w:line="480" w:lineRule="auto"/>
        <w:jc w:val="both"/>
        <w:rPr>
          <w:rFonts w:ascii="Times New Roman" w:eastAsia="Times New Roman" w:hAnsi="Times New Roman" w:cs="Times New Roman"/>
          <w:sz w:val="24"/>
          <w:szCs w:val="24"/>
        </w:rPr>
      </w:pPr>
    </w:p>
    <w:p w14:paraId="2BE47CED" w14:textId="77777777" w:rsidR="00E90280" w:rsidRDefault="00000000">
      <w:pPr>
        <w:spacing w:line="480" w:lineRule="auto"/>
        <w:jc w:val="center"/>
        <w:rPr>
          <w:rFonts w:ascii="Times New Roman" w:eastAsia="Times New Roman" w:hAnsi="Times New Roman" w:cs="Times New Roman"/>
          <w:b/>
          <w:sz w:val="24"/>
          <w:szCs w:val="24"/>
        </w:rPr>
      </w:pPr>
      <w:r>
        <w:br w:type="page"/>
      </w:r>
    </w:p>
    <w:p w14:paraId="77994C1D" w14:textId="77777777" w:rsidR="00E90280" w:rsidRDefault="00000000">
      <w:pPr>
        <w:pStyle w:val="Heading2"/>
        <w:spacing w:line="240" w:lineRule="auto"/>
        <w:rPr>
          <w:b/>
        </w:rPr>
      </w:pPr>
      <w:bookmarkStart w:id="3" w:name="_6788spy1ylsl" w:colFirst="0" w:colLast="0"/>
      <w:bookmarkEnd w:id="3"/>
      <w:r>
        <w:lastRenderedPageBreak/>
        <w:t>Supplement 4. Results for positive words</w:t>
      </w:r>
    </w:p>
    <w:p w14:paraId="4F09E155"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Nonresponse</w:t>
      </w:r>
    </w:p>
    <w:p w14:paraId="491649D4"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cluster centered at the left middle frontal gyrus (11,718.75mm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-17, 22, 50 (MNI for all coordinates) met contrast criteria for nonresponse and survived cluster-thresholding (Figure S4.1). MDD patients showed greater activation of the nonresponse cluster relative to control participants, which did not decrease after CBT (Figure S4.2).</w:t>
      </w:r>
    </w:p>
    <w:p w14:paraId="771B1C95" w14:textId="77777777" w:rsidR="00E90280" w:rsidRDefault="00E90280">
      <w:pPr>
        <w:shd w:val="clear" w:color="auto" w:fill="FFFFFF"/>
        <w:spacing w:line="240" w:lineRule="auto"/>
        <w:ind w:firstLine="720"/>
        <w:jc w:val="both"/>
        <w:rPr>
          <w:rFonts w:ascii="Times New Roman" w:eastAsia="Times New Roman" w:hAnsi="Times New Roman" w:cs="Times New Roman"/>
          <w:sz w:val="24"/>
          <w:szCs w:val="24"/>
        </w:rPr>
      </w:pPr>
    </w:p>
    <w:p w14:paraId="662486C6"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Biomarkers</w:t>
      </w:r>
    </w:p>
    <w:p w14:paraId="22534381"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 xml:space="preserve">changes from incorporating depression symptom residuals (BDI-II) to a whole-brain regression (neural reactivity regressed on site) ranged from 0 to 0.18 in the non-response cluster, suggesting minimal prognostic value (Figure S4.1). </w:t>
      </w:r>
    </w:p>
    <w:p w14:paraId="6F518314" w14:textId="77777777" w:rsidR="00E90280" w:rsidRDefault="00E90280">
      <w:pPr>
        <w:shd w:val="clear" w:color="auto" w:fill="FFFFFF"/>
        <w:spacing w:line="240" w:lineRule="auto"/>
        <w:ind w:firstLine="720"/>
        <w:jc w:val="both"/>
        <w:rPr>
          <w:rFonts w:ascii="Times New Roman" w:eastAsia="Times New Roman" w:hAnsi="Times New Roman" w:cs="Times New Roman"/>
          <w:sz w:val="24"/>
          <w:szCs w:val="24"/>
        </w:rPr>
      </w:pPr>
    </w:p>
    <w:p w14:paraId="251E8097" w14:textId="77777777" w:rsidR="00E90280" w:rsidRDefault="00000000">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S4.1. Nonresponse cluster for positive words</w:t>
      </w:r>
    </w:p>
    <w:p w14:paraId="1E37F11B" w14:textId="77777777"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F082783" wp14:editId="06E0B2A5">
            <wp:extent cx="5943600" cy="445770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5943600" cy="4457700"/>
                    </a:xfrm>
                    <a:prstGeom prst="rect">
                      <a:avLst/>
                    </a:prstGeom>
                    <a:ln/>
                  </pic:spPr>
                </pic:pic>
              </a:graphicData>
            </a:graphic>
          </wp:inline>
        </w:drawing>
      </w:r>
    </w:p>
    <w:p w14:paraId="632960E3" w14:textId="77777777" w:rsidR="00E90280" w:rsidRPr="000116E6" w:rsidRDefault="00000000">
      <w:pPr>
        <w:shd w:val="clear" w:color="auto" w:fill="FFFFFF"/>
        <w:spacing w:line="240" w:lineRule="auto"/>
        <w:jc w:val="both"/>
        <w:rPr>
          <w:rFonts w:ascii="Times New Roman" w:eastAsia="Times New Roman" w:hAnsi="Times New Roman" w:cs="Times New Roman"/>
          <w:color w:val="222222"/>
          <w:sz w:val="24"/>
          <w:szCs w:val="24"/>
        </w:rPr>
      </w:pPr>
      <w:r w:rsidRPr="000116E6">
        <w:rPr>
          <w:rFonts w:ascii="Times New Roman" w:eastAsia="Gungsuh" w:hAnsi="Times New Roman" w:cs="Times New Roman"/>
          <w:color w:val="222222"/>
          <w:sz w:val="24"/>
          <w:szCs w:val="24"/>
        </w:rPr>
        <w:t xml:space="preserve">Note. A. Pre-Ctrl ≠ Pre-Dep represents brain areas where control participants differed (d &gt; .24) from depressed patients prior to treatment. B. Pre-Dep = </w:t>
      </w:r>
      <w:proofErr w:type="gramStart"/>
      <w:r w:rsidRPr="000116E6">
        <w:rPr>
          <w:rFonts w:ascii="Times New Roman" w:eastAsia="Gungsuh" w:hAnsi="Times New Roman" w:cs="Times New Roman"/>
          <w:color w:val="222222"/>
          <w:sz w:val="24"/>
          <w:szCs w:val="24"/>
        </w:rPr>
        <w:t>Post-Dep</w:t>
      </w:r>
      <w:proofErr w:type="gramEnd"/>
      <w:r w:rsidRPr="000116E6">
        <w:rPr>
          <w:rFonts w:ascii="Times New Roman" w:eastAsia="Gungsuh" w:hAnsi="Times New Roman" w:cs="Times New Roman"/>
          <w:color w:val="222222"/>
          <w:sz w:val="24"/>
          <w:szCs w:val="24"/>
        </w:rPr>
        <w:t xml:space="preserve"> represents brain areas where a practical absence of effect (d &lt; .05) was observed when comparing depressed patients prior to and after treatment. C. Nonresponse represents areas that met both A and B effect size criteria and survived cluster thresholding (&gt; 263 voxels [AFNI’s NN3, 2-sided]). Coloring represents whole-brain regression R2 Δ values on neural reactivity to negative words at the pre-treatment scan as predicted by residual BDI-II scores above and beyond scanner (i.e., extent to which the region acts </w:t>
      </w:r>
      <w:r w:rsidRPr="000116E6">
        <w:rPr>
          <w:rFonts w:ascii="Times New Roman" w:eastAsia="Gungsuh" w:hAnsi="Times New Roman" w:cs="Times New Roman"/>
          <w:color w:val="222222"/>
          <w:sz w:val="24"/>
          <w:szCs w:val="24"/>
        </w:rPr>
        <w:lastRenderedPageBreak/>
        <w:t>as a predictor of treatment response); the overall low values suggest the nonresponse cluster is minimally associated with either clinical change or change in activity in association with treatment.</w:t>
      </w:r>
    </w:p>
    <w:p w14:paraId="4576DAA0" w14:textId="77777777" w:rsidR="00E90280" w:rsidRDefault="00E90280">
      <w:pPr>
        <w:spacing w:line="240" w:lineRule="auto"/>
        <w:rPr>
          <w:rFonts w:ascii="Times New Roman" w:eastAsia="Times New Roman" w:hAnsi="Times New Roman" w:cs="Times New Roman"/>
          <w:color w:val="222222"/>
          <w:sz w:val="24"/>
          <w:szCs w:val="24"/>
        </w:rPr>
      </w:pPr>
    </w:p>
    <w:p w14:paraId="7BAE171F" w14:textId="77777777" w:rsidR="00E90280" w:rsidRDefault="00000000">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Figure S4.2. Individual averages for nonresponse cluster for positive words</w:t>
      </w:r>
    </w:p>
    <w:p w14:paraId="60B9E8C9" w14:textId="77777777" w:rsidR="00E90280" w:rsidRDefault="00000000">
      <w:pPr>
        <w:spacing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noProof/>
          <w:sz w:val="24"/>
          <w:szCs w:val="24"/>
        </w:rPr>
        <w:drawing>
          <wp:inline distT="114300" distB="114300" distL="114300" distR="114300" wp14:anchorId="7532268D" wp14:editId="1FFDDB6C">
            <wp:extent cx="5010150" cy="3516585"/>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t="6906"/>
                    <a:stretch>
                      <a:fillRect/>
                    </a:stretch>
                  </pic:blipFill>
                  <pic:spPr>
                    <a:xfrm>
                      <a:off x="0" y="0"/>
                      <a:ext cx="5010150" cy="3516585"/>
                    </a:xfrm>
                    <a:prstGeom prst="rect">
                      <a:avLst/>
                    </a:prstGeom>
                    <a:ln/>
                  </pic:spPr>
                </pic:pic>
              </a:graphicData>
            </a:graphic>
          </wp:inline>
        </w:drawing>
      </w:r>
    </w:p>
    <w:p w14:paraId="57244FD8" w14:textId="77777777" w:rsidR="00E90280"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Note. Individual mean reactivity averages of the nonresponse cluster for control participants (Pre-Ctrl) and MDD patients prior to and after CBT (Pre-Dep, Post-Dep)</w:t>
      </w:r>
    </w:p>
    <w:p w14:paraId="2717EFBB" w14:textId="77777777" w:rsidR="00E90280" w:rsidRDefault="00E90280">
      <w:pPr>
        <w:jc w:val="both"/>
        <w:rPr>
          <w:rFonts w:ascii="Times New Roman" w:eastAsia="Times New Roman" w:hAnsi="Times New Roman" w:cs="Times New Roman"/>
          <w:sz w:val="24"/>
          <w:szCs w:val="24"/>
        </w:rPr>
      </w:pPr>
    </w:p>
    <w:p w14:paraId="5C549FBD"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Change mechanisms</w:t>
      </w:r>
    </w:p>
    <w:p w14:paraId="35810874"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areas that met contrast criteria for a change mechanism (remediation or compensatory) survived cluster-thresholding.</w:t>
      </w:r>
    </w:p>
    <w:p w14:paraId="322E081C" w14:textId="77777777" w:rsidR="00E90280" w:rsidRDefault="00E90280">
      <w:pPr>
        <w:shd w:val="clear" w:color="auto" w:fill="FFFFFF"/>
        <w:spacing w:line="240" w:lineRule="auto"/>
        <w:ind w:firstLine="720"/>
        <w:jc w:val="both"/>
        <w:rPr>
          <w:rFonts w:ascii="Times New Roman" w:eastAsia="Times New Roman" w:hAnsi="Times New Roman" w:cs="Times New Roman"/>
          <w:sz w:val="24"/>
          <w:szCs w:val="24"/>
        </w:rPr>
      </w:pPr>
    </w:p>
    <w:p w14:paraId="2AF9D5F7"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 priori regions of interest</w:t>
      </w:r>
    </w:p>
    <w:p w14:paraId="4D923C9F"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application of nonresponse and change mechanism a priori criteria to the bilateral, functionally defined DLPFC </w:t>
      </w:r>
      <w:hyperlink r:id="rId15">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Siegle</w:t>
        </w:r>
        <w:proofErr w:type="spellEnd"/>
        <w:r>
          <w:rPr>
            <w:rFonts w:ascii="Times New Roman" w:eastAsia="Times New Roman" w:hAnsi="Times New Roman" w:cs="Times New Roman"/>
            <w:sz w:val="24"/>
            <w:szCs w:val="24"/>
          </w:rPr>
          <w:t xml:space="preserve"> et al., 2012)</w:t>
        </w:r>
      </w:hyperlink>
      <w:r>
        <w:rPr>
          <w:rFonts w:ascii="Times New Roman" w:eastAsia="Times New Roman" w:hAnsi="Times New Roman" w:cs="Times New Roman"/>
          <w:sz w:val="24"/>
          <w:szCs w:val="24"/>
        </w:rPr>
        <w:t xml:space="preserve"> resulted in two clusters within the DLPFC that exhibits nonresponse qualities (Figure  S4.3). The nonresponse clusters were centered at 37, 39, 32 (1,968.75mm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and -36, 33, 36 (1,437.50mm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The application of nonresponse and change mechanism criteria to the bilateral amygdala resulted in one cluster (Figure  S4.4) that exhibits nonresponse qualities centered in the left amygdala at -23, -3, -24 (750mm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No clusters within the </w:t>
      </w:r>
      <w:proofErr w:type="spellStart"/>
      <w:r>
        <w:rPr>
          <w:rFonts w:ascii="Times New Roman" w:eastAsia="Times New Roman" w:hAnsi="Times New Roman" w:cs="Times New Roman"/>
          <w:sz w:val="24"/>
          <w:szCs w:val="24"/>
        </w:rPr>
        <w:t>sgACC</w:t>
      </w:r>
      <w:proofErr w:type="spellEnd"/>
      <w:r>
        <w:rPr>
          <w:rFonts w:ascii="Times New Roman" w:eastAsia="Times New Roman" w:hAnsi="Times New Roman" w:cs="Times New Roman"/>
          <w:sz w:val="24"/>
          <w:szCs w:val="24"/>
        </w:rPr>
        <w:t xml:space="preserve"> survived cluster correction for either nonresponse or change mechanisms.</w:t>
      </w:r>
    </w:p>
    <w:p w14:paraId="7E2C7C12" w14:textId="77777777" w:rsidR="00E90280" w:rsidRDefault="00E90280">
      <w:pPr>
        <w:shd w:val="clear" w:color="auto" w:fill="FFFFFF"/>
        <w:spacing w:line="240" w:lineRule="auto"/>
        <w:jc w:val="both"/>
        <w:rPr>
          <w:rFonts w:ascii="Times New Roman" w:eastAsia="Times New Roman" w:hAnsi="Times New Roman" w:cs="Times New Roman"/>
          <w:b/>
          <w:sz w:val="24"/>
          <w:szCs w:val="24"/>
        </w:rPr>
      </w:pPr>
    </w:p>
    <w:p w14:paraId="0BA0B65A"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br w:type="page"/>
      </w:r>
    </w:p>
    <w:p w14:paraId="2F805F42"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Figure S4.3. Clusters within the bilateral DLPFC meeting criteria for nonresponse</w:t>
      </w:r>
    </w:p>
    <w:p w14:paraId="6AD3222B"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8D77CCC" wp14:editId="2DDB91A6">
            <wp:extent cx="5019836" cy="3338513"/>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5019836" cy="3338513"/>
                    </a:xfrm>
                    <a:prstGeom prst="rect">
                      <a:avLst/>
                    </a:prstGeom>
                    <a:ln/>
                  </pic:spPr>
                </pic:pic>
              </a:graphicData>
            </a:graphic>
          </wp:inline>
        </w:drawing>
      </w:r>
    </w:p>
    <w:p w14:paraId="40D2B87E" w14:textId="77777777" w:rsidR="00E90280" w:rsidRPr="000116E6" w:rsidRDefault="00000000">
      <w:pPr>
        <w:rPr>
          <w:rFonts w:ascii="Times New Roman" w:eastAsia="Times New Roman" w:hAnsi="Times New Roman" w:cs="Times New Roman"/>
          <w:sz w:val="24"/>
          <w:szCs w:val="24"/>
        </w:rPr>
      </w:pPr>
      <w:r w:rsidRPr="000116E6">
        <w:rPr>
          <w:rFonts w:ascii="Times New Roman" w:eastAsia="Times New Roman" w:hAnsi="Times New Roman" w:cs="Times New Roman"/>
          <w:sz w:val="24"/>
          <w:szCs w:val="24"/>
        </w:rPr>
        <w:t xml:space="preserve">Note. </w:t>
      </w:r>
      <w:r w:rsidRPr="000116E6">
        <w:rPr>
          <w:rFonts w:ascii="Times New Roman" w:eastAsia="Gungsuh" w:hAnsi="Times New Roman" w:cs="Times New Roman"/>
          <w:sz w:val="24"/>
          <w:szCs w:val="24"/>
        </w:rPr>
        <w:t>The red clusters are dorsolateral prefrontal cortex subregions that met criteria for nonresponse (pre-depressed ≠ pre-control * pre-depressed = post-depressed [≠ corresponds to d &gt; .24 and = corresponds to d &lt; .05]) and met cluster correction.</w:t>
      </w:r>
    </w:p>
    <w:p w14:paraId="6EFC90C3" w14:textId="77777777" w:rsidR="00E90280" w:rsidRPr="000116E6" w:rsidRDefault="00000000">
      <w:pPr>
        <w:shd w:val="clear" w:color="auto" w:fill="FFFFFF"/>
        <w:spacing w:line="240" w:lineRule="auto"/>
        <w:jc w:val="both"/>
        <w:rPr>
          <w:rFonts w:ascii="Times New Roman" w:eastAsia="Times New Roman" w:hAnsi="Times New Roman" w:cs="Times New Roman"/>
          <w:sz w:val="24"/>
          <w:szCs w:val="24"/>
        </w:rPr>
      </w:pPr>
      <w:r w:rsidRPr="000116E6">
        <w:rPr>
          <w:rFonts w:ascii="Times New Roman" w:hAnsi="Times New Roman" w:cs="Times New Roman"/>
        </w:rPr>
        <w:br w:type="page"/>
      </w:r>
    </w:p>
    <w:p w14:paraId="6A4A849E" w14:textId="77777777" w:rsidR="00E90280" w:rsidRDefault="00000000">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Figure S4.4. Amygdala cluster meeting criteria for nonresponse</w:t>
      </w:r>
    </w:p>
    <w:p w14:paraId="47CEA44C"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B6F6A97" wp14:editId="5C59022A">
            <wp:extent cx="4972050" cy="356841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r="4007"/>
                    <a:stretch>
                      <a:fillRect/>
                    </a:stretch>
                  </pic:blipFill>
                  <pic:spPr>
                    <a:xfrm>
                      <a:off x="0" y="0"/>
                      <a:ext cx="4972050" cy="3568410"/>
                    </a:xfrm>
                    <a:prstGeom prst="rect">
                      <a:avLst/>
                    </a:prstGeom>
                    <a:ln/>
                  </pic:spPr>
                </pic:pic>
              </a:graphicData>
            </a:graphic>
          </wp:inline>
        </w:drawing>
      </w:r>
    </w:p>
    <w:p w14:paraId="5D81DDF6" w14:textId="77777777" w:rsidR="00E90280" w:rsidRPr="000116E6" w:rsidRDefault="00000000">
      <w:pPr>
        <w:rPr>
          <w:rFonts w:ascii="Times New Roman" w:eastAsia="Times New Roman" w:hAnsi="Times New Roman" w:cs="Times New Roman"/>
          <w:sz w:val="24"/>
          <w:szCs w:val="24"/>
        </w:rPr>
        <w:sectPr w:rsidR="00E90280" w:rsidRPr="000116E6">
          <w:pgSz w:w="12240" w:h="15840"/>
          <w:pgMar w:top="1440" w:right="1440" w:bottom="1440" w:left="1440" w:header="720" w:footer="720" w:gutter="0"/>
          <w:cols w:space="720"/>
        </w:sectPr>
      </w:pPr>
      <w:r w:rsidRPr="000116E6">
        <w:rPr>
          <w:rFonts w:ascii="Times New Roman" w:eastAsia="Times New Roman" w:hAnsi="Times New Roman" w:cs="Times New Roman"/>
          <w:sz w:val="24"/>
          <w:szCs w:val="24"/>
        </w:rPr>
        <w:t xml:space="preserve">Note. </w:t>
      </w:r>
      <w:r w:rsidRPr="000116E6">
        <w:rPr>
          <w:rFonts w:ascii="Times New Roman" w:eastAsia="Gungsuh" w:hAnsi="Times New Roman" w:cs="Times New Roman"/>
          <w:sz w:val="24"/>
          <w:szCs w:val="24"/>
        </w:rPr>
        <w:t>The red cluster is an amygdala subregion that met criteria for nonresponse (pre-depressed ≠ pre-control * pre-depressed = post-depressed [≠ corresponds to d &gt; .24 and = corresponds to d &lt; .05]) and met cluster correction.</w:t>
      </w:r>
    </w:p>
    <w:p w14:paraId="5A2D04DA" w14:textId="77777777" w:rsidR="00E90280" w:rsidRDefault="00000000">
      <w:pPr>
        <w:pStyle w:val="Heading2"/>
        <w:spacing w:line="240" w:lineRule="auto"/>
      </w:pPr>
      <w:bookmarkStart w:id="4" w:name="_qjjfn8vstbfw" w:colFirst="0" w:colLast="0"/>
      <w:bookmarkEnd w:id="4"/>
      <w:r>
        <w:lastRenderedPageBreak/>
        <w:t>Supplement 5. Results for neutral words</w:t>
      </w:r>
    </w:p>
    <w:p w14:paraId="0C1FFAE9"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Nonresponse</w:t>
      </w:r>
    </w:p>
    <w:p w14:paraId="41E97CB5"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large and diffuse cluster centered within the right thalamus at 11, -17, 2 (50,562.50mm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met contrast criteria for nonresponse and survived cluster-thresholding (Figure S5.1). MDD patients showed less activation of the nonresponse cluster relative to control participants, which did not increase after CBT (Figure S5.2).</w:t>
      </w:r>
    </w:p>
    <w:p w14:paraId="35621135" w14:textId="77777777" w:rsidR="00E90280" w:rsidRDefault="00E90280">
      <w:pPr>
        <w:shd w:val="clear" w:color="auto" w:fill="FFFFFF"/>
        <w:spacing w:line="240" w:lineRule="auto"/>
        <w:ind w:firstLine="720"/>
        <w:jc w:val="both"/>
        <w:rPr>
          <w:rFonts w:ascii="Times New Roman" w:eastAsia="Times New Roman" w:hAnsi="Times New Roman" w:cs="Times New Roman"/>
          <w:color w:val="FF0000"/>
          <w:sz w:val="24"/>
          <w:szCs w:val="24"/>
        </w:rPr>
      </w:pPr>
    </w:p>
    <w:p w14:paraId="0E3AF5D9"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Biomarkers </w:t>
      </w:r>
    </w:p>
    <w:p w14:paraId="06F64646"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 xml:space="preserve">changes from incorporating depression symptom residuals (BDI-II) to a whole-brain regression (neural reactivity regressed on site) ranged from 0 to 0.20 in the non-response cluster, suggesting minimal prognostic value (Figure S5.1). </w:t>
      </w:r>
    </w:p>
    <w:p w14:paraId="30F2A700" w14:textId="77777777" w:rsidR="00E90280" w:rsidRDefault="00E90280">
      <w:pPr>
        <w:shd w:val="clear" w:color="auto" w:fill="FFFFFF"/>
        <w:spacing w:line="240" w:lineRule="auto"/>
        <w:ind w:firstLine="720"/>
        <w:jc w:val="both"/>
        <w:rPr>
          <w:rFonts w:ascii="Times New Roman" w:eastAsia="Times New Roman" w:hAnsi="Times New Roman" w:cs="Times New Roman"/>
          <w:sz w:val="24"/>
          <w:szCs w:val="24"/>
        </w:rPr>
      </w:pPr>
    </w:p>
    <w:p w14:paraId="67FD6DFC" w14:textId="77777777" w:rsidR="00E90280" w:rsidRDefault="00000000">
      <w:pPr>
        <w:shd w:val="clear" w:color="auto" w:fill="FFFFFF"/>
        <w:spacing w:line="240" w:lineRule="auto"/>
        <w:jc w:val="both"/>
      </w:pPr>
      <w:r>
        <w:rPr>
          <w:rFonts w:ascii="Times New Roman" w:eastAsia="Times New Roman" w:hAnsi="Times New Roman" w:cs="Times New Roman"/>
          <w:sz w:val="24"/>
          <w:szCs w:val="24"/>
        </w:rPr>
        <w:t>Figure S5.1.  Nonresponse cluster for neutral words</w:t>
      </w:r>
    </w:p>
    <w:p w14:paraId="0071453A" w14:textId="77777777" w:rsidR="00E90280" w:rsidRDefault="00000000">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5DB4E0E5" wp14:editId="7F2490A6">
            <wp:extent cx="5943600" cy="45339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943600" cy="4533900"/>
                    </a:xfrm>
                    <a:prstGeom prst="rect">
                      <a:avLst/>
                    </a:prstGeom>
                    <a:ln/>
                  </pic:spPr>
                </pic:pic>
              </a:graphicData>
            </a:graphic>
          </wp:inline>
        </w:drawing>
      </w:r>
    </w:p>
    <w:p w14:paraId="14796C08" w14:textId="77777777" w:rsidR="00E90280" w:rsidRPr="000116E6" w:rsidRDefault="00000000">
      <w:pPr>
        <w:shd w:val="clear" w:color="auto" w:fill="FFFFFF"/>
        <w:spacing w:line="240" w:lineRule="auto"/>
        <w:jc w:val="both"/>
        <w:rPr>
          <w:rFonts w:ascii="Times New Roman" w:eastAsia="Times New Roman" w:hAnsi="Times New Roman" w:cs="Times New Roman"/>
          <w:color w:val="222222"/>
          <w:sz w:val="24"/>
          <w:szCs w:val="24"/>
        </w:rPr>
      </w:pPr>
      <w:r w:rsidRPr="000116E6">
        <w:rPr>
          <w:rFonts w:ascii="Times New Roman" w:eastAsia="Gungsuh" w:hAnsi="Times New Roman" w:cs="Times New Roman"/>
          <w:color w:val="222222"/>
          <w:sz w:val="24"/>
          <w:szCs w:val="24"/>
        </w:rPr>
        <w:t xml:space="preserve">Note. A. Pre-Ctrl ≠ Pre-Dep represents brain areas where control participants differed (d &gt; .24) from depressed patients prior to treatment. B. Pre-Dep = </w:t>
      </w:r>
      <w:proofErr w:type="gramStart"/>
      <w:r w:rsidRPr="000116E6">
        <w:rPr>
          <w:rFonts w:ascii="Times New Roman" w:eastAsia="Gungsuh" w:hAnsi="Times New Roman" w:cs="Times New Roman"/>
          <w:color w:val="222222"/>
          <w:sz w:val="24"/>
          <w:szCs w:val="24"/>
        </w:rPr>
        <w:t>Post-Dep</w:t>
      </w:r>
      <w:proofErr w:type="gramEnd"/>
      <w:r w:rsidRPr="000116E6">
        <w:rPr>
          <w:rFonts w:ascii="Times New Roman" w:eastAsia="Gungsuh" w:hAnsi="Times New Roman" w:cs="Times New Roman"/>
          <w:color w:val="222222"/>
          <w:sz w:val="24"/>
          <w:szCs w:val="24"/>
        </w:rPr>
        <w:t xml:space="preserve"> represents brain areas where a practical absence of effect (d &lt; .05) was observed when comparing depressed patients prior to and after treatment. C. Nonresponse represents areas that met both A and B effect size criteria and survived cluster thresholding (&gt; 262 voxels [AFNI’s NN3, 2-sided]). Coloring represents whole-brain regression R2 Δ values on neural reactivity to negative words at the pre-treatment scan as </w:t>
      </w:r>
      <w:r w:rsidRPr="000116E6">
        <w:rPr>
          <w:rFonts w:ascii="Times New Roman" w:eastAsia="Gungsuh" w:hAnsi="Times New Roman" w:cs="Times New Roman"/>
          <w:color w:val="222222"/>
          <w:sz w:val="24"/>
          <w:szCs w:val="24"/>
        </w:rPr>
        <w:lastRenderedPageBreak/>
        <w:t>predicted by residual BDI-II scores above and beyond scanner (i.e., extent to which region predicts treatment response)</w:t>
      </w:r>
    </w:p>
    <w:p w14:paraId="11323DF6" w14:textId="77777777" w:rsidR="00E90280" w:rsidRPr="000116E6" w:rsidRDefault="00000000">
      <w:pPr>
        <w:spacing w:line="240" w:lineRule="auto"/>
        <w:rPr>
          <w:rFonts w:ascii="Times New Roman" w:eastAsia="Times New Roman" w:hAnsi="Times New Roman" w:cs="Times New Roman"/>
          <w:b/>
          <w:sz w:val="24"/>
          <w:szCs w:val="24"/>
        </w:rPr>
      </w:pPr>
      <w:r w:rsidRPr="000116E6">
        <w:rPr>
          <w:rFonts w:ascii="Times New Roman" w:eastAsia="Times New Roman" w:hAnsi="Times New Roman" w:cs="Times New Roman"/>
          <w:color w:val="222222"/>
          <w:sz w:val="24"/>
          <w:szCs w:val="24"/>
        </w:rPr>
        <w:t xml:space="preserve"> </w:t>
      </w:r>
    </w:p>
    <w:p w14:paraId="4F7FB72F" w14:textId="77777777"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S5.2. Individual averages for nonresponse cluster for neutral words</w:t>
      </w:r>
    </w:p>
    <w:p w14:paraId="71A359BB" w14:textId="77777777" w:rsidR="00E90280" w:rsidRDefault="00000000">
      <w:pPr>
        <w:jc w:val="both"/>
        <w:rPr>
          <w:rFonts w:ascii="Times New Roman" w:eastAsia="Times New Roman" w:hAnsi="Times New Roman" w:cs="Times New Roman"/>
          <w:color w:val="222222"/>
          <w:sz w:val="24"/>
          <w:szCs w:val="24"/>
        </w:rPr>
      </w:pPr>
      <w:r>
        <w:rPr>
          <w:rFonts w:ascii="Times New Roman" w:eastAsia="Times New Roman" w:hAnsi="Times New Roman" w:cs="Times New Roman"/>
          <w:b/>
          <w:noProof/>
          <w:sz w:val="24"/>
          <w:szCs w:val="24"/>
        </w:rPr>
        <w:drawing>
          <wp:inline distT="114300" distB="114300" distL="114300" distR="114300" wp14:anchorId="38CE19E1" wp14:editId="55C3A407">
            <wp:extent cx="5943600" cy="4232895"/>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t="5245"/>
                    <a:stretch>
                      <a:fillRect/>
                    </a:stretch>
                  </pic:blipFill>
                  <pic:spPr>
                    <a:xfrm>
                      <a:off x="0" y="0"/>
                      <a:ext cx="5943600" cy="4232895"/>
                    </a:xfrm>
                    <a:prstGeom prst="rect">
                      <a:avLst/>
                    </a:prstGeom>
                    <a:ln/>
                  </pic:spPr>
                </pic:pic>
              </a:graphicData>
            </a:graphic>
          </wp:inline>
        </w:drawing>
      </w:r>
      <w:r>
        <w:rPr>
          <w:rFonts w:ascii="Times New Roman" w:eastAsia="Times New Roman" w:hAnsi="Times New Roman" w:cs="Times New Roman"/>
          <w:sz w:val="24"/>
          <w:szCs w:val="24"/>
        </w:rPr>
        <w:t>Note. 2a. Individual mean reactivity averages of the nonresponse cluster for control participants (Pre-Ctrl) and MDD patients prior to and after CBT (Pre-Dep, Post-Dep)</w:t>
      </w:r>
    </w:p>
    <w:p w14:paraId="22B64063" w14:textId="77777777" w:rsidR="00E90280" w:rsidRDefault="00E90280">
      <w:pPr>
        <w:jc w:val="both"/>
        <w:rPr>
          <w:rFonts w:ascii="Times New Roman" w:eastAsia="Times New Roman" w:hAnsi="Times New Roman" w:cs="Times New Roman"/>
          <w:color w:val="222222"/>
          <w:sz w:val="24"/>
          <w:szCs w:val="24"/>
        </w:rPr>
      </w:pPr>
    </w:p>
    <w:p w14:paraId="44D0EDB5" w14:textId="77777777" w:rsidR="00E90280" w:rsidRDefault="00000000">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Change Mechanisms</w:t>
      </w:r>
    </w:p>
    <w:p w14:paraId="1E3C0722"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Three clusters met a priori contrast criteria for a remediation-based change mechanism and survived cluster-thresholding (Table S5.1; Figure S5.3). Prior to treatment, MDD patients exhibited less reactivity to neutral stimuli in posterior and prefrontal cortical regions than the control participants. Reactivity within these clusters increased after CBT for the MDD group (Figure S5.4). No areas that met contrast criteria for a compensatory change mechanism survived cluster-thresholding.</w:t>
      </w:r>
    </w:p>
    <w:p w14:paraId="7FEA56AD"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Normalization</w:t>
      </w:r>
    </w:p>
    <w:p w14:paraId="5C0C14F2"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brain regions suggesting a remediation-based change mechanism, some portions of clusters exhibited normalization following CBT; effect sizes (d) ranged from 0-.5 for differences between post-treatment depressed patients (Figure S5.3).</w:t>
      </w:r>
    </w:p>
    <w:p w14:paraId="263C42A4" w14:textId="77777777" w:rsidR="00E90280" w:rsidRDefault="00E90280" w:rsidP="000116E6">
      <w:pPr>
        <w:shd w:val="clear" w:color="auto" w:fill="FFFFFF"/>
        <w:spacing w:line="240" w:lineRule="auto"/>
        <w:jc w:val="both"/>
        <w:rPr>
          <w:rFonts w:ascii="Times New Roman" w:eastAsia="Times New Roman" w:hAnsi="Times New Roman" w:cs="Times New Roman"/>
          <w:sz w:val="24"/>
          <w:szCs w:val="24"/>
        </w:rPr>
      </w:pPr>
    </w:p>
    <w:p w14:paraId="70D55EF3" w14:textId="77777777" w:rsidR="00E90280" w:rsidRDefault="00E90280">
      <w:pPr>
        <w:shd w:val="clear" w:color="auto" w:fill="FFFFFF"/>
        <w:spacing w:line="240" w:lineRule="auto"/>
        <w:ind w:firstLine="720"/>
        <w:jc w:val="both"/>
        <w:rPr>
          <w:rFonts w:ascii="Times New Roman" w:eastAsia="Times New Roman" w:hAnsi="Times New Roman" w:cs="Times New Roman"/>
          <w:sz w:val="24"/>
          <w:szCs w:val="24"/>
        </w:rPr>
      </w:pPr>
    </w:p>
    <w:p w14:paraId="09C52E81" w14:textId="77777777" w:rsidR="000116E6" w:rsidRDefault="000116E6">
      <w:pPr>
        <w:shd w:val="clear" w:color="auto" w:fill="FFFFFF"/>
        <w:spacing w:line="479" w:lineRule="auto"/>
        <w:jc w:val="both"/>
        <w:rPr>
          <w:rFonts w:ascii="Times New Roman" w:eastAsia="Times New Roman" w:hAnsi="Times New Roman" w:cs="Times New Roman"/>
          <w:sz w:val="24"/>
          <w:szCs w:val="24"/>
        </w:rPr>
      </w:pPr>
    </w:p>
    <w:p w14:paraId="44A87428" w14:textId="5D1BACE8" w:rsidR="00E90280" w:rsidRDefault="00000000">
      <w:pPr>
        <w:shd w:val="clear" w:color="auto" w:fill="FFFFFF"/>
        <w:spacing w:line="47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Table S5.1. Coordinates for change mechanism clusters in response to neutral words</w:t>
      </w:r>
    </w:p>
    <w:tbl>
      <w:tblPr>
        <w:tblStyle w:val="a0"/>
        <w:tblW w:w="8565" w:type="dxa"/>
        <w:tblBorders>
          <w:top w:val="nil"/>
          <w:left w:val="nil"/>
          <w:bottom w:val="nil"/>
          <w:right w:val="nil"/>
          <w:insideH w:val="nil"/>
          <w:insideV w:val="nil"/>
        </w:tblBorders>
        <w:tblLayout w:type="fixed"/>
        <w:tblLook w:val="0600" w:firstRow="0" w:lastRow="0" w:firstColumn="0" w:lastColumn="0" w:noHBand="1" w:noVBand="1"/>
      </w:tblPr>
      <w:tblGrid>
        <w:gridCol w:w="3945"/>
        <w:gridCol w:w="1155"/>
        <w:gridCol w:w="1155"/>
        <w:gridCol w:w="1155"/>
        <w:gridCol w:w="1155"/>
      </w:tblGrid>
      <w:tr w:rsidR="00E90280" w14:paraId="75569CC7" w14:textId="77777777">
        <w:trPr>
          <w:trHeight w:val="570"/>
        </w:trPr>
        <w:tc>
          <w:tcPr>
            <w:tcW w:w="3945" w:type="dxa"/>
            <w:tcBorders>
              <w:top w:val="single" w:sz="8" w:space="0" w:color="000000"/>
              <w:left w:val="nil"/>
              <w:bottom w:val="single" w:sz="8" w:space="0" w:color="000000"/>
              <w:right w:val="nil"/>
            </w:tcBorders>
            <w:tcMar>
              <w:top w:w="100" w:type="dxa"/>
              <w:left w:w="100" w:type="dxa"/>
              <w:bottom w:w="100" w:type="dxa"/>
              <w:right w:w="100" w:type="dxa"/>
            </w:tcMar>
          </w:tcPr>
          <w:p w14:paraId="0D7D0152" w14:textId="77777777" w:rsidR="00E90280" w:rsidRDefault="00000000">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Centroid location</w:t>
            </w:r>
          </w:p>
        </w:tc>
        <w:tc>
          <w:tcPr>
            <w:tcW w:w="1155" w:type="dxa"/>
            <w:tcBorders>
              <w:top w:val="single" w:sz="8" w:space="0" w:color="000000"/>
              <w:left w:val="nil"/>
              <w:bottom w:val="single" w:sz="8" w:space="0" w:color="000000"/>
              <w:right w:val="nil"/>
            </w:tcBorders>
            <w:tcMar>
              <w:top w:w="100" w:type="dxa"/>
              <w:left w:w="100" w:type="dxa"/>
              <w:bottom w:w="100" w:type="dxa"/>
              <w:right w:w="100" w:type="dxa"/>
            </w:tcMar>
          </w:tcPr>
          <w:p w14:paraId="0FA851A7"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Size (mm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tc>
        <w:tc>
          <w:tcPr>
            <w:tcW w:w="1155" w:type="dxa"/>
            <w:tcBorders>
              <w:top w:val="single" w:sz="8" w:space="0" w:color="000000"/>
              <w:left w:val="nil"/>
              <w:bottom w:val="single" w:sz="8" w:space="0" w:color="000000"/>
              <w:right w:val="nil"/>
            </w:tcBorders>
            <w:tcMar>
              <w:top w:w="100" w:type="dxa"/>
              <w:left w:w="100" w:type="dxa"/>
              <w:bottom w:w="100" w:type="dxa"/>
              <w:right w:w="100" w:type="dxa"/>
            </w:tcMar>
          </w:tcPr>
          <w:p w14:paraId="4751233F"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x</w:t>
            </w:r>
          </w:p>
        </w:tc>
        <w:tc>
          <w:tcPr>
            <w:tcW w:w="1155" w:type="dxa"/>
            <w:tcBorders>
              <w:top w:val="single" w:sz="8" w:space="0" w:color="000000"/>
              <w:left w:val="nil"/>
              <w:bottom w:val="single" w:sz="8" w:space="0" w:color="000000"/>
              <w:right w:val="nil"/>
            </w:tcBorders>
            <w:tcMar>
              <w:top w:w="100" w:type="dxa"/>
              <w:left w:w="100" w:type="dxa"/>
              <w:bottom w:w="100" w:type="dxa"/>
              <w:right w:w="100" w:type="dxa"/>
            </w:tcMar>
          </w:tcPr>
          <w:p w14:paraId="0EC20ED7"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c>
          <w:tcPr>
            <w:tcW w:w="1155" w:type="dxa"/>
            <w:tcBorders>
              <w:top w:val="single" w:sz="8" w:space="0" w:color="000000"/>
              <w:left w:val="nil"/>
              <w:bottom w:val="single" w:sz="8" w:space="0" w:color="000000"/>
              <w:right w:val="nil"/>
            </w:tcBorders>
            <w:tcMar>
              <w:top w:w="100" w:type="dxa"/>
              <w:left w:w="100" w:type="dxa"/>
              <w:bottom w:w="100" w:type="dxa"/>
              <w:right w:w="100" w:type="dxa"/>
            </w:tcMar>
          </w:tcPr>
          <w:p w14:paraId="45C0179C"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r>
      <w:tr w:rsidR="00E90280" w14:paraId="354EB864" w14:textId="77777777">
        <w:trPr>
          <w:trHeight w:val="675"/>
        </w:trPr>
        <w:tc>
          <w:tcPr>
            <w:tcW w:w="3945" w:type="dxa"/>
            <w:tcBorders>
              <w:top w:val="nil"/>
              <w:left w:val="nil"/>
              <w:bottom w:val="nil"/>
              <w:right w:val="nil"/>
            </w:tcBorders>
            <w:shd w:val="clear" w:color="auto" w:fill="auto"/>
            <w:tcMar>
              <w:top w:w="100" w:type="dxa"/>
              <w:left w:w="100" w:type="dxa"/>
              <w:bottom w:w="100" w:type="dxa"/>
              <w:right w:w="100" w:type="dxa"/>
            </w:tcMar>
          </w:tcPr>
          <w:p w14:paraId="16C967B8" w14:textId="77777777" w:rsidR="00E90280" w:rsidRDefault="00000000">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Right posterior cingulate cortex</w:t>
            </w:r>
          </w:p>
        </w:tc>
        <w:tc>
          <w:tcPr>
            <w:tcW w:w="1155" w:type="dxa"/>
            <w:tcBorders>
              <w:top w:val="nil"/>
              <w:left w:val="nil"/>
              <w:bottom w:val="nil"/>
              <w:right w:val="nil"/>
            </w:tcBorders>
            <w:shd w:val="clear" w:color="auto" w:fill="auto"/>
            <w:tcMar>
              <w:top w:w="100" w:type="dxa"/>
              <w:left w:w="100" w:type="dxa"/>
              <w:bottom w:w="100" w:type="dxa"/>
              <w:right w:w="100" w:type="dxa"/>
            </w:tcMar>
          </w:tcPr>
          <w:p w14:paraId="479CC733"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87,750</w:t>
            </w:r>
          </w:p>
        </w:tc>
        <w:tc>
          <w:tcPr>
            <w:tcW w:w="1155" w:type="dxa"/>
            <w:tcBorders>
              <w:top w:val="nil"/>
              <w:left w:val="nil"/>
              <w:bottom w:val="nil"/>
              <w:right w:val="nil"/>
            </w:tcBorders>
            <w:shd w:val="clear" w:color="auto" w:fill="auto"/>
            <w:tcMar>
              <w:top w:w="100" w:type="dxa"/>
              <w:left w:w="100" w:type="dxa"/>
              <w:bottom w:w="100" w:type="dxa"/>
              <w:right w:w="100" w:type="dxa"/>
            </w:tcMar>
          </w:tcPr>
          <w:p w14:paraId="6492C2B2"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55" w:type="dxa"/>
            <w:tcBorders>
              <w:top w:val="nil"/>
              <w:left w:val="nil"/>
              <w:bottom w:val="nil"/>
              <w:right w:val="nil"/>
            </w:tcBorders>
            <w:shd w:val="clear" w:color="auto" w:fill="auto"/>
            <w:tcMar>
              <w:top w:w="100" w:type="dxa"/>
              <w:left w:w="100" w:type="dxa"/>
              <w:bottom w:w="100" w:type="dxa"/>
              <w:right w:w="100" w:type="dxa"/>
            </w:tcMar>
          </w:tcPr>
          <w:p w14:paraId="6D441854"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1155" w:type="dxa"/>
            <w:tcBorders>
              <w:top w:val="nil"/>
              <w:left w:val="nil"/>
              <w:bottom w:val="nil"/>
              <w:right w:val="nil"/>
            </w:tcBorders>
            <w:shd w:val="clear" w:color="auto" w:fill="auto"/>
            <w:tcMar>
              <w:top w:w="100" w:type="dxa"/>
              <w:left w:w="100" w:type="dxa"/>
              <w:bottom w:w="100" w:type="dxa"/>
              <w:right w:w="100" w:type="dxa"/>
            </w:tcMar>
          </w:tcPr>
          <w:p w14:paraId="68663D68"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E90280" w14:paraId="157D4123" w14:textId="77777777">
        <w:trPr>
          <w:trHeight w:val="675"/>
        </w:trPr>
        <w:tc>
          <w:tcPr>
            <w:tcW w:w="3945" w:type="dxa"/>
            <w:tcBorders>
              <w:top w:val="nil"/>
              <w:left w:val="nil"/>
              <w:bottom w:val="nil"/>
              <w:right w:val="nil"/>
            </w:tcBorders>
            <w:shd w:val="clear" w:color="auto" w:fill="auto"/>
            <w:tcMar>
              <w:top w:w="100" w:type="dxa"/>
              <w:left w:w="100" w:type="dxa"/>
              <w:bottom w:w="100" w:type="dxa"/>
              <w:right w:w="100" w:type="dxa"/>
            </w:tcMar>
          </w:tcPr>
          <w:p w14:paraId="2804A69A" w14:textId="77777777" w:rsidR="00E90280" w:rsidRDefault="00000000">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Left middle occipital gyrus</w:t>
            </w:r>
          </w:p>
        </w:tc>
        <w:tc>
          <w:tcPr>
            <w:tcW w:w="1155" w:type="dxa"/>
            <w:tcBorders>
              <w:top w:val="nil"/>
              <w:left w:val="nil"/>
              <w:bottom w:val="nil"/>
              <w:right w:val="nil"/>
            </w:tcBorders>
            <w:shd w:val="clear" w:color="auto" w:fill="auto"/>
            <w:tcMar>
              <w:top w:w="100" w:type="dxa"/>
              <w:left w:w="100" w:type="dxa"/>
              <w:bottom w:w="100" w:type="dxa"/>
              <w:right w:w="100" w:type="dxa"/>
            </w:tcMar>
          </w:tcPr>
          <w:p w14:paraId="5578265B"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4,500</w:t>
            </w:r>
          </w:p>
        </w:tc>
        <w:tc>
          <w:tcPr>
            <w:tcW w:w="1155" w:type="dxa"/>
            <w:tcBorders>
              <w:top w:val="nil"/>
              <w:left w:val="nil"/>
              <w:bottom w:val="nil"/>
              <w:right w:val="nil"/>
            </w:tcBorders>
            <w:shd w:val="clear" w:color="auto" w:fill="auto"/>
            <w:tcMar>
              <w:top w:w="100" w:type="dxa"/>
              <w:left w:w="100" w:type="dxa"/>
              <w:bottom w:w="100" w:type="dxa"/>
              <w:right w:w="100" w:type="dxa"/>
            </w:tcMar>
          </w:tcPr>
          <w:p w14:paraId="7D6444AD"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155" w:type="dxa"/>
            <w:tcBorders>
              <w:top w:val="nil"/>
              <w:left w:val="nil"/>
              <w:bottom w:val="nil"/>
              <w:right w:val="nil"/>
            </w:tcBorders>
            <w:shd w:val="clear" w:color="auto" w:fill="auto"/>
            <w:tcMar>
              <w:top w:w="100" w:type="dxa"/>
              <w:left w:w="100" w:type="dxa"/>
              <w:bottom w:w="100" w:type="dxa"/>
              <w:right w:w="100" w:type="dxa"/>
            </w:tcMar>
          </w:tcPr>
          <w:p w14:paraId="0AAB95F7"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1155" w:type="dxa"/>
            <w:tcBorders>
              <w:top w:val="nil"/>
              <w:left w:val="nil"/>
              <w:bottom w:val="nil"/>
              <w:right w:val="nil"/>
            </w:tcBorders>
            <w:shd w:val="clear" w:color="auto" w:fill="auto"/>
            <w:tcMar>
              <w:top w:w="100" w:type="dxa"/>
              <w:left w:w="100" w:type="dxa"/>
              <w:bottom w:w="100" w:type="dxa"/>
              <w:right w:w="100" w:type="dxa"/>
            </w:tcMar>
          </w:tcPr>
          <w:p w14:paraId="73A4D49B"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E90280" w14:paraId="0F2C7B50" w14:textId="77777777">
        <w:trPr>
          <w:trHeight w:val="690"/>
        </w:trPr>
        <w:tc>
          <w:tcPr>
            <w:tcW w:w="3945" w:type="dxa"/>
            <w:tcBorders>
              <w:top w:val="nil"/>
              <w:left w:val="nil"/>
              <w:bottom w:val="single" w:sz="8" w:space="0" w:color="000000"/>
              <w:right w:val="nil"/>
            </w:tcBorders>
            <w:shd w:val="clear" w:color="auto" w:fill="auto"/>
            <w:tcMar>
              <w:top w:w="100" w:type="dxa"/>
              <w:left w:w="100" w:type="dxa"/>
              <w:bottom w:w="100" w:type="dxa"/>
              <w:right w:w="100" w:type="dxa"/>
            </w:tcMar>
          </w:tcPr>
          <w:p w14:paraId="013894E4" w14:textId="77777777" w:rsidR="00E90280" w:rsidRDefault="00000000">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Left superior medial gyrus</w:t>
            </w:r>
          </w:p>
        </w:tc>
        <w:tc>
          <w:tcPr>
            <w:tcW w:w="1155" w:type="dxa"/>
            <w:tcBorders>
              <w:top w:val="nil"/>
              <w:left w:val="nil"/>
              <w:bottom w:val="single" w:sz="8" w:space="0" w:color="000000"/>
              <w:right w:val="nil"/>
            </w:tcBorders>
            <w:shd w:val="clear" w:color="auto" w:fill="auto"/>
            <w:tcMar>
              <w:top w:w="100" w:type="dxa"/>
              <w:left w:w="100" w:type="dxa"/>
              <w:bottom w:w="100" w:type="dxa"/>
              <w:right w:w="100" w:type="dxa"/>
            </w:tcMar>
          </w:tcPr>
          <w:p w14:paraId="72B492A4"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2,906.25</w:t>
            </w:r>
          </w:p>
        </w:tc>
        <w:tc>
          <w:tcPr>
            <w:tcW w:w="1155" w:type="dxa"/>
            <w:tcBorders>
              <w:top w:val="nil"/>
              <w:left w:val="nil"/>
              <w:bottom w:val="single" w:sz="8" w:space="0" w:color="000000"/>
              <w:right w:val="nil"/>
            </w:tcBorders>
            <w:shd w:val="clear" w:color="auto" w:fill="auto"/>
            <w:tcMar>
              <w:top w:w="100" w:type="dxa"/>
              <w:left w:w="100" w:type="dxa"/>
              <w:bottom w:w="100" w:type="dxa"/>
              <w:right w:w="100" w:type="dxa"/>
            </w:tcMar>
          </w:tcPr>
          <w:p w14:paraId="146A970B"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55" w:type="dxa"/>
            <w:tcBorders>
              <w:top w:val="nil"/>
              <w:left w:val="nil"/>
              <w:bottom w:val="single" w:sz="8" w:space="0" w:color="000000"/>
              <w:right w:val="nil"/>
            </w:tcBorders>
            <w:shd w:val="clear" w:color="auto" w:fill="auto"/>
            <w:tcMar>
              <w:top w:w="100" w:type="dxa"/>
              <w:left w:w="100" w:type="dxa"/>
              <w:bottom w:w="100" w:type="dxa"/>
              <w:right w:w="100" w:type="dxa"/>
            </w:tcMar>
          </w:tcPr>
          <w:p w14:paraId="58312A95"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155" w:type="dxa"/>
            <w:tcBorders>
              <w:top w:val="nil"/>
              <w:left w:val="nil"/>
              <w:bottom w:val="single" w:sz="8" w:space="0" w:color="000000"/>
              <w:right w:val="nil"/>
            </w:tcBorders>
            <w:shd w:val="clear" w:color="auto" w:fill="auto"/>
            <w:tcMar>
              <w:top w:w="100" w:type="dxa"/>
              <w:left w:w="100" w:type="dxa"/>
              <w:bottom w:w="100" w:type="dxa"/>
              <w:right w:w="100" w:type="dxa"/>
            </w:tcMar>
          </w:tcPr>
          <w:p w14:paraId="713B68B2" w14:textId="77777777" w:rsidR="00E90280" w:rsidRDefault="00000000">
            <w:pPr>
              <w:shd w:val="clear" w:color="auto" w:fill="FFFFFF"/>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bl>
    <w:p w14:paraId="38836F46" w14:textId="77777777" w:rsidR="00E90280" w:rsidRDefault="00000000">
      <w:pPr>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Note. Coordinates are cluster centroids reported in MNI space</w:t>
      </w:r>
    </w:p>
    <w:p w14:paraId="2550A7A6" w14:textId="77777777" w:rsidR="00E90280" w:rsidRDefault="00E90280">
      <w:pPr>
        <w:shd w:val="clear" w:color="auto" w:fill="FFFFFF"/>
        <w:spacing w:line="240" w:lineRule="auto"/>
        <w:jc w:val="both"/>
        <w:rPr>
          <w:rFonts w:ascii="Times New Roman" w:eastAsia="Times New Roman" w:hAnsi="Times New Roman" w:cs="Times New Roman"/>
          <w:sz w:val="24"/>
          <w:szCs w:val="24"/>
        </w:rPr>
      </w:pPr>
    </w:p>
    <w:p w14:paraId="223C4F44" w14:textId="77777777" w:rsidR="00E90280" w:rsidRDefault="00E90280">
      <w:pPr>
        <w:shd w:val="clear" w:color="auto" w:fill="FFFFFF"/>
        <w:spacing w:line="240" w:lineRule="auto"/>
        <w:jc w:val="both"/>
        <w:rPr>
          <w:rFonts w:ascii="Times New Roman" w:eastAsia="Times New Roman" w:hAnsi="Times New Roman" w:cs="Times New Roman"/>
          <w:sz w:val="24"/>
          <w:szCs w:val="24"/>
        </w:rPr>
      </w:pPr>
    </w:p>
    <w:p w14:paraId="7EB9B3DF" w14:textId="77777777" w:rsidR="00E90280" w:rsidRDefault="00000000">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S5.3. Change mechanism clusters for neutral words</w:t>
      </w:r>
    </w:p>
    <w:p w14:paraId="35367FDA" w14:textId="77777777"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D7891D6" wp14:editId="257F8ACC">
            <wp:extent cx="5943600" cy="2959100"/>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5943600" cy="2959100"/>
                    </a:xfrm>
                    <a:prstGeom prst="rect">
                      <a:avLst/>
                    </a:prstGeom>
                    <a:ln/>
                  </pic:spPr>
                </pic:pic>
              </a:graphicData>
            </a:graphic>
          </wp:inline>
        </w:drawing>
      </w:r>
    </w:p>
    <w:p w14:paraId="06D3A232" w14:textId="77777777" w:rsidR="00E90280" w:rsidRPr="000116E6" w:rsidRDefault="00000000">
      <w:pPr>
        <w:shd w:val="clear" w:color="auto" w:fill="FFFFFF"/>
        <w:jc w:val="both"/>
        <w:rPr>
          <w:rFonts w:ascii="Times New Roman" w:eastAsia="Gungsuh" w:hAnsi="Times New Roman" w:cs="Times New Roman"/>
          <w:sz w:val="24"/>
          <w:szCs w:val="24"/>
        </w:rPr>
      </w:pPr>
      <w:r w:rsidRPr="000116E6">
        <w:rPr>
          <w:rFonts w:ascii="Times New Roman" w:eastAsia="Gungsuh" w:hAnsi="Times New Roman" w:cs="Times New Roman"/>
          <w:sz w:val="24"/>
          <w:szCs w:val="24"/>
        </w:rPr>
        <w:t xml:space="preserve">Note. A. Pre-Ctrl ≠ Pre-Dep represents brain areas where control participants differed (d &gt; .24) from depressed patients prior to treatment. B. Pre-Dep ≠ </w:t>
      </w:r>
      <w:proofErr w:type="gramStart"/>
      <w:r w:rsidRPr="000116E6">
        <w:rPr>
          <w:rFonts w:ascii="Times New Roman" w:eastAsia="Gungsuh" w:hAnsi="Times New Roman" w:cs="Times New Roman"/>
          <w:sz w:val="24"/>
          <w:szCs w:val="24"/>
        </w:rPr>
        <w:t>Post-Dep</w:t>
      </w:r>
      <w:proofErr w:type="gramEnd"/>
      <w:r w:rsidRPr="000116E6">
        <w:rPr>
          <w:rFonts w:ascii="Times New Roman" w:eastAsia="Gungsuh" w:hAnsi="Times New Roman" w:cs="Times New Roman"/>
          <w:sz w:val="24"/>
          <w:szCs w:val="24"/>
        </w:rPr>
        <w:t xml:space="preserve"> represents brain areas where depressed patients prior to and after treatment differed (d &gt; .24). C. Pre-Post Ctrl ≠ </w:t>
      </w:r>
      <w:proofErr w:type="gramStart"/>
      <w:r w:rsidRPr="000116E6">
        <w:rPr>
          <w:rFonts w:ascii="Times New Roman" w:eastAsia="Gungsuh" w:hAnsi="Times New Roman" w:cs="Times New Roman"/>
          <w:sz w:val="24"/>
          <w:szCs w:val="24"/>
        </w:rPr>
        <w:t>Pre-Post Dep</w:t>
      </w:r>
      <w:proofErr w:type="gramEnd"/>
      <w:r w:rsidRPr="000116E6">
        <w:rPr>
          <w:rFonts w:ascii="Times New Roman" w:eastAsia="Gungsuh" w:hAnsi="Times New Roman" w:cs="Times New Roman"/>
          <w:sz w:val="24"/>
          <w:szCs w:val="24"/>
        </w:rPr>
        <w:t xml:space="preserve"> represents brain areas where pre-post estimates differed (d &gt; .24) between control participants and depressed patients. D. Change Mechanism represents brain areas that met all prior criteria (A, B, C) and survived cluster thresholding (&gt; 92 voxels [AFNI’s NN3, 2-sided]). Coloring represents d estimates (contrast of post-treatment depressed patients and never-depressed control participants), showing some instances in which effect sizes suggest normalization occurs</w:t>
      </w:r>
    </w:p>
    <w:p w14:paraId="48D07479" w14:textId="77777777" w:rsidR="000116E6" w:rsidRDefault="000116E6">
      <w:pPr>
        <w:spacing w:line="240" w:lineRule="auto"/>
        <w:rPr>
          <w:rFonts w:ascii="Gungsuh" w:eastAsia="Gungsuh" w:hAnsi="Gungsuh" w:cs="Gungsuh"/>
          <w:sz w:val="24"/>
          <w:szCs w:val="24"/>
        </w:rPr>
      </w:pPr>
    </w:p>
    <w:p w14:paraId="54BF4D20" w14:textId="77777777" w:rsidR="000116E6" w:rsidRDefault="000116E6">
      <w:pPr>
        <w:spacing w:line="240" w:lineRule="auto"/>
        <w:rPr>
          <w:rFonts w:ascii="Gungsuh" w:eastAsia="Gungsuh" w:hAnsi="Gungsuh" w:cs="Gungsuh"/>
          <w:sz w:val="24"/>
          <w:szCs w:val="24"/>
        </w:rPr>
      </w:pPr>
    </w:p>
    <w:p w14:paraId="6754DD77" w14:textId="23036826"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S5.4. Individual averages for change mechanism clusters for neutral words</w:t>
      </w:r>
    </w:p>
    <w:p w14:paraId="3DC11BF6" w14:textId="77777777"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8FC7599" wp14:editId="78383EFA">
            <wp:extent cx="5943600" cy="4244876"/>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t="6321"/>
                    <a:stretch>
                      <a:fillRect/>
                    </a:stretch>
                  </pic:blipFill>
                  <pic:spPr>
                    <a:xfrm>
                      <a:off x="0" y="0"/>
                      <a:ext cx="5943600" cy="4244876"/>
                    </a:xfrm>
                    <a:prstGeom prst="rect">
                      <a:avLst/>
                    </a:prstGeom>
                    <a:ln/>
                  </pic:spPr>
                </pic:pic>
              </a:graphicData>
            </a:graphic>
          </wp:inline>
        </w:drawing>
      </w:r>
    </w:p>
    <w:p w14:paraId="345A8C20" w14:textId="77777777" w:rsidR="00E90280"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Note. Individual mean reactivity averages of the change mechanism regions (all clusters) for pre and post assessments for both control participants (Pre-Ctrl, Post-Ctrl) and MDD patients (Pre-Dep, Post-Dep</w:t>
      </w:r>
      <w:r>
        <w:rPr>
          <w:rFonts w:ascii="Times New Roman" w:eastAsia="Times New Roman" w:hAnsi="Times New Roman" w:cs="Times New Roman"/>
          <w:color w:val="222222"/>
          <w:sz w:val="24"/>
          <w:szCs w:val="24"/>
        </w:rPr>
        <w:t>)</w:t>
      </w:r>
    </w:p>
    <w:p w14:paraId="10BE86B6" w14:textId="77777777" w:rsidR="00E90280" w:rsidRDefault="00E90280">
      <w:pPr>
        <w:spacing w:line="240" w:lineRule="auto"/>
        <w:rPr>
          <w:rFonts w:ascii="Times New Roman" w:eastAsia="Times New Roman" w:hAnsi="Times New Roman" w:cs="Times New Roman"/>
          <w:sz w:val="24"/>
          <w:szCs w:val="24"/>
        </w:rPr>
      </w:pPr>
    </w:p>
    <w:p w14:paraId="7842BAD9" w14:textId="77777777" w:rsidR="00E90280" w:rsidRDefault="00000000">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 priori regions of interest</w:t>
      </w:r>
    </w:p>
    <w:p w14:paraId="330702A8" w14:textId="77777777" w:rsidR="00E90280" w:rsidRDefault="00000000">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application of nonresponse and change mechanism a priori criteria to the bilateral, functionally defined DLPFC </w:t>
      </w:r>
      <w:hyperlink r:id="rId22">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Siegle</w:t>
        </w:r>
        <w:proofErr w:type="spellEnd"/>
        <w:r>
          <w:rPr>
            <w:rFonts w:ascii="Times New Roman" w:eastAsia="Times New Roman" w:hAnsi="Times New Roman" w:cs="Times New Roman"/>
            <w:sz w:val="24"/>
            <w:szCs w:val="24"/>
          </w:rPr>
          <w:t xml:space="preserve"> et al., 2012)</w:t>
        </w:r>
      </w:hyperlink>
      <w:r>
        <w:rPr>
          <w:rFonts w:ascii="Times New Roman" w:eastAsia="Times New Roman" w:hAnsi="Times New Roman" w:cs="Times New Roman"/>
          <w:sz w:val="24"/>
          <w:szCs w:val="24"/>
        </w:rPr>
        <w:t xml:space="preserve"> resulted in two clusters within the DLPFC that exhibited nonresponse qualities and one that exhibited change mechanism qualities (Figure S5.5). The nonresponse clusters were centered at 33, 29, 37 (2,062.50mm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and -40, 45, 14  (1,468.75mm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and the change mechanism cluster was centered at 27, 60, 12 (937.50mm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The application of nonresponse and change mechanism criteria to the bilateral amygdala resulted in one cluster within the left amygdala exhibiting nonresponse qualities centered at -20, 1, -26 (437.50mm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see Figure S5.6. When applying nonresponse and change mechanism criteria to the </w:t>
      </w:r>
      <w:proofErr w:type="spellStart"/>
      <w:r>
        <w:rPr>
          <w:rFonts w:ascii="Times New Roman" w:eastAsia="Times New Roman" w:hAnsi="Times New Roman" w:cs="Times New Roman"/>
          <w:sz w:val="24"/>
          <w:szCs w:val="24"/>
        </w:rPr>
        <w:t>sgACC</w:t>
      </w:r>
      <w:proofErr w:type="spellEnd"/>
      <w:r>
        <w:rPr>
          <w:rFonts w:ascii="Times New Roman" w:eastAsia="Times New Roman" w:hAnsi="Times New Roman" w:cs="Times New Roman"/>
          <w:sz w:val="24"/>
          <w:szCs w:val="24"/>
        </w:rPr>
        <w:t>, one nonresponse cluster centered at -4, 21, -3 (125mm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survived cluster thresholding, see Figure S5.7.</w:t>
      </w:r>
    </w:p>
    <w:p w14:paraId="2EFDA932" w14:textId="77777777" w:rsidR="00E90280" w:rsidRDefault="00E90280">
      <w:pPr>
        <w:shd w:val="clear" w:color="auto" w:fill="FFFFFF"/>
        <w:spacing w:line="240" w:lineRule="auto"/>
        <w:jc w:val="both"/>
        <w:rPr>
          <w:rFonts w:ascii="Times New Roman" w:eastAsia="Times New Roman" w:hAnsi="Times New Roman" w:cs="Times New Roman"/>
          <w:color w:val="FF0000"/>
          <w:sz w:val="24"/>
          <w:szCs w:val="24"/>
        </w:rPr>
      </w:pPr>
    </w:p>
    <w:p w14:paraId="34EBE984" w14:textId="385F01F3" w:rsidR="00E90280" w:rsidRDefault="00000000">
      <w:pPr>
        <w:shd w:val="clear" w:color="auto" w:fill="FFFFFF"/>
        <w:spacing w:line="240" w:lineRule="auto"/>
        <w:jc w:val="both"/>
        <w:rPr>
          <w:rFonts w:ascii="Times New Roman" w:eastAsia="Times New Roman" w:hAnsi="Times New Roman" w:cs="Times New Roman"/>
          <w:sz w:val="24"/>
          <w:szCs w:val="24"/>
        </w:rPr>
      </w:pPr>
      <w:r>
        <w:br w:type="page"/>
      </w:r>
      <w:r>
        <w:rPr>
          <w:rFonts w:ascii="Times New Roman" w:eastAsia="Times New Roman" w:hAnsi="Times New Roman" w:cs="Times New Roman"/>
          <w:sz w:val="24"/>
          <w:szCs w:val="24"/>
        </w:rPr>
        <w:lastRenderedPageBreak/>
        <w:t>Figure S5.5. Clusters within the bilateral dorsolateral prefrontal cortex meeting criteria for nonresponse or change mechanism</w:t>
      </w:r>
    </w:p>
    <w:p w14:paraId="596A37E1" w14:textId="77777777" w:rsidR="00E90280" w:rsidRDefault="00000000">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0D4F934" wp14:editId="25690773">
            <wp:extent cx="5557838" cy="3696318"/>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5557838" cy="3696318"/>
                    </a:xfrm>
                    <a:prstGeom prst="rect">
                      <a:avLst/>
                    </a:prstGeom>
                    <a:ln/>
                  </pic:spPr>
                </pic:pic>
              </a:graphicData>
            </a:graphic>
          </wp:inline>
        </w:drawing>
      </w:r>
    </w:p>
    <w:p w14:paraId="5AEEA527" w14:textId="77777777" w:rsidR="00E90280" w:rsidRPr="000116E6" w:rsidRDefault="00000000">
      <w:pPr>
        <w:rPr>
          <w:rFonts w:ascii="Times New Roman" w:eastAsia="Times New Roman" w:hAnsi="Times New Roman" w:cs="Times New Roman"/>
          <w:sz w:val="24"/>
          <w:szCs w:val="24"/>
        </w:rPr>
      </w:pPr>
      <w:r w:rsidRPr="000116E6">
        <w:rPr>
          <w:rFonts w:ascii="Times New Roman" w:eastAsia="Gungsuh" w:hAnsi="Times New Roman" w:cs="Times New Roman"/>
          <w:sz w:val="24"/>
          <w:szCs w:val="24"/>
        </w:rPr>
        <w:t>Note. Yellow represents a subregion of the dorsolateral prefrontal cortex that met criteria for a change mechanism (pre-depressed ≠ pre-control * pre-depressed ≠ post-depressed * pre-post depressed ≠ pre-post control [≠ corresponds to d &gt; 0.24]) and survived cluster correction. Red represents a subregion within the dorsolateral prefrontal cortex that met criteria for nonresponse (pre-depressed ≠ pre-control * pre-depressed = post-depressed [≠ corresponds to d &gt; .24 and = corresponds to d &lt; .05]) and met cluster correction.</w:t>
      </w:r>
    </w:p>
    <w:p w14:paraId="1042B106" w14:textId="77777777" w:rsidR="00E90280" w:rsidRPr="000116E6" w:rsidRDefault="00000000">
      <w:pPr>
        <w:rPr>
          <w:rFonts w:ascii="Times New Roman" w:eastAsia="Times New Roman" w:hAnsi="Times New Roman" w:cs="Times New Roman"/>
          <w:sz w:val="24"/>
          <w:szCs w:val="24"/>
        </w:rPr>
      </w:pPr>
      <w:r w:rsidRPr="000116E6">
        <w:rPr>
          <w:rFonts w:ascii="Times New Roman" w:eastAsia="Times New Roman" w:hAnsi="Times New Roman" w:cs="Times New Roman"/>
          <w:sz w:val="24"/>
          <w:szCs w:val="24"/>
        </w:rPr>
        <w:lastRenderedPageBreak/>
        <w:t>Figure S5.6. Amygdala cluster meeting criteria for nonresponse</w:t>
      </w:r>
      <w:r w:rsidRPr="000116E6">
        <w:rPr>
          <w:rFonts w:ascii="Times New Roman" w:eastAsia="Times New Roman" w:hAnsi="Times New Roman" w:cs="Times New Roman"/>
          <w:noProof/>
          <w:sz w:val="24"/>
          <w:szCs w:val="24"/>
        </w:rPr>
        <w:drawing>
          <wp:inline distT="114300" distB="114300" distL="114300" distR="114300" wp14:anchorId="494F8C29" wp14:editId="0BC0E261">
            <wp:extent cx="5943600" cy="36830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5943600" cy="3683000"/>
                    </a:xfrm>
                    <a:prstGeom prst="rect">
                      <a:avLst/>
                    </a:prstGeom>
                    <a:ln/>
                  </pic:spPr>
                </pic:pic>
              </a:graphicData>
            </a:graphic>
          </wp:inline>
        </w:drawing>
      </w:r>
    </w:p>
    <w:p w14:paraId="698DDD36" w14:textId="77777777" w:rsidR="00E90280" w:rsidRPr="000116E6" w:rsidRDefault="00000000">
      <w:pPr>
        <w:rPr>
          <w:rFonts w:ascii="Times New Roman" w:eastAsia="Times New Roman" w:hAnsi="Times New Roman" w:cs="Times New Roman"/>
          <w:sz w:val="24"/>
          <w:szCs w:val="24"/>
        </w:rPr>
      </w:pPr>
      <w:r w:rsidRPr="000116E6">
        <w:rPr>
          <w:rFonts w:ascii="Times New Roman" w:eastAsia="Gungsuh" w:hAnsi="Times New Roman" w:cs="Times New Roman"/>
          <w:sz w:val="24"/>
          <w:szCs w:val="24"/>
        </w:rPr>
        <w:t>Note. The red cluster is an amygdala subregion that met criteria for nonresponse (pre-depressed ≠ pre-control * pre-depressed = post-depressed [≠ corresponds to d &gt; .24 and = corresponds to d &lt; .05]) and met cluster correction.</w:t>
      </w:r>
    </w:p>
    <w:p w14:paraId="026C5D01" w14:textId="77777777" w:rsidR="00E90280" w:rsidRPr="000116E6" w:rsidRDefault="00E90280">
      <w:pPr>
        <w:shd w:val="clear" w:color="auto" w:fill="FFFFFF"/>
        <w:spacing w:line="240" w:lineRule="auto"/>
        <w:jc w:val="both"/>
        <w:rPr>
          <w:rFonts w:ascii="Times New Roman" w:eastAsia="Times New Roman" w:hAnsi="Times New Roman" w:cs="Times New Roman"/>
          <w:sz w:val="24"/>
          <w:szCs w:val="24"/>
        </w:rPr>
      </w:pPr>
    </w:p>
    <w:p w14:paraId="1238908F" w14:textId="77777777" w:rsidR="00E90280" w:rsidRPr="000116E6" w:rsidRDefault="00000000">
      <w:pPr>
        <w:shd w:val="clear" w:color="auto" w:fill="FFFFFF"/>
        <w:spacing w:line="240" w:lineRule="auto"/>
        <w:jc w:val="both"/>
        <w:rPr>
          <w:rFonts w:ascii="Times New Roman" w:eastAsia="Times New Roman" w:hAnsi="Times New Roman" w:cs="Times New Roman"/>
          <w:sz w:val="24"/>
          <w:szCs w:val="24"/>
        </w:rPr>
      </w:pPr>
      <w:r w:rsidRPr="000116E6">
        <w:rPr>
          <w:rFonts w:ascii="Times New Roman" w:hAnsi="Times New Roman" w:cs="Times New Roman"/>
        </w:rPr>
        <w:br w:type="page"/>
      </w:r>
    </w:p>
    <w:p w14:paraId="1F0E8356" w14:textId="77777777" w:rsidR="00E90280" w:rsidRPr="000116E6" w:rsidRDefault="00000000">
      <w:pPr>
        <w:shd w:val="clear" w:color="auto" w:fill="FFFFFF"/>
        <w:spacing w:line="240" w:lineRule="auto"/>
        <w:jc w:val="both"/>
        <w:rPr>
          <w:rFonts w:ascii="Times New Roman" w:eastAsia="Times New Roman" w:hAnsi="Times New Roman" w:cs="Times New Roman"/>
          <w:sz w:val="24"/>
          <w:szCs w:val="24"/>
        </w:rPr>
      </w:pPr>
      <w:r w:rsidRPr="000116E6">
        <w:rPr>
          <w:rFonts w:ascii="Times New Roman" w:eastAsia="Times New Roman" w:hAnsi="Times New Roman" w:cs="Times New Roman"/>
          <w:sz w:val="24"/>
          <w:szCs w:val="24"/>
        </w:rPr>
        <w:lastRenderedPageBreak/>
        <w:t xml:space="preserve">Figure S5.7. Cluster within the </w:t>
      </w:r>
      <w:proofErr w:type="spellStart"/>
      <w:r w:rsidRPr="000116E6">
        <w:rPr>
          <w:rFonts w:ascii="Times New Roman" w:eastAsia="Times New Roman" w:hAnsi="Times New Roman" w:cs="Times New Roman"/>
          <w:sz w:val="24"/>
          <w:szCs w:val="24"/>
        </w:rPr>
        <w:t>subgenual</w:t>
      </w:r>
      <w:proofErr w:type="spellEnd"/>
      <w:r w:rsidRPr="000116E6">
        <w:rPr>
          <w:rFonts w:ascii="Times New Roman" w:eastAsia="Times New Roman" w:hAnsi="Times New Roman" w:cs="Times New Roman"/>
          <w:sz w:val="24"/>
          <w:szCs w:val="24"/>
        </w:rPr>
        <w:t xml:space="preserve"> anterior cingulate cortex meeting criteria for nonresponse</w:t>
      </w:r>
    </w:p>
    <w:p w14:paraId="0AD14C5E" w14:textId="77777777" w:rsidR="00E90280" w:rsidRPr="000116E6" w:rsidRDefault="00000000">
      <w:pPr>
        <w:shd w:val="clear" w:color="auto" w:fill="FFFFFF"/>
        <w:spacing w:line="240" w:lineRule="auto"/>
        <w:jc w:val="both"/>
        <w:rPr>
          <w:rFonts w:ascii="Times New Roman" w:eastAsia="Times New Roman" w:hAnsi="Times New Roman" w:cs="Times New Roman"/>
          <w:sz w:val="24"/>
          <w:szCs w:val="24"/>
        </w:rPr>
      </w:pPr>
      <w:r w:rsidRPr="000116E6">
        <w:rPr>
          <w:rFonts w:ascii="Times New Roman" w:eastAsia="Times New Roman" w:hAnsi="Times New Roman" w:cs="Times New Roman"/>
          <w:noProof/>
          <w:sz w:val="24"/>
          <w:szCs w:val="24"/>
        </w:rPr>
        <w:drawing>
          <wp:inline distT="114300" distB="114300" distL="114300" distR="114300" wp14:anchorId="01B962C8" wp14:editId="400F4755">
            <wp:extent cx="5310188" cy="2561485"/>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5310188" cy="2561485"/>
                    </a:xfrm>
                    <a:prstGeom prst="rect">
                      <a:avLst/>
                    </a:prstGeom>
                    <a:ln/>
                  </pic:spPr>
                </pic:pic>
              </a:graphicData>
            </a:graphic>
          </wp:inline>
        </w:drawing>
      </w:r>
    </w:p>
    <w:p w14:paraId="1A6B68A0" w14:textId="77777777" w:rsidR="00E90280" w:rsidRPr="000116E6" w:rsidRDefault="00000000">
      <w:pPr>
        <w:rPr>
          <w:rFonts w:ascii="Times New Roman" w:eastAsia="Times New Roman" w:hAnsi="Times New Roman" w:cs="Times New Roman"/>
          <w:sz w:val="24"/>
          <w:szCs w:val="24"/>
        </w:rPr>
        <w:sectPr w:rsidR="00E90280" w:rsidRPr="000116E6">
          <w:pgSz w:w="12240" w:h="15840"/>
          <w:pgMar w:top="1440" w:right="1440" w:bottom="1440" w:left="1440" w:header="720" w:footer="720" w:gutter="0"/>
          <w:cols w:space="720"/>
        </w:sectPr>
      </w:pPr>
      <w:r w:rsidRPr="000116E6">
        <w:rPr>
          <w:rFonts w:ascii="Times New Roman" w:eastAsia="Gungsuh" w:hAnsi="Times New Roman" w:cs="Times New Roman"/>
          <w:sz w:val="24"/>
          <w:szCs w:val="24"/>
        </w:rPr>
        <w:t xml:space="preserve">Note. The red cluster represents a </w:t>
      </w:r>
      <w:proofErr w:type="spellStart"/>
      <w:r w:rsidRPr="000116E6">
        <w:rPr>
          <w:rFonts w:ascii="Times New Roman" w:eastAsia="Gungsuh" w:hAnsi="Times New Roman" w:cs="Times New Roman"/>
          <w:sz w:val="24"/>
          <w:szCs w:val="24"/>
        </w:rPr>
        <w:t>subgenual</w:t>
      </w:r>
      <w:proofErr w:type="spellEnd"/>
      <w:r w:rsidRPr="000116E6">
        <w:rPr>
          <w:rFonts w:ascii="Times New Roman" w:eastAsia="Gungsuh" w:hAnsi="Times New Roman" w:cs="Times New Roman"/>
          <w:sz w:val="24"/>
          <w:szCs w:val="24"/>
        </w:rPr>
        <w:t xml:space="preserve"> anterior cingulate cortex subregion that met criteria for nonresponse (pre-depressed ≠ pre-control * pre-depressed = post-depressed [≠ corresponds to d &gt; .24 and = corresponds to d &lt; .05]) and met cluster correction.</w:t>
      </w:r>
    </w:p>
    <w:p w14:paraId="259977A0" w14:textId="77777777" w:rsidR="00E90280" w:rsidRPr="000116E6" w:rsidRDefault="00E90280">
      <w:pPr>
        <w:shd w:val="clear" w:color="auto" w:fill="FFFFFF"/>
        <w:spacing w:line="240" w:lineRule="auto"/>
        <w:jc w:val="both"/>
        <w:rPr>
          <w:rFonts w:ascii="Times New Roman" w:eastAsia="Times New Roman" w:hAnsi="Times New Roman" w:cs="Times New Roman"/>
          <w:sz w:val="24"/>
          <w:szCs w:val="24"/>
        </w:rPr>
      </w:pPr>
    </w:p>
    <w:p w14:paraId="0B8F0321" w14:textId="77777777" w:rsidR="00E90280" w:rsidRDefault="00E90280">
      <w:pPr>
        <w:shd w:val="clear" w:color="auto" w:fill="FFFFFF"/>
        <w:spacing w:line="240" w:lineRule="auto"/>
        <w:jc w:val="both"/>
        <w:rPr>
          <w:rFonts w:ascii="Times New Roman" w:eastAsia="Times New Roman" w:hAnsi="Times New Roman" w:cs="Times New Roman"/>
          <w:sz w:val="24"/>
          <w:szCs w:val="24"/>
        </w:rPr>
      </w:pPr>
    </w:p>
    <w:p w14:paraId="0877BFD7" w14:textId="77777777" w:rsidR="00E90280" w:rsidRDefault="00E90280">
      <w:pPr>
        <w:shd w:val="clear" w:color="auto" w:fill="FFFFFF"/>
        <w:spacing w:line="240" w:lineRule="auto"/>
        <w:jc w:val="both"/>
        <w:rPr>
          <w:rFonts w:ascii="Times New Roman" w:eastAsia="Times New Roman" w:hAnsi="Times New Roman" w:cs="Times New Roman"/>
          <w:sz w:val="24"/>
          <w:szCs w:val="24"/>
        </w:rPr>
      </w:pPr>
    </w:p>
    <w:p w14:paraId="75074D14" w14:textId="77777777" w:rsidR="00E90280" w:rsidRDefault="00E90280">
      <w:pPr>
        <w:shd w:val="clear" w:color="auto" w:fill="FFFFFF"/>
        <w:spacing w:line="240" w:lineRule="auto"/>
        <w:jc w:val="both"/>
        <w:rPr>
          <w:rFonts w:ascii="Times New Roman" w:eastAsia="Times New Roman" w:hAnsi="Times New Roman" w:cs="Times New Roman"/>
          <w:sz w:val="24"/>
          <w:szCs w:val="24"/>
        </w:rPr>
      </w:pPr>
    </w:p>
    <w:p w14:paraId="3424FE63" w14:textId="77777777" w:rsidR="00E90280" w:rsidRDefault="00000000">
      <w:pPr>
        <w:spacing w:line="240" w:lineRule="auto"/>
        <w:jc w:val="center"/>
        <w:rPr>
          <w:rFonts w:ascii="Times New Roman" w:eastAsia="Times New Roman" w:hAnsi="Times New Roman" w:cs="Times New Roman"/>
          <w:b/>
          <w:sz w:val="24"/>
          <w:szCs w:val="24"/>
        </w:rPr>
      </w:pPr>
      <w:r>
        <w:br w:type="page"/>
      </w:r>
    </w:p>
    <w:p w14:paraId="0A3FFB34" w14:textId="5BC21AD3" w:rsidR="00E90280" w:rsidRDefault="00000000">
      <w:pPr>
        <w:pStyle w:val="Heading2"/>
        <w:spacing w:line="240" w:lineRule="auto"/>
      </w:pPr>
      <w:bookmarkStart w:id="5" w:name="_r5l8b0xrei96" w:colFirst="0" w:colLast="0"/>
      <w:bookmarkEnd w:id="5"/>
      <w:r>
        <w:lastRenderedPageBreak/>
        <w:t>Supplement 6. M</w:t>
      </w:r>
      <w:r w:rsidR="00527C82">
        <w:t>ixed-effects</w:t>
      </w:r>
      <w:r>
        <w:t xml:space="preserve"> analysis</w:t>
      </w:r>
    </w:p>
    <w:p w14:paraId="5394A832" w14:textId="291EE95F" w:rsidR="00E90280" w:rsidRDefault="00000000">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To examine whether study findings were specific to negative stimuli, we conducted a 2 (Group: Depressed, Controls) x 2 (Time: Pre, Post) x 3 (Valence: Negative, Positive, Neutral) m</w:t>
      </w:r>
      <w:r w:rsidR="00527C82">
        <w:rPr>
          <w:rFonts w:ascii="Times New Roman" w:eastAsia="Times New Roman" w:hAnsi="Times New Roman" w:cs="Times New Roman"/>
          <w:sz w:val="24"/>
          <w:szCs w:val="24"/>
        </w:rPr>
        <w:t>ixed-effects</w:t>
      </w:r>
      <w:r>
        <w:rPr>
          <w:rFonts w:ascii="Times New Roman" w:eastAsia="Times New Roman" w:hAnsi="Times New Roman" w:cs="Times New Roman"/>
          <w:sz w:val="24"/>
          <w:szCs w:val="24"/>
        </w:rPr>
        <w:t xml:space="preserve"> analysis using AFNI’s 3dMVM. Within the m</w:t>
      </w:r>
      <w:r w:rsidR="00527C82">
        <w:rPr>
          <w:rFonts w:ascii="Times New Roman" w:eastAsia="Times New Roman" w:hAnsi="Times New Roman" w:cs="Times New Roman"/>
          <w:sz w:val="24"/>
          <w:szCs w:val="24"/>
        </w:rPr>
        <w:t>ixed-effects</w:t>
      </w:r>
      <w:r>
        <w:rPr>
          <w:rFonts w:ascii="Times New Roman" w:eastAsia="Times New Roman" w:hAnsi="Times New Roman" w:cs="Times New Roman"/>
          <w:sz w:val="24"/>
          <w:szCs w:val="24"/>
        </w:rPr>
        <w:t xml:space="preserve"> analysis, we conducted valence-specific general linear tests (GLT) for each criterion in the conjunction analyses. To allow for a comparison with main paper results, we converted GLT t values to Cohen’s d and overlaid GLT results on study findings for negative stimuli, see Figure S6.1 (Nonresponse) and Figure S6.2 (Change Mechanism).</w:t>
      </w:r>
    </w:p>
    <w:p w14:paraId="090569BF" w14:textId="77777777" w:rsidR="00E90280" w:rsidRDefault="00E90280">
      <w:pPr>
        <w:spacing w:line="240" w:lineRule="auto"/>
        <w:rPr>
          <w:rFonts w:ascii="Times New Roman" w:eastAsia="Times New Roman" w:hAnsi="Times New Roman" w:cs="Times New Roman"/>
          <w:sz w:val="24"/>
          <w:szCs w:val="24"/>
        </w:rPr>
      </w:pPr>
    </w:p>
    <w:p w14:paraId="2FB68739" w14:textId="698E0ABE"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S6.1. Application of m</w:t>
      </w:r>
      <w:r w:rsidR="00527C82">
        <w:rPr>
          <w:rFonts w:ascii="Times New Roman" w:eastAsia="Times New Roman" w:hAnsi="Times New Roman" w:cs="Times New Roman"/>
          <w:sz w:val="24"/>
          <w:szCs w:val="24"/>
        </w:rPr>
        <w:t>ixed-effects</w:t>
      </w:r>
      <w:r>
        <w:rPr>
          <w:rFonts w:ascii="Times New Roman" w:eastAsia="Times New Roman" w:hAnsi="Times New Roman" w:cs="Times New Roman"/>
          <w:sz w:val="24"/>
          <w:szCs w:val="24"/>
        </w:rPr>
        <w:t xml:space="preserve"> general linear tests to nonresponse criteria </w:t>
      </w:r>
    </w:p>
    <w:p w14:paraId="086E7073" w14:textId="77777777"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53055F5" wp14:editId="4A5E6CD3">
            <wp:extent cx="5537786" cy="4872186"/>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5537786" cy="4872186"/>
                    </a:xfrm>
                    <a:prstGeom prst="rect">
                      <a:avLst/>
                    </a:prstGeom>
                    <a:ln/>
                  </pic:spPr>
                </pic:pic>
              </a:graphicData>
            </a:graphic>
          </wp:inline>
        </w:drawing>
      </w:r>
    </w:p>
    <w:p w14:paraId="0FDC9DFC" w14:textId="77777777" w:rsidR="00E90280" w:rsidRPr="000116E6" w:rsidRDefault="00000000">
      <w:pPr>
        <w:spacing w:line="240" w:lineRule="auto"/>
        <w:rPr>
          <w:rFonts w:ascii="Times New Roman" w:eastAsia="Gungsuh" w:hAnsi="Times New Roman" w:cs="Times New Roman"/>
          <w:sz w:val="24"/>
          <w:szCs w:val="24"/>
        </w:rPr>
      </w:pPr>
      <w:r w:rsidRPr="000116E6">
        <w:rPr>
          <w:rFonts w:ascii="Times New Roman" w:eastAsia="Times New Roman" w:hAnsi="Times New Roman" w:cs="Times New Roman"/>
          <w:sz w:val="24"/>
          <w:szCs w:val="24"/>
        </w:rPr>
        <w:t xml:space="preserve">Note. GLT refers to a general linear test. </w:t>
      </w:r>
      <w:r w:rsidRPr="000116E6">
        <w:rPr>
          <w:rFonts w:ascii="Times New Roman" w:eastAsia="Gungsuh" w:hAnsi="Times New Roman" w:cs="Times New Roman"/>
          <w:sz w:val="24"/>
          <w:szCs w:val="24"/>
        </w:rPr>
        <w:t xml:space="preserve">Pre-Ctrl ≠ Pre-Dep represents brain areas where control participants differed (d &gt; .24) from depressed patients prior to treatment. B. Pre-Dep = </w:t>
      </w:r>
      <w:proofErr w:type="gramStart"/>
      <w:r w:rsidRPr="000116E6">
        <w:rPr>
          <w:rFonts w:ascii="Times New Roman" w:eastAsia="Gungsuh" w:hAnsi="Times New Roman" w:cs="Times New Roman"/>
          <w:sz w:val="24"/>
          <w:szCs w:val="24"/>
        </w:rPr>
        <w:t>Post-Dep</w:t>
      </w:r>
      <w:proofErr w:type="gramEnd"/>
      <w:r w:rsidRPr="000116E6">
        <w:rPr>
          <w:rFonts w:ascii="Times New Roman" w:eastAsia="Gungsuh" w:hAnsi="Times New Roman" w:cs="Times New Roman"/>
          <w:sz w:val="24"/>
          <w:szCs w:val="24"/>
        </w:rPr>
        <w:t xml:space="preserve"> represents brain areas where a practical absence of effect (d &lt; .05) was observed when comparing depressed patients prior to and after treatment. </w:t>
      </w:r>
      <w:r w:rsidRPr="000116E6">
        <w:rPr>
          <w:rFonts w:ascii="Times New Roman" w:eastAsia="Times New Roman" w:hAnsi="Times New Roman" w:cs="Times New Roman"/>
          <w:sz w:val="24"/>
          <w:szCs w:val="24"/>
        </w:rPr>
        <w:t xml:space="preserve">For interaction terms, variable levels </w:t>
      </w:r>
      <w:proofErr w:type="gramStart"/>
      <w:r w:rsidRPr="000116E6">
        <w:rPr>
          <w:rFonts w:ascii="Times New Roman" w:eastAsia="Times New Roman" w:hAnsi="Times New Roman" w:cs="Times New Roman"/>
          <w:sz w:val="24"/>
          <w:szCs w:val="24"/>
        </w:rPr>
        <w:t>are:</w:t>
      </w:r>
      <w:proofErr w:type="gramEnd"/>
      <w:r w:rsidRPr="000116E6">
        <w:rPr>
          <w:rFonts w:ascii="Times New Roman" w:eastAsia="Times New Roman" w:hAnsi="Times New Roman" w:cs="Times New Roman"/>
          <w:sz w:val="24"/>
          <w:szCs w:val="24"/>
        </w:rPr>
        <w:t xml:space="preserve"> group (depressed patients and control participants), time (pre- and post-treatment), and valence (negative, positive, neutral). Group X World Valence at Pre shows interaction effects (d &gt; .24). Time x Word Valence for Dep Group shows an absence of interaction effects (d &lt; .05)</w:t>
      </w:r>
      <w:r w:rsidRPr="000116E6">
        <w:rPr>
          <w:rFonts w:ascii="Times New Roman" w:eastAsia="Gungsuh" w:hAnsi="Times New Roman" w:cs="Times New Roman"/>
          <w:sz w:val="24"/>
          <w:szCs w:val="24"/>
        </w:rPr>
        <w:t>.</w:t>
      </w:r>
    </w:p>
    <w:p w14:paraId="1DA5747C" w14:textId="77777777" w:rsidR="00E90280" w:rsidRDefault="00E90280">
      <w:pPr>
        <w:spacing w:line="240" w:lineRule="auto"/>
        <w:rPr>
          <w:rFonts w:ascii="Times New Roman" w:eastAsia="Times New Roman" w:hAnsi="Times New Roman" w:cs="Times New Roman"/>
          <w:sz w:val="24"/>
          <w:szCs w:val="24"/>
        </w:rPr>
      </w:pPr>
    </w:p>
    <w:p w14:paraId="6F728BC4" w14:textId="5132FDB6"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Figure S6.2. Application of m</w:t>
      </w:r>
      <w:r w:rsidR="00527C82">
        <w:rPr>
          <w:rFonts w:ascii="Times New Roman" w:eastAsia="Times New Roman" w:hAnsi="Times New Roman" w:cs="Times New Roman"/>
          <w:sz w:val="24"/>
          <w:szCs w:val="24"/>
        </w:rPr>
        <w:t>ixed-effects</w:t>
      </w:r>
      <w:r>
        <w:rPr>
          <w:rFonts w:ascii="Times New Roman" w:eastAsia="Times New Roman" w:hAnsi="Times New Roman" w:cs="Times New Roman"/>
          <w:sz w:val="24"/>
          <w:szCs w:val="24"/>
        </w:rPr>
        <w:t xml:space="preserve"> general linear tests to change mechanism criteria </w:t>
      </w:r>
    </w:p>
    <w:p w14:paraId="1868CC6D" w14:textId="77777777" w:rsidR="00E90280"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381A5CF" wp14:editId="3FC2B0CB">
            <wp:extent cx="5943600" cy="66675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a:srcRect/>
                    <a:stretch>
                      <a:fillRect/>
                    </a:stretch>
                  </pic:blipFill>
                  <pic:spPr>
                    <a:xfrm>
                      <a:off x="0" y="0"/>
                      <a:ext cx="5943600" cy="6667500"/>
                    </a:xfrm>
                    <a:prstGeom prst="rect">
                      <a:avLst/>
                    </a:prstGeom>
                    <a:ln/>
                  </pic:spPr>
                </pic:pic>
              </a:graphicData>
            </a:graphic>
          </wp:inline>
        </w:drawing>
      </w:r>
    </w:p>
    <w:p w14:paraId="07772C92" w14:textId="77777777" w:rsidR="00E90280" w:rsidRPr="000116E6" w:rsidRDefault="00000000">
      <w:pPr>
        <w:spacing w:line="240" w:lineRule="auto"/>
        <w:rPr>
          <w:rFonts w:ascii="Times New Roman" w:eastAsia="Times New Roman" w:hAnsi="Times New Roman" w:cs="Times New Roman"/>
          <w:b/>
          <w:sz w:val="24"/>
          <w:szCs w:val="24"/>
        </w:rPr>
      </w:pPr>
      <w:r w:rsidRPr="000116E6">
        <w:rPr>
          <w:rFonts w:ascii="Times New Roman" w:eastAsia="Gungsuh" w:hAnsi="Times New Roman" w:cs="Times New Roman"/>
          <w:sz w:val="24"/>
          <w:szCs w:val="24"/>
        </w:rPr>
        <w:t xml:space="preserve">Note. GLT refers to a general linear test. Pre-Ctrl ≠ Pre-Dep represents brain areas where control participants differed (d &gt; .24) from depressed patients prior to treatment. Pre-Dep ≠ </w:t>
      </w:r>
      <w:proofErr w:type="gramStart"/>
      <w:r w:rsidRPr="000116E6">
        <w:rPr>
          <w:rFonts w:ascii="Times New Roman" w:eastAsia="Gungsuh" w:hAnsi="Times New Roman" w:cs="Times New Roman"/>
          <w:sz w:val="24"/>
          <w:szCs w:val="24"/>
        </w:rPr>
        <w:t>Post-Dep</w:t>
      </w:r>
      <w:proofErr w:type="gramEnd"/>
      <w:r w:rsidRPr="000116E6">
        <w:rPr>
          <w:rFonts w:ascii="Times New Roman" w:eastAsia="Gungsuh" w:hAnsi="Times New Roman" w:cs="Times New Roman"/>
          <w:sz w:val="24"/>
          <w:szCs w:val="24"/>
        </w:rPr>
        <w:t xml:space="preserve"> represents brain areas where depressed patients prior to and after treatment differed (d &gt; .24). </w:t>
      </w:r>
      <w:proofErr w:type="gramStart"/>
      <w:r w:rsidRPr="000116E6">
        <w:rPr>
          <w:rFonts w:ascii="Times New Roman" w:eastAsia="Gungsuh" w:hAnsi="Times New Roman" w:cs="Times New Roman"/>
          <w:sz w:val="24"/>
          <w:szCs w:val="24"/>
        </w:rPr>
        <w:t>Pre-Post Ctrl</w:t>
      </w:r>
      <w:proofErr w:type="gramEnd"/>
      <w:r w:rsidRPr="000116E6">
        <w:rPr>
          <w:rFonts w:ascii="Times New Roman" w:eastAsia="Gungsuh" w:hAnsi="Times New Roman" w:cs="Times New Roman"/>
          <w:sz w:val="24"/>
          <w:szCs w:val="24"/>
        </w:rPr>
        <w:t xml:space="preserve"> ≠ Pre-Post Dep represents brain areas where pre-post estimates differed (d &gt; .24) between control participants and depressed patients. For interaction terms, variable levels </w:t>
      </w:r>
      <w:proofErr w:type="gramStart"/>
      <w:r w:rsidRPr="000116E6">
        <w:rPr>
          <w:rFonts w:ascii="Times New Roman" w:eastAsia="Gungsuh" w:hAnsi="Times New Roman" w:cs="Times New Roman"/>
          <w:sz w:val="24"/>
          <w:szCs w:val="24"/>
        </w:rPr>
        <w:t>are:</w:t>
      </w:r>
      <w:proofErr w:type="gramEnd"/>
      <w:r w:rsidRPr="000116E6">
        <w:rPr>
          <w:rFonts w:ascii="Times New Roman" w:eastAsia="Gungsuh" w:hAnsi="Times New Roman" w:cs="Times New Roman"/>
          <w:sz w:val="24"/>
          <w:szCs w:val="24"/>
        </w:rPr>
        <w:t xml:space="preserve"> group (depressed patients and control participants), time (pre- and post-treatment), and valence </w:t>
      </w:r>
      <w:r w:rsidRPr="000116E6">
        <w:rPr>
          <w:rFonts w:ascii="Times New Roman" w:eastAsia="Gungsuh" w:hAnsi="Times New Roman" w:cs="Times New Roman"/>
          <w:sz w:val="24"/>
          <w:szCs w:val="24"/>
        </w:rPr>
        <w:lastRenderedPageBreak/>
        <w:t xml:space="preserve">(negative, positive, neutral). Group X Word Valence at Pre and Time X Word Valence for Dep group show areas of interaction effects (d &gt; .24). </w:t>
      </w:r>
    </w:p>
    <w:p w14:paraId="01F58EA5" w14:textId="77777777" w:rsidR="00E90280" w:rsidRDefault="00000000">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r>
    </w:p>
    <w:p w14:paraId="446E0CDC" w14:textId="77777777" w:rsidR="00E90280" w:rsidRDefault="00000000">
      <w:pPr>
        <w:spacing w:line="240" w:lineRule="auto"/>
        <w:rPr>
          <w:rFonts w:ascii="Times New Roman" w:eastAsia="Times New Roman" w:hAnsi="Times New Roman" w:cs="Times New Roman"/>
          <w:b/>
          <w:sz w:val="24"/>
          <w:szCs w:val="24"/>
        </w:rPr>
      </w:pPr>
      <w:r>
        <w:br w:type="page"/>
      </w:r>
    </w:p>
    <w:p w14:paraId="4CF02140" w14:textId="77777777" w:rsidR="00E90280" w:rsidRDefault="00000000">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References</w:t>
      </w:r>
    </w:p>
    <w:p w14:paraId="13D99E1F" w14:textId="25659BD2" w:rsidR="007713C3" w:rsidRPr="007713C3" w:rsidRDefault="007713C3" w:rsidP="007713C3">
      <w:pPr>
        <w:widowControl w:val="0"/>
        <w:pBdr>
          <w:top w:val="nil"/>
          <w:left w:val="nil"/>
          <w:bottom w:val="nil"/>
          <w:right w:val="nil"/>
          <w:between w:val="nil"/>
        </w:pBdr>
        <w:spacing w:line="480" w:lineRule="auto"/>
        <w:ind w:left="720" w:hanging="720"/>
        <w:rPr>
          <w:rFonts w:ascii="Times New Roman" w:hAnsi="Times New Roman" w:cs="Times New Roman"/>
          <w:sz w:val="24"/>
          <w:szCs w:val="24"/>
          <w:lang w:val="en-US"/>
        </w:rPr>
      </w:pPr>
      <w:proofErr w:type="spellStart"/>
      <w:r w:rsidRPr="007713C3">
        <w:rPr>
          <w:rFonts w:ascii="Times New Roman" w:hAnsi="Times New Roman" w:cs="Times New Roman"/>
          <w:sz w:val="24"/>
          <w:szCs w:val="24"/>
          <w:lang w:val="en-US"/>
        </w:rPr>
        <w:t>Lakens</w:t>
      </w:r>
      <w:proofErr w:type="spellEnd"/>
      <w:r w:rsidRPr="007713C3">
        <w:rPr>
          <w:rFonts w:ascii="Times New Roman" w:hAnsi="Times New Roman" w:cs="Times New Roman"/>
          <w:sz w:val="24"/>
          <w:szCs w:val="24"/>
          <w:lang w:val="en-US"/>
        </w:rPr>
        <w:t xml:space="preserve">, D. (2013). Calculating and reporting effect sizes to facilitate cumulative science: </w:t>
      </w:r>
      <w:r>
        <w:rPr>
          <w:rFonts w:ascii="Times New Roman" w:hAnsi="Times New Roman" w:cs="Times New Roman"/>
          <w:sz w:val="24"/>
          <w:szCs w:val="24"/>
          <w:lang w:val="en-US"/>
        </w:rPr>
        <w:t>A</w:t>
      </w:r>
      <w:r w:rsidRPr="007713C3">
        <w:rPr>
          <w:rFonts w:ascii="Times New Roman" w:hAnsi="Times New Roman" w:cs="Times New Roman"/>
          <w:sz w:val="24"/>
          <w:szCs w:val="24"/>
          <w:lang w:val="en-US"/>
        </w:rPr>
        <w:t xml:space="preserve"> practical primer for t-tests and ANOVAs. </w:t>
      </w:r>
      <w:r w:rsidRPr="007713C3">
        <w:rPr>
          <w:rFonts w:ascii="Times New Roman" w:hAnsi="Times New Roman" w:cs="Times New Roman"/>
          <w:i/>
          <w:iCs/>
          <w:sz w:val="24"/>
          <w:szCs w:val="24"/>
          <w:lang w:val="en-US"/>
        </w:rPr>
        <w:t xml:space="preserve">Frontiers in </w:t>
      </w:r>
      <w:r>
        <w:rPr>
          <w:rFonts w:ascii="Times New Roman" w:hAnsi="Times New Roman" w:cs="Times New Roman"/>
          <w:i/>
          <w:iCs/>
          <w:sz w:val="24"/>
          <w:szCs w:val="24"/>
          <w:lang w:val="en-US"/>
        </w:rPr>
        <w:t>P</w:t>
      </w:r>
      <w:r w:rsidRPr="007713C3">
        <w:rPr>
          <w:rFonts w:ascii="Times New Roman" w:hAnsi="Times New Roman" w:cs="Times New Roman"/>
          <w:i/>
          <w:iCs/>
          <w:sz w:val="24"/>
          <w:szCs w:val="24"/>
          <w:lang w:val="en-US"/>
        </w:rPr>
        <w:t>sychology</w:t>
      </w:r>
      <w:r w:rsidRPr="007713C3">
        <w:rPr>
          <w:rFonts w:ascii="Times New Roman" w:hAnsi="Times New Roman" w:cs="Times New Roman"/>
          <w:sz w:val="24"/>
          <w:szCs w:val="24"/>
          <w:lang w:val="en-US"/>
        </w:rPr>
        <w:t>, </w:t>
      </w:r>
      <w:r w:rsidRPr="007713C3">
        <w:rPr>
          <w:rFonts w:ascii="Times New Roman" w:hAnsi="Times New Roman" w:cs="Times New Roman"/>
          <w:i/>
          <w:iCs/>
          <w:sz w:val="24"/>
          <w:szCs w:val="24"/>
          <w:lang w:val="en-US"/>
        </w:rPr>
        <w:t>4,</w:t>
      </w:r>
      <w:r w:rsidRPr="007713C3">
        <w:rPr>
          <w:rFonts w:ascii="Times New Roman" w:hAnsi="Times New Roman" w:cs="Times New Roman"/>
          <w:sz w:val="24"/>
          <w:szCs w:val="24"/>
          <w:lang w:val="en-US"/>
        </w:rPr>
        <w:t xml:space="preserve"> 863.</w:t>
      </w:r>
      <w:r>
        <w:t xml:space="preserve"> </w:t>
      </w:r>
      <w:r w:rsidRPr="007713C3">
        <w:rPr>
          <w:rFonts w:ascii="Times New Roman" w:hAnsi="Times New Roman" w:cs="Times New Roman"/>
          <w:sz w:val="24"/>
          <w:szCs w:val="24"/>
          <w:lang w:val="en-US"/>
        </w:rPr>
        <w:t>https://doi.org/10.3389/fpsyg.2013.00863</w:t>
      </w:r>
    </w:p>
    <w:p w14:paraId="1731D68A" w14:textId="77777777" w:rsidR="00E90280" w:rsidRDefault="00E90280">
      <w:pPr>
        <w:widowControl w:val="0"/>
        <w:pBdr>
          <w:top w:val="nil"/>
          <w:left w:val="nil"/>
          <w:bottom w:val="nil"/>
          <w:right w:val="nil"/>
          <w:between w:val="nil"/>
        </w:pBdr>
        <w:spacing w:line="480" w:lineRule="auto"/>
        <w:rPr>
          <w:rFonts w:ascii="Times New Roman" w:eastAsia="Times New Roman" w:hAnsi="Times New Roman" w:cs="Times New Roman"/>
          <w:sz w:val="24"/>
          <w:szCs w:val="24"/>
        </w:rPr>
      </w:pPr>
    </w:p>
    <w:sectPr w:rsidR="00E90280">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C89DF0" w14:textId="77777777" w:rsidR="00AE4BB2" w:rsidRDefault="00AE4BB2">
      <w:pPr>
        <w:spacing w:line="240" w:lineRule="auto"/>
      </w:pPr>
      <w:r>
        <w:separator/>
      </w:r>
    </w:p>
  </w:endnote>
  <w:endnote w:type="continuationSeparator" w:id="0">
    <w:p w14:paraId="21F7ECDF" w14:textId="77777777" w:rsidR="00AE4BB2" w:rsidRDefault="00AE4B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Gungsuh">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09447" w14:textId="77777777" w:rsidR="00E90280" w:rsidRDefault="00E9028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49DFA" w14:textId="77777777" w:rsidR="00E90280" w:rsidRDefault="00E9028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CA0A4" w14:textId="77777777" w:rsidR="00AE4BB2" w:rsidRDefault="00AE4BB2">
      <w:pPr>
        <w:spacing w:line="240" w:lineRule="auto"/>
      </w:pPr>
      <w:r>
        <w:separator/>
      </w:r>
    </w:p>
  </w:footnote>
  <w:footnote w:type="continuationSeparator" w:id="0">
    <w:p w14:paraId="1E9B4D8A" w14:textId="77777777" w:rsidR="00AE4BB2" w:rsidRDefault="00AE4BB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2777D" w14:textId="4E88C374" w:rsidR="00E90280" w:rsidRDefault="00000000">
    <w:pPr>
      <w:jc w:val="right"/>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PAGE</w:instrText>
    </w:r>
    <w:r>
      <w:rPr>
        <w:rFonts w:ascii="Times New Roman" w:eastAsia="Times New Roman" w:hAnsi="Times New Roman" w:cs="Times New Roman"/>
      </w:rPr>
      <w:fldChar w:fldCharType="separate"/>
    </w:r>
    <w:r w:rsidR="000116E6">
      <w:rPr>
        <w:rFonts w:ascii="Times New Roman" w:eastAsia="Times New Roman" w:hAnsi="Times New Roman" w:cs="Times New Roman"/>
        <w:noProof/>
      </w:rPr>
      <w:t>3</w:t>
    </w:r>
    <w:r>
      <w:rPr>
        <w:rFonts w:ascii="Times New Roman" w:eastAsia="Times New Roman" w:hAnsi="Times New Roman" w:cs="Times New Roman"/>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57FEF" w14:textId="77777777" w:rsidR="00E90280" w:rsidRDefault="00E9028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A5B0" w14:textId="77777777" w:rsidR="00E90280" w:rsidRDefault="00000000">
    <w:pPr>
      <w:jc w:val="right"/>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PAGE</w:instrText>
    </w:r>
    <w:r>
      <w:rPr>
        <w:rFonts w:ascii="Times New Roman" w:eastAsia="Times New Roman" w:hAnsi="Times New Roman" w:cs="Times New Roman"/>
      </w:rPr>
      <w:fldChar w:fldCharType="separate"/>
    </w:r>
    <w:r w:rsidR="000116E6">
      <w:rPr>
        <w:rFonts w:ascii="Times New Roman" w:eastAsia="Times New Roman" w:hAnsi="Times New Roman" w:cs="Times New Roman"/>
        <w:noProof/>
      </w:rPr>
      <w:t>2</w:t>
    </w:r>
    <w:r>
      <w:rPr>
        <w:rFonts w:ascii="Times New Roman" w:eastAsia="Times New Roman" w:hAnsi="Times New Roman" w:cs="Times New Roman"/>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0280"/>
    <w:rsid w:val="000116E6"/>
    <w:rsid w:val="00527C82"/>
    <w:rsid w:val="007713C3"/>
    <w:rsid w:val="007972AE"/>
    <w:rsid w:val="00993AF9"/>
    <w:rsid w:val="00AE4BB2"/>
    <w:rsid w:val="00B91D04"/>
    <w:rsid w:val="00E902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247FB83"/>
  <w15:docId w15:val="{47A84C0C-3F56-2E4F-BD72-8DEDA0FCF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rFonts w:ascii="Times New Roman" w:eastAsia="Times New Roman" w:hAnsi="Times New Roman" w:cs="Times New Roman"/>
      <w:sz w:val="24"/>
      <w:szCs w:val="24"/>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15" w:type="dxa"/>
        <w:left w:w="113" w:type="dxa"/>
        <w:bottom w:w="115" w:type="dxa"/>
        <w:right w:w="115"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259198">
      <w:bodyDiv w:val="1"/>
      <w:marLeft w:val="0"/>
      <w:marRight w:val="0"/>
      <w:marTop w:val="0"/>
      <w:marBottom w:val="0"/>
      <w:divBdr>
        <w:top w:val="none" w:sz="0" w:space="0" w:color="auto"/>
        <w:left w:val="none" w:sz="0" w:space="0" w:color="auto"/>
        <w:bottom w:val="none" w:sz="0" w:space="0" w:color="auto"/>
        <w:right w:val="none" w:sz="0" w:space="0" w:color="auto"/>
      </w:divBdr>
    </w:div>
    <w:div w:id="15777888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9.png"/><Relationship Id="rId7" Type="http://schemas.openxmlformats.org/officeDocument/2006/relationships/footer" Target="footer1.xml"/><Relationship Id="rId12" Type="http://schemas.openxmlformats.org/officeDocument/2006/relationships/hyperlink" Target="https://paperpile.com/c/ioemSh/EoAe3" TargetMode="External"/><Relationship Id="rId17" Type="http://schemas.openxmlformats.org/officeDocument/2006/relationships/image" Target="media/image5.png"/><Relationship Id="rId25"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1.png"/><Relationship Id="rId24" Type="http://schemas.openxmlformats.org/officeDocument/2006/relationships/image" Target="media/image11.png"/><Relationship Id="rId5" Type="http://schemas.openxmlformats.org/officeDocument/2006/relationships/endnotes" Target="endnotes.xml"/><Relationship Id="rId15" Type="http://schemas.openxmlformats.org/officeDocument/2006/relationships/hyperlink" Target="https://paperpile.com/c/72gbu7/hL99u" TargetMode="External"/><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header" Target="header3.xml"/><Relationship Id="rId19" Type="http://schemas.openxmlformats.org/officeDocument/2006/relationships/image" Target="media/image7.png"/><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hyperlink" Target="https://paperpile.com/c/72gbu7/hL99u" TargetMode="External"/><Relationship Id="rId27"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19</Pages>
  <Words>2310</Words>
  <Characters>13167</Characters>
  <Application>Microsoft Office Word</Application>
  <DocSecurity>0</DocSecurity>
  <Lines>109</Lines>
  <Paragraphs>30</Paragraphs>
  <ScaleCrop>false</ScaleCrop>
  <Company/>
  <LinksUpToDate>false</LinksUpToDate>
  <CharactersWithSpaces>15447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Strege, Marlene</cp:lastModifiedBy>
  <cp:revision>5</cp:revision>
  <dcterms:created xsi:type="dcterms:W3CDTF">2023-03-02T04:17:00Z</dcterms:created>
  <dcterms:modified xsi:type="dcterms:W3CDTF">2023-03-02T22:53:00Z</dcterms:modified>
</cp:coreProperties>
</file>