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6B5" w:rsidRDefault="001E76B5" w:rsidP="001E76B5">
      <w:pPr>
        <w:rPr>
          <w:rFonts w:ascii="Times New Roman" w:hAnsi="Times New Roman" w:cs="Times New Roman"/>
          <w:b/>
          <w:sz w:val="28"/>
          <w:szCs w:val="28"/>
          <w:lang w:val="en-US"/>
        </w:rPr>
      </w:pPr>
      <w:r w:rsidRPr="001E76B5">
        <w:rPr>
          <w:rFonts w:ascii="Times New Roman" w:hAnsi="Times New Roman" w:cs="Times New Roman"/>
          <w:b/>
          <w:sz w:val="28"/>
          <w:szCs w:val="28"/>
          <w:lang w:val="en-US"/>
        </w:rPr>
        <w:t>Prediction of estimated risk for bipolar disorder using machine learning and structural MRI features</w:t>
      </w:r>
    </w:p>
    <w:p w:rsidR="001E76B5" w:rsidRDefault="001E76B5" w:rsidP="001E76B5">
      <w:pPr>
        <w:rPr>
          <w:rFonts w:ascii="Times New Roman" w:hAnsi="Times New Roman" w:cs="Times New Roman"/>
          <w:b/>
          <w:sz w:val="28"/>
          <w:szCs w:val="28"/>
          <w:lang w:val="en-US"/>
        </w:rPr>
      </w:pPr>
    </w:p>
    <w:p w:rsidR="001E76B5" w:rsidRPr="001E76B5" w:rsidRDefault="001E76B5" w:rsidP="001E76B5">
      <w:pPr>
        <w:spacing w:line="360" w:lineRule="auto"/>
        <w:jc w:val="both"/>
        <w:rPr>
          <w:rFonts w:ascii="Times New Roman" w:hAnsi="Times New Roman" w:cs="Times New Roman"/>
          <w:b/>
          <w:sz w:val="28"/>
          <w:szCs w:val="28"/>
          <w:lang w:val="en-US"/>
        </w:rPr>
      </w:pPr>
      <w:r w:rsidRPr="001E76B5">
        <w:rPr>
          <w:rFonts w:ascii="Times New Roman" w:hAnsi="Times New Roman" w:cs="Times New Roman"/>
          <w:b/>
          <w:sz w:val="28"/>
          <w:szCs w:val="28"/>
          <w:lang w:val="en-US"/>
        </w:rPr>
        <w:t>Supplement</w:t>
      </w:r>
      <w:r w:rsidR="00835870">
        <w:rPr>
          <w:rFonts w:ascii="Times New Roman" w:hAnsi="Times New Roman" w:cs="Times New Roman"/>
          <w:b/>
          <w:sz w:val="28"/>
          <w:szCs w:val="28"/>
          <w:lang w:val="en-US"/>
        </w:rPr>
        <w:t>al</w:t>
      </w:r>
      <w:r w:rsidRPr="001E76B5">
        <w:rPr>
          <w:rFonts w:ascii="Times New Roman" w:hAnsi="Times New Roman" w:cs="Times New Roman"/>
          <w:b/>
          <w:sz w:val="28"/>
          <w:szCs w:val="28"/>
          <w:lang w:val="en-US"/>
        </w:rPr>
        <w:t xml:space="preserve"> materials</w:t>
      </w:r>
    </w:p>
    <w:p w:rsidR="001E76B5" w:rsidRPr="00FC47D8" w:rsidRDefault="001E76B5" w:rsidP="001E76B5">
      <w:pPr>
        <w:rPr>
          <w:rFonts w:ascii="Times New Roman" w:hAnsi="Times New Roman" w:cs="Times New Roman"/>
          <w:sz w:val="24"/>
          <w:szCs w:val="24"/>
          <w:lang w:val="en-US"/>
        </w:rPr>
      </w:pPr>
      <w:r w:rsidRPr="00F6497F">
        <w:rPr>
          <w:rFonts w:ascii="Times New Roman" w:hAnsi="Times New Roman" w:cs="Times New Roman"/>
          <w:b/>
          <w:sz w:val="24"/>
          <w:szCs w:val="24"/>
          <w:lang w:val="en-US"/>
        </w:rPr>
        <w:t>Supplementary note 1:</w:t>
      </w:r>
      <w:r w:rsidRPr="00FC47D8">
        <w:rPr>
          <w:rFonts w:ascii="Times New Roman" w:hAnsi="Times New Roman" w:cs="Times New Roman"/>
          <w:sz w:val="24"/>
          <w:szCs w:val="24"/>
          <w:lang w:val="en-US"/>
        </w:rPr>
        <w:t xml:space="preserve"> Inclusion and exclusion criteria for the three recruitment pathways. </w:t>
      </w:r>
    </w:p>
    <w:p w:rsidR="001E76B5" w:rsidRDefault="001E76B5" w:rsidP="001E76B5">
      <w:pPr>
        <w:rPr>
          <w:rFonts w:ascii="Times New Roman" w:hAnsi="Times New Roman" w:cs="Times New Roman"/>
          <w:sz w:val="24"/>
          <w:szCs w:val="24"/>
          <w:lang w:val="en-US"/>
        </w:rPr>
      </w:pPr>
      <w:r w:rsidRPr="001E76B5">
        <w:rPr>
          <w:rFonts w:ascii="Times New Roman" w:hAnsi="Times New Roman" w:cs="Times New Roman"/>
          <w:b/>
          <w:sz w:val="24"/>
          <w:szCs w:val="24"/>
          <w:lang w:val="en-US"/>
        </w:rPr>
        <w:t>Supplementary note 2:</w:t>
      </w:r>
      <w:r w:rsidRPr="001E76B5">
        <w:rPr>
          <w:rFonts w:ascii="Times New Roman" w:hAnsi="Times New Roman" w:cs="Times New Roman"/>
          <w:sz w:val="24"/>
          <w:szCs w:val="24"/>
          <w:lang w:val="en-US"/>
        </w:rPr>
        <w:t xml:space="preserve"> The list of 20 selected features for secondary ana</w:t>
      </w:r>
      <w:r>
        <w:rPr>
          <w:rFonts w:ascii="Times New Roman" w:hAnsi="Times New Roman" w:cs="Times New Roman"/>
          <w:sz w:val="24"/>
          <w:szCs w:val="24"/>
          <w:lang w:val="en-US"/>
        </w:rPr>
        <w:t xml:space="preserve">lysis according to </w:t>
      </w:r>
      <w:proofErr w:type="spellStart"/>
      <w:r>
        <w:rPr>
          <w:rFonts w:ascii="Times New Roman" w:hAnsi="Times New Roman" w:cs="Times New Roman"/>
          <w:sz w:val="24"/>
          <w:szCs w:val="24"/>
          <w:lang w:val="en-US"/>
        </w:rPr>
        <w:t>Hibar</w:t>
      </w:r>
      <w:proofErr w:type="spellEnd"/>
      <w:r>
        <w:rPr>
          <w:rFonts w:ascii="Times New Roman" w:hAnsi="Times New Roman" w:cs="Times New Roman"/>
          <w:sz w:val="24"/>
          <w:szCs w:val="24"/>
          <w:lang w:val="en-US"/>
        </w:rPr>
        <w:t xml:space="preserve"> et al.</w:t>
      </w:r>
    </w:p>
    <w:p w:rsidR="001E76B5" w:rsidRDefault="001E76B5" w:rsidP="001E76B5">
      <w:pPr>
        <w:spacing w:after="0"/>
        <w:rPr>
          <w:rFonts w:ascii="Times New Roman" w:hAnsi="Times New Roman" w:cs="Times New Roman"/>
          <w:sz w:val="24"/>
          <w:szCs w:val="24"/>
          <w:lang w:val="en-US"/>
        </w:rPr>
      </w:pPr>
      <w:r w:rsidRPr="00F6497F">
        <w:rPr>
          <w:rFonts w:ascii="Times New Roman" w:hAnsi="Times New Roman" w:cs="Times New Roman"/>
          <w:b/>
          <w:sz w:val="24"/>
          <w:szCs w:val="24"/>
          <w:lang w:val="en-US"/>
        </w:rPr>
        <w:t xml:space="preserve">Supplementary note </w:t>
      </w:r>
      <w:r>
        <w:rPr>
          <w:rFonts w:ascii="Times New Roman" w:hAnsi="Times New Roman" w:cs="Times New Roman"/>
          <w:b/>
          <w:sz w:val="24"/>
          <w:szCs w:val="24"/>
          <w:lang w:val="en-US"/>
        </w:rPr>
        <w:t>3</w:t>
      </w:r>
      <w:r w:rsidRPr="00F6497F">
        <w:rPr>
          <w:rFonts w:ascii="Times New Roman" w:hAnsi="Times New Roman" w:cs="Times New Roman"/>
          <w:b/>
          <w:sz w:val="24"/>
          <w:szCs w:val="24"/>
          <w:lang w:val="en-US"/>
        </w:rPr>
        <w:t>:</w:t>
      </w:r>
      <w:r w:rsidRPr="00FC47D8">
        <w:rPr>
          <w:rFonts w:ascii="Times New Roman" w:hAnsi="Times New Roman" w:cs="Times New Roman"/>
          <w:sz w:val="24"/>
          <w:szCs w:val="24"/>
          <w:lang w:val="en-US"/>
        </w:rPr>
        <w:t xml:space="preserve"> </w:t>
      </w:r>
      <w:r w:rsidR="00654939" w:rsidRPr="00654939">
        <w:rPr>
          <w:rFonts w:ascii="Times New Roman" w:hAnsi="Times New Roman" w:cs="Times New Roman"/>
          <w:sz w:val="24"/>
          <w:szCs w:val="24"/>
          <w:lang w:val="en-US"/>
        </w:rPr>
        <w:t>Analysis of the diagnoses ADHD and depression on the classification.</w:t>
      </w:r>
    </w:p>
    <w:p w:rsidR="008E0267" w:rsidRDefault="008E0267" w:rsidP="001E76B5">
      <w:pPr>
        <w:spacing w:after="0"/>
        <w:rPr>
          <w:rFonts w:ascii="Times New Roman" w:hAnsi="Times New Roman" w:cs="Times New Roman"/>
          <w:sz w:val="24"/>
          <w:szCs w:val="24"/>
          <w:lang w:val="en-US"/>
        </w:rPr>
      </w:pPr>
    </w:p>
    <w:p w:rsidR="008E0267" w:rsidRDefault="008E0267" w:rsidP="008E0267">
      <w:pPr>
        <w:spacing w:after="0"/>
        <w:rPr>
          <w:rFonts w:ascii="Times New Roman" w:hAnsi="Times New Roman" w:cs="Times New Roman"/>
          <w:sz w:val="24"/>
          <w:szCs w:val="24"/>
          <w:lang w:val="en-US"/>
        </w:rPr>
      </w:pPr>
      <w:r w:rsidRPr="00F6497F">
        <w:rPr>
          <w:rFonts w:ascii="Times New Roman" w:hAnsi="Times New Roman" w:cs="Times New Roman"/>
          <w:b/>
          <w:sz w:val="24"/>
          <w:szCs w:val="24"/>
          <w:lang w:val="en-US"/>
        </w:rPr>
        <w:t xml:space="preserve">Supplementary note </w:t>
      </w:r>
      <w:r>
        <w:rPr>
          <w:rFonts w:ascii="Times New Roman" w:hAnsi="Times New Roman" w:cs="Times New Roman"/>
          <w:b/>
          <w:sz w:val="24"/>
          <w:szCs w:val="24"/>
          <w:lang w:val="en-US"/>
        </w:rPr>
        <w:t>4</w:t>
      </w:r>
      <w:r w:rsidRPr="00F6497F">
        <w:rPr>
          <w:rFonts w:ascii="Times New Roman" w:hAnsi="Times New Roman" w:cs="Times New Roman"/>
          <w:b/>
          <w:sz w:val="24"/>
          <w:szCs w:val="24"/>
          <w:lang w:val="en-US"/>
        </w:rPr>
        <w:t>:</w:t>
      </w:r>
      <w:r w:rsidRPr="00FC47D8">
        <w:rPr>
          <w:rFonts w:ascii="Times New Roman" w:hAnsi="Times New Roman" w:cs="Times New Roman"/>
          <w:sz w:val="24"/>
          <w:szCs w:val="24"/>
          <w:lang w:val="en-US"/>
        </w:rPr>
        <w:t xml:space="preserve"> </w:t>
      </w:r>
      <w:r w:rsidRPr="00B34DF6">
        <w:rPr>
          <w:rFonts w:ascii="Times New Roman" w:hAnsi="Times New Roman" w:cs="Times New Roman"/>
          <w:sz w:val="24"/>
          <w:szCs w:val="24"/>
          <w:lang w:val="en-US"/>
        </w:rPr>
        <w:t xml:space="preserve">Secondary analysis of </w:t>
      </w:r>
      <w:proofErr w:type="spellStart"/>
      <w:r w:rsidRPr="00B34DF6">
        <w:rPr>
          <w:rFonts w:ascii="Times New Roman" w:hAnsi="Times New Roman" w:cs="Times New Roman"/>
          <w:sz w:val="24"/>
          <w:szCs w:val="24"/>
          <w:lang w:val="en-US"/>
        </w:rPr>
        <w:t>EPI</w:t>
      </w:r>
      <w:r w:rsidRPr="00B34DF6">
        <w:rPr>
          <w:rFonts w:ascii="Times New Roman" w:hAnsi="Times New Roman" w:cs="Times New Roman"/>
          <w:i/>
          <w:sz w:val="24"/>
          <w:szCs w:val="24"/>
          <w:lang w:val="en-US"/>
        </w:rPr>
        <w:t>bipolar</w:t>
      </w:r>
      <w:proofErr w:type="spellEnd"/>
      <w:r w:rsidRPr="00B34DF6">
        <w:rPr>
          <w:rFonts w:ascii="Times New Roman" w:hAnsi="Times New Roman" w:cs="Times New Roman"/>
          <w:sz w:val="24"/>
          <w:szCs w:val="24"/>
          <w:lang w:val="en-US"/>
        </w:rPr>
        <w:t xml:space="preserve"> risk</w:t>
      </w:r>
    </w:p>
    <w:p w:rsidR="008E0267" w:rsidRDefault="008E0267" w:rsidP="001E76B5">
      <w:pPr>
        <w:spacing w:after="0"/>
        <w:rPr>
          <w:rFonts w:ascii="Times New Roman" w:hAnsi="Times New Roman" w:cs="Times New Roman"/>
          <w:sz w:val="24"/>
          <w:szCs w:val="24"/>
          <w:lang w:val="en-US"/>
        </w:rPr>
      </w:pPr>
    </w:p>
    <w:p w:rsidR="001E76B5" w:rsidRDefault="001E76B5" w:rsidP="001E76B5">
      <w:pPr>
        <w:rPr>
          <w:rFonts w:ascii="Times New Roman" w:hAnsi="Times New Roman" w:cs="Times New Roman"/>
          <w:sz w:val="24"/>
          <w:szCs w:val="24"/>
          <w:lang w:val="en-US"/>
        </w:rPr>
      </w:pPr>
      <w:r w:rsidRPr="00FC47D8">
        <w:rPr>
          <w:rFonts w:ascii="Times New Roman" w:hAnsi="Times New Roman" w:cs="Times New Roman"/>
          <w:b/>
          <w:sz w:val="24"/>
          <w:szCs w:val="24"/>
          <w:lang w:val="en-US"/>
        </w:rPr>
        <w:t>Supplementary table 1:</w:t>
      </w:r>
      <w:r w:rsidRPr="00FC47D8">
        <w:rPr>
          <w:rFonts w:ascii="Times New Roman" w:hAnsi="Times New Roman" w:cs="Times New Roman"/>
          <w:sz w:val="24"/>
          <w:szCs w:val="24"/>
          <w:lang w:val="en-US"/>
        </w:rPr>
        <w:t xml:space="preserve"> Overview of the risk assessment tools and corresponding sample sizes</w:t>
      </w:r>
    </w:p>
    <w:p w:rsidR="001E76B5" w:rsidRDefault="001E76B5" w:rsidP="001E76B5">
      <w:pPr>
        <w:rPr>
          <w:rFonts w:ascii="Times New Roman" w:hAnsi="Times New Roman" w:cs="Times New Roman"/>
          <w:sz w:val="24"/>
          <w:szCs w:val="24"/>
          <w:lang w:val="en-US"/>
        </w:rPr>
      </w:pPr>
      <w:r>
        <w:rPr>
          <w:rFonts w:ascii="Times New Roman" w:hAnsi="Times New Roman" w:cs="Times New Roman"/>
          <w:b/>
          <w:sz w:val="24"/>
          <w:szCs w:val="24"/>
          <w:lang w:val="en-US"/>
        </w:rPr>
        <w:t>Supplementary table 2</w:t>
      </w:r>
      <w:r w:rsidRPr="00743C41">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1D1A52">
        <w:rPr>
          <w:rFonts w:ascii="Times New Roman" w:hAnsi="Times New Roman" w:cs="Times New Roman"/>
          <w:sz w:val="24"/>
          <w:szCs w:val="24"/>
          <w:lang w:val="en-US"/>
        </w:rPr>
        <w:t>Breakdown of sample sizes and participants fulfilling and not fulfilling the risk criterion per study site.</w:t>
      </w:r>
    </w:p>
    <w:p w:rsidR="001E76B5" w:rsidRDefault="001E76B5" w:rsidP="001E76B5">
      <w:pPr>
        <w:rPr>
          <w:rFonts w:ascii="Times New Roman" w:hAnsi="Times New Roman" w:cs="Times New Roman"/>
          <w:sz w:val="24"/>
          <w:szCs w:val="24"/>
          <w:lang w:val="en-US"/>
        </w:rPr>
      </w:pPr>
      <w:r>
        <w:rPr>
          <w:rFonts w:ascii="Times New Roman" w:hAnsi="Times New Roman" w:cs="Times New Roman"/>
          <w:b/>
          <w:sz w:val="24"/>
          <w:szCs w:val="24"/>
          <w:lang w:val="en-US"/>
        </w:rPr>
        <w:t>Supplementary table 3</w:t>
      </w:r>
      <w:r w:rsidRPr="00743C41">
        <w:rPr>
          <w:rFonts w:ascii="Times New Roman" w:hAnsi="Times New Roman" w:cs="Times New Roman"/>
          <w:b/>
          <w:sz w:val="24"/>
          <w:szCs w:val="24"/>
          <w:lang w:val="en-US"/>
        </w:rPr>
        <w:t>.</w:t>
      </w:r>
      <w:r>
        <w:rPr>
          <w:rFonts w:ascii="Times New Roman" w:hAnsi="Times New Roman" w:cs="Times New Roman"/>
          <w:sz w:val="24"/>
          <w:szCs w:val="24"/>
          <w:lang w:val="en-US"/>
        </w:rPr>
        <w:t xml:space="preserve"> Ranking of features according to the</w:t>
      </w:r>
      <w:r w:rsidR="00A9211C">
        <w:rPr>
          <w:rFonts w:ascii="Times New Roman" w:hAnsi="Times New Roman" w:cs="Times New Roman"/>
          <w:sz w:val="24"/>
          <w:szCs w:val="24"/>
          <w:lang w:val="en-US"/>
        </w:rPr>
        <w:t>i</w:t>
      </w:r>
      <w:r>
        <w:rPr>
          <w:rFonts w:ascii="Times New Roman" w:hAnsi="Times New Roman" w:cs="Times New Roman"/>
          <w:sz w:val="24"/>
          <w:szCs w:val="24"/>
          <w:lang w:val="en-US"/>
        </w:rPr>
        <w:t>r SVM coefficients.</w:t>
      </w:r>
    </w:p>
    <w:p w:rsidR="001E76B5" w:rsidRDefault="001E76B5" w:rsidP="001E76B5">
      <w:pPr>
        <w:rPr>
          <w:rFonts w:ascii="Times New Roman" w:hAnsi="Times New Roman" w:cs="Times New Roman"/>
          <w:sz w:val="24"/>
          <w:szCs w:val="24"/>
          <w:lang w:val="en-US"/>
        </w:rPr>
      </w:pPr>
    </w:p>
    <w:p w:rsidR="001E76B5" w:rsidRDefault="001E76B5" w:rsidP="001E76B5">
      <w:pPr>
        <w:rPr>
          <w:rFonts w:ascii="Times New Roman" w:hAnsi="Times New Roman" w:cs="Times New Roman"/>
          <w:sz w:val="24"/>
          <w:szCs w:val="24"/>
          <w:lang w:val="en-US"/>
        </w:rPr>
      </w:pPr>
    </w:p>
    <w:p w:rsidR="001E76B5" w:rsidRDefault="001E76B5" w:rsidP="001E76B5">
      <w:pPr>
        <w:rPr>
          <w:rFonts w:ascii="Times New Roman" w:hAnsi="Times New Roman" w:cs="Times New Roman"/>
          <w:sz w:val="24"/>
          <w:szCs w:val="24"/>
          <w:lang w:val="en-US"/>
        </w:rPr>
      </w:pPr>
    </w:p>
    <w:p w:rsidR="001E76B5" w:rsidRDefault="001E76B5" w:rsidP="001E76B5">
      <w:pPr>
        <w:rPr>
          <w:rFonts w:ascii="Times New Roman" w:hAnsi="Times New Roman" w:cs="Times New Roman"/>
          <w:sz w:val="24"/>
          <w:szCs w:val="24"/>
          <w:lang w:val="en-US"/>
        </w:rPr>
      </w:pPr>
    </w:p>
    <w:p w:rsidR="001E76B5" w:rsidRDefault="001E76B5" w:rsidP="001E76B5">
      <w:pPr>
        <w:rPr>
          <w:rFonts w:ascii="Times New Roman" w:hAnsi="Times New Roman" w:cs="Times New Roman"/>
          <w:sz w:val="24"/>
          <w:szCs w:val="24"/>
          <w:lang w:val="en-US"/>
        </w:rPr>
      </w:pPr>
    </w:p>
    <w:p w:rsidR="001E76B5" w:rsidRDefault="001E76B5" w:rsidP="001E76B5">
      <w:pPr>
        <w:rPr>
          <w:rFonts w:ascii="Times New Roman" w:hAnsi="Times New Roman" w:cs="Times New Roman"/>
          <w:sz w:val="24"/>
          <w:szCs w:val="24"/>
          <w:lang w:val="en-US"/>
        </w:rPr>
      </w:pPr>
    </w:p>
    <w:p w:rsidR="001E76B5" w:rsidRDefault="001E76B5" w:rsidP="001E76B5">
      <w:pPr>
        <w:rPr>
          <w:rFonts w:ascii="Times New Roman" w:hAnsi="Times New Roman" w:cs="Times New Roman"/>
          <w:sz w:val="24"/>
          <w:szCs w:val="24"/>
          <w:lang w:val="en-US"/>
        </w:rPr>
      </w:pPr>
    </w:p>
    <w:p w:rsidR="001E76B5" w:rsidRDefault="001E76B5" w:rsidP="001E76B5">
      <w:pPr>
        <w:rPr>
          <w:rFonts w:ascii="Times New Roman" w:hAnsi="Times New Roman" w:cs="Times New Roman"/>
          <w:sz w:val="24"/>
          <w:szCs w:val="24"/>
          <w:lang w:val="en-US"/>
        </w:rPr>
      </w:pPr>
    </w:p>
    <w:p w:rsidR="001E76B5" w:rsidRDefault="001E76B5" w:rsidP="001E76B5">
      <w:pPr>
        <w:rPr>
          <w:rFonts w:ascii="Times New Roman" w:hAnsi="Times New Roman" w:cs="Times New Roman"/>
          <w:sz w:val="24"/>
          <w:szCs w:val="24"/>
          <w:lang w:val="en-US"/>
        </w:rPr>
      </w:pPr>
    </w:p>
    <w:p w:rsidR="001E76B5" w:rsidRDefault="001E76B5" w:rsidP="001E76B5">
      <w:pPr>
        <w:rPr>
          <w:rFonts w:ascii="Times New Roman" w:hAnsi="Times New Roman" w:cs="Times New Roman"/>
          <w:sz w:val="24"/>
          <w:szCs w:val="24"/>
          <w:lang w:val="en-US"/>
        </w:rPr>
      </w:pPr>
    </w:p>
    <w:p w:rsidR="001E76B5" w:rsidRDefault="001E76B5" w:rsidP="001E76B5">
      <w:pPr>
        <w:rPr>
          <w:rFonts w:ascii="Times New Roman" w:hAnsi="Times New Roman" w:cs="Times New Roman"/>
          <w:sz w:val="24"/>
          <w:szCs w:val="24"/>
          <w:lang w:val="en-US"/>
        </w:rPr>
      </w:pPr>
    </w:p>
    <w:p w:rsidR="001E76B5" w:rsidRDefault="001E76B5" w:rsidP="001E76B5">
      <w:pPr>
        <w:rPr>
          <w:rFonts w:ascii="Times New Roman" w:hAnsi="Times New Roman" w:cs="Times New Roman"/>
          <w:sz w:val="24"/>
          <w:szCs w:val="24"/>
          <w:lang w:val="en-US"/>
        </w:rPr>
      </w:pPr>
    </w:p>
    <w:p w:rsidR="001E76B5" w:rsidRDefault="001E76B5" w:rsidP="001E76B5">
      <w:pPr>
        <w:rPr>
          <w:rFonts w:ascii="Times New Roman" w:hAnsi="Times New Roman" w:cs="Times New Roman"/>
          <w:sz w:val="24"/>
          <w:szCs w:val="24"/>
          <w:lang w:val="en-US"/>
        </w:rPr>
      </w:pPr>
    </w:p>
    <w:p w:rsidR="001E76B5" w:rsidRDefault="001E76B5" w:rsidP="001E76B5">
      <w:pPr>
        <w:rPr>
          <w:rFonts w:ascii="Times New Roman" w:hAnsi="Times New Roman" w:cs="Times New Roman"/>
          <w:sz w:val="24"/>
          <w:szCs w:val="24"/>
          <w:lang w:val="en-US"/>
        </w:rPr>
      </w:pPr>
    </w:p>
    <w:p w:rsidR="001E76B5" w:rsidRDefault="001E76B5" w:rsidP="001E76B5">
      <w:pPr>
        <w:rPr>
          <w:rFonts w:ascii="Times New Roman" w:hAnsi="Times New Roman" w:cs="Times New Roman"/>
          <w:sz w:val="24"/>
          <w:szCs w:val="24"/>
          <w:lang w:val="en-US"/>
        </w:rPr>
      </w:pPr>
    </w:p>
    <w:p w:rsidR="001E76B5" w:rsidRDefault="001E76B5" w:rsidP="001E76B5">
      <w:pPr>
        <w:rPr>
          <w:rFonts w:ascii="Times New Roman" w:hAnsi="Times New Roman" w:cs="Times New Roman"/>
          <w:sz w:val="24"/>
          <w:szCs w:val="24"/>
          <w:lang w:val="en-US"/>
        </w:rPr>
      </w:pPr>
    </w:p>
    <w:p w:rsidR="001E76B5" w:rsidRDefault="001E76B5" w:rsidP="001E76B5">
      <w:pPr>
        <w:rPr>
          <w:rFonts w:ascii="Times New Roman" w:hAnsi="Times New Roman" w:cs="Times New Roman"/>
          <w:sz w:val="24"/>
          <w:szCs w:val="24"/>
          <w:lang w:val="en-US"/>
        </w:rPr>
      </w:pPr>
    </w:p>
    <w:p w:rsidR="001E76B5" w:rsidRDefault="001E76B5" w:rsidP="001E76B5">
      <w:pPr>
        <w:rPr>
          <w:rFonts w:ascii="Times New Roman" w:hAnsi="Times New Roman" w:cs="Times New Roman"/>
          <w:sz w:val="24"/>
          <w:szCs w:val="24"/>
          <w:lang w:val="en-US"/>
        </w:rPr>
      </w:pPr>
    </w:p>
    <w:p w:rsidR="001E76B5" w:rsidRPr="00FC47D8" w:rsidRDefault="001E76B5" w:rsidP="001E76B5">
      <w:pPr>
        <w:rPr>
          <w:rFonts w:ascii="Times New Roman" w:hAnsi="Times New Roman" w:cs="Times New Roman"/>
          <w:sz w:val="24"/>
          <w:szCs w:val="24"/>
          <w:lang w:val="en-US"/>
        </w:rPr>
      </w:pPr>
      <w:r w:rsidRPr="00F6497F">
        <w:rPr>
          <w:rFonts w:ascii="Times New Roman" w:hAnsi="Times New Roman" w:cs="Times New Roman"/>
          <w:b/>
          <w:sz w:val="24"/>
          <w:szCs w:val="24"/>
          <w:lang w:val="en-US"/>
        </w:rPr>
        <w:t>Supplementary note 1:</w:t>
      </w:r>
      <w:r w:rsidRPr="00FC47D8">
        <w:rPr>
          <w:rFonts w:ascii="Times New Roman" w:hAnsi="Times New Roman" w:cs="Times New Roman"/>
          <w:sz w:val="24"/>
          <w:szCs w:val="24"/>
          <w:lang w:val="en-US"/>
        </w:rPr>
        <w:t xml:space="preserve"> Inclusion and exclusion criteria for the three recruitment pathways. </w:t>
      </w:r>
    </w:p>
    <w:p w:rsidR="001E76B5" w:rsidRPr="00FC47D8"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sz w:val="24"/>
          <w:szCs w:val="24"/>
          <w:lang w:val="en-US"/>
        </w:rPr>
        <w:t xml:space="preserve">Inclusion criteria </w:t>
      </w:r>
    </w:p>
    <w:p w:rsidR="001E76B5" w:rsidRPr="00FC47D8" w:rsidRDefault="001E76B5" w:rsidP="001E76B5">
      <w:pPr>
        <w:spacing w:after="0"/>
        <w:rPr>
          <w:rFonts w:ascii="Times New Roman" w:hAnsi="Times New Roman" w:cs="Times New Roman"/>
          <w:sz w:val="24"/>
          <w:szCs w:val="24"/>
          <w:lang w:val="en-US"/>
        </w:rPr>
      </w:pPr>
    </w:p>
    <w:p w:rsidR="001E76B5" w:rsidRPr="00FC47D8"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sz w:val="24"/>
          <w:szCs w:val="24"/>
          <w:lang w:val="en-US"/>
        </w:rPr>
        <w:t xml:space="preserve">1. Youth and young adults consulting early recognition </w:t>
      </w:r>
      <w:proofErr w:type="spellStart"/>
      <w:r w:rsidRPr="00FC47D8">
        <w:rPr>
          <w:rFonts w:ascii="Times New Roman" w:hAnsi="Times New Roman" w:cs="Times New Roman"/>
          <w:sz w:val="24"/>
          <w:szCs w:val="24"/>
          <w:lang w:val="en-US"/>
        </w:rPr>
        <w:t>centres</w:t>
      </w:r>
      <w:proofErr w:type="spellEnd"/>
      <w:r w:rsidRPr="00FC47D8">
        <w:rPr>
          <w:rFonts w:ascii="Times New Roman" w:hAnsi="Times New Roman" w:cs="Times New Roman"/>
          <w:sz w:val="24"/>
          <w:szCs w:val="24"/>
          <w:lang w:val="en-US"/>
        </w:rPr>
        <w:t>/facilities:</w:t>
      </w:r>
    </w:p>
    <w:p w:rsidR="001E76B5" w:rsidRPr="00FC47D8" w:rsidRDefault="001E76B5" w:rsidP="001E76B5">
      <w:pPr>
        <w:spacing w:after="0"/>
        <w:rPr>
          <w:rFonts w:ascii="Times New Roman" w:hAnsi="Times New Roman" w:cs="Times New Roman"/>
          <w:sz w:val="24"/>
          <w:szCs w:val="24"/>
          <w:lang w:val="en-US"/>
        </w:rPr>
      </w:pPr>
    </w:p>
    <w:p w:rsidR="001E76B5" w:rsidRPr="00FC47D8"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sz w:val="24"/>
          <w:szCs w:val="24"/>
          <w:lang w:val="en-US"/>
        </w:rPr>
        <w:t>• Age: 15 to 35 years</w:t>
      </w:r>
    </w:p>
    <w:p w:rsidR="001E76B5" w:rsidRPr="00FC47D8"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sz w:val="24"/>
          <w:szCs w:val="24"/>
          <w:lang w:val="en-US"/>
        </w:rPr>
        <w:t xml:space="preserve">• Consultation of an early recognition </w:t>
      </w:r>
      <w:proofErr w:type="spellStart"/>
      <w:r w:rsidRPr="00FC47D8">
        <w:rPr>
          <w:rFonts w:ascii="Times New Roman" w:hAnsi="Times New Roman" w:cs="Times New Roman"/>
          <w:sz w:val="24"/>
          <w:szCs w:val="24"/>
          <w:lang w:val="en-US"/>
        </w:rPr>
        <w:t>centre</w:t>
      </w:r>
      <w:proofErr w:type="spellEnd"/>
      <w:r w:rsidRPr="00FC47D8">
        <w:rPr>
          <w:rFonts w:ascii="Times New Roman" w:hAnsi="Times New Roman" w:cs="Times New Roman"/>
          <w:sz w:val="24"/>
          <w:szCs w:val="24"/>
          <w:lang w:val="en-US"/>
        </w:rPr>
        <w:t>/facility</w:t>
      </w:r>
    </w:p>
    <w:p w:rsidR="001E76B5" w:rsidRPr="00FC47D8"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sz w:val="24"/>
          <w:szCs w:val="24"/>
          <w:lang w:val="en-US"/>
        </w:rPr>
        <w:t xml:space="preserve">• Presence of at least one of the proposed risk factors for bipolar disorder:  Family history of </w:t>
      </w:r>
    </w:p>
    <w:p w:rsidR="001E76B5" w:rsidRPr="00FC47D8"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sz w:val="24"/>
          <w:szCs w:val="24"/>
          <w:lang w:val="en-US"/>
        </w:rPr>
        <w:t xml:space="preserve">   bipolar disorder, (sub)threshold affective symptomatology/depressive syndrome, </w:t>
      </w:r>
    </w:p>
    <w:p w:rsidR="001E76B5" w:rsidRPr="00FC47D8"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sz w:val="24"/>
          <w:szCs w:val="24"/>
          <w:lang w:val="en-US"/>
        </w:rPr>
        <w:t xml:space="preserve">   hypomanic/mood </w:t>
      </w:r>
      <w:proofErr w:type="gramStart"/>
      <w:r w:rsidRPr="00FC47D8">
        <w:rPr>
          <w:rFonts w:ascii="Times New Roman" w:hAnsi="Times New Roman" w:cs="Times New Roman"/>
          <w:sz w:val="24"/>
          <w:szCs w:val="24"/>
          <w:lang w:val="en-US"/>
        </w:rPr>
        <w:t>swings,  disturbances</w:t>
      </w:r>
      <w:proofErr w:type="gramEnd"/>
      <w:r w:rsidRPr="00FC47D8">
        <w:rPr>
          <w:rFonts w:ascii="Times New Roman" w:hAnsi="Times New Roman" w:cs="Times New Roman"/>
          <w:sz w:val="24"/>
          <w:szCs w:val="24"/>
          <w:lang w:val="en-US"/>
        </w:rPr>
        <w:t xml:space="preserve"> of circadian rhythm/sleep other clinical hints</w:t>
      </w:r>
    </w:p>
    <w:p w:rsidR="001E76B5" w:rsidRPr="00FC47D8" w:rsidRDefault="001E76B5" w:rsidP="001E76B5">
      <w:pPr>
        <w:spacing w:after="0"/>
        <w:rPr>
          <w:rFonts w:ascii="Times New Roman" w:hAnsi="Times New Roman" w:cs="Times New Roman"/>
          <w:sz w:val="24"/>
          <w:szCs w:val="24"/>
          <w:lang w:val="en-US"/>
        </w:rPr>
      </w:pPr>
    </w:p>
    <w:p w:rsidR="001E76B5" w:rsidRPr="00FC47D8"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sz w:val="24"/>
          <w:szCs w:val="24"/>
          <w:lang w:val="en-US"/>
        </w:rPr>
        <w:t>2. Young individuals with diagnosed depression:</w:t>
      </w:r>
    </w:p>
    <w:p w:rsidR="001E76B5" w:rsidRPr="00FC47D8" w:rsidRDefault="001E76B5" w:rsidP="001E76B5">
      <w:pPr>
        <w:spacing w:after="0"/>
        <w:rPr>
          <w:rFonts w:ascii="Times New Roman" w:hAnsi="Times New Roman" w:cs="Times New Roman"/>
          <w:sz w:val="24"/>
          <w:szCs w:val="24"/>
          <w:lang w:val="en-US"/>
        </w:rPr>
      </w:pPr>
    </w:p>
    <w:p w:rsidR="001E76B5" w:rsidRPr="00FC47D8"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sz w:val="24"/>
          <w:szCs w:val="24"/>
          <w:lang w:val="en-US"/>
        </w:rPr>
        <w:t>• Age: 15 to 35 years</w:t>
      </w:r>
    </w:p>
    <w:p w:rsidR="001E76B5" w:rsidRPr="00FC47D8"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sz w:val="24"/>
          <w:szCs w:val="24"/>
          <w:lang w:val="en-US"/>
        </w:rPr>
        <w:t xml:space="preserve">• In- or outpatients with a depressive syndrome in the context of: Major depressive disorder, </w:t>
      </w:r>
    </w:p>
    <w:p w:rsidR="001E76B5" w:rsidRPr="00FC47D8"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sz w:val="24"/>
          <w:szCs w:val="24"/>
          <w:lang w:val="en-US"/>
        </w:rPr>
        <w:t xml:space="preserve">  dysthymic disorder, cyclothymic disorder, minor depressive disorder, recurrent brief </w:t>
      </w:r>
    </w:p>
    <w:p w:rsidR="001E76B5" w:rsidRPr="00FC47D8"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sz w:val="24"/>
          <w:szCs w:val="24"/>
          <w:lang w:val="en-US"/>
        </w:rPr>
        <w:t xml:space="preserve">  depressive disorder, adjustment disorder with depressed mood, depressive disorder Not </w:t>
      </w:r>
    </w:p>
    <w:p w:rsidR="001E76B5" w:rsidRPr="00FC47D8"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sz w:val="24"/>
          <w:szCs w:val="24"/>
          <w:lang w:val="en-US"/>
        </w:rPr>
        <w:t xml:space="preserve">  Otherwise Specified (NOS)</w:t>
      </w:r>
    </w:p>
    <w:p w:rsidR="001E76B5" w:rsidRPr="00FC47D8" w:rsidRDefault="001E76B5" w:rsidP="001E76B5">
      <w:pPr>
        <w:spacing w:after="0"/>
        <w:rPr>
          <w:rFonts w:ascii="Times New Roman" w:hAnsi="Times New Roman" w:cs="Times New Roman"/>
          <w:sz w:val="24"/>
          <w:szCs w:val="24"/>
          <w:lang w:val="en-US"/>
        </w:rPr>
      </w:pPr>
    </w:p>
    <w:p w:rsidR="001E76B5" w:rsidRPr="00FC47D8"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sz w:val="24"/>
          <w:szCs w:val="24"/>
          <w:lang w:val="en-US"/>
        </w:rPr>
        <w:t>3. Patients with ADHD:</w:t>
      </w:r>
    </w:p>
    <w:p w:rsidR="001E76B5" w:rsidRPr="00FC47D8" w:rsidRDefault="001E76B5" w:rsidP="001E76B5">
      <w:pPr>
        <w:spacing w:after="0"/>
        <w:rPr>
          <w:rFonts w:ascii="Times New Roman" w:hAnsi="Times New Roman" w:cs="Times New Roman"/>
          <w:sz w:val="24"/>
          <w:szCs w:val="24"/>
          <w:lang w:val="en-US"/>
        </w:rPr>
      </w:pPr>
    </w:p>
    <w:p w:rsidR="001E76B5" w:rsidRPr="00FC47D8"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sz w:val="24"/>
          <w:szCs w:val="24"/>
          <w:lang w:val="en-US"/>
        </w:rPr>
        <w:t>• Age: 15 to 35 years</w:t>
      </w:r>
    </w:p>
    <w:p w:rsidR="001E76B5" w:rsidRPr="00FC47D8"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sz w:val="24"/>
          <w:szCs w:val="24"/>
          <w:lang w:val="en-US"/>
        </w:rPr>
        <w:t>• In- or outpatients with a clinically confirmed ADHD diagnosis</w:t>
      </w:r>
    </w:p>
    <w:p w:rsidR="001E76B5" w:rsidRPr="00FC47D8" w:rsidRDefault="001E76B5" w:rsidP="001E76B5">
      <w:pPr>
        <w:spacing w:after="0"/>
        <w:rPr>
          <w:rFonts w:ascii="Times New Roman" w:hAnsi="Times New Roman" w:cs="Times New Roman"/>
          <w:sz w:val="24"/>
          <w:szCs w:val="24"/>
          <w:lang w:val="en-US"/>
        </w:rPr>
      </w:pPr>
    </w:p>
    <w:p w:rsidR="001E76B5" w:rsidRPr="00FC47D8"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sz w:val="24"/>
          <w:szCs w:val="24"/>
          <w:lang w:val="en-US"/>
        </w:rPr>
        <w:t xml:space="preserve">Exclusion criteria: </w:t>
      </w:r>
    </w:p>
    <w:p w:rsidR="001E76B5" w:rsidRPr="00FC47D8" w:rsidRDefault="001E76B5" w:rsidP="001E76B5">
      <w:pPr>
        <w:spacing w:after="0"/>
        <w:rPr>
          <w:rFonts w:ascii="Times New Roman" w:hAnsi="Times New Roman" w:cs="Times New Roman"/>
          <w:sz w:val="24"/>
          <w:szCs w:val="24"/>
          <w:lang w:val="en-US"/>
        </w:rPr>
      </w:pPr>
    </w:p>
    <w:p w:rsidR="001E76B5" w:rsidRPr="00FC47D8"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sz w:val="24"/>
          <w:szCs w:val="24"/>
          <w:lang w:val="en-US"/>
        </w:rPr>
        <w:t>• Diagnosis of: bipolar disorder, schizoaffective disorder, schizophrenia</w:t>
      </w:r>
    </w:p>
    <w:p w:rsidR="001E76B5" w:rsidRPr="00FC47D8"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sz w:val="24"/>
          <w:szCs w:val="24"/>
          <w:lang w:val="en-US"/>
        </w:rPr>
        <w:t xml:space="preserve">• Diagnosis of anxiety, obsessive–compulsive or substance dependence disorder that fully </w:t>
      </w:r>
    </w:p>
    <w:p w:rsidR="001E76B5" w:rsidRPr="00FC47D8"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sz w:val="24"/>
          <w:szCs w:val="24"/>
          <w:lang w:val="en-US"/>
        </w:rPr>
        <w:t xml:space="preserve">  explains the whole symptomatology</w:t>
      </w:r>
    </w:p>
    <w:p w:rsidR="001E76B5" w:rsidRPr="00FC47D8"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sz w:val="24"/>
          <w:szCs w:val="24"/>
          <w:lang w:val="en-US"/>
        </w:rPr>
        <w:t>• Limited ability to comprehend the study</w:t>
      </w:r>
    </w:p>
    <w:p w:rsidR="001E76B5" w:rsidRPr="00FC47D8"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sz w:val="24"/>
          <w:szCs w:val="24"/>
          <w:lang w:val="en-US"/>
        </w:rPr>
        <w:t>• Implied expressed negative declaration of intent to participate in the study by a minor and</w:t>
      </w:r>
    </w:p>
    <w:p w:rsidR="001E76B5" w:rsidRPr="00FC47D8"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sz w:val="24"/>
          <w:szCs w:val="24"/>
          <w:lang w:val="en-US"/>
        </w:rPr>
        <w:t>• Acute suicidality</w:t>
      </w:r>
    </w:p>
    <w:p w:rsidR="001E76B5" w:rsidRPr="00FC47D8" w:rsidRDefault="001E76B5" w:rsidP="001E76B5">
      <w:pPr>
        <w:spacing w:after="0"/>
        <w:rPr>
          <w:rFonts w:ascii="Times New Roman" w:hAnsi="Times New Roman" w:cs="Times New Roman"/>
          <w:sz w:val="24"/>
          <w:szCs w:val="24"/>
          <w:lang w:val="en-US"/>
        </w:rPr>
      </w:pPr>
    </w:p>
    <w:p w:rsidR="001E76B5" w:rsidRDefault="00D27E9A" w:rsidP="00492F1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Our</w:t>
      </w:r>
      <w:r w:rsidR="00492F1E" w:rsidRPr="00492F1E">
        <w:rPr>
          <w:rFonts w:ascii="Times New Roman" w:hAnsi="Times New Roman" w:cs="Times New Roman"/>
          <w:sz w:val="24"/>
          <w:szCs w:val="24"/>
          <w:lang w:val="en-US"/>
        </w:rPr>
        <w:t xml:space="preserve"> inclusion criteria</w:t>
      </w:r>
      <w:r>
        <w:rPr>
          <w:rFonts w:ascii="Times New Roman" w:hAnsi="Times New Roman" w:cs="Times New Roman"/>
          <w:sz w:val="24"/>
          <w:szCs w:val="24"/>
          <w:lang w:val="en-US"/>
        </w:rPr>
        <w:t xml:space="preserve"> regarding</w:t>
      </w:r>
      <w:r w:rsidR="00492F1E" w:rsidRPr="00492F1E">
        <w:rPr>
          <w:rFonts w:ascii="Times New Roman" w:hAnsi="Times New Roman" w:cs="Times New Roman"/>
          <w:sz w:val="24"/>
          <w:szCs w:val="24"/>
          <w:lang w:val="en-US"/>
        </w:rPr>
        <w:t xml:space="preserve"> age (15-35 years), which w</w:t>
      </w:r>
      <w:r>
        <w:rPr>
          <w:rFonts w:ascii="Times New Roman" w:hAnsi="Times New Roman" w:cs="Times New Roman"/>
          <w:sz w:val="24"/>
          <w:szCs w:val="24"/>
          <w:lang w:val="en-US"/>
        </w:rPr>
        <w:t>ere</w:t>
      </w:r>
      <w:r w:rsidR="00492F1E" w:rsidRPr="00492F1E">
        <w:rPr>
          <w:rFonts w:ascii="Times New Roman" w:hAnsi="Times New Roman" w:cs="Times New Roman"/>
          <w:sz w:val="24"/>
          <w:szCs w:val="24"/>
          <w:lang w:val="en-US"/>
        </w:rPr>
        <w:t xml:space="preserve"> based on available </w:t>
      </w:r>
      <w:r>
        <w:rPr>
          <w:rFonts w:ascii="Times New Roman" w:hAnsi="Times New Roman" w:cs="Times New Roman"/>
          <w:sz w:val="24"/>
          <w:szCs w:val="24"/>
          <w:lang w:val="en-US"/>
        </w:rPr>
        <w:t>studies</w:t>
      </w:r>
      <w:r w:rsidR="00492F1E" w:rsidRPr="00492F1E">
        <w:rPr>
          <w:rFonts w:ascii="Times New Roman" w:hAnsi="Times New Roman" w:cs="Times New Roman"/>
          <w:sz w:val="24"/>
          <w:szCs w:val="24"/>
          <w:lang w:val="en-US"/>
        </w:rPr>
        <w:t xml:space="preserve"> on age of onset and time to diagnosis. </w:t>
      </w:r>
      <w:bookmarkStart w:id="0" w:name="_Hlk124496796"/>
      <w:r w:rsidR="00854622" w:rsidRPr="00854622">
        <w:rPr>
          <w:rFonts w:ascii="Times New Roman" w:hAnsi="Times New Roman" w:cs="Times New Roman"/>
          <w:sz w:val="24"/>
          <w:szCs w:val="24"/>
          <w:lang w:val="en-US"/>
        </w:rPr>
        <w:t>A study by Kessler et al</w:t>
      </w:r>
      <w:r w:rsidR="00854622">
        <w:rPr>
          <w:rFonts w:ascii="Times New Roman" w:hAnsi="Times New Roman" w:cs="Times New Roman"/>
          <w:sz w:val="24"/>
          <w:szCs w:val="24"/>
          <w:lang w:val="en-US"/>
        </w:rPr>
        <w:t>. (2005)</w:t>
      </w:r>
      <w:r w:rsidR="00854622" w:rsidRPr="00854622">
        <w:rPr>
          <w:rFonts w:ascii="Times New Roman" w:hAnsi="Times New Roman" w:cs="Times New Roman"/>
          <w:sz w:val="24"/>
          <w:szCs w:val="24"/>
          <w:lang w:val="en-US"/>
        </w:rPr>
        <w:t xml:space="preserve"> reported that about 75% </w:t>
      </w:r>
      <w:r>
        <w:rPr>
          <w:rFonts w:ascii="Times New Roman" w:hAnsi="Times New Roman" w:cs="Times New Roman"/>
          <w:sz w:val="24"/>
          <w:szCs w:val="24"/>
          <w:lang w:val="en-US"/>
        </w:rPr>
        <w:t xml:space="preserve">of </w:t>
      </w:r>
      <w:bookmarkStart w:id="1" w:name="_Hlk125106037"/>
      <w:r>
        <w:rPr>
          <w:rFonts w:ascii="Times New Roman" w:hAnsi="Times New Roman" w:cs="Times New Roman"/>
          <w:sz w:val="24"/>
          <w:szCs w:val="24"/>
          <w:lang w:val="en-US"/>
        </w:rPr>
        <w:t>individuals with bipolar I disorder would</w:t>
      </w:r>
      <w:r w:rsidR="00854622" w:rsidRPr="00854622">
        <w:rPr>
          <w:rFonts w:ascii="Times New Roman" w:hAnsi="Times New Roman" w:cs="Times New Roman"/>
          <w:sz w:val="24"/>
          <w:szCs w:val="24"/>
          <w:lang w:val="en-US"/>
        </w:rPr>
        <w:t xml:space="preserve"> </w:t>
      </w:r>
      <w:bookmarkEnd w:id="1"/>
      <w:r w:rsidR="00854622" w:rsidRPr="00854622">
        <w:rPr>
          <w:rFonts w:ascii="Times New Roman" w:hAnsi="Times New Roman" w:cs="Times New Roman"/>
          <w:sz w:val="24"/>
          <w:szCs w:val="24"/>
          <w:lang w:val="en-US"/>
        </w:rPr>
        <w:t xml:space="preserve">develop </w:t>
      </w:r>
      <w:r>
        <w:rPr>
          <w:rFonts w:ascii="Times New Roman" w:hAnsi="Times New Roman" w:cs="Times New Roman"/>
          <w:sz w:val="24"/>
          <w:szCs w:val="24"/>
          <w:lang w:val="en-US"/>
        </w:rPr>
        <w:t>the disorder</w:t>
      </w:r>
      <w:r w:rsidR="00854622" w:rsidRPr="00854622">
        <w:rPr>
          <w:rFonts w:ascii="Times New Roman" w:hAnsi="Times New Roman" w:cs="Times New Roman"/>
          <w:sz w:val="24"/>
          <w:szCs w:val="24"/>
          <w:lang w:val="en-US"/>
        </w:rPr>
        <w:t xml:space="preserve"> until </w:t>
      </w:r>
      <w:r>
        <w:rPr>
          <w:rFonts w:ascii="Times New Roman" w:hAnsi="Times New Roman" w:cs="Times New Roman"/>
          <w:sz w:val="24"/>
          <w:szCs w:val="24"/>
          <w:lang w:val="en-US"/>
        </w:rPr>
        <w:t xml:space="preserve">the </w:t>
      </w:r>
      <w:r w:rsidR="00854622" w:rsidRPr="00854622">
        <w:rPr>
          <w:rFonts w:ascii="Times New Roman" w:hAnsi="Times New Roman" w:cs="Times New Roman"/>
          <w:sz w:val="24"/>
          <w:szCs w:val="24"/>
          <w:lang w:val="en-US"/>
        </w:rPr>
        <w:t xml:space="preserve">age of 42 years. </w:t>
      </w:r>
      <w:bookmarkEnd w:id="0"/>
      <w:r w:rsidR="00854622" w:rsidRPr="00854622">
        <w:rPr>
          <w:rFonts w:ascii="Times New Roman" w:hAnsi="Times New Roman" w:cs="Times New Roman"/>
          <w:sz w:val="24"/>
          <w:szCs w:val="24"/>
          <w:lang w:val="en-US"/>
        </w:rPr>
        <w:t>Other studies report, that a</w:t>
      </w:r>
      <w:r w:rsidR="00492F1E" w:rsidRPr="00492F1E">
        <w:rPr>
          <w:rFonts w:ascii="Times New Roman" w:hAnsi="Times New Roman" w:cs="Times New Roman"/>
          <w:sz w:val="24"/>
          <w:szCs w:val="24"/>
          <w:lang w:val="en-US"/>
        </w:rPr>
        <w:t>pproximately 70 % of all individuals would develop bipolar disorder by the age of 21 (</w:t>
      </w:r>
      <w:proofErr w:type="spellStart"/>
      <w:r w:rsidR="00492F1E" w:rsidRPr="00492F1E">
        <w:rPr>
          <w:rFonts w:ascii="Times New Roman" w:hAnsi="Times New Roman" w:cs="Times New Roman"/>
          <w:sz w:val="24"/>
          <w:szCs w:val="24"/>
          <w:lang w:val="en-US"/>
        </w:rPr>
        <w:t>Merikangas</w:t>
      </w:r>
      <w:proofErr w:type="spellEnd"/>
      <w:r w:rsidR="00492F1E" w:rsidRPr="00492F1E">
        <w:rPr>
          <w:rFonts w:ascii="Times New Roman" w:hAnsi="Times New Roman" w:cs="Times New Roman"/>
          <w:sz w:val="24"/>
          <w:szCs w:val="24"/>
          <w:lang w:val="en-US"/>
        </w:rPr>
        <w:t xml:space="preserve"> et al., 2011; Lambert et al., 2013). However, the time-to-diagnosis </w:t>
      </w:r>
      <w:r>
        <w:rPr>
          <w:rFonts w:ascii="Times New Roman" w:hAnsi="Times New Roman" w:cs="Times New Roman"/>
          <w:sz w:val="24"/>
          <w:szCs w:val="24"/>
          <w:lang w:val="en-US"/>
        </w:rPr>
        <w:t>for</w:t>
      </w:r>
      <w:r w:rsidR="00492F1E" w:rsidRPr="00492F1E">
        <w:rPr>
          <w:rFonts w:ascii="Times New Roman" w:hAnsi="Times New Roman" w:cs="Times New Roman"/>
          <w:sz w:val="24"/>
          <w:szCs w:val="24"/>
          <w:lang w:val="en-US"/>
        </w:rPr>
        <w:t xml:space="preserve"> bipolar disorder is typically long. Within current psychiatric services in Germany, it takes in average 12.4 years from the appearance of first symptoms to establish the diagnosis (Pfennig et al., 2011)</w:t>
      </w:r>
      <w:r w:rsidR="00492F1E">
        <w:rPr>
          <w:rFonts w:ascii="Times New Roman" w:hAnsi="Times New Roman" w:cs="Times New Roman"/>
          <w:sz w:val="24"/>
          <w:szCs w:val="24"/>
          <w:lang w:val="en-US"/>
        </w:rPr>
        <w:t xml:space="preserve">. </w:t>
      </w:r>
      <w:r w:rsidR="00492F1E" w:rsidRPr="00492F1E">
        <w:rPr>
          <w:rFonts w:ascii="Times New Roman" w:hAnsi="Times New Roman" w:cs="Times New Roman"/>
          <w:sz w:val="24"/>
          <w:szCs w:val="24"/>
          <w:lang w:val="en-US"/>
        </w:rPr>
        <w:t>Due to the predominance of depressive symptoms, as well as difficulties to recognize hypomania, the most typical false diagnosis is unipolar depression (</w:t>
      </w:r>
      <w:proofErr w:type="spellStart"/>
      <w:r w:rsidR="00492F1E" w:rsidRPr="00492F1E">
        <w:rPr>
          <w:rFonts w:ascii="Times New Roman" w:hAnsi="Times New Roman" w:cs="Times New Roman"/>
          <w:sz w:val="24"/>
          <w:szCs w:val="24"/>
          <w:lang w:val="en-US"/>
        </w:rPr>
        <w:t>Merikangas</w:t>
      </w:r>
      <w:proofErr w:type="spellEnd"/>
      <w:r w:rsidR="00492F1E" w:rsidRPr="00492F1E">
        <w:rPr>
          <w:rFonts w:ascii="Times New Roman" w:hAnsi="Times New Roman" w:cs="Times New Roman"/>
          <w:sz w:val="24"/>
          <w:szCs w:val="24"/>
          <w:lang w:val="en-US"/>
        </w:rPr>
        <w:t xml:space="preserve"> et al., 2011; Lambert et al., 2013; </w:t>
      </w:r>
      <w:proofErr w:type="spellStart"/>
      <w:r w:rsidR="00492F1E" w:rsidRPr="00492F1E">
        <w:rPr>
          <w:rFonts w:ascii="Times New Roman" w:hAnsi="Times New Roman" w:cs="Times New Roman"/>
          <w:sz w:val="24"/>
          <w:szCs w:val="24"/>
          <w:lang w:val="en-US"/>
        </w:rPr>
        <w:t>Correll</w:t>
      </w:r>
      <w:proofErr w:type="spellEnd"/>
      <w:r w:rsidR="00492F1E" w:rsidRPr="00492F1E">
        <w:rPr>
          <w:rFonts w:ascii="Times New Roman" w:hAnsi="Times New Roman" w:cs="Times New Roman"/>
          <w:sz w:val="24"/>
          <w:szCs w:val="24"/>
          <w:lang w:val="en-US"/>
        </w:rPr>
        <w:t xml:space="preserve"> et al., 2014). For th</w:t>
      </w:r>
      <w:r w:rsidR="006B639D">
        <w:rPr>
          <w:rFonts w:ascii="Times New Roman" w:hAnsi="Times New Roman" w:cs="Times New Roman"/>
          <w:sz w:val="24"/>
          <w:szCs w:val="24"/>
          <w:lang w:val="en-US"/>
        </w:rPr>
        <w:t>e</w:t>
      </w:r>
      <w:r w:rsidR="00492F1E" w:rsidRPr="00492F1E">
        <w:rPr>
          <w:rFonts w:ascii="Times New Roman" w:hAnsi="Times New Roman" w:cs="Times New Roman"/>
          <w:sz w:val="24"/>
          <w:szCs w:val="24"/>
          <w:lang w:val="en-US"/>
        </w:rPr>
        <w:t>s</w:t>
      </w:r>
      <w:r w:rsidR="006B639D">
        <w:rPr>
          <w:rFonts w:ascii="Times New Roman" w:hAnsi="Times New Roman" w:cs="Times New Roman"/>
          <w:sz w:val="24"/>
          <w:szCs w:val="24"/>
          <w:lang w:val="en-US"/>
        </w:rPr>
        <w:t>e</w:t>
      </w:r>
      <w:r w:rsidR="00492F1E" w:rsidRPr="00492F1E">
        <w:rPr>
          <w:rFonts w:ascii="Times New Roman" w:hAnsi="Times New Roman" w:cs="Times New Roman"/>
          <w:sz w:val="24"/>
          <w:szCs w:val="24"/>
          <w:lang w:val="en-US"/>
        </w:rPr>
        <w:t xml:space="preserve"> reason</w:t>
      </w:r>
      <w:r w:rsidR="006B639D">
        <w:rPr>
          <w:rFonts w:ascii="Times New Roman" w:hAnsi="Times New Roman" w:cs="Times New Roman"/>
          <w:sz w:val="24"/>
          <w:szCs w:val="24"/>
          <w:lang w:val="en-US"/>
        </w:rPr>
        <w:t>s</w:t>
      </w:r>
      <w:r w:rsidR="00492F1E" w:rsidRPr="00492F1E">
        <w:rPr>
          <w:rFonts w:ascii="Times New Roman" w:hAnsi="Times New Roman" w:cs="Times New Roman"/>
          <w:sz w:val="24"/>
          <w:szCs w:val="24"/>
          <w:lang w:val="en-US"/>
        </w:rPr>
        <w:t xml:space="preserve">, we can assume that some </w:t>
      </w:r>
      <w:r w:rsidR="006B639D">
        <w:rPr>
          <w:rFonts w:ascii="Times New Roman" w:hAnsi="Times New Roman" w:cs="Times New Roman"/>
          <w:sz w:val="24"/>
          <w:szCs w:val="24"/>
          <w:lang w:val="en-US"/>
        </w:rPr>
        <w:t xml:space="preserve">older </w:t>
      </w:r>
      <w:r w:rsidR="00492F1E" w:rsidRPr="00492F1E">
        <w:rPr>
          <w:rFonts w:ascii="Times New Roman" w:hAnsi="Times New Roman" w:cs="Times New Roman"/>
          <w:sz w:val="24"/>
          <w:szCs w:val="24"/>
          <w:lang w:val="en-US"/>
        </w:rPr>
        <w:t>individuals in our sample might have an unrecognized bipolar disorder and therefore decided to extend the age range up to 35 years.</w:t>
      </w:r>
    </w:p>
    <w:p w:rsidR="001E76B5" w:rsidRDefault="001E76B5" w:rsidP="001E76B5">
      <w:pPr>
        <w:spacing w:after="0"/>
        <w:rPr>
          <w:rFonts w:ascii="Times New Roman" w:hAnsi="Times New Roman" w:cs="Times New Roman"/>
          <w:sz w:val="24"/>
          <w:szCs w:val="24"/>
          <w:lang w:val="en-US"/>
        </w:rPr>
      </w:pPr>
      <w:r w:rsidRPr="00693680">
        <w:rPr>
          <w:rFonts w:ascii="Times New Roman" w:hAnsi="Times New Roman" w:cs="Times New Roman"/>
          <w:b/>
          <w:sz w:val="24"/>
          <w:szCs w:val="24"/>
          <w:lang w:val="en-US"/>
        </w:rPr>
        <w:lastRenderedPageBreak/>
        <w:t xml:space="preserve">Supplementary note </w:t>
      </w:r>
      <w:r>
        <w:rPr>
          <w:rFonts w:ascii="Times New Roman" w:hAnsi="Times New Roman" w:cs="Times New Roman"/>
          <w:b/>
          <w:sz w:val="24"/>
          <w:szCs w:val="24"/>
          <w:lang w:val="en-US"/>
        </w:rPr>
        <w:t>2</w:t>
      </w:r>
      <w:r w:rsidRPr="00693680">
        <w:rPr>
          <w:rFonts w:ascii="Times New Roman" w:hAnsi="Times New Roman" w:cs="Times New Roman"/>
          <w:b/>
          <w:sz w:val="24"/>
          <w:szCs w:val="24"/>
          <w:lang w:val="en-US"/>
        </w:rPr>
        <w:t>:</w:t>
      </w:r>
      <w:r>
        <w:rPr>
          <w:rFonts w:ascii="Times New Roman" w:hAnsi="Times New Roman" w:cs="Times New Roman"/>
          <w:sz w:val="24"/>
          <w:szCs w:val="24"/>
          <w:lang w:val="en-US"/>
        </w:rPr>
        <w:t xml:space="preserve"> The list of 20 selected features for secondary analysis according to </w:t>
      </w:r>
      <w:r>
        <w:rPr>
          <w:rFonts w:ascii="Times New Roman" w:hAnsi="Times New Roman" w:cs="Times New Roman"/>
          <w:sz w:val="24"/>
          <w:szCs w:val="24"/>
          <w:lang w:val="en-US"/>
        </w:rPr>
        <w:fldChar w:fldCharType="begin"/>
      </w:r>
      <w:r w:rsidR="00BC08FD">
        <w:rPr>
          <w:rFonts w:ascii="Times New Roman" w:hAnsi="Times New Roman" w:cs="Times New Roman"/>
          <w:sz w:val="24"/>
          <w:szCs w:val="24"/>
          <w:lang w:val="en-US"/>
        </w:rPr>
        <w:instrText xml:space="preserve"> ADDIN ZOTERO_ITEM CSL_CITATION {"citationID":"AioZszNC","properties":{"formattedCitation":"(Hibar {\\i{}et al.}, 2018)","plainCitation":"(Hibar et al., 2018)","noteIndex":0},"citationItems":[{"id":227,"uris":["http://zotero.org/users/6467620/items/SIRMN645"],"itemData":{"id":227,"type":"article-journal","container-title":"Molecular Psychiatry","DOI":"10.1038/mp.2017.73","ISSN":"1359-4184, 1476-5578","issue":"4","journalAbbreviation":"Mol Psychiatry","language":"en","page":"932-942","source":"DOI.org (Crossref)","title":"Cortical abnormalities in bipolar disorder: an MRI analysis of 6503 individuals from the ENIGMA Bipolar Disorder Working Group","title-short":"Cortical abnormalities in bipolar disorder","volume":"23","author":[{"family":"Hibar","given":"D P"},{"family":"Westlye","given":"L T"},{"family":"Doan","given":"N T"},{"family":"Jahanshad","given":"N"},{"family":"Cheung","given":"J W"},{"family":"Ching","given":"C R K"},{"family":"Versace","given":"A"},{"family":"Bilderbeck","given":"A C"},{"family":"Uhlmann","given":"A"},{"family":"Mwangi","given":"B"},{"family":"Krämer","given":"B"},{"family":"Overs","given":"B"},{"family":"Hartberg","given":"C B"},{"family":"Abé","given":"C"},{"family":"Dima","given":"D"},{"family":"Grotegerd","given":"D"},{"family":"Sprooten","given":"E"},{"family":"Bøen","given":"E"},{"family":"Jimenez","given":"E"},{"family":"Howells","given":"F M"},{"family":"Delvecchio","given":"G"},{"family":"Temmingh","given":"H"},{"family":"Starke","given":"J"},{"family":"Almeida","given":"J R C"},{"family":"Goikolea","given":"J M"},{"family":"Houenou","given":"J"},{"family":"Beard","given":"L M"},{"family":"Rauer","given":"L"},{"family":"Abramovic","given":"L"},{"family":"Bonnin","given":"M"},{"family":"Ponteduro","given":"M F"},{"family":"Keil","given":"M"},{"family":"Rive","given":"M M"},{"family":"Yao","given":"N"},{"family":"Yalin","given":"N"},{"family":"Najt","given":"P"},{"family":"Rosa","given":"P G"},{"family":"Redlich","given":"R"},{"family":"Trost","given":"S"},{"family":"Hagenaars","given":"S"},{"family":"Fears","given":"S C"},{"family":"Alonso-Lana","given":"S"},{"family":"Erp","given":"T G M","non-dropping-particle":"van"},{"family":"Nickson","given":"T"},{"family":"Chaim-Avancini","given":"T M"},{"family":"Meier","given":"T B"},{"family":"Elvsåshagen","given":"T"},{"family":"Haukvik","given":"U K"},{"family":"Lee","given":"W H"},{"family":"Schene","given":"A H"},{"family":"Lloyd","given":"A J"},{"family":"Young","given":"A H"},{"family":"Nugent","given":"A"},{"family":"Dale","given":"A M"},{"family":"Pfennig","given":"A"},{"family":"McIntosh","given":"A M"},{"family":"Lafer","given":"B"},{"family":"Baune","given":"B T"},{"family":"Ekman","given":"C J"},{"family":"Zarate","given":"C A"},{"family":"Bearden","given":"C E"},{"family":"Henry","given":"C"},{"family":"Simhandl","given":"C"},{"family":"McDonald","given":"C"},{"family":"Bourne","given":"C"},{"family":"Stein","given":"D J"},{"family":"Wolf","given":"D H"},{"family":"Cannon","given":"D M"},{"family":"Glahn","given":"D C"},{"family":"Veltman","given":"D J"},{"family":"Pomarol-Clotet","given":"E"},{"family":"Vieta","given":"E"},{"family":"Canales-Rodriguez","given":"E J"},{"family":"Nery","given":"F G"},{"family":"Duran","given":"F L S"},{"family":"Busatto","given":"G F"},{"family":"Roberts","given":"G"},{"family":"Pearlson","given":"G D"},{"family":"Goodwin","given":"G M"},{"family":"Kugel","given":"H"},{"family":"Whalley","given":"H C"},{"family":"Ruhe","given":"H G"},{"family":"Soares","given":"J C"},{"family":"Fullerton","given":"J M"},{"family":"Rybakowski","given":"J K"},{"family":"Savitz","given":"J"},{"family":"Chaim","given":"K T"},{"family":"Fatjó-Vilas","given":"M"},{"family":"Soeiro-de-Souza","given":"M G"},{"family":"Boks","given":"M P"},{"family":"Zanetti","given":"M V"},{"family":"Otaduy","given":"M C G"},{"family":"Schaufelberger","given":"M S"},{"family":"Alda","given":"M"},{"family":"Ingvar","given":"M"},{"family":"Phillips","given":"M L"},{"family":"Kempton","given":"M J"},{"family":"Bauer","given":"M"},{"family":"Landén","given":"M"},{"family":"Lawrence","given":"N S"},{"family":"Haren","given":"N E M","non-dropping-particle":"van"},{"family":"Horn","given":"N R"},{"family":"Freimer","given":"N B"},{"family":"Gruber","given":"O"},{"family":"Schofield","given":"P R"},{"family":"Mitchell","given":"P B"},{"family":"Kahn","given":"R S"},{"family":"Lenroot","given":"R"},{"family":"Machado-Vieira","given":"R"},{"family":"Ophoff","given":"R A"},{"family":"Sarró","given":"S"},{"family":"Frangou","given":"S"},{"family":"Satterthwaite","given":"T D"},{"family":"Hajek","given":"T"},{"family":"Dannlowski","given":"U"},{"family":"Malt","given":"U F"},{"family":"Arolt","given":"V"},{"family":"Gattaz","given":"W F"},{"family":"Drevets","given":"W C"},{"family":"Caseras","given":"X"},{"family":"Agartz","given":"I"},{"family":"Thompson","given":"P M"},{"family":"Andreassen","given":"O A"}],"issued":{"date-parts":[["2018",4]]}}}],"schema":"https://github.com/citation-style-language/schema/raw/master/csl-citation.json"} </w:instrText>
      </w:r>
      <w:r>
        <w:rPr>
          <w:rFonts w:ascii="Times New Roman" w:hAnsi="Times New Roman" w:cs="Times New Roman"/>
          <w:sz w:val="24"/>
          <w:szCs w:val="24"/>
          <w:lang w:val="en-US"/>
        </w:rPr>
        <w:fldChar w:fldCharType="separate"/>
      </w:r>
      <w:r w:rsidR="00BC08FD" w:rsidRPr="00BC08FD">
        <w:rPr>
          <w:rFonts w:ascii="Times New Roman" w:hAnsi="Times New Roman" w:cs="Times New Roman"/>
          <w:sz w:val="24"/>
          <w:szCs w:val="24"/>
          <w:lang w:val="en-US"/>
        </w:rPr>
        <w:t xml:space="preserve">Hibar </w:t>
      </w:r>
      <w:r w:rsidR="00BC08FD" w:rsidRPr="005D60B9">
        <w:rPr>
          <w:rFonts w:ascii="Times New Roman" w:hAnsi="Times New Roman" w:cs="Times New Roman"/>
          <w:iCs/>
          <w:sz w:val="24"/>
          <w:szCs w:val="24"/>
          <w:lang w:val="en-US"/>
        </w:rPr>
        <w:t>et al.</w:t>
      </w:r>
      <w:r w:rsidR="00BC08FD" w:rsidRPr="00BC08FD">
        <w:rPr>
          <w:rFonts w:ascii="Times New Roman" w:hAnsi="Times New Roman" w:cs="Times New Roman"/>
          <w:sz w:val="24"/>
          <w:szCs w:val="24"/>
          <w:lang w:val="en-US"/>
        </w:rPr>
        <w:t xml:space="preserve"> </w:t>
      </w:r>
      <w:r w:rsidR="00BC08FD">
        <w:rPr>
          <w:rFonts w:ascii="Times New Roman" w:hAnsi="Times New Roman" w:cs="Times New Roman"/>
          <w:sz w:val="24"/>
          <w:szCs w:val="24"/>
          <w:lang w:val="en-US"/>
        </w:rPr>
        <w:t>(</w:t>
      </w:r>
      <w:r w:rsidR="00BC08FD" w:rsidRPr="00BC08FD">
        <w:rPr>
          <w:rFonts w:ascii="Times New Roman" w:hAnsi="Times New Roman" w:cs="Times New Roman"/>
          <w:sz w:val="24"/>
          <w:szCs w:val="24"/>
          <w:lang w:val="en-US"/>
        </w:rPr>
        <w:t>2018)</w:t>
      </w:r>
      <w:r>
        <w:rPr>
          <w:rFonts w:ascii="Times New Roman" w:hAnsi="Times New Roman" w:cs="Times New Roman"/>
          <w:sz w:val="24"/>
          <w:szCs w:val="24"/>
          <w:lang w:val="en-US"/>
        </w:rPr>
        <w:fldChar w:fldCharType="end"/>
      </w:r>
      <w:r w:rsidR="00BC08FD">
        <w:rPr>
          <w:rFonts w:ascii="Times New Roman" w:hAnsi="Times New Roman" w:cs="Times New Roman"/>
          <w:sz w:val="24"/>
          <w:szCs w:val="24"/>
          <w:lang w:val="en-US"/>
        </w:rPr>
        <w:t>.</w:t>
      </w:r>
    </w:p>
    <w:p w:rsidR="001E76B5" w:rsidRDefault="001E76B5" w:rsidP="001E76B5">
      <w:pPr>
        <w:spacing w:after="0"/>
        <w:rPr>
          <w:rFonts w:ascii="Times New Roman" w:hAnsi="Times New Roman" w:cs="Times New Roman"/>
          <w:sz w:val="24"/>
          <w:szCs w:val="24"/>
          <w:lang w:val="en-US"/>
        </w:rPr>
      </w:pPr>
    </w:p>
    <w:p w:rsidR="001E76B5" w:rsidRPr="006E46E1" w:rsidRDefault="001E76B5" w:rsidP="001E76B5">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lh_parsopercularis_thickness</w:t>
      </w:r>
      <w:proofErr w:type="spellEnd"/>
    </w:p>
    <w:p w:rsidR="001E76B5" w:rsidRPr="006E46E1" w:rsidRDefault="001E76B5" w:rsidP="001E76B5">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lh_fusiform_thickness</w:t>
      </w:r>
      <w:proofErr w:type="spellEnd"/>
    </w:p>
    <w:p w:rsidR="001E76B5" w:rsidRPr="006E46E1" w:rsidRDefault="001E76B5" w:rsidP="001E76B5">
      <w:pPr>
        <w:spacing w:after="0"/>
        <w:rPr>
          <w:rFonts w:ascii="Times New Roman" w:hAnsi="Times New Roman" w:cs="Times New Roman"/>
          <w:sz w:val="24"/>
          <w:szCs w:val="24"/>
          <w:lang w:val="en-US"/>
        </w:rPr>
      </w:pPr>
      <w:proofErr w:type="spellStart"/>
      <w:r w:rsidRPr="006E46E1">
        <w:rPr>
          <w:rFonts w:ascii="Times New Roman" w:hAnsi="Times New Roman" w:cs="Times New Roman"/>
          <w:sz w:val="24"/>
          <w:szCs w:val="24"/>
          <w:lang w:val="en-US"/>
        </w:rPr>
        <w:t>lh_</w:t>
      </w:r>
      <w:r>
        <w:rPr>
          <w:rFonts w:ascii="Times New Roman" w:hAnsi="Times New Roman" w:cs="Times New Roman"/>
          <w:sz w:val="24"/>
          <w:szCs w:val="24"/>
          <w:lang w:val="en-US"/>
        </w:rPr>
        <w:t>rostralmiddlefrontal_thickness</w:t>
      </w:r>
      <w:proofErr w:type="spellEnd"/>
    </w:p>
    <w:p w:rsidR="001E76B5" w:rsidRPr="006E46E1" w:rsidRDefault="001E76B5" w:rsidP="001E76B5">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lh_parstriangularis_thickness</w:t>
      </w:r>
      <w:proofErr w:type="spellEnd"/>
    </w:p>
    <w:p w:rsidR="001E76B5" w:rsidRPr="006E46E1" w:rsidRDefault="001E76B5" w:rsidP="001E76B5">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rh_fusiform_thicknes</w:t>
      </w:r>
      <w:proofErr w:type="spellEnd"/>
    </w:p>
    <w:p w:rsidR="001E76B5" w:rsidRPr="006E46E1" w:rsidRDefault="001E76B5" w:rsidP="001E76B5">
      <w:pPr>
        <w:spacing w:after="0"/>
        <w:rPr>
          <w:rFonts w:ascii="Times New Roman" w:hAnsi="Times New Roman" w:cs="Times New Roman"/>
          <w:sz w:val="24"/>
          <w:szCs w:val="24"/>
          <w:lang w:val="en-US"/>
        </w:rPr>
      </w:pPr>
      <w:proofErr w:type="spellStart"/>
      <w:r w:rsidRPr="006E46E1">
        <w:rPr>
          <w:rFonts w:ascii="Times New Roman" w:hAnsi="Times New Roman" w:cs="Times New Roman"/>
          <w:sz w:val="24"/>
          <w:szCs w:val="24"/>
          <w:lang w:val="en-US"/>
        </w:rPr>
        <w:t>lh</w:t>
      </w:r>
      <w:r>
        <w:rPr>
          <w:rFonts w:ascii="Times New Roman" w:hAnsi="Times New Roman" w:cs="Times New Roman"/>
          <w:sz w:val="24"/>
          <w:szCs w:val="24"/>
          <w:lang w:val="en-US"/>
        </w:rPr>
        <w:t>_caudalmiddlefrontal_thickness</w:t>
      </w:r>
      <w:proofErr w:type="spellEnd"/>
    </w:p>
    <w:p w:rsidR="001E76B5" w:rsidRPr="006E46E1" w:rsidRDefault="001E76B5" w:rsidP="001E76B5">
      <w:pPr>
        <w:spacing w:after="0"/>
        <w:rPr>
          <w:rFonts w:ascii="Times New Roman" w:hAnsi="Times New Roman" w:cs="Times New Roman"/>
          <w:sz w:val="24"/>
          <w:szCs w:val="24"/>
          <w:lang w:val="en-US"/>
        </w:rPr>
      </w:pPr>
      <w:proofErr w:type="spellStart"/>
      <w:r w:rsidRPr="006E46E1">
        <w:rPr>
          <w:rFonts w:ascii="Times New Roman" w:hAnsi="Times New Roman" w:cs="Times New Roman"/>
          <w:sz w:val="24"/>
          <w:szCs w:val="24"/>
          <w:lang w:val="en-US"/>
        </w:rPr>
        <w:t>lh_inferiorpar</w:t>
      </w:r>
      <w:r>
        <w:rPr>
          <w:rFonts w:ascii="Times New Roman" w:hAnsi="Times New Roman" w:cs="Times New Roman"/>
          <w:sz w:val="24"/>
          <w:szCs w:val="24"/>
          <w:lang w:val="en-US"/>
        </w:rPr>
        <w:t>ietal_thickness</w:t>
      </w:r>
      <w:proofErr w:type="spellEnd"/>
    </w:p>
    <w:p w:rsidR="001E76B5" w:rsidRPr="006E46E1" w:rsidRDefault="001E76B5" w:rsidP="001E76B5">
      <w:pPr>
        <w:spacing w:after="0"/>
        <w:rPr>
          <w:rFonts w:ascii="Times New Roman" w:hAnsi="Times New Roman" w:cs="Times New Roman"/>
          <w:sz w:val="24"/>
          <w:szCs w:val="24"/>
          <w:lang w:val="en-US"/>
        </w:rPr>
      </w:pPr>
      <w:proofErr w:type="spellStart"/>
      <w:r w:rsidRPr="006E46E1">
        <w:rPr>
          <w:rFonts w:ascii="Times New Roman" w:hAnsi="Times New Roman" w:cs="Times New Roman"/>
          <w:sz w:val="24"/>
          <w:szCs w:val="24"/>
          <w:lang w:val="en-US"/>
        </w:rPr>
        <w:t>rh_</w:t>
      </w:r>
      <w:r>
        <w:rPr>
          <w:rFonts w:ascii="Times New Roman" w:hAnsi="Times New Roman" w:cs="Times New Roman"/>
          <w:sz w:val="24"/>
          <w:szCs w:val="24"/>
          <w:lang w:val="en-US"/>
        </w:rPr>
        <w:t>rostralmiddlefrontal_thickness</w:t>
      </w:r>
      <w:proofErr w:type="spellEnd"/>
    </w:p>
    <w:p w:rsidR="001E76B5" w:rsidRPr="006E46E1" w:rsidRDefault="001E76B5" w:rsidP="001E76B5">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rh_inferiorparietal_thickness</w:t>
      </w:r>
      <w:proofErr w:type="spellEnd"/>
    </w:p>
    <w:p w:rsidR="001E76B5" w:rsidRPr="006E46E1" w:rsidRDefault="001E76B5" w:rsidP="001E76B5">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rh_superiorfrontal_thickness</w:t>
      </w:r>
      <w:proofErr w:type="spellEnd"/>
    </w:p>
    <w:p w:rsidR="001E76B5" w:rsidRPr="006E46E1" w:rsidRDefault="001E76B5" w:rsidP="001E76B5">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lh_supramarginal_thickness</w:t>
      </w:r>
      <w:proofErr w:type="spellEnd"/>
    </w:p>
    <w:p w:rsidR="001E76B5" w:rsidRPr="006E46E1" w:rsidRDefault="001E76B5" w:rsidP="001E76B5">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lh_middletemporal_thickness</w:t>
      </w:r>
      <w:proofErr w:type="spellEnd"/>
    </w:p>
    <w:p w:rsidR="001E76B5" w:rsidRPr="006E46E1" w:rsidRDefault="001E76B5" w:rsidP="001E76B5">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lh_inferiortemporal_thickness</w:t>
      </w:r>
      <w:proofErr w:type="spellEnd"/>
    </w:p>
    <w:p w:rsidR="001E76B5" w:rsidRPr="006E46E1" w:rsidRDefault="001E76B5" w:rsidP="001E76B5">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rh_parsopercularis_thickness</w:t>
      </w:r>
      <w:proofErr w:type="spellEnd"/>
    </w:p>
    <w:p w:rsidR="001E76B5" w:rsidRPr="006E46E1" w:rsidRDefault="001E76B5" w:rsidP="001E76B5">
      <w:pPr>
        <w:spacing w:after="0"/>
        <w:rPr>
          <w:rFonts w:ascii="Times New Roman" w:hAnsi="Times New Roman" w:cs="Times New Roman"/>
          <w:sz w:val="24"/>
          <w:szCs w:val="24"/>
          <w:lang w:val="en-US"/>
        </w:rPr>
      </w:pPr>
      <w:proofErr w:type="spellStart"/>
      <w:r w:rsidRPr="006E46E1">
        <w:rPr>
          <w:rFonts w:ascii="Times New Roman" w:hAnsi="Times New Roman" w:cs="Times New Roman"/>
          <w:sz w:val="24"/>
          <w:szCs w:val="24"/>
          <w:lang w:val="en-US"/>
        </w:rPr>
        <w:t>lh_parsorbitalis_thickness</w:t>
      </w:r>
      <w:proofErr w:type="spellEnd"/>
    </w:p>
    <w:p w:rsidR="001E76B5" w:rsidRPr="006E46E1" w:rsidRDefault="001E76B5" w:rsidP="001E76B5">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rh_parsorbitalis_thickness</w:t>
      </w:r>
      <w:proofErr w:type="spellEnd"/>
    </w:p>
    <w:p w:rsidR="001E76B5" w:rsidRPr="006E46E1" w:rsidRDefault="001E76B5" w:rsidP="001E76B5">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lh_superiorfrontal_thickness</w:t>
      </w:r>
      <w:proofErr w:type="spellEnd"/>
    </w:p>
    <w:p w:rsidR="001E76B5" w:rsidRPr="006E46E1" w:rsidRDefault="001E76B5" w:rsidP="001E76B5">
      <w:pPr>
        <w:spacing w:after="0"/>
        <w:rPr>
          <w:rFonts w:ascii="Times New Roman" w:hAnsi="Times New Roman" w:cs="Times New Roman"/>
          <w:sz w:val="24"/>
          <w:szCs w:val="24"/>
          <w:lang w:val="en-US"/>
        </w:rPr>
      </w:pPr>
      <w:proofErr w:type="spellStart"/>
      <w:r w:rsidRPr="006E46E1">
        <w:rPr>
          <w:rFonts w:ascii="Times New Roman" w:hAnsi="Times New Roman" w:cs="Times New Roman"/>
          <w:sz w:val="24"/>
          <w:szCs w:val="24"/>
          <w:lang w:val="en-US"/>
        </w:rPr>
        <w:t>rh_parstriangularis</w:t>
      </w:r>
      <w:r>
        <w:rPr>
          <w:rFonts w:ascii="Times New Roman" w:hAnsi="Times New Roman" w:cs="Times New Roman"/>
          <w:sz w:val="24"/>
          <w:szCs w:val="24"/>
          <w:lang w:val="en-US"/>
        </w:rPr>
        <w:t>_thickness</w:t>
      </w:r>
      <w:proofErr w:type="spellEnd"/>
    </w:p>
    <w:p w:rsidR="001E76B5" w:rsidRPr="006E46E1" w:rsidRDefault="001E76B5" w:rsidP="001E76B5">
      <w:pPr>
        <w:spacing w:after="0"/>
        <w:rPr>
          <w:rFonts w:ascii="Times New Roman" w:hAnsi="Times New Roman" w:cs="Times New Roman"/>
          <w:sz w:val="24"/>
          <w:szCs w:val="24"/>
          <w:lang w:val="en-US"/>
        </w:rPr>
      </w:pPr>
      <w:proofErr w:type="spellStart"/>
      <w:r w:rsidRPr="006E46E1">
        <w:rPr>
          <w:rFonts w:ascii="Times New Roman" w:hAnsi="Times New Roman" w:cs="Times New Roman"/>
          <w:sz w:val="24"/>
          <w:szCs w:val="24"/>
          <w:lang w:val="en-US"/>
        </w:rPr>
        <w:t>rh</w:t>
      </w:r>
      <w:r>
        <w:rPr>
          <w:rFonts w:ascii="Times New Roman" w:hAnsi="Times New Roman" w:cs="Times New Roman"/>
          <w:sz w:val="24"/>
          <w:szCs w:val="24"/>
          <w:lang w:val="en-US"/>
        </w:rPr>
        <w:t>_medialorbitofrontal_thickness</w:t>
      </w:r>
      <w:proofErr w:type="spellEnd"/>
    </w:p>
    <w:p w:rsidR="001E76B5" w:rsidRDefault="001E76B5" w:rsidP="001E76B5">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rh_middletemporal_thickness</w:t>
      </w:r>
      <w:proofErr w:type="spellEnd"/>
    </w:p>
    <w:p w:rsidR="001E76B5" w:rsidRDefault="001E76B5" w:rsidP="001E76B5">
      <w:pPr>
        <w:spacing w:after="0"/>
        <w:rPr>
          <w:rFonts w:ascii="Times New Roman" w:hAnsi="Times New Roman" w:cs="Times New Roman"/>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D807EC" w:rsidRDefault="00D807EC" w:rsidP="001E76B5">
      <w:pPr>
        <w:spacing w:after="0"/>
        <w:rPr>
          <w:rFonts w:ascii="Times New Roman" w:hAnsi="Times New Roman" w:cs="Times New Roman"/>
          <w:b/>
          <w:sz w:val="24"/>
          <w:szCs w:val="24"/>
          <w:lang w:val="en-US"/>
        </w:rPr>
      </w:pPr>
    </w:p>
    <w:p w:rsidR="00D807EC" w:rsidRDefault="00D807EC"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8E0267" w:rsidP="001E76B5">
      <w:pPr>
        <w:spacing w:after="0"/>
        <w:rPr>
          <w:rFonts w:ascii="Times New Roman" w:hAnsi="Times New Roman" w:cs="Times New Roman"/>
          <w:b/>
          <w:sz w:val="24"/>
          <w:szCs w:val="24"/>
          <w:lang w:val="en-US"/>
        </w:rPr>
      </w:pPr>
      <w:r w:rsidRPr="00F6497F">
        <w:rPr>
          <w:rFonts w:ascii="Times New Roman" w:hAnsi="Times New Roman" w:cs="Times New Roman"/>
          <w:b/>
          <w:sz w:val="24"/>
          <w:szCs w:val="24"/>
          <w:lang w:val="en-US"/>
        </w:rPr>
        <w:lastRenderedPageBreak/>
        <w:t xml:space="preserve">Supplementary note </w:t>
      </w:r>
      <w:r>
        <w:rPr>
          <w:rFonts w:ascii="Times New Roman" w:hAnsi="Times New Roman" w:cs="Times New Roman"/>
          <w:b/>
          <w:sz w:val="24"/>
          <w:szCs w:val="24"/>
          <w:lang w:val="en-US"/>
        </w:rPr>
        <w:t>3</w:t>
      </w:r>
      <w:r w:rsidRPr="00F6497F">
        <w:rPr>
          <w:rFonts w:ascii="Times New Roman" w:hAnsi="Times New Roman" w:cs="Times New Roman"/>
          <w:b/>
          <w:sz w:val="24"/>
          <w:szCs w:val="24"/>
          <w:lang w:val="en-US"/>
        </w:rPr>
        <w:t>:</w:t>
      </w:r>
      <w:r>
        <w:rPr>
          <w:rFonts w:ascii="Times New Roman" w:hAnsi="Times New Roman" w:cs="Times New Roman"/>
          <w:b/>
          <w:sz w:val="24"/>
          <w:szCs w:val="24"/>
          <w:lang w:val="en-US"/>
        </w:rPr>
        <w:t xml:space="preserve"> Analysis of the diagnoses ADHD and </w:t>
      </w:r>
      <w:r w:rsidR="00654939">
        <w:rPr>
          <w:rFonts w:ascii="Times New Roman" w:hAnsi="Times New Roman" w:cs="Times New Roman"/>
          <w:b/>
          <w:sz w:val="24"/>
          <w:szCs w:val="24"/>
          <w:lang w:val="en-US"/>
        </w:rPr>
        <w:t>d</w:t>
      </w:r>
      <w:r>
        <w:rPr>
          <w:rFonts w:ascii="Times New Roman" w:hAnsi="Times New Roman" w:cs="Times New Roman"/>
          <w:b/>
          <w:sz w:val="24"/>
          <w:szCs w:val="24"/>
          <w:lang w:val="en-US"/>
        </w:rPr>
        <w:t xml:space="preserve">epression on the classification. </w:t>
      </w:r>
    </w:p>
    <w:p w:rsidR="001E76B5" w:rsidRDefault="001E76B5" w:rsidP="001E76B5">
      <w:pPr>
        <w:spacing w:after="0"/>
        <w:rPr>
          <w:rFonts w:ascii="Times New Roman" w:hAnsi="Times New Roman" w:cs="Times New Roman"/>
          <w:b/>
          <w:sz w:val="24"/>
          <w:szCs w:val="24"/>
          <w:lang w:val="en-US"/>
        </w:rPr>
      </w:pPr>
    </w:p>
    <w:p w:rsidR="008E0267" w:rsidRDefault="008E0267" w:rsidP="00A9211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Results – primary analysis section, we report post-hoc tests </w:t>
      </w:r>
      <w:r w:rsidRPr="008E0267">
        <w:rPr>
          <w:rFonts w:ascii="Times New Roman" w:hAnsi="Times New Roman" w:cs="Times New Roman"/>
          <w:sz w:val="24"/>
          <w:szCs w:val="24"/>
          <w:lang w:val="en-US"/>
        </w:rPr>
        <w:t>of the correctly and incorrectly classified subjects,</w:t>
      </w:r>
      <w:r>
        <w:rPr>
          <w:rFonts w:ascii="Times New Roman" w:hAnsi="Times New Roman" w:cs="Times New Roman"/>
          <w:sz w:val="24"/>
          <w:szCs w:val="24"/>
          <w:lang w:val="en-US"/>
        </w:rPr>
        <w:t xml:space="preserve"> in order to evaluate the potential confounders on the classification. Here, we compared the proportion of participants from the three recruitment pathways (early recognition / depression / ADHD) between the correctly and incorrectly classified subjects. However, </w:t>
      </w:r>
      <w:r w:rsidR="008A5F6A">
        <w:rPr>
          <w:rFonts w:ascii="Times New Roman" w:hAnsi="Times New Roman" w:cs="Times New Roman"/>
          <w:sz w:val="24"/>
          <w:szCs w:val="24"/>
          <w:lang w:val="en-US"/>
        </w:rPr>
        <w:t>f</w:t>
      </w:r>
      <w:r>
        <w:rPr>
          <w:rFonts w:ascii="Times New Roman" w:hAnsi="Times New Roman" w:cs="Times New Roman"/>
          <w:sz w:val="24"/>
          <w:szCs w:val="24"/>
          <w:lang w:val="en-US"/>
        </w:rPr>
        <w:t xml:space="preserve">or ADHD, there were </w:t>
      </w:r>
      <w:r w:rsidR="009616F7">
        <w:rPr>
          <w:rFonts w:ascii="Times New Roman" w:hAnsi="Times New Roman" w:cs="Times New Roman"/>
          <w:sz w:val="24"/>
          <w:szCs w:val="24"/>
          <w:lang w:val="en-US"/>
        </w:rPr>
        <w:t xml:space="preserve">19 participants both in the early recognition and depression recruitment pathways. </w:t>
      </w:r>
      <w:r w:rsidR="008A5F6A">
        <w:rPr>
          <w:rFonts w:ascii="Times New Roman" w:hAnsi="Times New Roman" w:cs="Times New Roman"/>
          <w:sz w:val="24"/>
          <w:szCs w:val="24"/>
          <w:lang w:val="en-US"/>
        </w:rPr>
        <w:t>Taking only the ADHD diagnosis irrespective of recruitment pathway into account, t</w:t>
      </w:r>
      <w:r w:rsidR="009616F7">
        <w:rPr>
          <w:rFonts w:ascii="Times New Roman" w:hAnsi="Times New Roman" w:cs="Times New Roman"/>
          <w:sz w:val="24"/>
          <w:szCs w:val="24"/>
          <w:lang w:val="en-US"/>
        </w:rPr>
        <w:t xml:space="preserve">here was no difference between the </w:t>
      </w:r>
      <w:r w:rsidR="009616F7" w:rsidRPr="008E0267">
        <w:rPr>
          <w:rFonts w:ascii="Times New Roman" w:hAnsi="Times New Roman" w:cs="Times New Roman"/>
          <w:sz w:val="24"/>
          <w:szCs w:val="24"/>
          <w:lang w:val="en-US"/>
        </w:rPr>
        <w:t>correctly and incorrectly classified subjects</w:t>
      </w:r>
      <w:r w:rsidR="009616F7">
        <w:rPr>
          <w:rFonts w:ascii="Times New Roman" w:hAnsi="Times New Roman" w:cs="Times New Roman"/>
          <w:sz w:val="24"/>
          <w:szCs w:val="24"/>
          <w:lang w:val="en-US"/>
        </w:rPr>
        <w:t xml:space="preserve"> </w:t>
      </w:r>
      <w:r w:rsidR="009616F7" w:rsidRPr="00FC47D8">
        <w:rPr>
          <w:rFonts w:ascii="Times New Roman" w:hAnsi="Times New Roman" w:cs="Times New Roman"/>
          <w:sz w:val="24"/>
          <w:szCs w:val="24"/>
          <w:lang w:val="en-US"/>
        </w:rPr>
        <w:t xml:space="preserve">(df = </w:t>
      </w:r>
      <w:r w:rsidR="009616F7">
        <w:rPr>
          <w:rFonts w:ascii="Times New Roman" w:hAnsi="Times New Roman" w:cs="Times New Roman"/>
          <w:sz w:val="24"/>
          <w:szCs w:val="24"/>
          <w:lang w:val="en-US"/>
        </w:rPr>
        <w:t>1</w:t>
      </w:r>
      <w:r w:rsidR="009616F7" w:rsidRPr="00FC47D8">
        <w:rPr>
          <w:rFonts w:ascii="Times New Roman" w:hAnsi="Times New Roman" w:cs="Times New Roman"/>
          <w:sz w:val="24"/>
          <w:szCs w:val="24"/>
          <w:lang w:val="en-US"/>
        </w:rPr>
        <w:t>, Chi</w:t>
      </w:r>
      <w:r w:rsidR="009616F7" w:rsidRPr="00FC47D8">
        <w:rPr>
          <w:rFonts w:ascii="Times New Roman" w:hAnsi="Times New Roman" w:cs="Times New Roman"/>
          <w:sz w:val="24"/>
          <w:szCs w:val="24"/>
          <w:vertAlign w:val="superscript"/>
          <w:lang w:val="en-US"/>
        </w:rPr>
        <w:t>2</w:t>
      </w:r>
      <w:r w:rsidR="009616F7" w:rsidRPr="00FC47D8">
        <w:rPr>
          <w:rFonts w:ascii="Times New Roman" w:hAnsi="Times New Roman" w:cs="Times New Roman"/>
          <w:sz w:val="24"/>
          <w:szCs w:val="24"/>
          <w:lang w:val="en-US"/>
        </w:rPr>
        <w:t xml:space="preserve"> = </w:t>
      </w:r>
      <w:r w:rsidR="009616F7">
        <w:rPr>
          <w:rFonts w:ascii="Times New Roman" w:hAnsi="Times New Roman" w:cs="Times New Roman"/>
          <w:sz w:val="24"/>
          <w:szCs w:val="24"/>
          <w:lang w:val="en-US"/>
        </w:rPr>
        <w:t>0</w:t>
      </w:r>
      <w:r w:rsidR="009616F7" w:rsidRPr="00FC47D8">
        <w:rPr>
          <w:rFonts w:ascii="Times New Roman" w:hAnsi="Times New Roman" w:cs="Times New Roman"/>
          <w:sz w:val="24"/>
          <w:szCs w:val="24"/>
          <w:lang w:val="en-US"/>
        </w:rPr>
        <w:t>.</w:t>
      </w:r>
      <w:r w:rsidR="009616F7">
        <w:rPr>
          <w:rFonts w:ascii="Times New Roman" w:hAnsi="Times New Roman" w:cs="Times New Roman"/>
          <w:sz w:val="24"/>
          <w:szCs w:val="24"/>
          <w:lang w:val="en-US"/>
        </w:rPr>
        <w:t>016</w:t>
      </w:r>
      <w:r w:rsidR="009616F7" w:rsidRPr="00FC47D8">
        <w:rPr>
          <w:rFonts w:ascii="Times New Roman" w:hAnsi="Times New Roman" w:cs="Times New Roman"/>
          <w:sz w:val="24"/>
          <w:szCs w:val="24"/>
          <w:lang w:val="en-US"/>
        </w:rPr>
        <w:t>,</w:t>
      </w:r>
      <w:r w:rsidR="009616F7" w:rsidRPr="00FC47D8">
        <w:rPr>
          <w:rFonts w:ascii="Times New Roman" w:hAnsi="Times New Roman" w:cs="Times New Roman"/>
          <w:sz w:val="24"/>
          <w:szCs w:val="24"/>
          <w:vertAlign w:val="superscript"/>
          <w:lang w:val="en-US"/>
        </w:rPr>
        <w:t xml:space="preserve"> </w:t>
      </w:r>
      <w:r w:rsidR="009616F7" w:rsidRPr="0040331B">
        <w:rPr>
          <w:rFonts w:ascii="Times New Roman" w:hAnsi="Times New Roman" w:cs="Times New Roman"/>
          <w:i/>
          <w:sz w:val="24"/>
          <w:szCs w:val="24"/>
          <w:lang w:val="en-US"/>
        </w:rPr>
        <w:t>p</w:t>
      </w:r>
      <w:r w:rsidR="009616F7" w:rsidRPr="00FC47D8">
        <w:rPr>
          <w:rFonts w:ascii="Times New Roman" w:hAnsi="Times New Roman" w:cs="Times New Roman"/>
          <w:sz w:val="24"/>
          <w:szCs w:val="24"/>
          <w:lang w:val="en-US"/>
        </w:rPr>
        <w:t xml:space="preserve"> = </w:t>
      </w:r>
      <w:r w:rsidR="009616F7">
        <w:rPr>
          <w:rFonts w:ascii="Times New Roman" w:hAnsi="Times New Roman" w:cs="Times New Roman"/>
          <w:sz w:val="24"/>
          <w:szCs w:val="24"/>
          <w:lang w:val="en-US"/>
        </w:rPr>
        <w:t>0</w:t>
      </w:r>
      <w:r w:rsidR="009616F7" w:rsidRPr="00FC47D8">
        <w:rPr>
          <w:rFonts w:ascii="Times New Roman" w:hAnsi="Times New Roman" w:cs="Times New Roman"/>
          <w:sz w:val="24"/>
          <w:szCs w:val="24"/>
          <w:lang w:val="en-US"/>
        </w:rPr>
        <w:t>.</w:t>
      </w:r>
      <w:r w:rsidR="009616F7">
        <w:rPr>
          <w:rFonts w:ascii="Times New Roman" w:hAnsi="Times New Roman" w:cs="Times New Roman"/>
          <w:sz w:val="24"/>
          <w:szCs w:val="24"/>
          <w:lang w:val="en-US"/>
        </w:rPr>
        <w:t>898</w:t>
      </w:r>
      <w:r w:rsidR="009616F7" w:rsidRPr="00FC47D8">
        <w:rPr>
          <w:rFonts w:ascii="Times New Roman" w:hAnsi="Times New Roman" w:cs="Times New Roman"/>
          <w:sz w:val="24"/>
          <w:szCs w:val="24"/>
          <w:lang w:val="en-US"/>
        </w:rPr>
        <w:t>)</w:t>
      </w:r>
      <w:r w:rsidR="008A5F6A">
        <w:rPr>
          <w:rFonts w:ascii="Times New Roman" w:hAnsi="Times New Roman" w:cs="Times New Roman"/>
          <w:sz w:val="24"/>
          <w:szCs w:val="24"/>
          <w:lang w:val="en-US"/>
        </w:rPr>
        <w:t>. For the lifetime or present major depression, we did not perform post-hoc tests, as depression and specific depressive symptoms belong to criteria of the risk syndromes according to BPSS-P (similarly to BAR</w:t>
      </w:r>
      <w:r w:rsidR="00641B51">
        <w:rPr>
          <w:rFonts w:ascii="Times New Roman" w:hAnsi="Times New Roman" w:cs="Times New Roman"/>
          <w:sz w:val="24"/>
          <w:szCs w:val="24"/>
          <w:lang w:val="en-US"/>
        </w:rPr>
        <w:t>S</w:t>
      </w:r>
      <w:r w:rsidR="008A5F6A">
        <w:rPr>
          <w:rFonts w:ascii="Times New Roman" w:hAnsi="Times New Roman" w:cs="Times New Roman"/>
          <w:sz w:val="24"/>
          <w:szCs w:val="24"/>
          <w:lang w:val="en-US"/>
        </w:rPr>
        <w:t xml:space="preserve"> as well as </w:t>
      </w:r>
      <w:proofErr w:type="spellStart"/>
      <w:r w:rsidR="008A5F6A">
        <w:rPr>
          <w:rFonts w:ascii="Times New Roman" w:hAnsi="Times New Roman" w:cs="Times New Roman"/>
          <w:sz w:val="24"/>
          <w:szCs w:val="24"/>
          <w:lang w:val="en-US"/>
        </w:rPr>
        <w:t>EPI</w:t>
      </w:r>
      <w:r w:rsidR="008A5F6A">
        <w:rPr>
          <w:rFonts w:ascii="Times New Roman" w:hAnsi="Times New Roman" w:cs="Times New Roman"/>
          <w:i/>
          <w:sz w:val="24"/>
          <w:szCs w:val="24"/>
          <w:lang w:val="en-US"/>
        </w:rPr>
        <w:t>b</w:t>
      </w:r>
      <w:r w:rsidR="008A5F6A" w:rsidRPr="008E0267">
        <w:rPr>
          <w:rFonts w:ascii="Times New Roman" w:hAnsi="Times New Roman" w:cs="Times New Roman"/>
          <w:i/>
          <w:sz w:val="24"/>
          <w:szCs w:val="24"/>
          <w:lang w:val="en-US"/>
        </w:rPr>
        <w:t>ipolar</w:t>
      </w:r>
      <w:proofErr w:type="spellEnd"/>
      <w:r w:rsidR="008A5F6A">
        <w:rPr>
          <w:rFonts w:ascii="Times New Roman" w:hAnsi="Times New Roman" w:cs="Times New Roman"/>
          <w:sz w:val="24"/>
          <w:szCs w:val="24"/>
          <w:lang w:val="en-US"/>
        </w:rPr>
        <w:t>).</w:t>
      </w:r>
    </w:p>
    <w:p w:rsidR="00310BCD" w:rsidRDefault="00310BCD" w:rsidP="00A9211C">
      <w:pPr>
        <w:spacing w:after="0"/>
        <w:jc w:val="both"/>
        <w:rPr>
          <w:rFonts w:ascii="Times New Roman" w:hAnsi="Times New Roman" w:cs="Times New Roman"/>
          <w:b/>
          <w:sz w:val="24"/>
          <w:szCs w:val="24"/>
          <w:lang w:val="en-US"/>
        </w:rPr>
      </w:pPr>
    </w:p>
    <w:p w:rsidR="008E0267" w:rsidRDefault="00310BCD" w:rsidP="001E76B5">
      <w:pPr>
        <w:spacing w:after="0"/>
        <w:rPr>
          <w:rFonts w:ascii="Times New Roman" w:hAnsi="Times New Roman" w:cs="Times New Roman"/>
          <w:b/>
          <w:sz w:val="24"/>
          <w:szCs w:val="24"/>
          <w:lang w:val="en-US"/>
        </w:rPr>
      </w:pPr>
      <w:r w:rsidRPr="00B25ADA">
        <w:rPr>
          <w:rFonts w:ascii="Times New Roman" w:hAnsi="Times New Roman" w:cs="Times New Roman"/>
          <w:sz w:val="24"/>
          <w:szCs w:val="24"/>
          <w:lang w:val="en-US"/>
        </w:rPr>
        <w:t>Additionally, we performed the classification after</w:t>
      </w:r>
      <w:r w:rsidR="00B25ADA">
        <w:rPr>
          <w:rFonts w:ascii="Times New Roman" w:hAnsi="Times New Roman" w:cs="Times New Roman"/>
          <w:sz w:val="24"/>
          <w:szCs w:val="24"/>
          <w:lang w:val="en-US"/>
        </w:rPr>
        <w:t xml:space="preserve"> discarding participants recruited via ADHD </w:t>
      </w:r>
      <w:r w:rsidR="00D9239D">
        <w:rPr>
          <w:rFonts w:ascii="Times New Roman" w:hAnsi="Times New Roman" w:cs="Times New Roman"/>
          <w:sz w:val="24"/>
          <w:szCs w:val="24"/>
          <w:lang w:val="en-US"/>
        </w:rPr>
        <w:t xml:space="preserve">and </w:t>
      </w:r>
      <w:r w:rsidR="00D9239D" w:rsidRPr="00B25ADA">
        <w:rPr>
          <w:rFonts w:ascii="Times New Roman" w:hAnsi="Times New Roman" w:cs="Times New Roman"/>
          <w:sz w:val="24"/>
          <w:szCs w:val="24"/>
          <w:lang w:val="en-US"/>
        </w:rPr>
        <w:t>depression</w:t>
      </w:r>
      <w:r w:rsidR="00B25ADA">
        <w:rPr>
          <w:rFonts w:ascii="Times New Roman" w:hAnsi="Times New Roman" w:cs="Times New Roman"/>
          <w:sz w:val="24"/>
          <w:szCs w:val="24"/>
          <w:lang w:val="en-US"/>
        </w:rPr>
        <w:t xml:space="preserve"> pathways with following results: without ADHD (N = </w:t>
      </w:r>
      <w:r w:rsidR="004133BC">
        <w:rPr>
          <w:rFonts w:ascii="Times New Roman" w:hAnsi="Times New Roman" w:cs="Times New Roman"/>
          <w:sz w:val="24"/>
          <w:szCs w:val="24"/>
          <w:lang w:val="en-US"/>
        </w:rPr>
        <w:t>2</w:t>
      </w:r>
      <w:r w:rsidR="00277D36">
        <w:rPr>
          <w:rFonts w:ascii="Times New Roman" w:hAnsi="Times New Roman" w:cs="Times New Roman"/>
          <w:sz w:val="24"/>
          <w:szCs w:val="24"/>
          <w:lang w:val="en-US"/>
        </w:rPr>
        <w:t>02</w:t>
      </w:r>
      <w:r w:rsidR="00B25ADA">
        <w:rPr>
          <w:rFonts w:ascii="Times New Roman" w:hAnsi="Times New Roman" w:cs="Times New Roman"/>
          <w:sz w:val="24"/>
          <w:szCs w:val="24"/>
          <w:lang w:val="en-US"/>
        </w:rPr>
        <w:t xml:space="preserve">) </w:t>
      </w:r>
      <w:r w:rsidR="00B25ADA" w:rsidRPr="00B25ADA">
        <w:rPr>
          <w:rFonts w:ascii="Times New Roman" w:hAnsi="Times New Roman" w:cs="Times New Roman"/>
          <w:sz w:val="24"/>
          <w:szCs w:val="24"/>
          <w:lang w:val="en-US"/>
        </w:rPr>
        <w:t xml:space="preserve">Cohen's </w:t>
      </w:r>
      <w:proofErr w:type="gramStart"/>
      <w:r w:rsidR="00B25ADA" w:rsidRPr="00B25ADA">
        <w:rPr>
          <w:rFonts w:ascii="Times New Roman" w:hAnsi="Times New Roman" w:cs="Times New Roman"/>
          <w:sz w:val="24"/>
          <w:szCs w:val="24"/>
          <w:lang w:val="en-US"/>
        </w:rPr>
        <w:t>kappa  0.</w:t>
      </w:r>
      <w:r w:rsidR="0026066E">
        <w:rPr>
          <w:rFonts w:ascii="Times New Roman" w:hAnsi="Times New Roman" w:cs="Times New Roman"/>
          <w:sz w:val="24"/>
          <w:szCs w:val="24"/>
          <w:lang w:val="en-US"/>
        </w:rPr>
        <w:t>054</w:t>
      </w:r>
      <w:proofErr w:type="gramEnd"/>
      <w:r w:rsidR="00B25ADA" w:rsidRPr="00B25ADA">
        <w:rPr>
          <w:rFonts w:ascii="Times New Roman" w:hAnsi="Times New Roman" w:cs="Times New Roman"/>
          <w:sz w:val="24"/>
          <w:szCs w:val="24"/>
          <w:lang w:val="en-US"/>
        </w:rPr>
        <w:t xml:space="preserve"> (95% CI </w:t>
      </w:r>
      <w:r w:rsidR="0026066E">
        <w:rPr>
          <w:rFonts w:ascii="Times New Roman" w:hAnsi="Times New Roman" w:cs="Times New Roman"/>
          <w:sz w:val="24"/>
          <w:szCs w:val="24"/>
          <w:lang w:val="en-US"/>
        </w:rPr>
        <w:t>-</w:t>
      </w:r>
      <w:r w:rsidR="00B25ADA" w:rsidRPr="00B25ADA">
        <w:rPr>
          <w:rFonts w:ascii="Times New Roman" w:hAnsi="Times New Roman" w:cs="Times New Roman"/>
          <w:sz w:val="24"/>
          <w:szCs w:val="24"/>
          <w:lang w:val="en-US"/>
        </w:rPr>
        <w:t>0.</w:t>
      </w:r>
      <w:r w:rsidR="0026066E">
        <w:rPr>
          <w:rFonts w:ascii="Times New Roman" w:hAnsi="Times New Roman" w:cs="Times New Roman"/>
          <w:sz w:val="24"/>
          <w:szCs w:val="24"/>
          <w:lang w:val="en-US"/>
        </w:rPr>
        <w:t>139</w:t>
      </w:r>
      <w:r w:rsidR="00B25ADA" w:rsidRPr="00B25ADA">
        <w:rPr>
          <w:rFonts w:ascii="Times New Roman" w:hAnsi="Times New Roman" w:cs="Times New Roman"/>
          <w:sz w:val="24"/>
          <w:szCs w:val="24"/>
          <w:lang w:val="en-US"/>
        </w:rPr>
        <w:t>-0.</w:t>
      </w:r>
      <w:r w:rsidR="0026066E">
        <w:rPr>
          <w:rFonts w:ascii="Times New Roman" w:hAnsi="Times New Roman" w:cs="Times New Roman"/>
          <w:sz w:val="24"/>
          <w:szCs w:val="24"/>
          <w:lang w:val="en-US"/>
        </w:rPr>
        <w:t>247</w:t>
      </w:r>
      <w:r w:rsidR="00B25ADA" w:rsidRPr="00B25ADA">
        <w:rPr>
          <w:rFonts w:ascii="Times New Roman" w:hAnsi="Times New Roman" w:cs="Times New Roman"/>
          <w:sz w:val="24"/>
          <w:szCs w:val="24"/>
          <w:lang w:val="en-US"/>
        </w:rPr>
        <w:t xml:space="preserve">), balanced accuracy </w:t>
      </w:r>
      <w:r w:rsidR="00277D36">
        <w:rPr>
          <w:rFonts w:ascii="Times New Roman" w:hAnsi="Times New Roman" w:cs="Times New Roman"/>
          <w:sz w:val="24"/>
          <w:szCs w:val="24"/>
          <w:lang w:val="en-US"/>
        </w:rPr>
        <w:t>53</w:t>
      </w:r>
      <w:r w:rsidR="00B25ADA" w:rsidRPr="00B25ADA">
        <w:rPr>
          <w:rFonts w:ascii="Times New Roman" w:hAnsi="Times New Roman" w:cs="Times New Roman"/>
          <w:sz w:val="24"/>
          <w:szCs w:val="24"/>
          <w:lang w:val="en-US"/>
        </w:rPr>
        <w:t>.</w:t>
      </w:r>
      <w:r w:rsidR="004133BC">
        <w:rPr>
          <w:rFonts w:ascii="Times New Roman" w:hAnsi="Times New Roman" w:cs="Times New Roman"/>
          <w:sz w:val="24"/>
          <w:szCs w:val="24"/>
          <w:lang w:val="en-US"/>
        </w:rPr>
        <w:t>3</w:t>
      </w:r>
      <w:r w:rsidR="00B25ADA" w:rsidRPr="00B25ADA">
        <w:rPr>
          <w:rFonts w:ascii="Times New Roman" w:hAnsi="Times New Roman" w:cs="Times New Roman"/>
          <w:sz w:val="24"/>
          <w:szCs w:val="24"/>
          <w:lang w:val="en-US"/>
        </w:rPr>
        <w:t xml:space="preserve"> % (95% CI </w:t>
      </w:r>
      <w:r w:rsidR="0026066E">
        <w:rPr>
          <w:rFonts w:ascii="Times New Roman" w:hAnsi="Times New Roman" w:cs="Times New Roman"/>
          <w:sz w:val="24"/>
          <w:szCs w:val="24"/>
          <w:lang w:val="en-US"/>
        </w:rPr>
        <w:t>42</w:t>
      </w:r>
      <w:r w:rsidR="00B25ADA" w:rsidRPr="00B25ADA">
        <w:rPr>
          <w:rFonts w:ascii="Times New Roman" w:hAnsi="Times New Roman" w:cs="Times New Roman"/>
          <w:sz w:val="24"/>
          <w:szCs w:val="24"/>
          <w:lang w:val="en-US"/>
        </w:rPr>
        <w:t>.</w:t>
      </w:r>
      <w:r w:rsidR="004133BC">
        <w:rPr>
          <w:rFonts w:ascii="Times New Roman" w:hAnsi="Times New Roman" w:cs="Times New Roman"/>
          <w:sz w:val="24"/>
          <w:szCs w:val="24"/>
          <w:lang w:val="en-US"/>
        </w:rPr>
        <w:t>5</w:t>
      </w:r>
      <w:r w:rsidR="00B25ADA" w:rsidRPr="00B25ADA">
        <w:rPr>
          <w:rFonts w:ascii="Times New Roman" w:hAnsi="Times New Roman" w:cs="Times New Roman"/>
          <w:sz w:val="24"/>
          <w:szCs w:val="24"/>
          <w:lang w:val="en-US"/>
        </w:rPr>
        <w:t>-</w:t>
      </w:r>
      <w:r w:rsidR="0026066E">
        <w:rPr>
          <w:rFonts w:ascii="Times New Roman" w:hAnsi="Times New Roman" w:cs="Times New Roman"/>
          <w:sz w:val="24"/>
          <w:szCs w:val="24"/>
          <w:lang w:val="en-US"/>
        </w:rPr>
        <w:t>64</w:t>
      </w:r>
      <w:r w:rsidR="00B25ADA" w:rsidRPr="00B25ADA">
        <w:rPr>
          <w:rFonts w:ascii="Times New Roman" w:hAnsi="Times New Roman" w:cs="Times New Roman"/>
          <w:sz w:val="24"/>
          <w:szCs w:val="24"/>
          <w:lang w:val="en-US"/>
        </w:rPr>
        <w:t>.</w:t>
      </w:r>
      <w:r w:rsidR="0026066E">
        <w:rPr>
          <w:rFonts w:ascii="Times New Roman" w:hAnsi="Times New Roman" w:cs="Times New Roman"/>
          <w:sz w:val="24"/>
          <w:szCs w:val="24"/>
          <w:lang w:val="en-US"/>
        </w:rPr>
        <w:t>1</w:t>
      </w:r>
      <w:r w:rsidR="00B25ADA" w:rsidRPr="00B25ADA">
        <w:rPr>
          <w:rFonts w:ascii="Times New Roman" w:hAnsi="Times New Roman" w:cs="Times New Roman"/>
          <w:sz w:val="24"/>
          <w:szCs w:val="24"/>
          <w:lang w:val="en-US"/>
        </w:rPr>
        <w:t>)</w:t>
      </w:r>
      <w:r w:rsidR="00B25ADA">
        <w:rPr>
          <w:rFonts w:ascii="Times New Roman" w:hAnsi="Times New Roman" w:cs="Times New Roman"/>
          <w:sz w:val="24"/>
          <w:szCs w:val="24"/>
          <w:lang w:val="en-US"/>
        </w:rPr>
        <w:t xml:space="preserve">, without depression </w:t>
      </w:r>
      <w:r w:rsidR="004133BC">
        <w:rPr>
          <w:rFonts w:ascii="Times New Roman" w:hAnsi="Times New Roman" w:cs="Times New Roman"/>
          <w:sz w:val="24"/>
          <w:szCs w:val="24"/>
          <w:lang w:val="en-US"/>
        </w:rPr>
        <w:t xml:space="preserve">(N = 152) </w:t>
      </w:r>
      <w:r w:rsidR="004133BC" w:rsidRPr="00B25ADA">
        <w:rPr>
          <w:rFonts w:ascii="Times New Roman" w:hAnsi="Times New Roman" w:cs="Times New Roman"/>
          <w:sz w:val="24"/>
          <w:szCs w:val="24"/>
          <w:lang w:val="en-US"/>
        </w:rPr>
        <w:t>Cohen's kappa  0.</w:t>
      </w:r>
      <w:r w:rsidR="005940C0">
        <w:rPr>
          <w:rFonts w:ascii="Times New Roman" w:hAnsi="Times New Roman" w:cs="Times New Roman"/>
          <w:sz w:val="24"/>
          <w:szCs w:val="24"/>
          <w:lang w:val="en-US"/>
        </w:rPr>
        <w:t>071</w:t>
      </w:r>
      <w:r w:rsidR="004133BC" w:rsidRPr="00B25ADA">
        <w:rPr>
          <w:rFonts w:ascii="Times New Roman" w:hAnsi="Times New Roman" w:cs="Times New Roman"/>
          <w:sz w:val="24"/>
          <w:szCs w:val="24"/>
          <w:lang w:val="en-US"/>
        </w:rPr>
        <w:t xml:space="preserve"> (95% CI </w:t>
      </w:r>
      <w:r w:rsidR="005940C0">
        <w:rPr>
          <w:rFonts w:ascii="Times New Roman" w:hAnsi="Times New Roman" w:cs="Times New Roman"/>
          <w:sz w:val="24"/>
          <w:szCs w:val="24"/>
          <w:lang w:val="en-US"/>
        </w:rPr>
        <w:t>-</w:t>
      </w:r>
      <w:r w:rsidR="004133BC" w:rsidRPr="00B25ADA">
        <w:rPr>
          <w:rFonts w:ascii="Times New Roman" w:hAnsi="Times New Roman" w:cs="Times New Roman"/>
          <w:sz w:val="24"/>
          <w:szCs w:val="24"/>
          <w:lang w:val="en-US"/>
        </w:rPr>
        <w:t>0.0</w:t>
      </w:r>
      <w:r w:rsidR="005940C0">
        <w:rPr>
          <w:rFonts w:ascii="Times New Roman" w:hAnsi="Times New Roman" w:cs="Times New Roman"/>
          <w:sz w:val="24"/>
          <w:szCs w:val="24"/>
          <w:lang w:val="en-US"/>
        </w:rPr>
        <w:t>89</w:t>
      </w:r>
      <w:r w:rsidR="004133BC" w:rsidRPr="00B25ADA">
        <w:rPr>
          <w:rFonts w:ascii="Times New Roman" w:hAnsi="Times New Roman" w:cs="Times New Roman"/>
          <w:sz w:val="24"/>
          <w:szCs w:val="24"/>
          <w:lang w:val="en-US"/>
        </w:rPr>
        <w:t>-0.</w:t>
      </w:r>
      <w:r w:rsidR="005940C0">
        <w:rPr>
          <w:rFonts w:ascii="Times New Roman" w:hAnsi="Times New Roman" w:cs="Times New Roman"/>
          <w:sz w:val="24"/>
          <w:szCs w:val="24"/>
          <w:lang w:val="en-US"/>
        </w:rPr>
        <w:t>231</w:t>
      </w:r>
      <w:r w:rsidR="004133BC" w:rsidRPr="00B25ADA">
        <w:rPr>
          <w:rFonts w:ascii="Times New Roman" w:hAnsi="Times New Roman" w:cs="Times New Roman"/>
          <w:sz w:val="24"/>
          <w:szCs w:val="24"/>
          <w:lang w:val="en-US"/>
        </w:rPr>
        <w:t xml:space="preserve">), balanced accuracy </w:t>
      </w:r>
      <w:r w:rsidR="005940C0">
        <w:rPr>
          <w:rFonts w:ascii="Times New Roman" w:hAnsi="Times New Roman" w:cs="Times New Roman"/>
          <w:sz w:val="24"/>
          <w:szCs w:val="24"/>
          <w:lang w:val="en-US"/>
        </w:rPr>
        <w:t>55</w:t>
      </w:r>
      <w:r w:rsidR="004133BC" w:rsidRPr="00B25ADA">
        <w:rPr>
          <w:rFonts w:ascii="Times New Roman" w:hAnsi="Times New Roman" w:cs="Times New Roman"/>
          <w:sz w:val="24"/>
          <w:szCs w:val="24"/>
          <w:lang w:val="en-US"/>
        </w:rPr>
        <w:t>.</w:t>
      </w:r>
      <w:r w:rsidR="005940C0">
        <w:rPr>
          <w:rFonts w:ascii="Times New Roman" w:hAnsi="Times New Roman" w:cs="Times New Roman"/>
          <w:sz w:val="24"/>
          <w:szCs w:val="24"/>
          <w:lang w:val="en-US"/>
        </w:rPr>
        <w:t>4</w:t>
      </w:r>
      <w:r w:rsidR="004133BC" w:rsidRPr="00B25ADA">
        <w:rPr>
          <w:rFonts w:ascii="Times New Roman" w:hAnsi="Times New Roman" w:cs="Times New Roman"/>
          <w:sz w:val="24"/>
          <w:szCs w:val="24"/>
          <w:lang w:val="en-US"/>
        </w:rPr>
        <w:t xml:space="preserve"> %  (95% CI </w:t>
      </w:r>
      <w:r w:rsidR="005940C0">
        <w:rPr>
          <w:rFonts w:ascii="Times New Roman" w:hAnsi="Times New Roman" w:cs="Times New Roman"/>
          <w:sz w:val="24"/>
          <w:szCs w:val="24"/>
          <w:lang w:val="en-US"/>
        </w:rPr>
        <w:t>45</w:t>
      </w:r>
      <w:r w:rsidR="004133BC" w:rsidRPr="00B25ADA">
        <w:rPr>
          <w:rFonts w:ascii="Times New Roman" w:hAnsi="Times New Roman" w:cs="Times New Roman"/>
          <w:sz w:val="24"/>
          <w:szCs w:val="24"/>
          <w:lang w:val="en-US"/>
        </w:rPr>
        <w:t>.</w:t>
      </w:r>
      <w:r w:rsidR="005940C0">
        <w:rPr>
          <w:rFonts w:ascii="Times New Roman" w:hAnsi="Times New Roman" w:cs="Times New Roman"/>
          <w:sz w:val="24"/>
          <w:szCs w:val="24"/>
          <w:lang w:val="en-US"/>
        </w:rPr>
        <w:t>3</w:t>
      </w:r>
      <w:r w:rsidR="004133BC" w:rsidRPr="00B25ADA">
        <w:rPr>
          <w:rFonts w:ascii="Times New Roman" w:hAnsi="Times New Roman" w:cs="Times New Roman"/>
          <w:sz w:val="24"/>
          <w:szCs w:val="24"/>
          <w:lang w:val="en-US"/>
        </w:rPr>
        <w:t>-</w:t>
      </w:r>
      <w:r w:rsidR="005940C0">
        <w:rPr>
          <w:rFonts w:ascii="Times New Roman" w:hAnsi="Times New Roman" w:cs="Times New Roman"/>
          <w:sz w:val="24"/>
          <w:szCs w:val="24"/>
          <w:lang w:val="en-US"/>
        </w:rPr>
        <w:t>65</w:t>
      </w:r>
      <w:r w:rsidR="004133BC" w:rsidRPr="00B25ADA">
        <w:rPr>
          <w:rFonts w:ascii="Times New Roman" w:hAnsi="Times New Roman" w:cs="Times New Roman"/>
          <w:sz w:val="24"/>
          <w:szCs w:val="24"/>
          <w:lang w:val="en-US"/>
        </w:rPr>
        <w:t>.</w:t>
      </w:r>
      <w:r w:rsidR="005940C0">
        <w:rPr>
          <w:rFonts w:ascii="Times New Roman" w:hAnsi="Times New Roman" w:cs="Times New Roman"/>
          <w:sz w:val="24"/>
          <w:szCs w:val="24"/>
          <w:lang w:val="en-US"/>
        </w:rPr>
        <w:t>4</w:t>
      </w:r>
      <w:r w:rsidR="004133BC" w:rsidRPr="00B25ADA">
        <w:rPr>
          <w:rFonts w:ascii="Times New Roman" w:hAnsi="Times New Roman" w:cs="Times New Roman"/>
          <w:sz w:val="24"/>
          <w:szCs w:val="24"/>
          <w:lang w:val="en-US"/>
        </w:rPr>
        <w:t>)</w:t>
      </w:r>
      <w:r w:rsidR="004133BC">
        <w:rPr>
          <w:rFonts w:ascii="Times New Roman" w:hAnsi="Times New Roman" w:cs="Times New Roman"/>
          <w:sz w:val="24"/>
          <w:szCs w:val="24"/>
          <w:lang w:val="en-US"/>
        </w:rPr>
        <w:t>.</w:t>
      </w:r>
    </w:p>
    <w:p w:rsidR="008E0267" w:rsidRDefault="008E0267" w:rsidP="001E76B5">
      <w:pPr>
        <w:spacing w:after="0"/>
        <w:rPr>
          <w:rFonts w:ascii="Times New Roman" w:hAnsi="Times New Roman" w:cs="Times New Roman"/>
          <w:b/>
          <w:sz w:val="24"/>
          <w:szCs w:val="24"/>
          <w:lang w:val="en-US"/>
        </w:rPr>
      </w:pPr>
    </w:p>
    <w:p w:rsidR="008E0267" w:rsidRDefault="008E0267" w:rsidP="001E76B5">
      <w:pPr>
        <w:spacing w:after="0"/>
        <w:rPr>
          <w:rFonts w:ascii="Times New Roman" w:hAnsi="Times New Roman" w:cs="Times New Roman"/>
          <w:b/>
          <w:sz w:val="24"/>
          <w:szCs w:val="24"/>
          <w:lang w:val="en-US"/>
        </w:rPr>
      </w:pPr>
    </w:p>
    <w:p w:rsidR="008E0267" w:rsidRDefault="008E0267" w:rsidP="001E76B5">
      <w:pPr>
        <w:spacing w:after="0"/>
        <w:rPr>
          <w:rFonts w:ascii="Times New Roman" w:hAnsi="Times New Roman" w:cs="Times New Roman"/>
          <w:b/>
          <w:sz w:val="24"/>
          <w:szCs w:val="24"/>
          <w:lang w:val="en-US"/>
        </w:rPr>
      </w:pPr>
    </w:p>
    <w:p w:rsidR="008E0267" w:rsidRDefault="008E0267" w:rsidP="001E76B5">
      <w:pPr>
        <w:spacing w:after="0"/>
        <w:rPr>
          <w:rFonts w:ascii="Times New Roman" w:hAnsi="Times New Roman" w:cs="Times New Roman"/>
          <w:b/>
          <w:sz w:val="24"/>
          <w:szCs w:val="24"/>
          <w:lang w:val="en-US"/>
        </w:rPr>
      </w:pPr>
    </w:p>
    <w:p w:rsidR="008E0267" w:rsidRDefault="008E0267" w:rsidP="001E76B5">
      <w:pPr>
        <w:spacing w:after="0"/>
        <w:rPr>
          <w:rFonts w:ascii="Times New Roman" w:hAnsi="Times New Roman" w:cs="Times New Roman"/>
          <w:b/>
          <w:sz w:val="24"/>
          <w:szCs w:val="24"/>
          <w:lang w:val="en-US"/>
        </w:rPr>
      </w:pPr>
    </w:p>
    <w:p w:rsidR="008E0267" w:rsidRDefault="008E0267" w:rsidP="001E76B5">
      <w:pPr>
        <w:spacing w:after="0"/>
        <w:rPr>
          <w:rFonts w:ascii="Times New Roman" w:hAnsi="Times New Roman" w:cs="Times New Roman"/>
          <w:b/>
          <w:sz w:val="24"/>
          <w:szCs w:val="24"/>
          <w:lang w:val="en-US"/>
        </w:rPr>
      </w:pPr>
    </w:p>
    <w:p w:rsidR="008E0267" w:rsidRDefault="008E0267" w:rsidP="001E76B5">
      <w:pPr>
        <w:spacing w:after="0"/>
        <w:rPr>
          <w:rFonts w:ascii="Times New Roman" w:hAnsi="Times New Roman" w:cs="Times New Roman"/>
          <w:b/>
          <w:sz w:val="24"/>
          <w:szCs w:val="24"/>
          <w:lang w:val="en-US"/>
        </w:rPr>
      </w:pPr>
    </w:p>
    <w:p w:rsidR="008E0267" w:rsidRDefault="008E0267" w:rsidP="001E76B5">
      <w:pPr>
        <w:spacing w:after="0"/>
        <w:rPr>
          <w:rFonts w:ascii="Times New Roman" w:hAnsi="Times New Roman" w:cs="Times New Roman"/>
          <w:b/>
          <w:sz w:val="24"/>
          <w:szCs w:val="24"/>
          <w:lang w:val="en-US"/>
        </w:rPr>
      </w:pPr>
    </w:p>
    <w:p w:rsidR="008E0267" w:rsidRDefault="008E0267" w:rsidP="001E76B5">
      <w:pPr>
        <w:spacing w:after="0"/>
        <w:rPr>
          <w:rFonts w:ascii="Times New Roman" w:hAnsi="Times New Roman" w:cs="Times New Roman"/>
          <w:b/>
          <w:sz w:val="24"/>
          <w:szCs w:val="24"/>
          <w:lang w:val="en-US"/>
        </w:rPr>
      </w:pPr>
    </w:p>
    <w:p w:rsidR="008E0267" w:rsidRDefault="008E0267" w:rsidP="001E76B5">
      <w:pPr>
        <w:spacing w:after="0"/>
        <w:rPr>
          <w:rFonts w:ascii="Times New Roman" w:hAnsi="Times New Roman" w:cs="Times New Roman"/>
          <w:b/>
          <w:sz w:val="24"/>
          <w:szCs w:val="24"/>
          <w:lang w:val="en-US"/>
        </w:rPr>
      </w:pPr>
    </w:p>
    <w:p w:rsidR="008E0267" w:rsidRDefault="008E0267" w:rsidP="001E76B5">
      <w:pPr>
        <w:spacing w:after="0"/>
        <w:rPr>
          <w:rFonts w:ascii="Times New Roman" w:hAnsi="Times New Roman" w:cs="Times New Roman"/>
          <w:b/>
          <w:sz w:val="24"/>
          <w:szCs w:val="24"/>
          <w:lang w:val="en-US"/>
        </w:rPr>
      </w:pPr>
    </w:p>
    <w:p w:rsidR="008E0267" w:rsidRDefault="008E0267" w:rsidP="001E76B5">
      <w:pPr>
        <w:spacing w:after="0"/>
        <w:rPr>
          <w:rFonts w:ascii="Times New Roman" w:hAnsi="Times New Roman" w:cs="Times New Roman"/>
          <w:b/>
          <w:sz w:val="24"/>
          <w:szCs w:val="24"/>
          <w:lang w:val="en-US"/>
        </w:rPr>
      </w:pPr>
    </w:p>
    <w:p w:rsidR="008E0267" w:rsidRDefault="008E0267" w:rsidP="001E76B5">
      <w:pPr>
        <w:spacing w:after="0"/>
        <w:rPr>
          <w:rFonts w:ascii="Times New Roman" w:hAnsi="Times New Roman" w:cs="Times New Roman"/>
          <w:b/>
          <w:sz w:val="24"/>
          <w:szCs w:val="24"/>
          <w:lang w:val="en-US"/>
        </w:rPr>
      </w:pPr>
    </w:p>
    <w:p w:rsidR="008E0267" w:rsidRDefault="008E0267" w:rsidP="001E76B5">
      <w:pPr>
        <w:spacing w:after="0"/>
        <w:rPr>
          <w:rFonts w:ascii="Times New Roman" w:hAnsi="Times New Roman" w:cs="Times New Roman"/>
          <w:b/>
          <w:sz w:val="24"/>
          <w:szCs w:val="24"/>
          <w:lang w:val="en-US"/>
        </w:rPr>
      </w:pPr>
    </w:p>
    <w:p w:rsidR="008E0267" w:rsidRDefault="008E0267" w:rsidP="001E76B5">
      <w:pPr>
        <w:spacing w:after="0"/>
        <w:rPr>
          <w:rFonts w:ascii="Times New Roman" w:hAnsi="Times New Roman" w:cs="Times New Roman"/>
          <w:b/>
          <w:sz w:val="24"/>
          <w:szCs w:val="24"/>
          <w:lang w:val="en-US"/>
        </w:rPr>
      </w:pPr>
    </w:p>
    <w:p w:rsidR="008E0267" w:rsidRDefault="008E0267" w:rsidP="001E76B5">
      <w:pPr>
        <w:spacing w:after="0"/>
        <w:rPr>
          <w:rFonts w:ascii="Times New Roman" w:hAnsi="Times New Roman" w:cs="Times New Roman"/>
          <w:b/>
          <w:sz w:val="24"/>
          <w:szCs w:val="24"/>
          <w:lang w:val="en-US"/>
        </w:rPr>
      </w:pPr>
    </w:p>
    <w:p w:rsidR="008E0267" w:rsidRDefault="008E0267" w:rsidP="001E76B5">
      <w:pPr>
        <w:spacing w:after="0"/>
        <w:rPr>
          <w:rFonts w:ascii="Times New Roman" w:hAnsi="Times New Roman" w:cs="Times New Roman"/>
          <w:b/>
          <w:sz w:val="24"/>
          <w:szCs w:val="24"/>
          <w:lang w:val="en-US"/>
        </w:rPr>
      </w:pPr>
    </w:p>
    <w:p w:rsidR="008E0267" w:rsidRDefault="008E0267" w:rsidP="001E76B5">
      <w:pPr>
        <w:spacing w:after="0"/>
        <w:rPr>
          <w:rFonts w:ascii="Times New Roman" w:hAnsi="Times New Roman" w:cs="Times New Roman"/>
          <w:b/>
          <w:sz w:val="24"/>
          <w:szCs w:val="24"/>
          <w:lang w:val="en-US"/>
        </w:rPr>
      </w:pPr>
    </w:p>
    <w:p w:rsidR="008E0267" w:rsidRDefault="008E0267" w:rsidP="001E76B5">
      <w:pPr>
        <w:spacing w:after="0"/>
        <w:rPr>
          <w:rFonts w:ascii="Times New Roman" w:hAnsi="Times New Roman" w:cs="Times New Roman"/>
          <w:b/>
          <w:sz w:val="24"/>
          <w:szCs w:val="24"/>
          <w:lang w:val="en-US"/>
        </w:rPr>
      </w:pPr>
    </w:p>
    <w:p w:rsidR="008E0267" w:rsidRDefault="008E0267" w:rsidP="001E76B5">
      <w:pPr>
        <w:spacing w:after="0"/>
        <w:rPr>
          <w:rFonts w:ascii="Times New Roman" w:hAnsi="Times New Roman" w:cs="Times New Roman"/>
          <w:b/>
          <w:sz w:val="24"/>
          <w:szCs w:val="24"/>
          <w:lang w:val="en-US"/>
        </w:rPr>
      </w:pPr>
    </w:p>
    <w:p w:rsidR="008E0267" w:rsidRDefault="008E0267" w:rsidP="001E76B5">
      <w:pPr>
        <w:spacing w:after="0"/>
        <w:rPr>
          <w:rFonts w:ascii="Times New Roman" w:hAnsi="Times New Roman" w:cs="Times New Roman"/>
          <w:b/>
          <w:sz w:val="24"/>
          <w:szCs w:val="24"/>
          <w:lang w:val="en-US"/>
        </w:rPr>
      </w:pPr>
    </w:p>
    <w:p w:rsidR="008A5F6A" w:rsidRDefault="008A5F6A" w:rsidP="001E76B5">
      <w:pPr>
        <w:spacing w:after="0"/>
        <w:rPr>
          <w:rFonts w:ascii="Times New Roman" w:hAnsi="Times New Roman" w:cs="Times New Roman"/>
          <w:b/>
          <w:sz w:val="24"/>
          <w:szCs w:val="24"/>
          <w:lang w:val="en-US"/>
        </w:rPr>
      </w:pPr>
    </w:p>
    <w:p w:rsidR="008A5F6A" w:rsidRDefault="008A5F6A" w:rsidP="001E76B5">
      <w:pPr>
        <w:spacing w:after="0"/>
        <w:rPr>
          <w:rFonts w:ascii="Times New Roman" w:hAnsi="Times New Roman" w:cs="Times New Roman"/>
          <w:b/>
          <w:sz w:val="24"/>
          <w:szCs w:val="24"/>
          <w:lang w:val="en-US"/>
        </w:rPr>
      </w:pPr>
    </w:p>
    <w:p w:rsidR="008A5F6A" w:rsidRDefault="008A5F6A" w:rsidP="001E76B5">
      <w:pPr>
        <w:spacing w:after="0"/>
        <w:rPr>
          <w:rFonts w:ascii="Times New Roman" w:hAnsi="Times New Roman" w:cs="Times New Roman"/>
          <w:b/>
          <w:sz w:val="24"/>
          <w:szCs w:val="24"/>
          <w:lang w:val="en-US"/>
        </w:rPr>
      </w:pPr>
    </w:p>
    <w:p w:rsidR="008A5F6A" w:rsidRDefault="008A5F6A" w:rsidP="001E76B5">
      <w:pPr>
        <w:spacing w:after="0"/>
        <w:rPr>
          <w:rFonts w:ascii="Times New Roman" w:hAnsi="Times New Roman" w:cs="Times New Roman"/>
          <w:b/>
          <w:sz w:val="24"/>
          <w:szCs w:val="24"/>
          <w:lang w:val="en-US"/>
        </w:rPr>
      </w:pPr>
    </w:p>
    <w:p w:rsidR="008A5F6A" w:rsidRDefault="008A5F6A" w:rsidP="001E76B5">
      <w:pPr>
        <w:spacing w:after="0"/>
        <w:rPr>
          <w:rFonts w:ascii="Times New Roman" w:hAnsi="Times New Roman" w:cs="Times New Roman"/>
          <w:b/>
          <w:sz w:val="24"/>
          <w:szCs w:val="24"/>
          <w:lang w:val="en-US"/>
        </w:rPr>
      </w:pPr>
    </w:p>
    <w:p w:rsidR="008A5F6A" w:rsidRDefault="008A5F6A" w:rsidP="001E76B5">
      <w:pPr>
        <w:spacing w:after="0"/>
        <w:rPr>
          <w:rFonts w:ascii="Times New Roman" w:hAnsi="Times New Roman" w:cs="Times New Roman"/>
          <w:b/>
          <w:sz w:val="24"/>
          <w:szCs w:val="24"/>
          <w:lang w:val="en-US"/>
        </w:rPr>
      </w:pPr>
    </w:p>
    <w:p w:rsidR="0024053B" w:rsidRDefault="0024053B"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sz w:val="24"/>
          <w:szCs w:val="24"/>
          <w:lang w:val="en-US"/>
        </w:rPr>
      </w:pPr>
      <w:r w:rsidRPr="00F6497F">
        <w:rPr>
          <w:rFonts w:ascii="Times New Roman" w:hAnsi="Times New Roman" w:cs="Times New Roman"/>
          <w:b/>
          <w:sz w:val="24"/>
          <w:szCs w:val="24"/>
          <w:lang w:val="en-US"/>
        </w:rPr>
        <w:lastRenderedPageBreak/>
        <w:t xml:space="preserve">Supplementary note </w:t>
      </w:r>
      <w:r w:rsidR="008E0267">
        <w:rPr>
          <w:rFonts w:ascii="Times New Roman" w:hAnsi="Times New Roman" w:cs="Times New Roman"/>
          <w:b/>
          <w:sz w:val="24"/>
          <w:szCs w:val="24"/>
          <w:lang w:val="en-US"/>
        </w:rPr>
        <w:t>4</w:t>
      </w:r>
      <w:r w:rsidRPr="00F6497F">
        <w:rPr>
          <w:rFonts w:ascii="Times New Roman" w:hAnsi="Times New Roman" w:cs="Times New Roman"/>
          <w:b/>
          <w:sz w:val="24"/>
          <w:szCs w:val="24"/>
          <w:lang w:val="en-US"/>
        </w:rPr>
        <w:t>:</w:t>
      </w:r>
      <w:r w:rsidRPr="00FC47D8">
        <w:rPr>
          <w:rFonts w:ascii="Times New Roman" w:hAnsi="Times New Roman" w:cs="Times New Roman"/>
          <w:sz w:val="24"/>
          <w:szCs w:val="24"/>
          <w:lang w:val="en-US"/>
        </w:rPr>
        <w:t xml:space="preserve"> </w:t>
      </w:r>
      <w:r w:rsidRPr="00B34DF6">
        <w:rPr>
          <w:rFonts w:ascii="Times New Roman" w:hAnsi="Times New Roman" w:cs="Times New Roman"/>
          <w:sz w:val="24"/>
          <w:szCs w:val="24"/>
          <w:lang w:val="en-US"/>
        </w:rPr>
        <w:t xml:space="preserve">Secondary analysis of </w:t>
      </w:r>
      <w:proofErr w:type="spellStart"/>
      <w:r w:rsidRPr="00B34DF6">
        <w:rPr>
          <w:rFonts w:ascii="Times New Roman" w:hAnsi="Times New Roman" w:cs="Times New Roman"/>
          <w:sz w:val="24"/>
          <w:szCs w:val="24"/>
          <w:lang w:val="en-US"/>
        </w:rPr>
        <w:t>EPI</w:t>
      </w:r>
      <w:r w:rsidRPr="00B34DF6">
        <w:rPr>
          <w:rFonts w:ascii="Times New Roman" w:hAnsi="Times New Roman" w:cs="Times New Roman"/>
          <w:i/>
          <w:sz w:val="24"/>
          <w:szCs w:val="24"/>
          <w:lang w:val="en-US"/>
        </w:rPr>
        <w:t>bipolar</w:t>
      </w:r>
      <w:proofErr w:type="spellEnd"/>
      <w:r w:rsidRPr="00B34DF6">
        <w:rPr>
          <w:rFonts w:ascii="Times New Roman" w:hAnsi="Times New Roman" w:cs="Times New Roman"/>
          <w:sz w:val="24"/>
          <w:szCs w:val="24"/>
          <w:lang w:val="en-US"/>
        </w:rPr>
        <w:t xml:space="preserve"> risk</w:t>
      </w:r>
    </w:p>
    <w:p w:rsidR="001E76B5" w:rsidRPr="00B34DF6" w:rsidRDefault="001E76B5" w:rsidP="001E76B5">
      <w:pPr>
        <w:spacing w:after="0"/>
        <w:rPr>
          <w:rFonts w:ascii="Times New Roman" w:hAnsi="Times New Roman" w:cs="Times New Roman"/>
          <w:sz w:val="24"/>
          <w:szCs w:val="24"/>
          <w:lang w:val="en-US"/>
        </w:rPr>
      </w:pPr>
    </w:p>
    <w:p w:rsidR="001E76B5" w:rsidRDefault="001E76B5" w:rsidP="001E76B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Pr="00B34DF6">
        <w:rPr>
          <w:rFonts w:ascii="Times New Roman" w:hAnsi="Times New Roman" w:cs="Times New Roman"/>
          <w:sz w:val="24"/>
          <w:szCs w:val="24"/>
          <w:lang w:val="en-US"/>
        </w:rPr>
        <w:t xml:space="preserve">e analyzed </w:t>
      </w:r>
      <w:proofErr w:type="spellStart"/>
      <w:r w:rsidRPr="00B34DF6">
        <w:rPr>
          <w:rFonts w:ascii="Times New Roman" w:hAnsi="Times New Roman" w:cs="Times New Roman"/>
          <w:sz w:val="24"/>
          <w:szCs w:val="24"/>
          <w:lang w:val="en-US"/>
        </w:rPr>
        <w:t>EPIbipolar</w:t>
      </w:r>
      <w:proofErr w:type="spellEnd"/>
      <w:r w:rsidRPr="00B34DF6">
        <w:rPr>
          <w:rFonts w:ascii="Times New Roman" w:hAnsi="Times New Roman" w:cs="Times New Roman"/>
          <w:sz w:val="24"/>
          <w:szCs w:val="24"/>
          <w:lang w:val="en-US"/>
        </w:rPr>
        <w:t xml:space="preserve"> in more detail in two exploratory analyses. First, we performed a classification using all three groups – no-risk, low-risk and high-risk (N = 32 / 104 / 137 respectively) achieving a balanced accuracy of 34.7 % (95% CI 31.1- 38.3) (i.e. chance level for a </w:t>
      </w:r>
      <w:proofErr w:type="gramStart"/>
      <w:r w:rsidRPr="00B34DF6">
        <w:rPr>
          <w:rFonts w:ascii="Times New Roman" w:hAnsi="Times New Roman" w:cs="Times New Roman"/>
          <w:sz w:val="24"/>
          <w:szCs w:val="24"/>
          <w:lang w:val="en-US"/>
        </w:rPr>
        <w:t>three category</w:t>
      </w:r>
      <w:proofErr w:type="gramEnd"/>
      <w:r w:rsidRPr="00B34DF6">
        <w:rPr>
          <w:rFonts w:ascii="Times New Roman" w:hAnsi="Times New Roman" w:cs="Times New Roman"/>
          <w:sz w:val="24"/>
          <w:szCs w:val="24"/>
          <w:lang w:val="en-US"/>
        </w:rPr>
        <w:t xml:space="preserve"> outcome) in the 10-fold </w:t>
      </w:r>
      <w:proofErr w:type="spellStart"/>
      <w:r w:rsidRPr="00B34DF6">
        <w:rPr>
          <w:rFonts w:ascii="Times New Roman" w:hAnsi="Times New Roman" w:cs="Times New Roman"/>
          <w:sz w:val="24"/>
          <w:szCs w:val="24"/>
          <w:lang w:val="en-US"/>
        </w:rPr>
        <w:t>crossvalidation</w:t>
      </w:r>
      <w:proofErr w:type="spellEnd"/>
      <w:r w:rsidRPr="00B34DF6">
        <w:rPr>
          <w:rFonts w:ascii="Times New Roman" w:hAnsi="Times New Roman" w:cs="Times New Roman"/>
          <w:sz w:val="24"/>
          <w:szCs w:val="24"/>
          <w:lang w:val="en-US"/>
        </w:rPr>
        <w:t xml:space="preserve">. Second, we removed the low-risk group from the sample, retaining the no-risk and high-risk groups exclusively (N = 136), and used the left pars opercularis thickness as a single feature, achieving a balanced accuracy of 60.9 % (95% CI 48.4- 73.4) in the 10-fold </w:t>
      </w:r>
      <w:proofErr w:type="spellStart"/>
      <w:r w:rsidRPr="00B34DF6">
        <w:rPr>
          <w:rFonts w:ascii="Times New Roman" w:hAnsi="Times New Roman" w:cs="Times New Roman"/>
          <w:sz w:val="24"/>
          <w:szCs w:val="24"/>
          <w:lang w:val="en-US"/>
        </w:rPr>
        <w:t>crossvalidation</w:t>
      </w:r>
      <w:proofErr w:type="spellEnd"/>
      <w:r w:rsidRPr="00B34DF6">
        <w:rPr>
          <w:rFonts w:ascii="Times New Roman" w:hAnsi="Times New Roman" w:cs="Times New Roman"/>
          <w:sz w:val="24"/>
          <w:szCs w:val="24"/>
          <w:lang w:val="en-US"/>
        </w:rPr>
        <w:t xml:space="preserve"> and 55.5 % (95% CI 42.4- 68.6) in the leave-one-site-out </w:t>
      </w:r>
      <w:proofErr w:type="spellStart"/>
      <w:r w:rsidRPr="00B34DF6">
        <w:rPr>
          <w:rFonts w:ascii="Times New Roman" w:hAnsi="Times New Roman" w:cs="Times New Roman"/>
          <w:sz w:val="24"/>
          <w:szCs w:val="24"/>
          <w:lang w:val="en-US"/>
        </w:rPr>
        <w:t>crossvalidation</w:t>
      </w:r>
      <w:proofErr w:type="spellEnd"/>
      <w:r w:rsidRPr="00B34DF6">
        <w:rPr>
          <w:rFonts w:ascii="Times New Roman" w:hAnsi="Times New Roman" w:cs="Times New Roman"/>
          <w:sz w:val="24"/>
          <w:szCs w:val="24"/>
          <w:lang w:val="en-US"/>
        </w:rPr>
        <w:t xml:space="preserve"> (i.e. chance level for a binary outcome considering the CI). </w:t>
      </w:r>
      <w:r w:rsidR="00E84682" w:rsidRPr="00462330">
        <w:rPr>
          <w:rFonts w:ascii="Times New Roman" w:hAnsi="Times New Roman" w:cs="Times New Roman"/>
          <w:sz w:val="24"/>
          <w:szCs w:val="24"/>
          <w:lang w:val="en-US"/>
        </w:rPr>
        <w:t>We also performed the classification whi</w:t>
      </w:r>
      <w:bookmarkStart w:id="2" w:name="_GoBack"/>
      <w:bookmarkEnd w:id="2"/>
      <w:r w:rsidR="00E84682" w:rsidRPr="00462330">
        <w:rPr>
          <w:rFonts w:ascii="Times New Roman" w:hAnsi="Times New Roman" w:cs="Times New Roman"/>
          <w:sz w:val="24"/>
          <w:szCs w:val="24"/>
          <w:lang w:val="en-US"/>
        </w:rPr>
        <w:t xml:space="preserve">le grouping the 'no risk' and 'low risk' groups vs 'high risk' group with following results: balanced accuracy 48.3 % (CI 40.9-55.6%), Cohen's kappa -0.032 (CI -0.171-0.107). </w:t>
      </w:r>
      <w:r w:rsidRPr="00B34DF6">
        <w:rPr>
          <w:rFonts w:ascii="Times New Roman" w:hAnsi="Times New Roman" w:cs="Times New Roman"/>
          <w:sz w:val="24"/>
          <w:szCs w:val="24"/>
          <w:lang w:val="en-US"/>
        </w:rPr>
        <w:t xml:space="preserve"> </w:t>
      </w:r>
    </w:p>
    <w:p w:rsidR="001E76B5" w:rsidRDefault="001E76B5" w:rsidP="001E76B5">
      <w:pPr>
        <w:spacing w:after="0"/>
        <w:rPr>
          <w:rFonts w:ascii="Times New Roman" w:hAnsi="Times New Roman" w:cs="Times New Roman"/>
          <w:sz w:val="24"/>
          <w:szCs w:val="24"/>
          <w:lang w:val="en-US"/>
        </w:rPr>
      </w:pPr>
    </w:p>
    <w:p w:rsidR="001E76B5" w:rsidRPr="00FC47D8" w:rsidRDefault="001E76B5" w:rsidP="001E76B5">
      <w:pPr>
        <w:spacing w:after="0"/>
        <w:rPr>
          <w:rFonts w:ascii="Times New Roman" w:hAnsi="Times New Roman" w:cs="Times New Roman"/>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sz w:val="24"/>
          <w:szCs w:val="24"/>
          <w:lang w:val="en-US"/>
        </w:rPr>
      </w:pPr>
      <w:r w:rsidRPr="00FC47D8">
        <w:rPr>
          <w:rFonts w:ascii="Times New Roman" w:hAnsi="Times New Roman" w:cs="Times New Roman"/>
          <w:b/>
          <w:sz w:val="24"/>
          <w:szCs w:val="24"/>
          <w:lang w:val="en-US"/>
        </w:rPr>
        <w:t>Supplementary table 1:</w:t>
      </w:r>
      <w:r w:rsidRPr="00FC47D8">
        <w:rPr>
          <w:rFonts w:ascii="Times New Roman" w:hAnsi="Times New Roman" w:cs="Times New Roman"/>
          <w:sz w:val="24"/>
          <w:szCs w:val="24"/>
          <w:lang w:val="en-US"/>
        </w:rPr>
        <w:t xml:space="preserve"> Overview of the risk assessment tools and corresponding sample sizes (adapted according to Bröckel et al. </w:t>
      </w:r>
      <w:r w:rsidR="00BC08FD">
        <w:rPr>
          <w:rFonts w:ascii="Times New Roman" w:hAnsi="Times New Roman" w:cs="Times New Roman"/>
          <w:sz w:val="24"/>
          <w:szCs w:val="24"/>
          <w:lang w:val="en-US"/>
        </w:rPr>
        <w:t>(</w:t>
      </w:r>
      <w:r w:rsidR="00BC08FD" w:rsidRPr="00BC08FD">
        <w:rPr>
          <w:rFonts w:ascii="Times New Roman" w:hAnsi="Times New Roman" w:cs="Times New Roman"/>
          <w:i/>
          <w:sz w:val="24"/>
          <w:szCs w:val="24"/>
          <w:lang w:val="en-US"/>
        </w:rPr>
        <w:t>In submission</w:t>
      </w:r>
      <w:r w:rsidR="00BC08FD">
        <w:rPr>
          <w:rFonts w:ascii="Times New Roman" w:hAnsi="Times New Roman" w:cs="Times New Roman"/>
          <w:sz w:val="24"/>
          <w:szCs w:val="24"/>
          <w:lang w:val="en-US"/>
        </w:rPr>
        <w:t xml:space="preserve">) </w:t>
      </w:r>
      <w:r w:rsidRPr="00FC47D8">
        <w:rPr>
          <w:rFonts w:ascii="Times New Roman" w:hAnsi="Times New Roman" w:cs="Times New Roman"/>
          <w:sz w:val="24"/>
          <w:szCs w:val="24"/>
          <w:lang w:val="en-US"/>
        </w:rPr>
        <w:t>and</w:t>
      </w:r>
      <w:r w:rsidR="00BC08FD">
        <w:rPr>
          <w:rFonts w:ascii="Times New Roman" w:hAnsi="Times New Roman" w:cs="Times New Roman"/>
          <w:sz w:val="24"/>
          <w:szCs w:val="24"/>
          <w:lang w:val="en-US"/>
        </w:rPr>
        <w:t xml:space="preserve"> </w:t>
      </w:r>
      <w:r w:rsidRPr="00FC47D8">
        <w:rPr>
          <w:rFonts w:ascii="Times New Roman" w:hAnsi="Times New Roman" w:cs="Times New Roman"/>
          <w:sz w:val="24"/>
          <w:szCs w:val="24"/>
          <w:lang w:val="en-US"/>
        </w:rPr>
        <w:fldChar w:fldCharType="begin"/>
      </w:r>
      <w:r w:rsidR="00BC08FD">
        <w:rPr>
          <w:rFonts w:ascii="Times New Roman" w:hAnsi="Times New Roman" w:cs="Times New Roman"/>
          <w:sz w:val="24"/>
          <w:szCs w:val="24"/>
          <w:lang w:val="en-US"/>
        </w:rPr>
        <w:instrText xml:space="preserve"> ADDIN ZOTERO_ITEM CSL_CITATION {"citationID":"NYBwdDSh","properties":{"formattedCitation":"(Mikolas {\\i{}et al.}, 2021)","plainCitation":"(Mikolas et al., 2021)","noteIndex":0},"citationItems":[{"id":487,"uris":["http://zotero.org/users/6467620/items/D5GN4NYA"],"itemData":{"id":487,"type":"article-journal","abstract":"Abstract\n            \n              In psychiatry, there has been a growing focus on identifying at-risk populations. For schizophrenia, these efforts have led to the development of early recognition and intervention measures. Despite a similar disease burden, the populations at risk of bipolar disorder have not been sufficiently characterized. Within the BipoLife consortium, we used magnetic resonance imaging (MRI) data from a multicenter study to assess structural gray matter alterations in\n              N\n               = 263 help-seeking individuals from seven study sites. We defined the risk using the EPI\n              bipolar\n              assessment tool as no-risk, low-risk, and high-risk and used a region-of-interest approach (ROI) based on the results of two large-scale multicenter studies of bipolar disorder by the ENIGMA working group. We detected significant differences in the thickness of the left pars opercularis (Cohen’s\n              d\n               = 0.47,\n              p\n               = 0.024) between groups. The cortex was significantly thinner in high-risk individuals compared to those in the no-risk group (\n              p\n               = 0.011). We detected no differences in the hippocampal volume. Exploratory analyses revealed no significant differences in other cortical or subcortical regions. The thinner cortex in help-seeking individuals at risk of bipolar disorder is in line with previous findings in patients with the established disorder and corresponds to the region of the highest effect size in the ENIGMA study of cortical alterations. Structural alterations in prefrontal cortex might be a trait marker of bipolar risk. This is the largest structural MRI study of help-seeking individuals at increased risk of bipolar disorder.","container-title":"Translational Psychiatry","DOI":"10.1038/s41398-021-01598-y","ISSN":"2158-3188","issue":"1","journalAbbreviation":"Transl Psychiatry","language":"en","license":"Creative Commons Namensnennung - Nicht kommerziell - Keine Bearbeitungen 4.0 Internationale Lizenz (CC-BY-NC-ND)","page":"485","source":"DOI.org (Crossref)","title":"Individuals at increased risk for development of bipolar disorder display structural alterations similar to people with manifest disease","volume":"11","author":[{"family":"Mikolas","given":"Pavol"},{"family":"Bröckel","given":"Kyra"},{"family":"Vogelbacher","given":"Christoph"},{"family":"Müller","given":"Dirk K."},{"family":"Marxen","given":"Michael"},{"family":"Berndt","given":"Christina"},{"family":"Sauer","given":"Cathrin"},{"family":"Jung","given":"Stine"},{"family":"Fröhner","given":"Juliane Hilde"},{"family":"Fallgatter","given":"Andreas J."},{"family":"Ethofer","given":"Thomas"},{"family":"Rau","given":"Anne"},{"family":"Kircher","given":"Tilo"},{"family":"Falkenberg","given":"Irina"},{"family":"Lambert","given":"Martin"},{"family":"Kraft","given":"Vivien"},{"family":"Leopold","given":"Karolina"},{"family":"Bechdolf","given":"Andreas"},{"family":"Reif","given":"Andreas"},{"family":"Matura","given":"Silke"},{"family":"Stamm","given":"Thomas"},{"family":"Bermpohl","given":"Felix"},{"family":"Fiebig","given":"Jana"},{"family":"Juckel","given":"Georg"},{"family":"Flasbeck","given":"Vera"},{"family":"Correll","given":"Christoph U."},{"family":"Ritter","given":"Philipp"},{"family":"Bauer","given":"Michael"},{"family":"Jansen","given":"Andreas"},{"family":"Pfennig","given":"Andrea"}],"issued":{"date-parts":[["2021",12]]}}}],"schema":"https://github.com/citation-style-language/schema/raw/master/csl-citation.json"} </w:instrText>
      </w:r>
      <w:r w:rsidRPr="00FC47D8">
        <w:rPr>
          <w:rFonts w:ascii="Times New Roman" w:hAnsi="Times New Roman" w:cs="Times New Roman"/>
          <w:sz w:val="24"/>
          <w:szCs w:val="24"/>
          <w:lang w:val="en-US"/>
        </w:rPr>
        <w:fldChar w:fldCharType="separate"/>
      </w:r>
      <w:r w:rsidR="00BC08FD" w:rsidRPr="00BC08FD">
        <w:rPr>
          <w:rFonts w:ascii="Times New Roman" w:hAnsi="Times New Roman" w:cs="Times New Roman"/>
          <w:sz w:val="24"/>
          <w:szCs w:val="24"/>
        </w:rPr>
        <w:t xml:space="preserve">Mikolas </w:t>
      </w:r>
      <w:r w:rsidR="00BC08FD" w:rsidRPr="005D60B9">
        <w:rPr>
          <w:rFonts w:ascii="Times New Roman" w:hAnsi="Times New Roman" w:cs="Times New Roman"/>
          <w:iCs/>
          <w:sz w:val="24"/>
          <w:szCs w:val="24"/>
        </w:rPr>
        <w:t>et al.</w:t>
      </w:r>
      <w:r w:rsidR="00BC08FD" w:rsidRPr="00BC08FD">
        <w:rPr>
          <w:rFonts w:ascii="Times New Roman" w:hAnsi="Times New Roman" w:cs="Times New Roman"/>
          <w:sz w:val="24"/>
          <w:szCs w:val="24"/>
        </w:rPr>
        <w:t xml:space="preserve"> </w:t>
      </w:r>
      <w:r w:rsidR="00BC08FD">
        <w:rPr>
          <w:rFonts w:ascii="Times New Roman" w:hAnsi="Times New Roman" w:cs="Times New Roman"/>
          <w:sz w:val="24"/>
          <w:szCs w:val="24"/>
        </w:rPr>
        <w:t>(</w:t>
      </w:r>
      <w:r w:rsidR="00BC08FD" w:rsidRPr="00BC08FD">
        <w:rPr>
          <w:rFonts w:ascii="Times New Roman" w:hAnsi="Times New Roman" w:cs="Times New Roman"/>
          <w:sz w:val="24"/>
          <w:szCs w:val="24"/>
        </w:rPr>
        <w:t>2021)</w:t>
      </w:r>
      <w:r w:rsidRPr="00FC47D8">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Pr="00FC47D8">
        <w:rPr>
          <w:rFonts w:ascii="Times New Roman" w:hAnsi="Times New Roman" w:cs="Times New Roman"/>
          <w:sz w:val="24"/>
          <w:szCs w:val="24"/>
          <w:lang w:val="en-US"/>
        </w:rPr>
        <w:t xml:space="preserve">. </w:t>
      </w:r>
    </w:p>
    <w:p w:rsidR="001E76B5" w:rsidRPr="00FC47D8" w:rsidRDefault="001E76B5" w:rsidP="001E76B5">
      <w:pPr>
        <w:spacing w:after="0"/>
        <w:rPr>
          <w:rFonts w:ascii="Times New Roman" w:hAnsi="Times New Roman" w:cs="Times New Roman"/>
          <w:sz w:val="24"/>
          <w:szCs w:val="24"/>
          <w:lang w:val="en-US"/>
        </w:rPr>
      </w:pPr>
    </w:p>
    <w:tbl>
      <w:tblPr>
        <w:tblStyle w:val="Tabellenraster"/>
        <w:tblW w:w="0" w:type="auto"/>
        <w:tblLook w:val="04A0" w:firstRow="1" w:lastRow="0" w:firstColumn="1" w:lastColumn="0" w:noHBand="0" w:noVBand="1"/>
      </w:tblPr>
      <w:tblGrid>
        <w:gridCol w:w="1829"/>
        <w:gridCol w:w="2065"/>
        <w:gridCol w:w="1424"/>
        <w:gridCol w:w="1879"/>
        <w:gridCol w:w="1865"/>
      </w:tblGrid>
      <w:tr w:rsidR="001E76B5" w:rsidRPr="00FC47D8" w:rsidTr="000E65A7">
        <w:tc>
          <w:tcPr>
            <w:tcW w:w="1829" w:type="dxa"/>
          </w:tcPr>
          <w:p w:rsidR="001E76B5" w:rsidRPr="00FC47D8" w:rsidRDefault="001E76B5" w:rsidP="000E65A7">
            <w:pPr>
              <w:spacing w:line="259" w:lineRule="auto"/>
              <w:rPr>
                <w:rFonts w:ascii="Times New Roman" w:hAnsi="Times New Roman" w:cs="Times New Roman"/>
                <w:b/>
                <w:lang w:val="en-US"/>
              </w:rPr>
            </w:pPr>
            <w:r w:rsidRPr="00FC47D8">
              <w:rPr>
                <w:rFonts w:ascii="Times New Roman" w:hAnsi="Times New Roman" w:cs="Times New Roman"/>
                <w:b/>
                <w:lang w:val="en-US"/>
              </w:rPr>
              <w:t>Instrument (N)</w:t>
            </w:r>
          </w:p>
        </w:tc>
        <w:tc>
          <w:tcPr>
            <w:tcW w:w="2065" w:type="dxa"/>
          </w:tcPr>
          <w:p w:rsidR="001E76B5" w:rsidRPr="00FC47D8" w:rsidRDefault="001E76B5" w:rsidP="000E65A7">
            <w:pPr>
              <w:spacing w:line="259" w:lineRule="auto"/>
              <w:rPr>
                <w:rFonts w:ascii="Times New Roman" w:hAnsi="Times New Roman" w:cs="Times New Roman"/>
                <w:b/>
                <w:lang w:val="en-US"/>
              </w:rPr>
            </w:pPr>
            <w:r w:rsidRPr="00FC47D8">
              <w:rPr>
                <w:rFonts w:ascii="Times New Roman" w:hAnsi="Times New Roman" w:cs="Times New Roman"/>
                <w:b/>
                <w:lang w:val="en-US"/>
              </w:rPr>
              <w:t>Risk states</w:t>
            </w:r>
          </w:p>
        </w:tc>
        <w:tc>
          <w:tcPr>
            <w:tcW w:w="1424" w:type="dxa"/>
          </w:tcPr>
          <w:p w:rsidR="001E76B5" w:rsidRPr="00FC47D8" w:rsidRDefault="001E76B5" w:rsidP="000E65A7">
            <w:pPr>
              <w:spacing w:line="259" w:lineRule="auto"/>
              <w:rPr>
                <w:rFonts w:ascii="Times New Roman" w:hAnsi="Times New Roman" w:cs="Times New Roman"/>
                <w:b/>
                <w:lang w:val="en-US"/>
              </w:rPr>
            </w:pPr>
            <w:r w:rsidRPr="00FC47D8">
              <w:rPr>
                <w:rFonts w:ascii="Times New Roman" w:hAnsi="Times New Roman" w:cs="Times New Roman"/>
                <w:b/>
                <w:lang w:val="en-US"/>
              </w:rPr>
              <w:t>N (% Sample)</w:t>
            </w:r>
          </w:p>
        </w:tc>
        <w:tc>
          <w:tcPr>
            <w:tcW w:w="1879" w:type="dxa"/>
          </w:tcPr>
          <w:p w:rsidR="001E76B5" w:rsidRPr="00FC47D8" w:rsidRDefault="001E76B5" w:rsidP="000E65A7">
            <w:pPr>
              <w:spacing w:line="259" w:lineRule="auto"/>
              <w:rPr>
                <w:rFonts w:ascii="Times New Roman" w:hAnsi="Times New Roman" w:cs="Times New Roman"/>
                <w:b/>
                <w:lang w:val="en-US"/>
              </w:rPr>
            </w:pPr>
            <w:r w:rsidRPr="00FC47D8">
              <w:rPr>
                <w:rFonts w:ascii="Times New Roman" w:hAnsi="Times New Roman" w:cs="Times New Roman"/>
                <w:b/>
                <w:lang w:val="en-US"/>
              </w:rPr>
              <w:t>Validation</w:t>
            </w:r>
          </w:p>
        </w:tc>
        <w:tc>
          <w:tcPr>
            <w:tcW w:w="1865" w:type="dxa"/>
          </w:tcPr>
          <w:p w:rsidR="001E76B5" w:rsidRPr="00FC47D8" w:rsidRDefault="001E76B5" w:rsidP="000E65A7">
            <w:pPr>
              <w:spacing w:line="259" w:lineRule="auto"/>
              <w:rPr>
                <w:rFonts w:ascii="Times New Roman" w:hAnsi="Times New Roman" w:cs="Times New Roman"/>
                <w:b/>
                <w:lang w:val="en-US"/>
              </w:rPr>
            </w:pPr>
            <w:r w:rsidRPr="00FC47D8">
              <w:rPr>
                <w:rFonts w:ascii="Times New Roman" w:hAnsi="Times New Roman" w:cs="Times New Roman"/>
                <w:b/>
                <w:lang w:val="en-US"/>
              </w:rPr>
              <w:t>Note</w:t>
            </w:r>
          </w:p>
        </w:tc>
      </w:tr>
      <w:tr w:rsidR="001E76B5" w:rsidRPr="00FB7E28" w:rsidTr="000E65A7">
        <w:trPr>
          <w:trHeight w:val="185"/>
        </w:trPr>
        <w:tc>
          <w:tcPr>
            <w:tcW w:w="1829" w:type="dxa"/>
            <w:vMerge w:val="restart"/>
          </w:tcPr>
          <w:p w:rsidR="001E76B5" w:rsidRPr="00FC47D8" w:rsidRDefault="001E76B5" w:rsidP="000E65A7">
            <w:pPr>
              <w:spacing w:line="259" w:lineRule="auto"/>
              <w:rPr>
                <w:rFonts w:ascii="Times New Roman" w:hAnsi="Times New Roman" w:cs="Times New Roman"/>
                <w:lang w:val="en-US"/>
              </w:rPr>
            </w:pPr>
            <w:r w:rsidRPr="00FC47D8">
              <w:rPr>
                <w:rFonts w:ascii="Times New Roman" w:hAnsi="Times New Roman" w:cs="Times New Roman"/>
                <w:lang w:val="en-US"/>
              </w:rPr>
              <w:t>BPSS-P (</w:t>
            </w:r>
            <w:r>
              <w:rPr>
                <w:rFonts w:ascii="Times New Roman" w:hAnsi="Times New Roman" w:cs="Times New Roman"/>
                <w:lang w:val="en-US"/>
              </w:rPr>
              <w:t>276</w:t>
            </w:r>
            <w:r w:rsidRPr="00FC47D8">
              <w:rPr>
                <w:rFonts w:ascii="Times New Roman" w:hAnsi="Times New Roman" w:cs="Times New Roman"/>
                <w:lang w:val="en-US"/>
              </w:rPr>
              <w:t>)</w:t>
            </w:r>
          </w:p>
        </w:tc>
        <w:tc>
          <w:tcPr>
            <w:tcW w:w="2065" w:type="dxa"/>
          </w:tcPr>
          <w:p w:rsidR="001E76B5" w:rsidRPr="00FC47D8" w:rsidRDefault="001E76B5" w:rsidP="000E65A7">
            <w:pPr>
              <w:spacing w:line="259" w:lineRule="auto"/>
              <w:rPr>
                <w:rFonts w:ascii="Times New Roman" w:hAnsi="Times New Roman" w:cs="Times New Roman"/>
                <w:lang w:val="en-US"/>
              </w:rPr>
            </w:pPr>
            <w:r w:rsidRPr="00FC47D8">
              <w:rPr>
                <w:rFonts w:ascii="Times New Roman" w:hAnsi="Times New Roman" w:cs="Times New Roman"/>
                <w:lang w:val="en-US"/>
              </w:rPr>
              <w:t>Attenuated mania symptom syndrome (AMSS)</w:t>
            </w:r>
          </w:p>
        </w:tc>
        <w:tc>
          <w:tcPr>
            <w:tcW w:w="1424" w:type="dxa"/>
          </w:tcPr>
          <w:p w:rsidR="001E76B5" w:rsidRPr="00FC47D8" w:rsidRDefault="001E76B5" w:rsidP="000E65A7">
            <w:pPr>
              <w:spacing w:line="259" w:lineRule="auto"/>
              <w:rPr>
                <w:rFonts w:ascii="Times New Roman" w:hAnsi="Times New Roman" w:cs="Times New Roman"/>
                <w:lang w:val="en-US"/>
              </w:rPr>
            </w:pPr>
            <w:r>
              <w:rPr>
                <w:rFonts w:ascii="Times New Roman" w:hAnsi="Times New Roman" w:cs="Times New Roman"/>
                <w:lang w:val="en-US"/>
              </w:rPr>
              <w:t>54 (19.6)</w:t>
            </w:r>
          </w:p>
        </w:tc>
        <w:tc>
          <w:tcPr>
            <w:tcW w:w="1879" w:type="dxa"/>
            <w:vMerge w:val="restart"/>
          </w:tcPr>
          <w:p w:rsidR="001E76B5" w:rsidRPr="00FC47D8" w:rsidRDefault="001E76B5" w:rsidP="000E65A7">
            <w:pPr>
              <w:spacing w:line="259" w:lineRule="auto"/>
              <w:rPr>
                <w:rFonts w:ascii="Times New Roman" w:hAnsi="Times New Roman" w:cs="Times New Roman"/>
                <w:lang w:val="en-US"/>
              </w:rPr>
            </w:pPr>
            <w:r w:rsidRPr="00FC47D8">
              <w:rPr>
                <w:rFonts w:ascii="Times New Roman" w:hAnsi="Times New Roman" w:cs="Times New Roman"/>
                <w:lang w:val="en-US"/>
              </w:rPr>
              <w:t>Good internal consistency, convergent validity and inter-rater reliability</w:t>
            </w:r>
            <w:r w:rsidR="00BC08FD">
              <w:rPr>
                <w:rFonts w:ascii="Times New Roman" w:hAnsi="Times New Roman" w:cs="Times New Roman"/>
                <w:lang w:val="en-US"/>
              </w:rPr>
              <w:t xml:space="preserve"> </w:t>
            </w:r>
            <w:r w:rsidRPr="00FC47D8">
              <w:rPr>
                <w:rFonts w:ascii="Times New Roman" w:hAnsi="Times New Roman" w:cs="Times New Roman"/>
                <w:lang w:val="en-US"/>
              </w:rPr>
              <w:fldChar w:fldCharType="begin"/>
            </w:r>
            <w:r w:rsidR="00BC08FD">
              <w:rPr>
                <w:rFonts w:ascii="Times New Roman" w:hAnsi="Times New Roman" w:cs="Times New Roman"/>
                <w:lang w:val="en-US"/>
              </w:rPr>
              <w:instrText xml:space="preserve"> ADDIN ZOTERO_ITEM CSL_CITATION {"citationID":"PGPHDcDQ","properties":{"formattedCitation":"(Correll {\\i{}et al.}, 2014)","plainCitation":"(Correll et al., 2014)","noteIndex":0},"citationItems":[{"id":237,"uris":["http://zotero.org/users/6467620/items/5X4ZUREE"],"itemData":{"id":237,"type":"article-journal","container-title":"Bipolar Disorders","DOI":"10.1111/bdi.12209","ISSN":"13985647","issue":"5","journalAbbreviation":"Bipolar Disord","language":"en","page":"505-522","source":"DOI.org (Crossref)","title":"The Bipolar Prodrome Symptom Interview and Scale-Prospective (BPSS-P): description and validation in a psychiatric sample and healthy controls","title-short":"The Bipolar Prodrome Symptom Interview and Scale-Prospective (BPSS-P)","volume":"16","author":[{"family":"Correll","given":"Christoph U"},{"family":"Olvet","given":"Doreen M"},{"family":"Auther","given":"Andrea M"},{"family":"Hauser","given":"Marta"},{"family":"Kishimoto","given":"Taishiro"},{"family":"Carrión","given":"Ricardo E"},{"family":"Snyder","given":"Stephanie"},{"family":"Cornblatt","given":"Barbara A"}],"issued":{"date-parts":[["2014",8]]}}}],"schema":"https://github.com/citation-style-language/schema/raw/master/csl-citation.json"} </w:instrText>
            </w:r>
            <w:r w:rsidRPr="00FC47D8">
              <w:rPr>
                <w:rFonts w:ascii="Times New Roman" w:hAnsi="Times New Roman" w:cs="Times New Roman"/>
                <w:lang w:val="en-US"/>
              </w:rPr>
              <w:fldChar w:fldCharType="separate"/>
            </w:r>
            <w:r w:rsidR="00BC08FD" w:rsidRPr="00BC08FD">
              <w:rPr>
                <w:rFonts w:ascii="Times New Roman" w:hAnsi="Times New Roman" w:cs="Times New Roman"/>
                <w:szCs w:val="24"/>
                <w:lang w:val="en-US"/>
              </w:rPr>
              <w:t xml:space="preserve">(Correll </w:t>
            </w:r>
            <w:r w:rsidR="00BC08FD" w:rsidRPr="00BC08FD">
              <w:rPr>
                <w:rFonts w:ascii="Times New Roman" w:hAnsi="Times New Roman" w:cs="Times New Roman"/>
                <w:i/>
                <w:iCs/>
                <w:szCs w:val="24"/>
                <w:lang w:val="en-US"/>
              </w:rPr>
              <w:t>et al.</w:t>
            </w:r>
            <w:r w:rsidR="00BC08FD" w:rsidRPr="00BC08FD">
              <w:rPr>
                <w:rFonts w:ascii="Times New Roman" w:hAnsi="Times New Roman" w:cs="Times New Roman"/>
                <w:szCs w:val="24"/>
                <w:lang w:val="en-US"/>
              </w:rPr>
              <w:t>, 2014)</w:t>
            </w:r>
            <w:r w:rsidRPr="00FC47D8">
              <w:rPr>
                <w:rFonts w:ascii="Times New Roman" w:hAnsi="Times New Roman" w:cs="Times New Roman"/>
                <w:lang w:val="en-US"/>
              </w:rPr>
              <w:fldChar w:fldCharType="end"/>
            </w:r>
          </w:p>
          <w:p w:rsidR="001E76B5" w:rsidRPr="00FC47D8" w:rsidRDefault="001E76B5" w:rsidP="000E65A7">
            <w:pPr>
              <w:spacing w:line="259" w:lineRule="auto"/>
              <w:rPr>
                <w:rFonts w:ascii="Times New Roman" w:hAnsi="Times New Roman" w:cs="Times New Roman"/>
                <w:lang w:val="en-US"/>
              </w:rPr>
            </w:pPr>
          </w:p>
          <w:p w:rsidR="001E76B5" w:rsidRPr="00FC47D8" w:rsidRDefault="001E76B5" w:rsidP="000E65A7">
            <w:pPr>
              <w:spacing w:line="259" w:lineRule="auto"/>
              <w:rPr>
                <w:rFonts w:ascii="Times New Roman" w:hAnsi="Times New Roman" w:cs="Times New Roman"/>
                <w:lang w:val="en-US"/>
              </w:rPr>
            </w:pPr>
          </w:p>
        </w:tc>
        <w:tc>
          <w:tcPr>
            <w:tcW w:w="1865" w:type="dxa"/>
            <w:vMerge w:val="restart"/>
          </w:tcPr>
          <w:p w:rsidR="001E76B5" w:rsidRPr="00FC47D8" w:rsidRDefault="001E76B5" w:rsidP="00BC08FD">
            <w:pPr>
              <w:spacing w:line="259" w:lineRule="auto"/>
              <w:rPr>
                <w:rFonts w:ascii="Times New Roman" w:hAnsi="Times New Roman" w:cs="Times New Roman"/>
                <w:lang w:val="en-US"/>
              </w:rPr>
            </w:pPr>
            <w:r w:rsidRPr="00FC47D8">
              <w:rPr>
                <w:rFonts w:ascii="Times New Roman" w:hAnsi="Times New Roman" w:cs="Times New Roman"/>
                <w:lang w:val="en-US"/>
              </w:rPr>
              <w:t>Semi-structured interview based on the DSM-5 criteria for bipolar disorder and major depressive disorder</w:t>
            </w:r>
            <w:r w:rsidR="00BC08FD">
              <w:rPr>
                <w:rFonts w:ascii="Times New Roman" w:hAnsi="Times New Roman" w:cs="Times New Roman"/>
                <w:lang w:val="en-US"/>
              </w:rPr>
              <w:t xml:space="preserve"> </w:t>
            </w:r>
            <w:r w:rsidRPr="00FC47D8">
              <w:rPr>
                <w:rFonts w:ascii="Times New Roman" w:hAnsi="Times New Roman" w:cs="Times New Roman"/>
                <w:lang w:val="en-US"/>
              </w:rPr>
              <w:fldChar w:fldCharType="begin"/>
            </w:r>
            <w:r w:rsidR="00BC08FD">
              <w:rPr>
                <w:rFonts w:ascii="Times New Roman" w:hAnsi="Times New Roman" w:cs="Times New Roman"/>
                <w:lang w:val="en-US"/>
              </w:rPr>
              <w:instrText xml:space="preserve"> ADDIN ZOTERO_ITEM CSL_CITATION {"citationID":"tfB6DiAh","properties":{"formattedCitation":"(Correll {\\i{}et al.}, 2014)","plainCitation":"(Correll et al., 2014)","noteIndex":0},"citationItems":[{"id":237,"uris":["http://zotero.org/users/6467620/items/5X4ZUREE"],"itemData":{"id":237,"type":"article-journal","container-title":"Bipolar Disorders","DOI":"10.1111/bdi.12209","ISSN":"13985647","issue":"5","journalAbbreviation":"Bipolar Disord","language":"en","page":"505-522","source":"DOI.org (Crossref)","title":"The Bipolar Prodrome Symptom Interview and Scale-Prospective (BPSS-P): description and validation in a psychiatric sample and healthy controls","title-short":"The Bipolar Prodrome Symptom Interview and Scale-Prospective (BPSS-P)","volume":"16","author":[{"family":"Correll","given":"Christoph U"},{"family":"Olvet","given":"Doreen M"},{"family":"Auther","given":"Andrea M"},{"family":"Hauser","given":"Marta"},{"family":"Kishimoto","given":"Taishiro"},{"family":"Carrión","given":"Ricardo E"},{"family":"Snyder","given":"Stephanie"},{"family":"Cornblatt","given":"Barbara A"}],"issued":{"date-parts":[["2014",8]]}}}],"schema":"https://github.com/citation-style-language/schema/raw/master/csl-citation.json"} </w:instrText>
            </w:r>
            <w:r w:rsidRPr="00FC47D8">
              <w:rPr>
                <w:rFonts w:ascii="Times New Roman" w:hAnsi="Times New Roman" w:cs="Times New Roman"/>
                <w:lang w:val="en-US"/>
              </w:rPr>
              <w:fldChar w:fldCharType="separate"/>
            </w:r>
            <w:r w:rsidR="00BC08FD" w:rsidRPr="00BC08FD">
              <w:rPr>
                <w:rFonts w:ascii="Times New Roman" w:hAnsi="Times New Roman" w:cs="Times New Roman"/>
                <w:szCs w:val="24"/>
                <w:lang w:val="en-US"/>
              </w:rPr>
              <w:t xml:space="preserve">(Correll </w:t>
            </w:r>
            <w:r w:rsidR="00BC08FD" w:rsidRPr="00BC08FD">
              <w:rPr>
                <w:rFonts w:ascii="Times New Roman" w:hAnsi="Times New Roman" w:cs="Times New Roman"/>
                <w:i/>
                <w:iCs/>
                <w:szCs w:val="24"/>
                <w:lang w:val="en-US"/>
              </w:rPr>
              <w:t>et al.</w:t>
            </w:r>
            <w:r w:rsidR="00BC08FD" w:rsidRPr="00BC08FD">
              <w:rPr>
                <w:rFonts w:ascii="Times New Roman" w:hAnsi="Times New Roman" w:cs="Times New Roman"/>
                <w:szCs w:val="24"/>
                <w:lang w:val="en-US"/>
              </w:rPr>
              <w:t>, 2014)</w:t>
            </w:r>
            <w:r w:rsidRPr="00FC47D8">
              <w:rPr>
                <w:rFonts w:ascii="Times New Roman" w:hAnsi="Times New Roman" w:cs="Times New Roman"/>
                <w:lang w:val="en-US"/>
              </w:rPr>
              <w:fldChar w:fldCharType="end"/>
            </w:r>
          </w:p>
        </w:tc>
      </w:tr>
      <w:tr w:rsidR="001E76B5" w:rsidRPr="00E8614A" w:rsidTr="000E65A7">
        <w:trPr>
          <w:trHeight w:val="185"/>
        </w:trPr>
        <w:tc>
          <w:tcPr>
            <w:tcW w:w="1829" w:type="dxa"/>
            <w:vMerge/>
          </w:tcPr>
          <w:p w:rsidR="001E76B5" w:rsidRPr="00FC47D8" w:rsidRDefault="001E76B5" w:rsidP="000E65A7">
            <w:pPr>
              <w:spacing w:line="259" w:lineRule="auto"/>
              <w:rPr>
                <w:rFonts w:ascii="Times New Roman" w:hAnsi="Times New Roman" w:cs="Times New Roman"/>
                <w:lang w:val="en-US"/>
              </w:rPr>
            </w:pPr>
          </w:p>
        </w:tc>
        <w:tc>
          <w:tcPr>
            <w:tcW w:w="2065" w:type="dxa"/>
          </w:tcPr>
          <w:p w:rsidR="001E76B5" w:rsidRPr="00FC47D8" w:rsidRDefault="001E76B5" w:rsidP="000E65A7">
            <w:pPr>
              <w:spacing w:line="259" w:lineRule="auto"/>
              <w:rPr>
                <w:rFonts w:ascii="Times New Roman" w:hAnsi="Times New Roman" w:cs="Times New Roman"/>
                <w:lang w:val="en-US"/>
              </w:rPr>
            </w:pPr>
            <w:r w:rsidRPr="00FC47D8">
              <w:rPr>
                <w:rFonts w:ascii="Times New Roman" w:hAnsi="Times New Roman" w:cs="Times New Roman"/>
                <w:lang w:val="en-US"/>
              </w:rPr>
              <w:t>Genetic mania risk and deterioration syndrome (GMRDS)</w:t>
            </w:r>
          </w:p>
        </w:tc>
        <w:tc>
          <w:tcPr>
            <w:tcW w:w="1424" w:type="dxa"/>
          </w:tcPr>
          <w:p w:rsidR="001E76B5" w:rsidRPr="00FC47D8" w:rsidRDefault="001E76B5" w:rsidP="000E65A7">
            <w:pPr>
              <w:spacing w:line="259" w:lineRule="auto"/>
              <w:rPr>
                <w:rFonts w:ascii="Times New Roman" w:hAnsi="Times New Roman" w:cs="Times New Roman"/>
                <w:lang w:val="en-US"/>
              </w:rPr>
            </w:pPr>
            <w:r>
              <w:rPr>
                <w:rFonts w:ascii="Times New Roman" w:hAnsi="Times New Roman" w:cs="Times New Roman"/>
                <w:lang w:val="en-US"/>
              </w:rPr>
              <w:t>2 (0.7)</w:t>
            </w:r>
          </w:p>
        </w:tc>
        <w:tc>
          <w:tcPr>
            <w:tcW w:w="1879" w:type="dxa"/>
            <w:vMerge/>
          </w:tcPr>
          <w:p w:rsidR="001E76B5" w:rsidRPr="00FC47D8" w:rsidRDefault="001E76B5" w:rsidP="000E65A7">
            <w:pPr>
              <w:spacing w:line="259" w:lineRule="auto"/>
              <w:rPr>
                <w:rFonts w:ascii="Times New Roman" w:hAnsi="Times New Roman" w:cs="Times New Roman"/>
                <w:lang w:val="en-US"/>
              </w:rPr>
            </w:pPr>
          </w:p>
        </w:tc>
        <w:tc>
          <w:tcPr>
            <w:tcW w:w="1865" w:type="dxa"/>
            <w:vMerge/>
          </w:tcPr>
          <w:p w:rsidR="001E76B5" w:rsidRPr="00FC47D8" w:rsidRDefault="001E76B5" w:rsidP="000E65A7">
            <w:pPr>
              <w:spacing w:line="259" w:lineRule="auto"/>
              <w:rPr>
                <w:rFonts w:ascii="Times New Roman" w:hAnsi="Times New Roman" w:cs="Times New Roman"/>
                <w:lang w:val="en-US"/>
              </w:rPr>
            </w:pPr>
          </w:p>
        </w:tc>
      </w:tr>
      <w:tr w:rsidR="001E76B5" w:rsidRPr="00FB7E28" w:rsidTr="000E65A7">
        <w:trPr>
          <w:trHeight w:val="122"/>
        </w:trPr>
        <w:tc>
          <w:tcPr>
            <w:tcW w:w="1829" w:type="dxa"/>
            <w:vMerge w:val="restart"/>
          </w:tcPr>
          <w:p w:rsidR="001E76B5" w:rsidRPr="00FC47D8" w:rsidRDefault="001E76B5" w:rsidP="000E65A7">
            <w:pPr>
              <w:spacing w:line="259" w:lineRule="auto"/>
              <w:rPr>
                <w:rFonts w:ascii="Times New Roman" w:hAnsi="Times New Roman" w:cs="Times New Roman"/>
                <w:lang w:val="en-US"/>
              </w:rPr>
            </w:pPr>
            <w:r w:rsidRPr="00FC47D8">
              <w:rPr>
                <w:rFonts w:ascii="Times New Roman" w:hAnsi="Times New Roman" w:cs="Times New Roman"/>
                <w:lang w:val="en-US"/>
              </w:rPr>
              <w:t>BARS (</w:t>
            </w:r>
            <w:r>
              <w:rPr>
                <w:rFonts w:ascii="Times New Roman" w:hAnsi="Times New Roman" w:cs="Times New Roman"/>
                <w:lang w:val="en-US"/>
              </w:rPr>
              <w:t>264</w:t>
            </w:r>
            <w:r w:rsidRPr="00FC47D8">
              <w:rPr>
                <w:rFonts w:ascii="Times New Roman" w:hAnsi="Times New Roman" w:cs="Times New Roman"/>
                <w:lang w:val="en-US"/>
              </w:rPr>
              <w:t>)</w:t>
            </w:r>
          </w:p>
        </w:tc>
        <w:tc>
          <w:tcPr>
            <w:tcW w:w="2065" w:type="dxa"/>
          </w:tcPr>
          <w:p w:rsidR="001E76B5" w:rsidRPr="00FC47D8" w:rsidRDefault="001E76B5" w:rsidP="000E65A7">
            <w:pPr>
              <w:spacing w:line="259" w:lineRule="auto"/>
              <w:rPr>
                <w:rFonts w:ascii="Times New Roman" w:hAnsi="Times New Roman" w:cs="Times New Roman"/>
                <w:lang w:val="en-US"/>
              </w:rPr>
            </w:pPr>
            <w:r w:rsidRPr="00FC47D8">
              <w:rPr>
                <w:rFonts w:ascii="Times New Roman" w:hAnsi="Times New Roman" w:cs="Times New Roman"/>
                <w:lang w:val="en-US"/>
              </w:rPr>
              <w:t>Sub-threshold mania, assessed by BPSS-P</w:t>
            </w:r>
          </w:p>
        </w:tc>
        <w:tc>
          <w:tcPr>
            <w:tcW w:w="1424" w:type="dxa"/>
          </w:tcPr>
          <w:p w:rsidR="001E76B5" w:rsidRPr="00FC47D8" w:rsidRDefault="001E76B5" w:rsidP="000E65A7">
            <w:pPr>
              <w:spacing w:line="259" w:lineRule="auto"/>
              <w:rPr>
                <w:rFonts w:ascii="Times New Roman" w:hAnsi="Times New Roman" w:cs="Times New Roman"/>
                <w:lang w:val="en-US"/>
              </w:rPr>
            </w:pPr>
            <w:r>
              <w:rPr>
                <w:rFonts w:ascii="Times New Roman" w:hAnsi="Times New Roman" w:cs="Times New Roman"/>
                <w:lang w:val="en-US"/>
              </w:rPr>
              <w:t>26 (9.8)</w:t>
            </w:r>
          </w:p>
        </w:tc>
        <w:tc>
          <w:tcPr>
            <w:tcW w:w="1879" w:type="dxa"/>
            <w:vMerge w:val="restart"/>
          </w:tcPr>
          <w:p w:rsidR="001E76B5" w:rsidRPr="00FC47D8" w:rsidRDefault="001E76B5" w:rsidP="00BC08FD">
            <w:pPr>
              <w:spacing w:line="259" w:lineRule="auto"/>
              <w:rPr>
                <w:rFonts w:ascii="Times New Roman" w:hAnsi="Times New Roman" w:cs="Times New Roman"/>
                <w:lang w:val="en-US"/>
              </w:rPr>
            </w:pPr>
            <w:bookmarkStart w:id="3" w:name="_Hlk123744986"/>
            <w:r w:rsidRPr="00FC47D8">
              <w:rPr>
                <w:rFonts w:ascii="Times New Roman" w:hAnsi="Times New Roman" w:cs="Times New Roman"/>
                <w:lang w:val="en-US"/>
              </w:rPr>
              <w:t xml:space="preserve">BARS criteria had an adequate prognostic accuracy </w:t>
            </w:r>
            <w:bookmarkEnd w:id="3"/>
            <w:r w:rsidRPr="00FC47D8">
              <w:rPr>
                <w:rFonts w:ascii="Times New Roman" w:hAnsi="Times New Roman" w:cs="Times New Roman"/>
                <w:lang w:val="en-US"/>
              </w:rPr>
              <w:t>(Harrell's C = 0.742) and clinical utility</w:t>
            </w:r>
            <w:r w:rsidR="00BC08FD">
              <w:rPr>
                <w:rFonts w:ascii="Times New Roman" w:hAnsi="Times New Roman" w:cs="Times New Roman"/>
                <w:lang w:val="en-US"/>
              </w:rPr>
              <w:t xml:space="preserve"> </w:t>
            </w:r>
            <w:r w:rsidRPr="00FC47D8">
              <w:rPr>
                <w:rFonts w:ascii="Times New Roman" w:hAnsi="Times New Roman" w:cs="Times New Roman"/>
                <w:lang w:val="en-US"/>
              </w:rPr>
              <w:fldChar w:fldCharType="begin"/>
            </w:r>
            <w:r w:rsidR="00BC08FD">
              <w:rPr>
                <w:rFonts w:ascii="Times New Roman" w:hAnsi="Times New Roman" w:cs="Times New Roman"/>
                <w:lang w:val="en-US"/>
              </w:rPr>
              <w:instrText xml:space="preserve"> ADDIN ZOTERO_ITEM CSL_CITATION {"citationID":"3xB2Hdg3","properties":{"formattedCitation":"(Fusar-Poli {\\i{}et al.}, 2018)","plainCitation":"(Fusar-Poli et al., 2018)","noteIndex":0},"citationItems":[{"id":190,"uris":["http://zotero.org/users/6467620/items/FR5U58SG"],"itemData":{"id":190,"type":"article-journal","container-title":"Psychiatry Research","DOI":"10.1016/j.psychres.2018.03.074","ISSN":"01651781","journalAbbreviation":"Psychiatry Research","language":"en","page":"302-309","source":"DOI.org (Crossref)","title":"Semistructured Interview for Bipolar At Risk States (SIBARS)","volume":"264","author":[{"family":"Fusar-Poli","given":"Paolo"},{"family":"De Micheli","given":"Andrea"},{"family":"Rocchetti","given":"Matteo"},{"family":"Cappucciati","given":"Marco"},{"family":"Ramella-Cravaro","given":"Valentina"},{"family":"Rutigliano","given":"Grazia"},{"family":"Bonoldi","given":"Ilaria"},{"family":"McGuire","given":"Philip"},{"family":"Falkenberg","given":"Irina"}],"issued":{"date-parts":[["2018",6]]}}}],"schema":"https://github.com/citation-style-language/schema/raw/master/csl-citation.json"} </w:instrText>
            </w:r>
            <w:r w:rsidRPr="00FC47D8">
              <w:rPr>
                <w:rFonts w:ascii="Times New Roman" w:hAnsi="Times New Roman" w:cs="Times New Roman"/>
                <w:lang w:val="en-US"/>
              </w:rPr>
              <w:fldChar w:fldCharType="separate"/>
            </w:r>
            <w:r w:rsidR="00BC08FD" w:rsidRPr="00BC08FD">
              <w:rPr>
                <w:rFonts w:ascii="Times New Roman" w:hAnsi="Times New Roman" w:cs="Times New Roman"/>
                <w:szCs w:val="24"/>
                <w:lang w:val="en-US"/>
              </w:rPr>
              <w:t xml:space="preserve">(Fusar-Poli </w:t>
            </w:r>
            <w:r w:rsidR="00BC08FD" w:rsidRPr="00BC08FD">
              <w:rPr>
                <w:rFonts w:ascii="Times New Roman" w:hAnsi="Times New Roman" w:cs="Times New Roman"/>
                <w:i/>
                <w:iCs/>
                <w:szCs w:val="24"/>
                <w:lang w:val="en-US"/>
              </w:rPr>
              <w:t>et al.</w:t>
            </w:r>
            <w:r w:rsidR="00BC08FD" w:rsidRPr="00BC08FD">
              <w:rPr>
                <w:rFonts w:ascii="Times New Roman" w:hAnsi="Times New Roman" w:cs="Times New Roman"/>
                <w:szCs w:val="24"/>
                <w:lang w:val="en-US"/>
              </w:rPr>
              <w:t>, 2018)</w:t>
            </w:r>
            <w:r w:rsidRPr="00FC47D8">
              <w:rPr>
                <w:rFonts w:ascii="Times New Roman" w:hAnsi="Times New Roman" w:cs="Times New Roman"/>
                <w:lang w:val="en-US"/>
              </w:rPr>
              <w:fldChar w:fldCharType="end"/>
            </w:r>
          </w:p>
        </w:tc>
        <w:tc>
          <w:tcPr>
            <w:tcW w:w="1865" w:type="dxa"/>
            <w:vMerge w:val="restart"/>
          </w:tcPr>
          <w:p w:rsidR="001E76B5" w:rsidRPr="00FC47D8" w:rsidRDefault="001E76B5" w:rsidP="00BC08FD">
            <w:pPr>
              <w:spacing w:line="259" w:lineRule="auto"/>
              <w:rPr>
                <w:rFonts w:ascii="Times New Roman" w:hAnsi="Times New Roman" w:cs="Times New Roman"/>
                <w:lang w:val="en-US"/>
              </w:rPr>
            </w:pPr>
            <w:r w:rsidRPr="00FC47D8">
              <w:rPr>
                <w:rFonts w:ascii="Times New Roman" w:hAnsi="Times New Roman" w:cs="Times New Roman"/>
                <w:lang w:val="en-US"/>
              </w:rPr>
              <w:t>Extension of the BAR criteria (2 additional symptom domains)</w:t>
            </w:r>
            <w:r w:rsidR="00BC08FD">
              <w:rPr>
                <w:rFonts w:ascii="Times New Roman" w:hAnsi="Times New Roman" w:cs="Times New Roman"/>
                <w:lang w:val="en-US"/>
              </w:rPr>
              <w:t xml:space="preserve"> </w:t>
            </w:r>
            <w:r w:rsidRPr="00FC47D8">
              <w:rPr>
                <w:rFonts w:ascii="Times New Roman" w:hAnsi="Times New Roman" w:cs="Times New Roman"/>
                <w:lang w:val="en-US"/>
              </w:rPr>
              <w:fldChar w:fldCharType="begin"/>
            </w:r>
            <w:r w:rsidR="00BC08FD">
              <w:rPr>
                <w:rFonts w:ascii="Times New Roman" w:hAnsi="Times New Roman" w:cs="Times New Roman"/>
                <w:lang w:val="en-US"/>
              </w:rPr>
              <w:instrText xml:space="preserve"> ADDIN ZOTERO_ITEM CSL_CITATION {"citationID":"EOoHvYcq","properties":{"formattedCitation":"(Fusar-Poli {\\i{}et al.}, 2018)","plainCitation":"(Fusar-Poli et al., 2018)","noteIndex":0},"citationItems":[{"id":190,"uris":["http://zotero.org/users/6467620/items/FR5U58SG"],"itemData":{"id":190,"type":"article-journal","container-title":"Psychiatry Research","DOI":"10.1016/j.psychres.2018.03.074","ISSN":"01651781","journalAbbreviation":"Psychiatry Research","language":"en","page":"302-309","source":"DOI.org (Crossref)","title":"Semistructured Interview for Bipolar At Risk States (SIBARS)","volume":"264","author":[{"family":"Fusar-Poli","given":"Paolo"},{"family":"De Micheli","given":"Andrea"},{"family":"Rocchetti","given":"Matteo"},{"family":"Cappucciati","given":"Marco"},{"family":"Ramella-Cravaro","given":"Valentina"},{"family":"Rutigliano","given":"Grazia"},{"family":"Bonoldi","given":"Ilaria"},{"family":"McGuire","given":"Philip"},{"family":"Falkenberg","given":"Irina"}],"issued":{"date-parts":[["2018",6]]}}}],"schema":"https://github.com/citation-style-language/schema/raw/master/csl-citation.json"} </w:instrText>
            </w:r>
            <w:r w:rsidRPr="00FC47D8">
              <w:rPr>
                <w:rFonts w:ascii="Times New Roman" w:hAnsi="Times New Roman" w:cs="Times New Roman"/>
                <w:lang w:val="en-US"/>
              </w:rPr>
              <w:fldChar w:fldCharType="separate"/>
            </w:r>
            <w:r w:rsidR="00BC08FD" w:rsidRPr="00BC08FD">
              <w:rPr>
                <w:rFonts w:ascii="Times New Roman" w:hAnsi="Times New Roman" w:cs="Times New Roman"/>
                <w:szCs w:val="24"/>
                <w:lang w:val="en-US"/>
              </w:rPr>
              <w:t xml:space="preserve">(Fusar-Poli </w:t>
            </w:r>
            <w:r w:rsidR="00BC08FD" w:rsidRPr="00BC08FD">
              <w:rPr>
                <w:rFonts w:ascii="Times New Roman" w:hAnsi="Times New Roman" w:cs="Times New Roman"/>
                <w:i/>
                <w:iCs/>
                <w:szCs w:val="24"/>
                <w:lang w:val="en-US"/>
              </w:rPr>
              <w:t>et al.</w:t>
            </w:r>
            <w:r w:rsidR="00BC08FD" w:rsidRPr="00BC08FD">
              <w:rPr>
                <w:rFonts w:ascii="Times New Roman" w:hAnsi="Times New Roman" w:cs="Times New Roman"/>
                <w:szCs w:val="24"/>
                <w:lang w:val="en-US"/>
              </w:rPr>
              <w:t>, 2018)</w:t>
            </w:r>
            <w:r w:rsidRPr="00FC47D8">
              <w:rPr>
                <w:rFonts w:ascii="Times New Roman" w:hAnsi="Times New Roman" w:cs="Times New Roman"/>
                <w:lang w:val="en-US"/>
              </w:rPr>
              <w:fldChar w:fldCharType="end"/>
            </w:r>
            <w:r w:rsidRPr="00FC47D8">
              <w:rPr>
                <w:rFonts w:ascii="Times New Roman" w:hAnsi="Times New Roman" w:cs="Times New Roman"/>
                <w:lang w:val="en-US"/>
              </w:rPr>
              <w:t xml:space="preserve"> </w:t>
            </w:r>
          </w:p>
        </w:tc>
      </w:tr>
      <w:tr w:rsidR="001E76B5" w:rsidRPr="00E8614A" w:rsidTr="000E65A7">
        <w:trPr>
          <w:trHeight w:val="122"/>
        </w:trPr>
        <w:tc>
          <w:tcPr>
            <w:tcW w:w="1829" w:type="dxa"/>
            <w:vMerge/>
          </w:tcPr>
          <w:p w:rsidR="001E76B5" w:rsidRPr="00FC47D8" w:rsidRDefault="001E76B5" w:rsidP="000E65A7">
            <w:pPr>
              <w:spacing w:line="259" w:lineRule="auto"/>
              <w:rPr>
                <w:rFonts w:ascii="Times New Roman" w:hAnsi="Times New Roman" w:cs="Times New Roman"/>
                <w:lang w:val="en-US"/>
              </w:rPr>
            </w:pPr>
          </w:p>
        </w:tc>
        <w:tc>
          <w:tcPr>
            <w:tcW w:w="2065" w:type="dxa"/>
          </w:tcPr>
          <w:p w:rsidR="001E76B5" w:rsidRPr="00FC47D8" w:rsidRDefault="001E76B5" w:rsidP="000E65A7">
            <w:pPr>
              <w:spacing w:line="259" w:lineRule="auto"/>
              <w:rPr>
                <w:rFonts w:ascii="Times New Roman" w:hAnsi="Times New Roman" w:cs="Times New Roman"/>
                <w:lang w:val="en-US"/>
              </w:rPr>
            </w:pPr>
            <w:r w:rsidRPr="00FC47D8">
              <w:rPr>
                <w:rFonts w:ascii="Times New Roman" w:hAnsi="Times New Roman" w:cs="Times New Roman"/>
                <w:lang w:val="en-US"/>
              </w:rPr>
              <w:t xml:space="preserve">Sub-threshold depression, assessed by BPSS-FP or SCID </w:t>
            </w:r>
            <w:r w:rsidRPr="00FC47D8">
              <w:rPr>
                <w:rFonts w:ascii="Times New Roman" w:hAnsi="Times New Roman" w:cs="Times New Roman"/>
                <w:i/>
                <w:lang w:val="en-US"/>
              </w:rPr>
              <w:t xml:space="preserve">and </w:t>
            </w:r>
            <w:r w:rsidRPr="00FC47D8">
              <w:rPr>
                <w:rFonts w:ascii="Times New Roman" w:hAnsi="Times New Roman" w:cs="Times New Roman"/>
                <w:lang w:val="en-US"/>
              </w:rPr>
              <w:t xml:space="preserve">cyclothymic features </w:t>
            </w:r>
          </w:p>
        </w:tc>
        <w:tc>
          <w:tcPr>
            <w:tcW w:w="1424" w:type="dxa"/>
          </w:tcPr>
          <w:p w:rsidR="001E76B5" w:rsidRPr="00FC47D8" w:rsidRDefault="001E76B5" w:rsidP="000E65A7">
            <w:pPr>
              <w:spacing w:line="259" w:lineRule="auto"/>
              <w:rPr>
                <w:rFonts w:ascii="Times New Roman" w:hAnsi="Times New Roman" w:cs="Times New Roman"/>
                <w:lang w:val="en-US"/>
              </w:rPr>
            </w:pPr>
            <w:r>
              <w:rPr>
                <w:rFonts w:ascii="Times New Roman" w:hAnsi="Times New Roman" w:cs="Times New Roman"/>
                <w:lang w:val="en-US"/>
              </w:rPr>
              <w:t>149 (56.4)</w:t>
            </w:r>
          </w:p>
        </w:tc>
        <w:tc>
          <w:tcPr>
            <w:tcW w:w="1879" w:type="dxa"/>
            <w:vMerge/>
          </w:tcPr>
          <w:p w:rsidR="001E76B5" w:rsidRPr="00FC47D8" w:rsidRDefault="001E76B5" w:rsidP="000E65A7">
            <w:pPr>
              <w:spacing w:line="259" w:lineRule="auto"/>
              <w:rPr>
                <w:rFonts w:ascii="Times New Roman" w:hAnsi="Times New Roman" w:cs="Times New Roman"/>
                <w:lang w:val="en-US"/>
              </w:rPr>
            </w:pPr>
          </w:p>
        </w:tc>
        <w:tc>
          <w:tcPr>
            <w:tcW w:w="1865" w:type="dxa"/>
            <w:vMerge/>
          </w:tcPr>
          <w:p w:rsidR="001E76B5" w:rsidRPr="00FC47D8" w:rsidRDefault="001E76B5" w:rsidP="000E65A7">
            <w:pPr>
              <w:spacing w:line="259" w:lineRule="auto"/>
              <w:rPr>
                <w:rFonts w:ascii="Times New Roman" w:hAnsi="Times New Roman" w:cs="Times New Roman"/>
                <w:lang w:val="en-US"/>
              </w:rPr>
            </w:pPr>
          </w:p>
        </w:tc>
      </w:tr>
      <w:tr w:rsidR="001E76B5" w:rsidRPr="00E8614A" w:rsidTr="000E65A7">
        <w:trPr>
          <w:trHeight w:val="959"/>
        </w:trPr>
        <w:tc>
          <w:tcPr>
            <w:tcW w:w="1829" w:type="dxa"/>
            <w:vMerge/>
          </w:tcPr>
          <w:p w:rsidR="001E76B5" w:rsidRPr="00FC47D8" w:rsidRDefault="001E76B5" w:rsidP="000E65A7">
            <w:pPr>
              <w:spacing w:line="259" w:lineRule="auto"/>
              <w:rPr>
                <w:rFonts w:ascii="Times New Roman" w:hAnsi="Times New Roman" w:cs="Times New Roman"/>
                <w:lang w:val="en-US"/>
              </w:rPr>
            </w:pPr>
          </w:p>
        </w:tc>
        <w:tc>
          <w:tcPr>
            <w:tcW w:w="2065" w:type="dxa"/>
          </w:tcPr>
          <w:p w:rsidR="001E76B5" w:rsidRPr="00FC47D8" w:rsidRDefault="001E76B5" w:rsidP="000E65A7">
            <w:pPr>
              <w:spacing w:line="259" w:lineRule="auto"/>
              <w:rPr>
                <w:rFonts w:ascii="Times New Roman" w:hAnsi="Times New Roman" w:cs="Times New Roman"/>
                <w:lang w:val="en-US"/>
              </w:rPr>
            </w:pPr>
            <w:r w:rsidRPr="00FC47D8">
              <w:rPr>
                <w:rFonts w:ascii="Times New Roman" w:hAnsi="Times New Roman" w:cs="Times New Roman"/>
                <w:lang w:val="en-US"/>
              </w:rPr>
              <w:t>Sub-threshold depression plus genetic risk</w:t>
            </w:r>
          </w:p>
        </w:tc>
        <w:tc>
          <w:tcPr>
            <w:tcW w:w="1424" w:type="dxa"/>
          </w:tcPr>
          <w:p w:rsidR="001E76B5" w:rsidRPr="00FC47D8" w:rsidRDefault="001E76B5" w:rsidP="000E65A7">
            <w:pPr>
              <w:spacing w:line="259" w:lineRule="auto"/>
              <w:rPr>
                <w:rFonts w:ascii="Times New Roman" w:hAnsi="Times New Roman" w:cs="Times New Roman"/>
                <w:lang w:val="en-US"/>
              </w:rPr>
            </w:pPr>
            <w:r>
              <w:rPr>
                <w:rFonts w:ascii="Times New Roman" w:hAnsi="Times New Roman" w:cs="Times New Roman"/>
                <w:lang w:val="en-US"/>
              </w:rPr>
              <w:t>13 (4.9)</w:t>
            </w:r>
          </w:p>
        </w:tc>
        <w:tc>
          <w:tcPr>
            <w:tcW w:w="1879" w:type="dxa"/>
            <w:vMerge/>
          </w:tcPr>
          <w:p w:rsidR="001E76B5" w:rsidRPr="00FC47D8" w:rsidRDefault="001E76B5" w:rsidP="000E65A7">
            <w:pPr>
              <w:spacing w:line="259" w:lineRule="auto"/>
              <w:rPr>
                <w:rFonts w:ascii="Times New Roman" w:hAnsi="Times New Roman" w:cs="Times New Roman"/>
                <w:lang w:val="en-US"/>
              </w:rPr>
            </w:pPr>
          </w:p>
        </w:tc>
        <w:tc>
          <w:tcPr>
            <w:tcW w:w="1865" w:type="dxa"/>
            <w:vMerge/>
          </w:tcPr>
          <w:p w:rsidR="001E76B5" w:rsidRPr="00FC47D8" w:rsidRDefault="001E76B5" w:rsidP="000E65A7">
            <w:pPr>
              <w:spacing w:line="259" w:lineRule="auto"/>
              <w:rPr>
                <w:rFonts w:ascii="Times New Roman" w:hAnsi="Times New Roman" w:cs="Times New Roman"/>
                <w:lang w:val="en-US"/>
              </w:rPr>
            </w:pPr>
          </w:p>
        </w:tc>
      </w:tr>
      <w:tr w:rsidR="001E76B5" w:rsidRPr="00E8614A" w:rsidTr="000E65A7">
        <w:trPr>
          <w:trHeight w:val="185"/>
        </w:trPr>
        <w:tc>
          <w:tcPr>
            <w:tcW w:w="1829" w:type="dxa"/>
            <w:vMerge/>
          </w:tcPr>
          <w:p w:rsidR="001E76B5" w:rsidRPr="00FC47D8" w:rsidRDefault="001E76B5" w:rsidP="000E65A7">
            <w:pPr>
              <w:spacing w:line="259" w:lineRule="auto"/>
              <w:rPr>
                <w:rFonts w:ascii="Times New Roman" w:hAnsi="Times New Roman" w:cs="Times New Roman"/>
                <w:lang w:val="en-US"/>
              </w:rPr>
            </w:pPr>
          </w:p>
        </w:tc>
        <w:tc>
          <w:tcPr>
            <w:tcW w:w="2065" w:type="dxa"/>
          </w:tcPr>
          <w:p w:rsidR="001E76B5" w:rsidRPr="00FC47D8" w:rsidRDefault="001E76B5" w:rsidP="000E65A7">
            <w:pPr>
              <w:spacing w:line="259" w:lineRule="auto"/>
              <w:rPr>
                <w:rFonts w:ascii="Times New Roman" w:hAnsi="Times New Roman" w:cs="Times New Roman"/>
                <w:lang w:val="en-US"/>
              </w:rPr>
            </w:pPr>
            <w:r w:rsidRPr="00FC47D8">
              <w:rPr>
                <w:rFonts w:ascii="Times New Roman" w:hAnsi="Times New Roman" w:cs="Times New Roman"/>
                <w:lang w:val="en-US"/>
              </w:rPr>
              <w:t>Mixed symptoms, assessed by BPSS-P</w:t>
            </w:r>
          </w:p>
        </w:tc>
        <w:tc>
          <w:tcPr>
            <w:tcW w:w="1424" w:type="dxa"/>
          </w:tcPr>
          <w:p w:rsidR="001E76B5" w:rsidRPr="00FC47D8" w:rsidRDefault="001E76B5" w:rsidP="000E65A7">
            <w:pPr>
              <w:spacing w:line="259" w:lineRule="auto"/>
              <w:rPr>
                <w:rFonts w:ascii="Times New Roman" w:hAnsi="Times New Roman" w:cs="Times New Roman"/>
                <w:lang w:val="en-US"/>
              </w:rPr>
            </w:pPr>
            <w:r>
              <w:rPr>
                <w:rFonts w:ascii="Times New Roman" w:hAnsi="Times New Roman" w:cs="Times New Roman"/>
                <w:lang w:val="en-US"/>
              </w:rPr>
              <w:t>3 (1.1)</w:t>
            </w:r>
          </w:p>
        </w:tc>
        <w:tc>
          <w:tcPr>
            <w:tcW w:w="1879" w:type="dxa"/>
            <w:vMerge/>
          </w:tcPr>
          <w:p w:rsidR="001E76B5" w:rsidRPr="00FC47D8" w:rsidRDefault="001E76B5" w:rsidP="000E65A7">
            <w:pPr>
              <w:spacing w:line="259" w:lineRule="auto"/>
              <w:rPr>
                <w:rFonts w:ascii="Times New Roman" w:hAnsi="Times New Roman" w:cs="Times New Roman"/>
                <w:lang w:val="en-US"/>
              </w:rPr>
            </w:pPr>
          </w:p>
        </w:tc>
        <w:tc>
          <w:tcPr>
            <w:tcW w:w="1865" w:type="dxa"/>
            <w:vMerge/>
          </w:tcPr>
          <w:p w:rsidR="001E76B5" w:rsidRPr="00FC47D8" w:rsidRDefault="001E76B5" w:rsidP="000E65A7">
            <w:pPr>
              <w:spacing w:line="259" w:lineRule="auto"/>
              <w:rPr>
                <w:rFonts w:ascii="Times New Roman" w:hAnsi="Times New Roman" w:cs="Times New Roman"/>
                <w:lang w:val="en-US"/>
              </w:rPr>
            </w:pPr>
          </w:p>
        </w:tc>
      </w:tr>
      <w:tr w:rsidR="001E76B5" w:rsidRPr="00E8614A" w:rsidTr="000E65A7">
        <w:trPr>
          <w:trHeight w:val="1114"/>
        </w:trPr>
        <w:tc>
          <w:tcPr>
            <w:tcW w:w="1829" w:type="dxa"/>
            <w:vMerge/>
          </w:tcPr>
          <w:p w:rsidR="001E76B5" w:rsidRPr="00FC47D8" w:rsidRDefault="001E76B5" w:rsidP="000E65A7">
            <w:pPr>
              <w:spacing w:line="259" w:lineRule="auto"/>
              <w:rPr>
                <w:rFonts w:ascii="Times New Roman" w:hAnsi="Times New Roman" w:cs="Times New Roman"/>
                <w:lang w:val="en-US"/>
              </w:rPr>
            </w:pPr>
          </w:p>
        </w:tc>
        <w:tc>
          <w:tcPr>
            <w:tcW w:w="2065" w:type="dxa"/>
          </w:tcPr>
          <w:p w:rsidR="001E76B5" w:rsidRPr="00FC47D8" w:rsidRDefault="001E76B5" w:rsidP="000E65A7">
            <w:pPr>
              <w:spacing w:line="259" w:lineRule="auto"/>
              <w:rPr>
                <w:rFonts w:ascii="Times New Roman" w:hAnsi="Times New Roman" w:cs="Times New Roman"/>
                <w:lang w:val="en-US"/>
              </w:rPr>
            </w:pPr>
            <w:r w:rsidRPr="00FC47D8">
              <w:rPr>
                <w:rFonts w:ascii="Times New Roman" w:hAnsi="Times New Roman" w:cs="Times New Roman"/>
                <w:lang w:val="en-US"/>
              </w:rPr>
              <w:t xml:space="preserve">Mood swings, assessed by </w:t>
            </w:r>
            <w:proofErr w:type="spellStart"/>
            <w:r w:rsidRPr="00FC47D8">
              <w:rPr>
                <w:rFonts w:ascii="Times New Roman" w:hAnsi="Times New Roman" w:cs="Times New Roman"/>
                <w:lang w:val="en-US"/>
              </w:rPr>
              <w:t>EPI</w:t>
            </w:r>
            <w:r w:rsidRPr="00FC47D8">
              <w:rPr>
                <w:rFonts w:ascii="Times New Roman" w:hAnsi="Times New Roman" w:cs="Times New Roman"/>
                <w:i/>
                <w:lang w:val="en-US"/>
              </w:rPr>
              <w:t>bipolar</w:t>
            </w:r>
            <w:proofErr w:type="spellEnd"/>
          </w:p>
        </w:tc>
        <w:tc>
          <w:tcPr>
            <w:tcW w:w="1424" w:type="dxa"/>
          </w:tcPr>
          <w:p w:rsidR="001E76B5" w:rsidRPr="00FC47D8" w:rsidRDefault="001E76B5" w:rsidP="000E65A7">
            <w:pPr>
              <w:spacing w:line="259" w:lineRule="auto"/>
              <w:rPr>
                <w:rFonts w:ascii="Times New Roman" w:hAnsi="Times New Roman" w:cs="Times New Roman"/>
                <w:lang w:val="en-US"/>
              </w:rPr>
            </w:pPr>
            <w:r>
              <w:rPr>
                <w:rFonts w:ascii="Times New Roman" w:hAnsi="Times New Roman" w:cs="Times New Roman"/>
                <w:lang w:val="en-US"/>
              </w:rPr>
              <w:t>118 (44.7)</w:t>
            </w:r>
          </w:p>
        </w:tc>
        <w:tc>
          <w:tcPr>
            <w:tcW w:w="1879" w:type="dxa"/>
            <w:vMerge/>
          </w:tcPr>
          <w:p w:rsidR="001E76B5" w:rsidRPr="00FC47D8" w:rsidRDefault="001E76B5" w:rsidP="000E65A7">
            <w:pPr>
              <w:spacing w:line="259" w:lineRule="auto"/>
              <w:rPr>
                <w:rFonts w:ascii="Times New Roman" w:hAnsi="Times New Roman" w:cs="Times New Roman"/>
                <w:lang w:val="en-US"/>
              </w:rPr>
            </w:pPr>
          </w:p>
        </w:tc>
        <w:tc>
          <w:tcPr>
            <w:tcW w:w="1865" w:type="dxa"/>
            <w:vMerge/>
          </w:tcPr>
          <w:p w:rsidR="001E76B5" w:rsidRPr="00FC47D8" w:rsidRDefault="001E76B5" w:rsidP="000E65A7">
            <w:pPr>
              <w:spacing w:line="259" w:lineRule="auto"/>
              <w:rPr>
                <w:rFonts w:ascii="Times New Roman" w:hAnsi="Times New Roman" w:cs="Times New Roman"/>
                <w:lang w:val="en-US"/>
              </w:rPr>
            </w:pPr>
          </w:p>
        </w:tc>
      </w:tr>
      <w:tr w:rsidR="001E76B5" w:rsidRPr="00FB7E28" w:rsidTr="000E65A7">
        <w:trPr>
          <w:trHeight w:val="798"/>
        </w:trPr>
        <w:tc>
          <w:tcPr>
            <w:tcW w:w="1829" w:type="dxa"/>
            <w:vMerge w:val="restart"/>
          </w:tcPr>
          <w:p w:rsidR="001E76B5" w:rsidRPr="00FC47D8" w:rsidRDefault="001E76B5" w:rsidP="000E65A7">
            <w:pPr>
              <w:spacing w:line="259" w:lineRule="auto"/>
              <w:rPr>
                <w:rFonts w:ascii="Times New Roman" w:hAnsi="Times New Roman" w:cs="Times New Roman"/>
                <w:lang w:val="en-US"/>
              </w:rPr>
            </w:pPr>
            <w:proofErr w:type="spellStart"/>
            <w:r w:rsidRPr="00FC47D8">
              <w:rPr>
                <w:rFonts w:ascii="Times New Roman" w:hAnsi="Times New Roman" w:cs="Times New Roman"/>
                <w:lang w:val="en-US"/>
              </w:rPr>
              <w:t>EPI</w:t>
            </w:r>
            <w:r w:rsidRPr="00FC47D8">
              <w:rPr>
                <w:rFonts w:ascii="Times New Roman" w:hAnsi="Times New Roman" w:cs="Times New Roman"/>
                <w:i/>
                <w:lang w:val="en-US"/>
              </w:rPr>
              <w:t>bipolar</w:t>
            </w:r>
            <w:proofErr w:type="spellEnd"/>
            <w:r w:rsidRPr="00FC47D8">
              <w:rPr>
                <w:rFonts w:ascii="Times New Roman" w:hAnsi="Times New Roman" w:cs="Times New Roman"/>
                <w:i/>
                <w:lang w:val="en-US"/>
              </w:rPr>
              <w:t xml:space="preserve"> </w:t>
            </w:r>
            <w:r w:rsidRPr="00FC47D8">
              <w:rPr>
                <w:rFonts w:ascii="Times New Roman" w:hAnsi="Times New Roman" w:cs="Times New Roman"/>
                <w:lang w:val="en-US"/>
              </w:rPr>
              <w:t>(</w:t>
            </w:r>
            <w:r>
              <w:rPr>
                <w:rFonts w:ascii="Times New Roman" w:hAnsi="Times New Roman" w:cs="Times New Roman"/>
                <w:lang w:val="en-US"/>
              </w:rPr>
              <w:t>273</w:t>
            </w:r>
            <w:r w:rsidRPr="00FC47D8">
              <w:rPr>
                <w:rFonts w:ascii="Times New Roman" w:hAnsi="Times New Roman" w:cs="Times New Roman"/>
                <w:lang w:val="en-US"/>
              </w:rPr>
              <w:t>)</w:t>
            </w:r>
          </w:p>
        </w:tc>
        <w:tc>
          <w:tcPr>
            <w:tcW w:w="2065" w:type="dxa"/>
          </w:tcPr>
          <w:p w:rsidR="001E76B5" w:rsidRPr="00FC47D8" w:rsidRDefault="001E76B5" w:rsidP="000E65A7">
            <w:pPr>
              <w:spacing w:line="259" w:lineRule="auto"/>
              <w:rPr>
                <w:rFonts w:ascii="Times New Roman" w:hAnsi="Times New Roman" w:cs="Times New Roman"/>
                <w:lang w:val="en-US"/>
              </w:rPr>
            </w:pPr>
            <w:r w:rsidRPr="00FC47D8">
              <w:rPr>
                <w:rFonts w:ascii="Times New Roman" w:hAnsi="Times New Roman" w:cs="Times New Roman"/>
                <w:lang w:val="en-US"/>
              </w:rPr>
              <w:t>No-risk</w:t>
            </w:r>
          </w:p>
        </w:tc>
        <w:tc>
          <w:tcPr>
            <w:tcW w:w="1424" w:type="dxa"/>
          </w:tcPr>
          <w:p w:rsidR="001E76B5" w:rsidRPr="00FC47D8" w:rsidRDefault="001E76B5" w:rsidP="000E65A7">
            <w:pPr>
              <w:spacing w:line="259" w:lineRule="auto"/>
              <w:rPr>
                <w:rFonts w:ascii="Times New Roman" w:hAnsi="Times New Roman" w:cs="Times New Roman"/>
                <w:lang w:val="en-US"/>
              </w:rPr>
            </w:pPr>
            <w:r>
              <w:rPr>
                <w:rFonts w:ascii="Times New Roman" w:hAnsi="Times New Roman" w:cs="Times New Roman"/>
                <w:lang w:val="en-US"/>
              </w:rPr>
              <w:t>32 (11.6)</w:t>
            </w:r>
          </w:p>
        </w:tc>
        <w:tc>
          <w:tcPr>
            <w:tcW w:w="1879" w:type="dxa"/>
            <w:vMerge w:val="restart"/>
          </w:tcPr>
          <w:p w:rsidR="001E76B5" w:rsidRPr="00FC47D8" w:rsidRDefault="001E76B5" w:rsidP="000E65A7">
            <w:pPr>
              <w:spacing w:line="259" w:lineRule="auto"/>
              <w:rPr>
                <w:rFonts w:ascii="Times New Roman" w:hAnsi="Times New Roman" w:cs="Times New Roman"/>
                <w:lang w:val="en-US"/>
              </w:rPr>
            </w:pPr>
            <w:r w:rsidRPr="00FC47D8">
              <w:rPr>
                <w:rFonts w:ascii="Times New Roman" w:hAnsi="Times New Roman" w:cs="Times New Roman"/>
                <w:lang w:val="en-US"/>
              </w:rPr>
              <w:t>No longitudinal (ongoing study)</w:t>
            </w:r>
          </w:p>
          <w:p w:rsidR="001E76B5" w:rsidRPr="00FC47D8" w:rsidRDefault="001E76B5" w:rsidP="000E65A7">
            <w:pPr>
              <w:spacing w:line="259" w:lineRule="auto"/>
              <w:rPr>
                <w:rFonts w:ascii="Times New Roman" w:hAnsi="Times New Roman" w:cs="Times New Roman"/>
                <w:lang w:val="en-US"/>
              </w:rPr>
            </w:pPr>
          </w:p>
          <w:p w:rsidR="001E76B5" w:rsidRPr="00FC47D8" w:rsidRDefault="001E76B5" w:rsidP="000E65A7">
            <w:pPr>
              <w:spacing w:line="259" w:lineRule="auto"/>
              <w:rPr>
                <w:rFonts w:ascii="Times New Roman" w:hAnsi="Times New Roman" w:cs="Times New Roman"/>
                <w:lang w:val="en-US"/>
              </w:rPr>
            </w:pPr>
            <w:r w:rsidRPr="00FC47D8">
              <w:rPr>
                <w:rFonts w:ascii="Times New Roman" w:hAnsi="Times New Roman" w:cs="Times New Roman"/>
                <w:lang w:val="en-US"/>
              </w:rPr>
              <w:t>Includes and integrates items from validated tools (BPSS-P, BAR) as well as genetic risk</w:t>
            </w:r>
          </w:p>
        </w:tc>
        <w:tc>
          <w:tcPr>
            <w:tcW w:w="1865" w:type="dxa"/>
            <w:vMerge w:val="restart"/>
          </w:tcPr>
          <w:p w:rsidR="001E76B5" w:rsidRPr="00FC47D8" w:rsidRDefault="001E76B5" w:rsidP="000E65A7">
            <w:pPr>
              <w:spacing w:line="259" w:lineRule="auto"/>
              <w:rPr>
                <w:rFonts w:ascii="Times New Roman" w:hAnsi="Times New Roman" w:cs="Times New Roman"/>
                <w:lang w:val="en-US"/>
              </w:rPr>
            </w:pPr>
            <w:r w:rsidRPr="00FC47D8">
              <w:rPr>
                <w:rFonts w:ascii="Times New Roman" w:hAnsi="Times New Roman" w:cs="Times New Roman"/>
                <w:lang w:val="en-US"/>
              </w:rPr>
              <w:t>Semi-structured interview</w:t>
            </w:r>
          </w:p>
          <w:p w:rsidR="001E76B5" w:rsidRPr="00FC47D8" w:rsidRDefault="001E76B5" w:rsidP="000E65A7">
            <w:pPr>
              <w:spacing w:line="259" w:lineRule="auto"/>
              <w:rPr>
                <w:rFonts w:ascii="Times New Roman" w:hAnsi="Times New Roman" w:cs="Times New Roman"/>
                <w:lang w:val="en-US"/>
              </w:rPr>
            </w:pPr>
          </w:p>
          <w:p w:rsidR="001E76B5" w:rsidRPr="00FC47D8" w:rsidRDefault="001E76B5" w:rsidP="00BC08FD">
            <w:pPr>
              <w:spacing w:line="259" w:lineRule="auto"/>
              <w:rPr>
                <w:rFonts w:ascii="Times New Roman" w:hAnsi="Times New Roman" w:cs="Times New Roman"/>
                <w:lang w:val="en-US"/>
              </w:rPr>
            </w:pPr>
            <w:r w:rsidRPr="00FC47D8">
              <w:rPr>
                <w:rFonts w:ascii="Times New Roman" w:hAnsi="Times New Roman" w:cs="Times New Roman"/>
                <w:lang w:val="en-US"/>
              </w:rPr>
              <w:t>Integrates risk factors based on a systematic review of literature</w:t>
            </w:r>
            <w:r w:rsidR="00BC08FD">
              <w:rPr>
                <w:rFonts w:ascii="Times New Roman" w:hAnsi="Times New Roman" w:cs="Times New Roman"/>
                <w:lang w:val="en-US"/>
              </w:rPr>
              <w:t xml:space="preserve"> </w:t>
            </w:r>
            <w:r w:rsidRPr="00FC47D8">
              <w:rPr>
                <w:rFonts w:ascii="Times New Roman" w:hAnsi="Times New Roman" w:cs="Times New Roman"/>
                <w:lang w:val="en-US"/>
              </w:rPr>
              <w:fldChar w:fldCharType="begin"/>
            </w:r>
            <w:r w:rsidR="00BC08FD">
              <w:rPr>
                <w:rFonts w:ascii="Times New Roman" w:hAnsi="Times New Roman" w:cs="Times New Roman"/>
                <w:lang w:val="en-US"/>
              </w:rPr>
              <w:instrText xml:space="preserve"> ADDIN ZOTERO_ITEM CSL_CITATION {"citationID":"2Smi0OrD","properties":{"formattedCitation":"(Leopold {\\i{}et al.}, 2012)","plainCitation":"(Leopold et al., 2012)","noteIndex":0},"citationItems":[{"id":247,"uris":["http://zotero.org/users/6467620/items/DDWXAAMQ"],"itemData":{"id":247,"type":"article-journal","container-title":"Journal of Affective Disorders","DOI":"10.1016/j.jad.2011.06.043","ISSN":"01650327","issue":"3","journalAbbreviation":"Journal of Affective Disorders","language":"en","page":"1000-1010","source":"DOI.org (Crossref)","title":"Risk constellations prior to the development of bipolar disorders: Rationale of a new risk assessment tool","title-short":"Risk constellations prior to the development of bipolar disorders","volume":"136","author":[{"family":"Leopold","given":"Karolina"},{"family":"Ritter","given":"Philipp"},{"family":"Correll","given":"Christoph U."},{"family":"Marx","given":"Carolin"},{"family":"Özgürdal","given":"Seza"},{"family":"Juckel","given":"Georg"},{"family":"Bauer","given":"Michael"},{"family":"Pfennig","given":"Andrea"}],"issued":{"date-parts":[["2012",2]]}}}],"schema":"https://github.com/citation-style-language/schema/raw/master/csl-citation.json"} </w:instrText>
            </w:r>
            <w:r w:rsidRPr="00FC47D8">
              <w:rPr>
                <w:rFonts w:ascii="Times New Roman" w:hAnsi="Times New Roman" w:cs="Times New Roman"/>
                <w:lang w:val="en-US"/>
              </w:rPr>
              <w:fldChar w:fldCharType="separate"/>
            </w:r>
            <w:r w:rsidR="00BC08FD" w:rsidRPr="00BC08FD">
              <w:rPr>
                <w:rFonts w:ascii="Times New Roman" w:hAnsi="Times New Roman" w:cs="Times New Roman"/>
                <w:szCs w:val="24"/>
                <w:lang w:val="en-US"/>
              </w:rPr>
              <w:t xml:space="preserve">(Leopold </w:t>
            </w:r>
            <w:r w:rsidR="00BC08FD" w:rsidRPr="00BC08FD">
              <w:rPr>
                <w:rFonts w:ascii="Times New Roman" w:hAnsi="Times New Roman" w:cs="Times New Roman"/>
                <w:i/>
                <w:iCs/>
                <w:szCs w:val="24"/>
                <w:lang w:val="en-US"/>
              </w:rPr>
              <w:t>et al.</w:t>
            </w:r>
            <w:r w:rsidR="00BC08FD" w:rsidRPr="00BC08FD">
              <w:rPr>
                <w:rFonts w:ascii="Times New Roman" w:hAnsi="Times New Roman" w:cs="Times New Roman"/>
                <w:szCs w:val="24"/>
                <w:lang w:val="en-US"/>
              </w:rPr>
              <w:t>, 2012)</w:t>
            </w:r>
            <w:r w:rsidRPr="00FC47D8">
              <w:rPr>
                <w:rFonts w:ascii="Times New Roman" w:hAnsi="Times New Roman" w:cs="Times New Roman"/>
                <w:lang w:val="en-US"/>
              </w:rPr>
              <w:fldChar w:fldCharType="end"/>
            </w:r>
          </w:p>
        </w:tc>
      </w:tr>
      <w:tr w:rsidR="001E76B5" w:rsidRPr="00FC47D8" w:rsidTr="000E65A7">
        <w:trPr>
          <w:trHeight w:val="796"/>
        </w:trPr>
        <w:tc>
          <w:tcPr>
            <w:tcW w:w="1829" w:type="dxa"/>
            <w:vMerge/>
          </w:tcPr>
          <w:p w:rsidR="001E76B5" w:rsidRPr="00FC47D8" w:rsidRDefault="001E76B5" w:rsidP="000E65A7">
            <w:pPr>
              <w:spacing w:line="259" w:lineRule="auto"/>
              <w:rPr>
                <w:rFonts w:ascii="Times New Roman" w:hAnsi="Times New Roman" w:cs="Times New Roman"/>
                <w:lang w:val="en-US"/>
              </w:rPr>
            </w:pPr>
          </w:p>
        </w:tc>
        <w:tc>
          <w:tcPr>
            <w:tcW w:w="2065" w:type="dxa"/>
          </w:tcPr>
          <w:p w:rsidR="001E76B5" w:rsidRPr="00FC47D8" w:rsidRDefault="001E76B5" w:rsidP="000E65A7">
            <w:pPr>
              <w:spacing w:line="259" w:lineRule="auto"/>
              <w:rPr>
                <w:rFonts w:ascii="Times New Roman" w:hAnsi="Times New Roman" w:cs="Times New Roman"/>
                <w:lang w:val="en-US"/>
              </w:rPr>
            </w:pPr>
            <w:r w:rsidRPr="00FC47D8">
              <w:rPr>
                <w:rFonts w:ascii="Times New Roman" w:hAnsi="Times New Roman" w:cs="Times New Roman"/>
                <w:lang w:val="en-US"/>
              </w:rPr>
              <w:t>Low-risk</w:t>
            </w:r>
          </w:p>
        </w:tc>
        <w:tc>
          <w:tcPr>
            <w:tcW w:w="1424" w:type="dxa"/>
          </w:tcPr>
          <w:p w:rsidR="001E76B5" w:rsidRPr="00FC47D8" w:rsidRDefault="001E76B5" w:rsidP="000E65A7">
            <w:pPr>
              <w:spacing w:line="259" w:lineRule="auto"/>
              <w:rPr>
                <w:rFonts w:ascii="Times New Roman" w:hAnsi="Times New Roman" w:cs="Times New Roman"/>
                <w:lang w:val="en-US"/>
              </w:rPr>
            </w:pPr>
            <w:r>
              <w:rPr>
                <w:rFonts w:ascii="Times New Roman" w:hAnsi="Times New Roman" w:cs="Times New Roman"/>
                <w:lang w:val="en-US"/>
              </w:rPr>
              <w:t>137 (49.6)</w:t>
            </w:r>
          </w:p>
        </w:tc>
        <w:tc>
          <w:tcPr>
            <w:tcW w:w="1879" w:type="dxa"/>
            <w:vMerge/>
          </w:tcPr>
          <w:p w:rsidR="001E76B5" w:rsidRPr="00FC47D8" w:rsidRDefault="001E76B5" w:rsidP="000E65A7">
            <w:pPr>
              <w:spacing w:line="259" w:lineRule="auto"/>
              <w:rPr>
                <w:rFonts w:ascii="Times New Roman" w:hAnsi="Times New Roman" w:cs="Times New Roman"/>
                <w:lang w:val="en-US"/>
              </w:rPr>
            </w:pPr>
          </w:p>
        </w:tc>
        <w:tc>
          <w:tcPr>
            <w:tcW w:w="1865" w:type="dxa"/>
            <w:vMerge/>
          </w:tcPr>
          <w:p w:rsidR="001E76B5" w:rsidRPr="00FC47D8" w:rsidRDefault="001E76B5" w:rsidP="000E65A7">
            <w:pPr>
              <w:spacing w:line="259" w:lineRule="auto"/>
              <w:rPr>
                <w:rFonts w:ascii="Times New Roman" w:hAnsi="Times New Roman" w:cs="Times New Roman"/>
                <w:lang w:val="en-US"/>
              </w:rPr>
            </w:pPr>
          </w:p>
        </w:tc>
      </w:tr>
      <w:tr w:rsidR="001E76B5" w:rsidRPr="00FC47D8" w:rsidTr="000E65A7">
        <w:trPr>
          <w:trHeight w:val="796"/>
        </w:trPr>
        <w:tc>
          <w:tcPr>
            <w:tcW w:w="1829" w:type="dxa"/>
            <w:vMerge/>
          </w:tcPr>
          <w:p w:rsidR="001E76B5" w:rsidRPr="00FC47D8" w:rsidRDefault="001E76B5" w:rsidP="000E65A7">
            <w:pPr>
              <w:spacing w:line="259" w:lineRule="auto"/>
              <w:rPr>
                <w:rFonts w:ascii="Times New Roman" w:hAnsi="Times New Roman" w:cs="Times New Roman"/>
                <w:lang w:val="en-US"/>
              </w:rPr>
            </w:pPr>
          </w:p>
        </w:tc>
        <w:tc>
          <w:tcPr>
            <w:tcW w:w="2065" w:type="dxa"/>
          </w:tcPr>
          <w:p w:rsidR="001E76B5" w:rsidRPr="00FC47D8" w:rsidRDefault="001E76B5" w:rsidP="000E65A7">
            <w:pPr>
              <w:spacing w:line="259" w:lineRule="auto"/>
              <w:rPr>
                <w:rFonts w:ascii="Times New Roman" w:hAnsi="Times New Roman" w:cs="Times New Roman"/>
                <w:lang w:val="en-US"/>
              </w:rPr>
            </w:pPr>
            <w:r w:rsidRPr="00FC47D8">
              <w:rPr>
                <w:rFonts w:ascii="Times New Roman" w:hAnsi="Times New Roman" w:cs="Times New Roman"/>
                <w:lang w:val="en-US"/>
              </w:rPr>
              <w:t>High-risk</w:t>
            </w:r>
          </w:p>
        </w:tc>
        <w:tc>
          <w:tcPr>
            <w:tcW w:w="1424" w:type="dxa"/>
          </w:tcPr>
          <w:p w:rsidR="001E76B5" w:rsidRPr="00FC47D8" w:rsidRDefault="001E76B5" w:rsidP="000E65A7">
            <w:pPr>
              <w:spacing w:line="259" w:lineRule="auto"/>
              <w:rPr>
                <w:rFonts w:ascii="Times New Roman" w:hAnsi="Times New Roman" w:cs="Times New Roman"/>
                <w:lang w:val="en-US"/>
              </w:rPr>
            </w:pPr>
            <w:r>
              <w:rPr>
                <w:rFonts w:ascii="Times New Roman" w:hAnsi="Times New Roman" w:cs="Times New Roman"/>
                <w:lang w:val="en-US"/>
              </w:rPr>
              <w:t>104 (37.7)</w:t>
            </w:r>
          </w:p>
        </w:tc>
        <w:tc>
          <w:tcPr>
            <w:tcW w:w="1879" w:type="dxa"/>
            <w:vMerge/>
          </w:tcPr>
          <w:p w:rsidR="001E76B5" w:rsidRPr="00FC47D8" w:rsidRDefault="001E76B5" w:rsidP="000E65A7">
            <w:pPr>
              <w:spacing w:line="259" w:lineRule="auto"/>
              <w:rPr>
                <w:rFonts w:ascii="Times New Roman" w:hAnsi="Times New Roman" w:cs="Times New Roman"/>
                <w:lang w:val="en-US"/>
              </w:rPr>
            </w:pPr>
          </w:p>
        </w:tc>
        <w:tc>
          <w:tcPr>
            <w:tcW w:w="1865" w:type="dxa"/>
            <w:vMerge/>
          </w:tcPr>
          <w:p w:rsidR="001E76B5" w:rsidRPr="00FC47D8" w:rsidRDefault="001E76B5" w:rsidP="000E65A7">
            <w:pPr>
              <w:spacing w:line="259" w:lineRule="auto"/>
              <w:rPr>
                <w:rFonts w:ascii="Times New Roman" w:hAnsi="Times New Roman" w:cs="Times New Roman"/>
                <w:lang w:val="en-US"/>
              </w:rPr>
            </w:pPr>
          </w:p>
        </w:tc>
      </w:tr>
    </w:tbl>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b/>
          <w:sz w:val="24"/>
          <w:szCs w:val="24"/>
          <w:lang w:val="en-US"/>
        </w:rPr>
      </w:pPr>
    </w:p>
    <w:p w:rsidR="001E76B5" w:rsidRDefault="001E76B5" w:rsidP="001E76B5">
      <w:pPr>
        <w:spacing w:after="0"/>
        <w:rPr>
          <w:rFonts w:ascii="Times New Roman" w:hAnsi="Times New Roman" w:cs="Times New Roman"/>
          <w:lang w:val="en-US"/>
        </w:rPr>
      </w:pPr>
      <w:r>
        <w:rPr>
          <w:rFonts w:ascii="Times New Roman" w:hAnsi="Times New Roman" w:cs="Times New Roman"/>
          <w:b/>
          <w:sz w:val="24"/>
          <w:szCs w:val="24"/>
          <w:lang w:val="en-US"/>
        </w:rPr>
        <w:lastRenderedPageBreak/>
        <w:t>Supplementary table 2</w:t>
      </w:r>
      <w:r w:rsidRPr="00743C41">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1D1A52">
        <w:rPr>
          <w:rFonts w:ascii="Times New Roman" w:hAnsi="Times New Roman" w:cs="Times New Roman"/>
          <w:sz w:val="24"/>
          <w:szCs w:val="24"/>
          <w:lang w:val="en-US"/>
        </w:rPr>
        <w:t>Breakdown of sample sizes and participants fulfilling and not fulfilling the risk criterion per study site.</w:t>
      </w:r>
      <w:r>
        <w:rPr>
          <w:rFonts w:ascii="Times New Roman" w:hAnsi="Times New Roman" w:cs="Times New Roman"/>
          <w:b/>
          <w:sz w:val="24"/>
          <w:szCs w:val="24"/>
          <w:lang w:val="en-US"/>
        </w:rPr>
        <w:t xml:space="preserve"> </w:t>
      </w:r>
    </w:p>
    <w:p w:rsidR="001E76B5" w:rsidRDefault="001E76B5" w:rsidP="001E76B5">
      <w:pPr>
        <w:spacing w:after="0"/>
        <w:rPr>
          <w:rFonts w:ascii="Times New Roman" w:hAnsi="Times New Roman" w:cs="Times New Roman"/>
          <w:lang w:val="en-US"/>
        </w:rPr>
      </w:pPr>
    </w:p>
    <w:tbl>
      <w:tblPr>
        <w:tblStyle w:val="Tabellenraster"/>
        <w:tblW w:w="5573" w:type="pct"/>
        <w:tblInd w:w="-519" w:type="dxa"/>
        <w:tblLook w:val="04A0" w:firstRow="1" w:lastRow="0" w:firstColumn="1" w:lastColumn="0" w:noHBand="0" w:noVBand="1"/>
      </w:tblPr>
      <w:tblGrid>
        <w:gridCol w:w="995"/>
        <w:gridCol w:w="1358"/>
        <w:gridCol w:w="796"/>
        <w:gridCol w:w="994"/>
        <w:gridCol w:w="982"/>
        <w:gridCol w:w="1079"/>
        <w:gridCol w:w="1079"/>
        <w:gridCol w:w="1016"/>
        <w:gridCol w:w="1093"/>
        <w:gridCol w:w="709"/>
      </w:tblGrid>
      <w:tr w:rsidR="001E76B5" w:rsidRPr="001D1A52" w:rsidTr="005E7AFD">
        <w:trPr>
          <w:trHeight w:val="317"/>
        </w:trPr>
        <w:tc>
          <w:tcPr>
            <w:tcW w:w="1165" w:type="pct"/>
            <w:gridSpan w:val="2"/>
            <w:vMerge w:val="restart"/>
            <w:hideMark/>
          </w:tcPr>
          <w:p w:rsidR="001E76B5" w:rsidRPr="001D1A52" w:rsidRDefault="001E76B5" w:rsidP="000E65A7">
            <w:pPr>
              <w:rPr>
                <w:rFonts w:ascii="Times New Roman" w:hAnsi="Times New Roman" w:cs="Times New Roman"/>
                <w:lang w:val="en-US"/>
              </w:rPr>
            </w:pPr>
          </w:p>
        </w:tc>
        <w:tc>
          <w:tcPr>
            <w:tcW w:w="3484" w:type="pct"/>
            <w:gridSpan w:val="7"/>
            <w:hideMark/>
          </w:tcPr>
          <w:p w:rsidR="001E76B5" w:rsidRPr="001D1A52" w:rsidRDefault="001E76B5" w:rsidP="000E65A7">
            <w:pPr>
              <w:jc w:val="center"/>
              <w:rPr>
                <w:rFonts w:ascii="Times New Roman" w:hAnsi="Times New Roman" w:cs="Times New Roman"/>
                <w:lang w:val="en-US"/>
              </w:rPr>
            </w:pPr>
            <w:r w:rsidRPr="001D1A52">
              <w:rPr>
                <w:rFonts w:ascii="Times New Roman" w:hAnsi="Times New Roman" w:cs="Times New Roman"/>
                <w:lang w:val="en-US"/>
              </w:rPr>
              <w:t>Site</w:t>
            </w:r>
          </w:p>
        </w:tc>
        <w:tc>
          <w:tcPr>
            <w:tcW w:w="351" w:type="pct"/>
            <w:vMerge w:val="restart"/>
            <w:hideMark/>
          </w:tcPr>
          <w:p w:rsidR="001E76B5" w:rsidRPr="001D1A52" w:rsidRDefault="001E76B5" w:rsidP="000E65A7">
            <w:pPr>
              <w:rPr>
                <w:rFonts w:ascii="Times New Roman" w:hAnsi="Times New Roman" w:cs="Times New Roman"/>
                <w:lang w:val="en-US"/>
              </w:rPr>
            </w:pPr>
            <w:r w:rsidRPr="001D1A52">
              <w:rPr>
                <w:rFonts w:ascii="Times New Roman" w:hAnsi="Times New Roman" w:cs="Times New Roman"/>
                <w:lang w:val="en-US"/>
              </w:rPr>
              <w:t>Total</w:t>
            </w:r>
          </w:p>
        </w:tc>
      </w:tr>
      <w:tr w:rsidR="001E76B5" w:rsidRPr="001D1A52" w:rsidTr="005E7AFD">
        <w:trPr>
          <w:trHeight w:val="317"/>
        </w:trPr>
        <w:tc>
          <w:tcPr>
            <w:tcW w:w="1165" w:type="pct"/>
            <w:gridSpan w:val="2"/>
            <w:vMerge/>
            <w:hideMark/>
          </w:tcPr>
          <w:p w:rsidR="001E76B5" w:rsidRPr="001D1A52" w:rsidRDefault="001E76B5" w:rsidP="000E65A7">
            <w:pPr>
              <w:rPr>
                <w:rFonts w:ascii="Times New Roman" w:hAnsi="Times New Roman" w:cs="Times New Roman"/>
                <w:lang w:val="en-US"/>
              </w:rPr>
            </w:pPr>
          </w:p>
        </w:tc>
        <w:tc>
          <w:tcPr>
            <w:tcW w:w="394" w:type="pct"/>
            <w:hideMark/>
          </w:tcPr>
          <w:p w:rsidR="001E76B5" w:rsidRPr="001D1A52" w:rsidRDefault="001E76B5" w:rsidP="000E65A7">
            <w:pPr>
              <w:rPr>
                <w:rFonts w:ascii="Times New Roman" w:hAnsi="Times New Roman" w:cs="Times New Roman"/>
                <w:lang w:val="en-US"/>
              </w:rPr>
            </w:pPr>
            <w:r w:rsidRPr="001D1A52">
              <w:rPr>
                <w:rFonts w:ascii="Times New Roman" w:hAnsi="Times New Roman" w:cs="Times New Roman"/>
                <w:lang w:val="en-US"/>
              </w:rPr>
              <w:t>Berlin</w:t>
            </w:r>
          </w:p>
        </w:tc>
        <w:tc>
          <w:tcPr>
            <w:tcW w:w="492" w:type="pct"/>
            <w:hideMark/>
          </w:tcPr>
          <w:p w:rsidR="001E76B5" w:rsidRPr="001D1A52" w:rsidRDefault="001E76B5" w:rsidP="000E65A7">
            <w:pPr>
              <w:rPr>
                <w:rFonts w:ascii="Times New Roman" w:hAnsi="Times New Roman" w:cs="Times New Roman"/>
                <w:lang w:val="en-US"/>
              </w:rPr>
            </w:pPr>
            <w:r w:rsidRPr="001D1A52">
              <w:rPr>
                <w:rFonts w:ascii="Times New Roman" w:hAnsi="Times New Roman" w:cs="Times New Roman"/>
                <w:lang w:val="en-US"/>
              </w:rPr>
              <w:t>Bochum</w:t>
            </w:r>
          </w:p>
        </w:tc>
        <w:tc>
          <w:tcPr>
            <w:tcW w:w="486" w:type="pct"/>
            <w:hideMark/>
          </w:tcPr>
          <w:p w:rsidR="001E76B5" w:rsidRPr="001D1A52" w:rsidRDefault="001E76B5" w:rsidP="000E65A7">
            <w:pPr>
              <w:rPr>
                <w:rFonts w:ascii="Times New Roman" w:hAnsi="Times New Roman" w:cs="Times New Roman"/>
                <w:lang w:val="en-US"/>
              </w:rPr>
            </w:pPr>
            <w:r w:rsidRPr="001D1A52">
              <w:rPr>
                <w:rFonts w:ascii="Times New Roman" w:hAnsi="Times New Roman" w:cs="Times New Roman"/>
                <w:lang w:val="en-US"/>
              </w:rPr>
              <w:t>Dresden</w:t>
            </w:r>
          </w:p>
        </w:tc>
        <w:tc>
          <w:tcPr>
            <w:tcW w:w="534" w:type="pct"/>
            <w:hideMark/>
          </w:tcPr>
          <w:p w:rsidR="001E76B5" w:rsidRPr="001D1A52" w:rsidRDefault="001E76B5" w:rsidP="000E65A7">
            <w:pPr>
              <w:rPr>
                <w:rFonts w:ascii="Times New Roman" w:hAnsi="Times New Roman" w:cs="Times New Roman"/>
                <w:lang w:val="en-US"/>
              </w:rPr>
            </w:pPr>
            <w:r w:rsidRPr="001D1A52">
              <w:rPr>
                <w:rFonts w:ascii="Times New Roman" w:hAnsi="Times New Roman" w:cs="Times New Roman"/>
                <w:lang w:val="en-US"/>
              </w:rPr>
              <w:t>Frankfurt</w:t>
            </w:r>
          </w:p>
        </w:tc>
        <w:tc>
          <w:tcPr>
            <w:tcW w:w="534" w:type="pct"/>
            <w:hideMark/>
          </w:tcPr>
          <w:p w:rsidR="001E76B5" w:rsidRPr="001D1A52" w:rsidRDefault="001E76B5" w:rsidP="000E65A7">
            <w:pPr>
              <w:rPr>
                <w:rFonts w:ascii="Times New Roman" w:hAnsi="Times New Roman" w:cs="Times New Roman"/>
                <w:lang w:val="en-US"/>
              </w:rPr>
            </w:pPr>
            <w:r w:rsidRPr="001D1A52">
              <w:rPr>
                <w:rFonts w:ascii="Times New Roman" w:hAnsi="Times New Roman" w:cs="Times New Roman"/>
                <w:lang w:val="en-US"/>
              </w:rPr>
              <w:t>Hamburg</w:t>
            </w:r>
          </w:p>
        </w:tc>
        <w:tc>
          <w:tcPr>
            <w:tcW w:w="503" w:type="pct"/>
            <w:hideMark/>
          </w:tcPr>
          <w:p w:rsidR="001E76B5" w:rsidRPr="001D1A52" w:rsidRDefault="001E76B5" w:rsidP="000E65A7">
            <w:pPr>
              <w:rPr>
                <w:rFonts w:ascii="Times New Roman" w:hAnsi="Times New Roman" w:cs="Times New Roman"/>
                <w:lang w:val="en-US"/>
              </w:rPr>
            </w:pPr>
            <w:r w:rsidRPr="001D1A52">
              <w:rPr>
                <w:rFonts w:ascii="Times New Roman" w:hAnsi="Times New Roman" w:cs="Times New Roman"/>
                <w:lang w:val="en-US"/>
              </w:rPr>
              <w:t>Marburg</w:t>
            </w:r>
          </w:p>
        </w:tc>
        <w:tc>
          <w:tcPr>
            <w:tcW w:w="541" w:type="pct"/>
            <w:hideMark/>
          </w:tcPr>
          <w:p w:rsidR="001E76B5" w:rsidRPr="001D1A52" w:rsidRDefault="001E76B5" w:rsidP="000E65A7">
            <w:pPr>
              <w:rPr>
                <w:rFonts w:ascii="Times New Roman" w:hAnsi="Times New Roman" w:cs="Times New Roman"/>
                <w:lang w:val="en-US"/>
              </w:rPr>
            </w:pPr>
            <w:r w:rsidRPr="001D1A52">
              <w:rPr>
                <w:rFonts w:ascii="Times New Roman" w:hAnsi="Times New Roman" w:cs="Times New Roman"/>
                <w:lang w:val="en-US"/>
              </w:rPr>
              <w:t>Tübingen</w:t>
            </w:r>
          </w:p>
        </w:tc>
        <w:tc>
          <w:tcPr>
            <w:tcW w:w="351" w:type="pct"/>
            <w:vMerge/>
            <w:hideMark/>
          </w:tcPr>
          <w:p w:rsidR="001E76B5" w:rsidRPr="001D1A52" w:rsidRDefault="001E76B5" w:rsidP="000E65A7">
            <w:pPr>
              <w:rPr>
                <w:rFonts w:ascii="Times New Roman" w:hAnsi="Times New Roman" w:cs="Times New Roman"/>
                <w:lang w:val="en-US"/>
              </w:rPr>
            </w:pPr>
          </w:p>
        </w:tc>
      </w:tr>
      <w:tr w:rsidR="001E76B5" w:rsidRPr="009A34F5" w:rsidTr="005E7AFD">
        <w:trPr>
          <w:trHeight w:val="302"/>
        </w:trPr>
        <w:tc>
          <w:tcPr>
            <w:tcW w:w="493" w:type="pct"/>
            <w:vMerge w:val="restart"/>
            <w:hideMark/>
          </w:tcPr>
          <w:p w:rsidR="001E76B5" w:rsidRPr="001D1A52" w:rsidRDefault="001E76B5" w:rsidP="000E65A7">
            <w:pPr>
              <w:rPr>
                <w:rFonts w:ascii="Times New Roman" w:hAnsi="Times New Roman" w:cs="Times New Roman"/>
                <w:lang w:val="en-US"/>
              </w:rPr>
            </w:pPr>
            <w:r w:rsidRPr="001D1A52">
              <w:rPr>
                <w:rFonts w:ascii="Times New Roman" w:hAnsi="Times New Roman" w:cs="Times New Roman"/>
                <w:lang w:val="en-US"/>
              </w:rPr>
              <w:t>BPSS-P criterion</w:t>
            </w:r>
          </w:p>
        </w:tc>
        <w:tc>
          <w:tcPr>
            <w:tcW w:w="672" w:type="pct"/>
            <w:noWrap/>
            <w:hideMark/>
          </w:tcPr>
          <w:p w:rsidR="001E76B5" w:rsidRPr="009A34F5" w:rsidRDefault="001E76B5" w:rsidP="000E65A7">
            <w:pPr>
              <w:rPr>
                <w:rFonts w:ascii="Times New Roman" w:hAnsi="Times New Roman" w:cs="Times New Roman"/>
              </w:rPr>
            </w:pPr>
            <w:r w:rsidRPr="001D1A52">
              <w:rPr>
                <w:rFonts w:ascii="Times New Roman" w:hAnsi="Times New Roman" w:cs="Times New Roman"/>
                <w:lang w:val="en-US"/>
              </w:rPr>
              <w:t>no</w:t>
            </w:r>
            <w:r w:rsidRPr="009A34F5">
              <w:rPr>
                <w:rFonts w:ascii="Times New Roman" w:hAnsi="Times New Roman" w:cs="Times New Roman"/>
              </w:rPr>
              <w:t xml:space="preserve">t </w:t>
            </w:r>
            <w:proofErr w:type="spellStart"/>
            <w:r w:rsidRPr="009A34F5">
              <w:rPr>
                <w:rFonts w:ascii="Times New Roman" w:hAnsi="Times New Roman" w:cs="Times New Roman"/>
              </w:rPr>
              <w:t>fullfilled</w:t>
            </w:r>
            <w:proofErr w:type="spellEnd"/>
          </w:p>
        </w:tc>
        <w:tc>
          <w:tcPr>
            <w:tcW w:w="394"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57</w:t>
            </w:r>
          </w:p>
        </w:tc>
        <w:tc>
          <w:tcPr>
            <w:tcW w:w="492"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7</w:t>
            </w:r>
          </w:p>
        </w:tc>
        <w:tc>
          <w:tcPr>
            <w:tcW w:w="486"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31</w:t>
            </w:r>
          </w:p>
        </w:tc>
        <w:tc>
          <w:tcPr>
            <w:tcW w:w="534"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21</w:t>
            </w:r>
          </w:p>
        </w:tc>
        <w:tc>
          <w:tcPr>
            <w:tcW w:w="534"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21</w:t>
            </w:r>
          </w:p>
        </w:tc>
        <w:tc>
          <w:tcPr>
            <w:tcW w:w="503"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67</w:t>
            </w:r>
          </w:p>
        </w:tc>
        <w:tc>
          <w:tcPr>
            <w:tcW w:w="541"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16</w:t>
            </w:r>
          </w:p>
        </w:tc>
        <w:tc>
          <w:tcPr>
            <w:tcW w:w="351"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220</w:t>
            </w:r>
          </w:p>
        </w:tc>
      </w:tr>
      <w:tr w:rsidR="001E76B5" w:rsidRPr="009A34F5" w:rsidTr="005E7AFD">
        <w:trPr>
          <w:trHeight w:val="302"/>
        </w:trPr>
        <w:tc>
          <w:tcPr>
            <w:tcW w:w="493" w:type="pct"/>
            <w:vMerge/>
            <w:hideMark/>
          </w:tcPr>
          <w:p w:rsidR="001E76B5" w:rsidRPr="009A34F5" w:rsidRDefault="001E76B5" w:rsidP="000E65A7">
            <w:pPr>
              <w:rPr>
                <w:rFonts w:ascii="Times New Roman" w:hAnsi="Times New Roman" w:cs="Times New Roman"/>
              </w:rPr>
            </w:pPr>
          </w:p>
        </w:tc>
        <w:tc>
          <w:tcPr>
            <w:tcW w:w="672" w:type="pct"/>
            <w:noWrap/>
            <w:hideMark/>
          </w:tcPr>
          <w:p w:rsidR="001E76B5" w:rsidRPr="009A34F5" w:rsidRDefault="001E76B5" w:rsidP="000E65A7">
            <w:pPr>
              <w:rPr>
                <w:rFonts w:ascii="Times New Roman" w:hAnsi="Times New Roman" w:cs="Times New Roman"/>
              </w:rPr>
            </w:pPr>
            <w:proofErr w:type="spellStart"/>
            <w:r w:rsidRPr="009A34F5">
              <w:rPr>
                <w:rFonts w:ascii="Times New Roman" w:hAnsi="Times New Roman" w:cs="Times New Roman"/>
              </w:rPr>
              <w:t>fullfilled</w:t>
            </w:r>
            <w:proofErr w:type="spellEnd"/>
          </w:p>
        </w:tc>
        <w:tc>
          <w:tcPr>
            <w:tcW w:w="394"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6</w:t>
            </w:r>
          </w:p>
        </w:tc>
        <w:tc>
          <w:tcPr>
            <w:tcW w:w="492"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1</w:t>
            </w:r>
          </w:p>
        </w:tc>
        <w:tc>
          <w:tcPr>
            <w:tcW w:w="486"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5</w:t>
            </w:r>
          </w:p>
        </w:tc>
        <w:tc>
          <w:tcPr>
            <w:tcW w:w="534"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20</w:t>
            </w:r>
          </w:p>
        </w:tc>
        <w:tc>
          <w:tcPr>
            <w:tcW w:w="534"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13</w:t>
            </w:r>
          </w:p>
        </w:tc>
        <w:tc>
          <w:tcPr>
            <w:tcW w:w="503"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7</w:t>
            </w:r>
          </w:p>
        </w:tc>
        <w:tc>
          <w:tcPr>
            <w:tcW w:w="541"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4</w:t>
            </w:r>
          </w:p>
        </w:tc>
        <w:tc>
          <w:tcPr>
            <w:tcW w:w="351"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56</w:t>
            </w:r>
          </w:p>
        </w:tc>
      </w:tr>
      <w:tr w:rsidR="001E76B5" w:rsidRPr="009A34F5" w:rsidTr="005E7AFD">
        <w:trPr>
          <w:trHeight w:val="302"/>
        </w:trPr>
        <w:tc>
          <w:tcPr>
            <w:tcW w:w="1165" w:type="pct"/>
            <w:gridSpan w:val="2"/>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Total</w:t>
            </w:r>
          </w:p>
        </w:tc>
        <w:tc>
          <w:tcPr>
            <w:tcW w:w="394"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63</w:t>
            </w:r>
          </w:p>
        </w:tc>
        <w:tc>
          <w:tcPr>
            <w:tcW w:w="492"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8</w:t>
            </w:r>
          </w:p>
        </w:tc>
        <w:tc>
          <w:tcPr>
            <w:tcW w:w="486"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36</w:t>
            </w:r>
          </w:p>
        </w:tc>
        <w:tc>
          <w:tcPr>
            <w:tcW w:w="534"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41</w:t>
            </w:r>
          </w:p>
        </w:tc>
        <w:tc>
          <w:tcPr>
            <w:tcW w:w="534"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34</w:t>
            </w:r>
          </w:p>
        </w:tc>
        <w:tc>
          <w:tcPr>
            <w:tcW w:w="503"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74</w:t>
            </w:r>
          </w:p>
        </w:tc>
        <w:tc>
          <w:tcPr>
            <w:tcW w:w="541"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20</w:t>
            </w:r>
          </w:p>
        </w:tc>
        <w:tc>
          <w:tcPr>
            <w:tcW w:w="351" w:type="pct"/>
            <w:noWrap/>
            <w:hideMark/>
          </w:tcPr>
          <w:p w:rsidR="001E76B5" w:rsidRPr="009A34F5" w:rsidRDefault="001E76B5" w:rsidP="000E65A7">
            <w:pPr>
              <w:rPr>
                <w:rFonts w:ascii="Times New Roman" w:hAnsi="Times New Roman" w:cs="Times New Roman"/>
              </w:rPr>
            </w:pPr>
            <w:r w:rsidRPr="009A34F5">
              <w:rPr>
                <w:rFonts w:ascii="Times New Roman" w:hAnsi="Times New Roman" w:cs="Times New Roman"/>
              </w:rPr>
              <w:t>276</w:t>
            </w:r>
          </w:p>
        </w:tc>
      </w:tr>
    </w:tbl>
    <w:p w:rsidR="001E76B5" w:rsidRPr="00FC47D8"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spacing w:after="0"/>
        <w:rPr>
          <w:rFonts w:ascii="Times New Roman" w:hAnsi="Times New Roman" w:cs="Times New Roman"/>
          <w:lang w:val="en-US"/>
        </w:rPr>
      </w:pPr>
    </w:p>
    <w:p w:rsidR="001E76B5" w:rsidRDefault="001E76B5" w:rsidP="001E76B5">
      <w:pPr>
        <w:rPr>
          <w:rFonts w:ascii="Times New Roman" w:hAnsi="Times New Roman" w:cs="Times New Roman"/>
          <w:sz w:val="24"/>
          <w:szCs w:val="24"/>
          <w:lang w:val="en-US"/>
        </w:rPr>
      </w:pPr>
      <w:r>
        <w:rPr>
          <w:rFonts w:ascii="Times New Roman" w:hAnsi="Times New Roman" w:cs="Times New Roman"/>
          <w:b/>
          <w:sz w:val="24"/>
          <w:szCs w:val="24"/>
          <w:lang w:val="en-US"/>
        </w:rPr>
        <w:lastRenderedPageBreak/>
        <w:t>Supplementary table 3</w:t>
      </w:r>
      <w:r w:rsidRPr="00743C41">
        <w:rPr>
          <w:rFonts w:ascii="Times New Roman" w:hAnsi="Times New Roman" w:cs="Times New Roman"/>
          <w:b/>
          <w:sz w:val="24"/>
          <w:szCs w:val="24"/>
          <w:lang w:val="en-US"/>
        </w:rPr>
        <w:t>.</w:t>
      </w:r>
      <w:r>
        <w:rPr>
          <w:rFonts w:ascii="Times New Roman" w:hAnsi="Times New Roman" w:cs="Times New Roman"/>
          <w:sz w:val="24"/>
          <w:szCs w:val="24"/>
          <w:lang w:val="en-US"/>
        </w:rPr>
        <w:t xml:space="preserve"> Ranking of features according to the</w:t>
      </w:r>
      <w:r w:rsidR="00A9211C">
        <w:rPr>
          <w:rFonts w:ascii="Times New Roman" w:hAnsi="Times New Roman" w:cs="Times New Roman"/>
          <w:sz w:val="24"/>
          <w:szCs w:val="24"/>
          <w:lang w:val="en-US"/>
        </w:rPr>
        <w:t>i</w:t>
      </w:r>
      <w:r>
        <w:rPr>
          <w:rFonts w:ascii="Times New Roman" w:hAnsi="Times New Roman" w:cs="Times New Roman"/>
          <w:sz w:val="24"/>
          <w:szCs w:val="24"/>
          <w:lang w:val="en-US"/>
        </w:rPr>
        <w:t>r SVM coefficients.</w:t>
      </w:r>
    </w:p>
    <w:p w:rsidR="00BC08FD" w:rsidRDefault="00BC08FD" w:rsidP="001E76B5">
      <w:pPr>
        <w:rPr>
          <w:rFonts w:ascii="Times New Roman" w:hAnsi="Times New Roman" w:cs="Times New Roman"/>
          <w:sz w:val="24"/>
          <w:szCs w:val="24"/>
          <w:lang w:val="en-US"/>
        </w:rPr>
      </w:pPr>
    </w:p>
    <w:tbl>
      <w:tblPr>
        <w:tblStyle w:val="Tabellenraster"/>
        <w:tblW w:w="0" w:type="auto"/>
        <w:tblLook w:val="04A0" w:firstRow="1" w:lastRow="0" w:firstColumn="1" w:lastColumn="0" w:noHBand="0" w:noVBand="1"/>
      </w:tblPr>
      <w:tblGrid>
        <w:gridCol w:w="3304"/>
        <w:gridCol w:w="2160"/>
      </w:tblGrid>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r w:rsidRPr="00743C41">
              <w:rPr>
                <w:rFonts w:ascii="Times New Roman" w:hAnsi="Times New Roman" w:cs="Times New Roman"/>
                <w:sz w:val="20"/>
                <w:szCs w:val="20"/>
              </w:rPr>
              <w:t>Feature</w:t>
            </w:r>
          </w:p>
        </w:tc>
        <w:tc>
          <w:tcPr>
            <w:tcW w:w="2160" w:type="dxa"/>
            <w:noWrap/>
            <w:hideMark/>
          </w:tcPr>
          <w:p w:rsidR="00BC08FD" w:rsidRPr="00743C41" w:rsidRDefault="00BC08FD" w:rsidP="001B0BE8">
            <w:pPr>
              <w:rPr>
                <w:rFonts w:ascii="Times New Roman" w:hAnsi="Times New Roman" w:cs="Times New Roman"/>
                <w:sz w:val="20"/>
                <w:szCs w:val="20"/>
              </w:rPr>
            </w:pPr>
            <w:r w:rsidRPr="00743C41">
              <w:rPr>
                <w:rFonts w:ascii="Times New Roman" w:hAnsi="Times New Roman" w:cs="Times New Roman"/>
                <w:sz w:val="20"/>
                <w:szCs w:val="20"/>
              </w:rPr>
              <w:t xml:space="preserve">Mean SVM </w:t>
            </w:r>
            <w:proofErr w:type="spellStart"/>
            <w:r w:rsidRPr="00743C41">
              <w:rPr>
                <w:rFonts w:ascii="Times New Roman" w:hAnsi="Times New Roman" w:cs="Times New Roman"/>
                <w:sz w:val="20"/>
                <w:szCs w:val="20"/>
              </w:rPr>
              <w:t>coefficient</w:t>
            </w:r>
            <w:proofErr w:type="spellEnd"/>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lh_precuneus_thickness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1.</w:t>
            </w:r>
            <w:r w:rsidRPr="00743C41">
              <w:rPr>
                <w:rFonts w:ascii="Times New Roman" w:hAnsi="Times New Roman" w:cs="Times New Roman"/>
                <w:sz w:val="20"/>
                <w:szCs w:val="20"/>
              </w:rPr>
              <w:t>783976879</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rh_parstriangularis_thickness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1.</w:t>
            </w:r>
            <w:r w:rsidRPr="00743C41">
              <w:rPr>
                <w:rFonts w:ascii="Times New Roman" w:hAnsi="Times New Roman" w:cs="Times New Roman"/>
                <w:sz w:val="20"/>
                <w:szCs w:val="20"/>
              </w:rPr>
              <w:t>608533374</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rh_fusiform_thickness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928239047</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lh_transversetemporal_thickness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800646946</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rh_superiorfrontal_thickness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789743825</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rh_cuneus_thickness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713079441</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lh_inferiorparietal_thickness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658000082</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lh_parstriangularis_thickness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642315548</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lh_caudalanteriorcingulate_thickness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631354016</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rh_caudalanteriorcingulate_thickness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492421592</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rh_parahippocampal_thickness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471491982</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rh_insula_thickness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431770073</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rh_frontalpole_thickness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420177869</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rh_lateraloccipital_thickness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405688992</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lh_frontalpole_thickness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395092914</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rh_medialorbitofrontal_thickness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391455904</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rh_rostralanteriorcingulate_thickness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382318411</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lh_supramarginal_thickness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359961695</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rh_supramarginal_thickness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3.</w:t>
            </w:r>
            <w:r w:rsidRPr="00743C41">
              <w:rPr>
                <w:rFonts w:ascii="Times New Roman" w:hAnsi="Times New Roman" w:cs="Times New Roman"/>
                <w:sz w:val="20"/>
                <w:szCs w:val="20"/>
              </w:rPr>
              <w:t>40E-01</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lh_inferiortemporal_thickness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292938256</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lh_posteriorcingulate_thickness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267600265</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lh_superiorparietal_thickness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240793864</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lh_parahippocampal_thickness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232690747</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rh_postcentral_thickness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218904162</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rh_pericalcarine_thickness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167581752</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rh_parsopercularis_thickness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156305279</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rh_precentral_thickness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124376678</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lh_temporalpole_thickness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118953415</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rh_lateralorbitofrontal_thickness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03930299</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lh_entorhinal_thickness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027801043</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rh_superiortemporal_thickness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012469632</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lh_bankssts_thickness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009063421</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rh_bankssts_thickness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005956208</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rh_transversetemporal_thickness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00309838</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lh_superiorfrontal_thickness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03653334</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lh_insula_thickness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sidRPr="00743C41">
              <w:rPr>
                <w:rFonts w:ascii="Times New Roman" w:hAnsi="Times New Roman" w:cs="Times New Roman"/>
                <w:sz w:val="20"/>
                <w:szCs w:val="20"/>
              </w:rPr>
              <w:t>-0,04220697</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rh_inferiortemporal_thickness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05566412</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lh_superiortemporal_thickness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05851827</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rh_caudalmiddlefrontal_thickness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07425086</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rh_inferiorparietal_thickness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08364897</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lh_pericalcarine_thickness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08678666</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lh_precentral_thickness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09148176</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lastRenderedPageBreak/>
              <w:t>lh_parsorbitalis_thickness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14161886</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lh_middletemporal_thickness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226009</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lh_isthmuscingulate_thickness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22893125</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lh_cuneus_thickness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26492932</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rh_temporalpole_thickness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27046636</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lh_lateralorbitofrontal_thickness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28265985</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lh_lateraloccipital_thickness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28658943</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lh_medialorbitofrontal_thickness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29211138</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lh_rostralanteriorcingulate_thickness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3898791</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rh_entorhinal_thickness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39351071</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lh_paracentral_thickness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47477732</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lh_caudalmiddlefrontal_thickness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48499482</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lh_fusiform_thickness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51077598</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rh_isthmuscingulate_thickness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51830264</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rh_parsorbitalis_thickness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55182755</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lh_rostralmiddlefrontal_thickness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57001052</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rh_precuneus_thickness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59037961</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rh_lingual_thickness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59452749</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rh_middletemporal_thickness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59767057</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lh_lingual_thickness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60498745</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rh_superiorparietal_thickness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66991654</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rh_rostralmiddlefrontal_thickness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7187164</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lh_parsopercularis_thickness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-0.</w:t>
            </w:r>
            <w:r w:rsidRPr="00743C41">
              <w:rPr>
                <w:rFonts w:ascii="Times New Roman" w:hAnsi="Times New Roman" w:cs="Times New Roman"/>
                <w:sz w:val="20"/>
                <w:szCs w:val="20"/>
              </w:rPr>
              <w:t>84061014</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rh_posteriorcingulate_thickness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-1.</w:t>
            </w:r>
            <w:r w:rsidRPr="00743C41">
              <w:rPr>
                <w:rFonts w:ascii="Times New Roman" w:hAnsi="Times New Roman" w:cs="Times New Roman"/>
                <w:sz w:val="20"/>
                <w:szCs w:val="20"/>
              </w:rPr>
              <w:t>08693179</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lh_postcentral_thickness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-1.</w:t>
            </w:r>
            <w:r w:rsidRPr="00743C41">
              <w:rPr>
                <w:rFonts w:ascii="Times New Roman" w:hAnsi="Times New Roman" w:cs="Times New Roman"/>
                <w:sz w:val="20"/>
                <w:szCs w:val="20"/>
              </w:rPr>
              <w:t>1165027</w:t>
            </w:r>
          </w:p>
        </w:tc>
      </w:tr>
      <w:tr w:rsidR="00BC08FD" w:rsidRPr="00743C41" w:rsidTr="001B0BE8">
        <w:trPr>
          <w:trHeight w:val="300"/>
        </w:trPr>
        <w:tc>
          <w:tcPr>
            <w:tcW w:w="3304" w:type="dxa"/>
            <w:noWrap/>
            <w:hideMark/>
          </w:tcPr>
          <w:p w:rsidR="00BC08FD" w:rsidRPr="00743C41" w:rsidRDefault="00BC08FD" w:rsidP="001B0BE8">
            <w:pPr>
              <w:rPr>
                <w:rFonts w:ascii="Times New Roman" w:hAnsi="Times New Roman" w:cs="Times New Roman"/>
                <w:sz w:val="20"/>
                <w:szCs w:val="20"/>
              </w:rPr>
            </w:pPr>
            <w:proofErr w:type="spellStart"/>
            <w:r w:rsidRPr="00743C41">
              <w:rPr>
                <w:rFonts w:ascii="Times New Roman" w:hAnsi="Times New Roman" w:cs="Times New Roman"/>
                <w:sz w:val="20"/>
                <w:szCs w:val="20"/>
              </w:rPr>
              <w:t>rh_paracentral_thickness</w:t>
            </w:r>
            <w:proofErr w:type="spellEnd"/>
          </w:p>
        </w:tc>
        <w:tc>
          <w:tcPr>
            <w:tcW w:w="2160" w:type="dxa"/>
            <w:noWrap/>
            <w:hideMark/>
          </w:tcPr>
          <w:p w:rsidR="00BC08FD" w:rsidRPr="00743C41" w:rsidRDefault="00BC08FD" w:rsidP="001B0BE8">
            <w:pPr>
              <w:rPr>
                <w:rFonts w:ascii="Times New Roman" w:hAnsi="Times New Roman" w:cs="Times New Roman"/>
                <w:sz w:val="20"/>
                <w:szCs w:val="20"/>
              </w:rPr>
            </w:pPr>
            <w:r>
              <w:rPr>
                <w:rFonts w:ascii="Times New Roman" w:hAnsi="Times New Roman" w:cs="Times New Roman"/>
                <w:sz w:val="20"/>
                <w:szCs w:val="20"/>
              </w:rPr>
              <w:t>-1.</w:t>
            </w:r>
            <w:r w:rsidRPr="00743C41">
              <w:rPr>
                <w:rFonts w:ascii="Times New Roman" w:hAnsi="Times New Roman" w:cs="Times New Roman"/>
                <w:sz w:val="20"/>
                <w:szCs w:val="20"/>
              </w:rPr>
              <w:t>14023448</w:t>
            </w:r>
          </w:p>
        </w:tc>
      </w:tr>
    </w:tbl>
    <w:p w:rsidR="00BC08FD" w:rsidRDefault="00BC08FD" w:rsidP="001E76B5">
      <w:pPr>
        <w:rPr>
          <w:rFonts w:ascii="Times New Roman" w:hAnsi="Times New Roman" w:cs="Times New Roman"/>
          <w:sz w:val="24"/>
          <w:szCs w:val="24"/>
          <w:lang w:val="en-US"/>
        </w:rPr>
      </w:pPr>
    </w:p>
    <w:sectPr w:rsidR="00BC08F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6B5" w:rsidRDefault="001E76B5" w:rsidP="001E76B5">
      <w:pPr>
        <w:spacing w:after="0" w:line="240" w:lineRule="auto"/>
      </w:pPr>
      <w:r>
        <w:separator/>
      </w:r>
    </w:p>
  </w:endnote>
  <w:endnote w:type="continuationSeparator" w:id="0">
    <w:p w:rsidR="001E76B5" w:rsidRDefault="001E76B5" w:rsidP="001E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6B5" w:rsidRDefault="001E76B5" w:rsidP="001E76B5">
      <w:pPr>
        <w:spacing w:after="0" w:line="240" w:lineRule="auto"/>
      </w:pPr>
      <w:r>
        <w:separator/>
      </w:r>
    </w:p>
  </w:footnote>
  <w:footnote w:type="continuationSeparator" w:id="0">
    <w:p w:rsidR="001E76B5" w:rsidRDefault="001E76B5" w:rsidP="001E7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6B5" w:rsidRPr="00654939" w:rsidRDefault="001E76B5" w:rsidP="001E76B5">
    <w:pPr>
      <w:pStyle w:val="Kopfzeile"/>
      <w:rPr>
        <w:sz w:val="20"/>
        <w:szCs w:val="20"/>
        <w:lang w:val="en-US"/>
      </w:rPr>
    </w:pPr>
    <w:r w:rsidRPr="00654939">
      <w:rPr>
        <w:sz w:val="20"/>
        <w:szCs w:val="20"/>
        <w:lang w:val="en-US"/>
      </w:rPr>
      <w:t xml:space="preserve">Mikolas et al.: Supplemental </w:t>
    </w:r>
    <w:r w:rsidR="00654939" w:rsidRPr="00654939">
      <w:rPr>
        <w:sz w:val="20"/>
        <w:szCs w:val="20"/>
        <w:lang w:val="en-US"/>
      </w:rPr>
      <w:t>Material</w:t>
    </w:r>
    <w:r w:rsidR="00835870">
      <w:rPr>
        <w:sz w:val="20"/>
        <w:szCs w:val="20"/>
        <w:lang w:val="en-US"/>
      </w:rPr>
      <w:t>s</w:t>
    </w:r>
    <w:r w:rsidRPr="00654939">
      <w:rPr>
        <w:sz w:val="20"/>
        <w:szCs w:val="20"/>
        <w:lang w:val="en-US"/>
      </w:rPr>
      <w:t xml:space="preserve"> </w:t>
    </w:r>
  </w:p>
  <w:p w:rsidR="001E76B5" w:rsidRPr="00654939" w:rsidRDefault="001E76B5">
    <w:pPr>
      <w:pStyle w:val="Kopfzeil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6B5"/>
    <w:rsid w:val="001E76B5"/>
    <w:rsid w:val="0024053B"/>
    <w:rsid w:val="0026066E"/>
    <w:rsid w:val="00277D36"/>
    <w:rsid w:val="00310BCD"/>
    <w:rsid w:val="003A691A"/>
    <w:rsid w:val="003E00DB"/>
    <w:rsid w:val="004129DC"/>
    <w:rsid w:val="004133BC"/>
    <w:rsid w:val="00492F1E"/>
    <w:rsid w:val="005940C0"/>
    <w:rsid w:val="005963B7"/>
    <w:rsid w:val="005D60B9"/>
    <w:rsid w:val="005E7AFD"/>
    <w:rsid w:val="00641B51"/>
    <w:rsid w:val="00654939"/>
    <w:rsid w:val="0066072E"/>
    <w:rsid w:val="006B639D"/>
    <w:rsid w:val="00835870"/>
    <w:rsid w:val="00854622"/>
    <w:rsid w:val="008A124A"/>
    <w:rsid w:val="008A5F6A"/>
    <w:rsid w:val="008E0267"/>
    <w:rsid w:val="009616F7"/>
    <w:rsid w:val="009657CD"/>
    <w:rsid w:val="00A743DD"/>
    <w:rsid w:val="00A9211C"/>
    <w:rsid w:val="00A92D88"/>
    <w:rsid w:val="00B22A65"/>
    <w:rsid w:val="00B25ADA"/>
    <w:rsid w:val="00BC08FD"/>
    <w:rsid w:val="00D27E9A"/>
    <w:rsid w:val="00D807EC"/>
    <w:rsid w:val="00D9239D"/>
    <w:rsid w:val="00E80540"/>
    <w:rsid w:val="00E84682"/>
    <w:rsid w:val="00F35CE8"/>
    <w:rsid w:val="00FB6885"/>
    <w:rsid w:val="00FB7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5CDB"/>
  <w15:chartTrackingRefBased/>
  <w15:docId w15:val="{11451458-5BC3-40D4-9739-48C71FAE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76B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E7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E76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76B5"/>
  </w:style>
  <w:style w:type="paragraph" w:styleId="Fuzeile">
    <w:name w:val="footer"/>
    <w:basedOn w:val="Standard"/>
    <w:link w:val="FuzeileZchn"/>
    <w:uiPriority w:val="99"/>
    <w:unhideWhenUsed/>
    <w:rsid w:val="001E76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76B5"/>
  </w:style>
  <w:style w:type="paragraph" w:styleId="Sprechblasentext">
    <w:name w:val="Balloon Text"/>
    <w:basedOn w:val="Standard"/>
    <w:link w:val="SprechblasentextZchn"/>
    <w:uiPriority w:val="99"/>
    <w:semiHidden/>
    <w:unhideWhenUsed/>
    <w:rsid w:val="008E02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02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3575</Words>
  <Characters>22524</Characters>
  <Application>Microsoft Office Word</Application>
  <DocSecurity>0</DocSecurity>
  <Lines>187</Lines>
  <Paragraphs>52</Paragraphs>
  <ScaleCrop>false</ScaleCrop>
  <HeadingPairs>
    <vt:vector size="2" baseType="variant">
      <vt:variant>
        <vt:lpstr>Titel</vt:lpstr>
      </vt:variant>
      <vt:variant>
        <vt:i4>1</vt:i4>
      </vt:variant>
    </vt:vector>
  </HeadingPairs>
  <TitlesOfParts>
    <vt:vector size="1" baseType="lpstr">
      <vt:lpstr/>
    </vt:vector>
  </TitlesOfParts>
  <Company>UKD</Company>
  <LinksUpToDate>false</LinksUpToDate>
  <CharactersWithSpaces>26047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Mikolas, Pavol</dc:creator>
  <cp:keywords/>
  <dc:description/>
  <cp:lastModifiedBy>Mikolas, Pavol</cp:lastModifiedBy>
  <cp:revision>2</cp:revision>
  <dcterms:created xsi:type="dcterms:W3CDTF">2023-01-20T11:13:00Z</dcterms:created>
  <dcterms:modified xsi:type="dcterms:W3CDTF">2023-01-20T11:13:00Z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id="n3S91FQX"/&gt;&lt;style id="http://www.zotero.org/styles/psychological-medicine" hasBibliography="1" bibliographyStyleHasBeenSet="0"/&gt;&lt;prefs&gt;&lt;pref name="fieldType" value="Field"/&gt;&lt;pref name="automaticJo</vt:lpwstr>
  </property>
  <property fmtid="{D5CDD505-2E9C-101B-9397-08002B2CF9AE}" pid="3" name="ZOTERO_PREF_2">
    <vt:lpwstr>urnalAbbreviations" value="true"/&gt;&lt;/prefs&gt;&lt;/data&gt;</vt:lpwstr>
  </property>
</Properties>
</file>