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0DB8" w14:textId="71DB6FD4" w:rsidR="00275405" w:rsidRPr="00275405" w:rsidRDefault="00275405" w:rsidP="00275405">
      <w:pPr>
        <w:pStyle w:val="berschrift2"/>
        <w:jc w:val="center"/>
        <w:rPr>
          <w:sz w:val="28"/>
          <w:szCs w:val="28"/>
        </w:rPr>
      </w:pPr>
      <w:r w:rsidRPr="00275405">
        <w:rPr>
          <w:sz w:val="28"/>
          <w:szCs w:val="28"/>
        </w:rPr>
        <w:t>Supplementary Material</w:t>
      </w:r>
    </w:p>
    <w:p w14:paraId="704DB057" w14:textId="0172315E" w:rsidR="00C54DCD" w:rsidRDefault="005E5953" w:rsidP="005E5953">
      <w:pPr>
        <w:pStyle w:val="berschrift2"/>
        <w:jc w:val="center"/>
      </w:pPr>
      <w:r>
        <w:t>Additional</w:t>
      </w:r>
      <w:r w:rsidR="00C54DCD">
        <w:t xml:space="preserve"> information on the samples</w:t>
      </w:r>
    </w:p>
    <w:p w14:paraId="469B1D31" w14:textId="4485E41A" w:rsidR="00C54DCD" w:rsidRPr="00040EE2" w:rsidRDefault="00940182" w:rsidP="00C54DCD">
      <w:pPr>
        <w:pStyle w:val="berschrift2"/>
        <w:rPr>
          <w:i/>
          <w:iCs/>
        </w:rPr>
      </w:pPr>
      <w:r>
        <w:rPr>
          <w:i/>
          <w:iCs/>
        </w:rPr>
        <w:t>Somatoform disorder</w:t>
      </w:r>
    </w:p>
    <w:p w14:paraId="4AE35788" w14:textId="381D4288" w:rsidR="005E5953" w:rsidRDefault="005E5953" w:rsidP="005E5953">
      <w:pPr>
        <w:pStyle w:val="Literaturverzeichnis1"/>
        <w:ind w:left="0" w:firstLine="567"/>
        <w:rPr>
          <w:lang w:val="en-US"/>
        </w:rPr>
      </w:pPr>
      <w:r>
        <w:rPr>
          <w:lang w:val="en-US"/>
        </w:rPr>
        <w:t>In addition to the diagnosis of a SFD, f</w:t>
      </w:r>
      <w:r w:rsidR="00C54DCD" w:rsidRPr="00040EE2">
        <w:rPr>
          <w:lang w:val="en-US"/>
        </w:rPr>
        <w:t>urther inclusion criteria were: 18-69 years old; sufficiently good German language skills. People were excluded if they had a</w:t>
      </w:r>
      <w:r w:rsidR="00C54DCD">
        <w:rPr>
          <w:lang w:val="en-US"/>
        </w:rPr>
        <w:t>n</w:t>
      </w:r>
      <w:r w:rsidR="00C54DCD" w:rsidRPr="00040EE2">
        <w:rPr>
          <w:lang w:val="en-US"/>
        </w:rPr>
        <w:t xml:space="preserve"> acute life-threatening illness. Comorbid mental disorders were not excluded as long as somatic complaints were the primary diagnosis</w:t>
      </w:r>
      <w:r w:rsidR="00C54DCD" w:rsidRPr="00A36CD2">
        <w:rPr>
          <w:rStyle w:val="Funotenzeichen"/>
        </w:rPr>
        <w:footnoteReference w:id="1"/>
      </w:r>
      <w:r w:rsidR="00C54DCD" w:rsidRPr="00040EE2">
        <w:rPr>
          <w:lang w:val="en-US"/>
        </w:rPr>
        <w:t>. Participants were recruited in two university psychotherapeutic outpatient clinics (</w:t>
      </w:r>
      <w:r w:rsidR="00C54DCD" w:rsidRPr="00040EE2">
        <w:rPr>
          <w:i/>
          <w:iCs/>
          <w:lang w:val="en-US"/>
        </w:rPr>
        <w:t>n</w:t>
      </w:r>
      <w:r w:rsidR="00C54DCD" w:rsidRPr="00040EE2">
        <w:rPr>
          <w:lang w:val="en-US"/>
        </w:rPr>
        <w:t xml:space="preserve"> = </w:t>
      </w:r>
      <w:r w:rsidR="00C54DCD" w:rsidRPr="00B31091">
        <w:rPr>
          <w:lang w:val="en-US"/>
        </w:rPr>
        <w:t>4</w:t>
      </w:r>
      <w:r w:rsidR="00C54DCD">
        <w:rPr>
          <w:lang w:val="en-US"/>
        </w:rPr>
        <w:t>6</w:t>
      </w:r>
      <w:r w:rsidR="00C54DCD" w:rsidRPr="00B31091">
        <w:rPr>
          <w:lang w:val="en-US"/>
        </w:rPr>
        <w:t xml:space="preserve"> a</w:t>
      </w:r>
      <w:r w:rsidR="00C54DCD" w:rsidRPr="00040EE2">
        <w:rPr>
          <w:lang w:val="en-US"/>
        </w:rPr>
        <w:t xml:space="preserve">nd </w:t>
      </w:r>
      <w:r w:rsidR="00C54DCD" w:rsidRPr="00040EE2">
        <w:rPr>
          <w:i/>
          <w:iCs/>
          <w:lang w:val="en-US"/>
        </w:rPr>
        <w:t>n</w:t>
      </w:r>
      <w:r w:rsidR="00C54DCD" w:rsidRPr="00040EE2">
        <w:rPr>
          <w:lang w:val="en-US"/>
        </w:rPr>
        <w:t xml:space="preserve"> = 5) as well as via flyers and public posts in private psychotherapeutic clinics and self-help groups (</w:t>
      </w:r>
      <w:r w:rsidR="00C54DCD" w:rsidRPr="00040EE2">
        <w:rPr>
          <w:i/>
          <w:iCs/>
          <w:lang w:val="en-US"/>
        </w:rPr>
        <w:t>n</w:t>
      </w:r>
      <w:r w:rsidR="00C54DCD" w:rsidRPr="00040EE2">
        <w:rPr>
          <w:lang w:val="en-US"/>
        </w:rPr>
        <w:t xml:space="preserve"> = 10). One person had to be excluded due to diagnostic failure. Thus, the sample of people with </w:t>
      </w:r>
      <w:r w:rsidR="00846F63">
        <w:rPr>
          <w:lang w:val="en-US"/>
        </w:rPr>
        <w:t>SFD</w:t>
      </w:r>
      <w:r w:rsidR="00C54DCD" w:rsidRPr="00040EE2">
        <w:rPr>
          <w:lang w:val="en-US"/>
        </w:rPr>
        <w:t xml:space="preserve"> consisted of </w:t>
      </w:r>
      <w:r w:rsidR="00C54DCD" w:rsidRPr="00040EE2">
        <w:rPr>
          <w:i/>
          <w:iCs/>
          <w:lang w:val="en-US"/>
        </w:rPr>
        <w:t>N</w:t>
      </w:r>
      <w:r w:rsidR="00C54DCD" w:rsidRPr="00040EE2">
        <w:rPr>
          <w:lang w:val="en-US"/>
        </w:rPr>
        <w:t xml:space="preserve"> = 6</w:t>
      </w:r>
      <w:r w:rsidR="00C54DCD">
        <w:rPr>
          <w:lang w:val="en-US"/>
        </w:rPr>
        <w:t>0</w:t>
      </w:r>
      <w:r w:rsidR="00C54DCD" w:rsidRPr="00040EE2">
        <w:rPr>
          <w:lang w:val="en-US"/>
        </w:rPr>
        <w:t xml:space="preserve"> people. </w:t>
      </w:r>
      <w:r>
        <w:rPr>
          <w:lang w:val="en-US"/>
        </w:rPr>
        <w:t>About half of the sample (51.7%) met the criteria of a persistent somatoform pain disorder (F45.40) or chronic pain with somatic and psychological factors (F45.41); another 13.3% met the criteria of the u</w:t>
      </w:r>
      <w:r w:rsidRPr="00820436">
        <w:rPr>
          <w:lang w:val="en-US"/>
        </w:rPr>
        <w:t>ndifferentiated somatoform disorder</w:t>
      </w:r>
      <w:r>
        <w:rPr>
          <w:lang w:val="en-US"/>
        </w:rPr>
        <w:t xml:space="preserve"> (F45.1); 11.6% the h</w:t>
      </w:r>
      <w:r w:rsidRPr="00820436">
        <w:rPr>
          <w:lang w:val="en-US"/>
        </w:rPr>
        <w:t>ypochondriacal disorder</w:t>
      </w:r>
      <w:r>
        <w:rPr>
          <w:lang w:val="en-US"/>
        </w:rPr>
        <w:t xml:space="preserve"> (F45.2); 8.3% the somatization disorder (F45.0); 8.3% the somatoform autonomic dysfunction (F45.3); and 3.3% other somatoform disorders (F.45.8). About two third (65.0%) had at least one comorbid diagnosis, with major depression being the most frequent comorbid mental disorder (40% of the entire SFD sample).</w:t>
      </w:r>
    </w:p>
    <w:p w14:paraId="72C50FC1" w14:textId="77777777" w:rsidR="00C54DCD" w:rsidRPr="00040EE2" w:rsidRDefault="00C54DCD" w:rsidP="00C54DCD">
      <w:pPr>
        <w:pStyle w:val="berschrift2"/>
        <w:rPr>
          <w:i/>
          <w:iCs/>
        </w:rPr>
      </w:pPr>
      <w:r w:rsidRPr="00040EE2">
        <w:rPr>
          <w:i/>
          <w:iCs/>
        </w:rPr>
        <w:t>Depression</w:t>
      </w:r>
    </w:p>
    <w:p w14:paraId="0CFA5B7F" w14:textId="0880D529" w:rsidR="00C54DCD" w:rsidRPr="00040EE2" w:rsidRDefault="00C54DCD" w:rsidP="00C54DCD">
      <w:r w:rsidRPr="00040EE2">
        <w:t xml:space="preserve">In terms of a clinical control group, we examined people with a diagnosed major depressive disorder as assessed with the SCID interview according to DSM-IV. Further inclusion criteria were: age 18-69; sufficient German language skills. Participants were excluded if they had a diagnosed somatoform disorder as a comorbid diagnosis. We recruited </w:t>
      </w:r>
      <w:r w:rsidRPr="00040EE2">
        <w:lastRenderedPageBreak/>
        <w:t xml:space="preserve">33 people with major depression from one university outpatient clinic, of whom one person had to be excluded due to diagnostic failure. The mean age of the 32 persons from the clinical control group was </w:t>
      </w:r>
      <w:r w:rsidRPr="00040EE2">
        <w:rPr>
          <w:i/>
          <w:iCs/>
        </w:rPr>
        <w:t>M</w:t>
      </w:r>
      <w:r w:rsidRPr="00040EE2">
        <w:rPr>
          <w:vertAlign w:val="subscript"/>
        </w:rPr>
        <w:t xml:space="preserve"> </w:t>
      </w:r>
      <w:r w:rsidRPr="00040EE2">
        <w:t>= 42.22 ± 9.74 years, 78.1% were female. Of these, 37.5% had a major depressive episode as the primary diagnosis, and 62.5% a recurrent major depressive disorder. Further, 31.2% of the sample had at least one comorbid diagnosis, with similar frequencies of anxiety disorders, eating disorders, and personality disorders.</w:t>
      </w:r>
    </w:p>
    <w:p w14:paraId="7B94DEB1" w14:textId="77777777" w:rsidR="00C54DCD" w:rsidRPr="00040EE2" w:rsidRDefault="00C54DCD" w:rsidP="00C54DCD">
      <w:pPr>
        <w:pStyle w:val="berschrift2"/>
        <w:rPr>
          <w:i/>
          <w:iCs/>
        </w:rPr>
      </w:pPr>
      <w:r w:rsidRPr="00040EE2">
        <w:rPr>
          <w:i/>
          <w:iCs/>
        </w:rPr>
        <w:t>Healthy control group</w:t>
      </w:r>
    </w:p>
    <w:p w14:paraId="0A62C430" w14:textId="6BA5EEB8" w:rsidR="00E879B6" w:rsidRDefault="00C54DCD" w:rsidP="00E879B6">
      <w:r w:rsidRPr="00040EE2">
        <w:t xml:space="preserve">People were included in the healthy control group if they were between 18 and 69 years old, had sufficient German language skills, and did not meet the criteria of any current mental disorder as assessed with a SCID interview according to DSM-IV. For the healthy control group, we recruited 38 people. Of these, one person was excluded as a statistical outlier </w:t>
      </w:r>
      <w:r>
        <w:t xml:space="preserve">on the primary outcome </w:t>
      </w:r>
      <w:r w:rsidRPr="00040EE2">
        <w:t xml:space="preserve">(i.e., &gt; 3 </w:t>
      </w:r>
      <w:r w:rsidRPr="00040EE2">
        <w:rPr>
          <w:i/>
          <w:iCs/>
        </w:rPr>
        <w:t xml:space="preserve">SD </w:t>
      </w:r>
      <w:r w:rsidRPr="00040EE2">
        <w:t>above/below the mean). The mean age of the healthy control</w:t>
      </w:r>
      <w:r>
        <w:t xml:space="preserve"> group</w:t>
      </w:r>
      <w:r w:rsidRPr="00040EE2">
        <w:t xml:space="preserve"> (</w:t>
      </w:r>
      <w:r w:rsidRPr="00040EE2">
        <w:rPr>
          <w:i/>
          <w:iCs/>
        </w:rPr>
        <w:t>n</w:t>
      </w:r>
      <w:r w:rsidRPr="00040EE2">
        <w:t xml:space="preserve"> = 37) was </w:t>
      </w:r>
      <w:r w:rsidRPr="00040EE2">
        <w:rPr>
          <w:i/>
          <w:iCs/>
        </w:rPr>
        <w:t>M</w:t>
      </w:r>
      <w:r w:rsidRPr="00040EE2">
        <w:rPr>
          <w:vertAlign w:val="subscript"/>
        </w:rPr>
        <w:t xml:space="preserve"> </w:t>
      </w:r>
      <w:r w:rsidRPr="00040EE2">
        <w:t>= 41.78 ± 11.26 years, 70.3% were female.</w:t>
      </w:r>
    </w:p>
    <w:p w14:paraId="016005E2" w14:textId="2F3C8968" w:rsidR="00E879B6" w:rsidRDefault="00E879B6" w:rsidP="00E879B6">
      <w:pPr>
        <w:pStyle w:val="berschrift2"/>
      </w:pPr>
      <w:r>
        <w:t>Differences between samples</w:t>
      </w:r>
    </w:p>
    <w:p w14:paraId="49BF5356" w14:textId="3D5213F5" w:rsidR="00E879B6" w:rsidRPr="00E879B6" w:rsidRDefault="00E879B6" w:rsidP="00E879B6">
      <w:r>
        <w:t xml:space="preserve">The three samples did not differ in sociodemographic variables, except for educational degrees (with higher educational degrees in the healthy control group than in the two clinical samples) and employment status (with more disabled people in the SFD sample than in the two control samples). The SFD group and the clinical control group did not differ in their somatic symptom burden (although both groups had significantly higher burden than the healthy sample). However, patients with SFD showed more excessive and disproportionate thoughts, feelings, and behaviors associated with somatic complaints than patients with depression. </w:t>
      </w:r>
    </w:p>
    <w:p w14:paraId="63D9CEBF" w14:textId="3BD7BB6C" w:rsidR="005E5953" w:rsidRDefault="00EF0F0F" w:rsidP="005E5953">
      <w:pPr>
        <w:pStyle w:val="berschrift2"/>
        <w:jc w:val="center"/>
      </w:pPr>
      <w:r>
        <w:t>Detailed</w:t>
      </w:r>
      <w:r w:rsidR="005E5953">
        <w:t xml:space="preserve"> results</w:t>
      </w:r>
      <w:r w:rsidR="00A36CD2">
        <w:t xml:space="preserve"> for the degree of concern as a function of likelihood framing</w:t>
      </w:r>
    </w:p>
    <w:p w14:paraId="28EB8422" w14:textId="77777777" w:rsidR="0074212B" w:rsidRDefault="0074212B" w:rsidP="0074212B">
      <w:pPr>
        <w:rPr>
          <w:rFonts w:cs="Times New Roman"/>
        </w:rPr>
      </w:pPr>
      <w:r w:rsidRPr="002373CC">
        <w:rPr>
          <w:rFonts w:cs="Times New Roman"/>
          <w:b/>
          <w:bCs/>
          <w:i/>
          <w:iCs/>
          <w:lang w:val="en-GB"/>
        </w:rPr>
        <w:t>1:10,000 vs.</w:t>
      </w:r>
      <w:r>
        <w:rPr>
          <w:rFonts w:cs="Times New Roman"/>
          <w:b/>
          <w:bCs/>
          <w:i/>
          <w:iCs/>
          <w:lang w:val="en-GB"/>
        </w:rPr>
        <w:t xml:space="preserve"> </w:t>
      </w:r>
      <w:r w:rsidRPr="002373CC">
        <w:rPr>
          <w:rFonts w:cs="Times New Roman"/>
          <w:b/>
          <w:bCs/>
          <w:i/>
          <w:iCs/>
          <w:lang w:val="en-GB"/>
        </w:rPr>
        <w:t xml:space="preserve">0.01% vs. </w:t>
      </w:r>
      <w:r>
        <w:rPr>
          <w:rFonts w:cs="Times New Roman"/>
          <w:b/>
          <w:bCs/>
          <w:i/>
          <w:iCs/>
          <w:lang w:val="en-GB"/>
        </w:rPr>
        <w:sym w:font="Symbol" w:char="F0D8"/>
      </w:r>
      <w:r>
        <w:rPr>
          <w:rFonts w:cs="Times New Roman"/>
          <w:b/>
          <w:bCs/>
          <w:i/>
          <w:iCs/>
          <w:lang w:val="en-GB"/>
        </w:rPr>
        <w:t xml:space="preserve"> </w:t>
      </w:r>
      <w:r w:rsidRPr="002373CC">
        <w:rPr>
          <w:rFonts w:cs="Times New Roman"/>
          <w:b/>
          <w:bCs/>
          <w:i/>
          <w:iCs/>
          <w:lang w:val="en-GB"/>
        </w:rPr>
        <w:t>99.99%.</w:t>
      </w:r>
      <w:r>
        <w:rPr>
          <w:rFonts w:cs="Times New Roman"/>
          <w:lang w:val="en-GB"/>
        </w:rPr>
        <w:t xml:space="preserve"> </w:t>
      </w:r>
      <w:r w:rsidRPr="009B72A7">
        <w:rPr>
          <w:rFonts w:cs="Times New Roman"/>
          <w:lang w:val="en-GB"/>
        </w:rPr>
        <w:t xml:space="preserve">The </w:t>
      </w:r>
      <w:r>
        <w:rPr>
          <w:rFonts w:cs="Times New Roman"/>
          <w:lang w:val="en-GB"/>
        </w:rPr>
        <w:t>ANOVA indicated a significant main effect for the presentation form</w:t>
      </w:r>
      <w:r w:rsidRPr="009B72A7">
        <w:rPr>
          <w:rFonts w:cs="Times New Roman"/>
          <w:lang w:val="en-GB"/>
        </w:rPr>
        <w:t xml:space="preserve">, </w:t>
      </w:r>
      <w:r w:rsidRPr="009B72A7">
        <w:rPr>
          <w:rFonts w:cs="Times New Roman"/>
          <w:i/>
        </w:rPr>
        <w:t>F</w:t>
      </w:r>
      <w:r w:rsidRPr="009B72A7">
        <w:rPr>
          <w:rFonts w:cs="Times New Roman"/>
        </w:rPr>
        <w:t xml:space="preserve">(2, </w:t>
      </w:r>
      <w:r>
        <w:rPr>
          <w:rFonts w:cs="Times New Roman"/>
        </w:rPr>
        <w:t>252</w:t>
      </w:r>
      <w:r w:rsidRPr="009B72A7">
        <w:rPr>
          <w:rFonts w:cs="Times New Roman"/>
        </w:rPr>
        <w:t xml:space="preserve">) = </w:t>
      </w:r>
      <w:r>
        <w:rPr>
          <w:rFonts w:cs="Times New Roman"/>
        </w:rPr>
        <w:t>23.556</w:t>
      </w:r>
      <w:r w:rsidRPr="009B72A7">
        <w:rPr>
          <w:rFonts w:cs="Times New Roman"/>
        </w:rPr>
        <w:t xml:space="preserve">, </w:t>
      </w:r>
      <w:r w:rsidRPr="009B72A7">
        <w:rPr>
          <w:rFonts w:cs="Times New Roman"/>
          <w:i/>
        </w:rPr>
        <w:t xml:space="preserve">p </w:t>
      </w:r>
      <w:r>
        <w:rPr>
          <w:rFonts w:cs="Times New Roman"/>
        </w:rPr>
        <w:t>&lt;</w:t>
      </w:r>
      <w:r w:rsidRPr="009B72A7">
        <w:rPr>
          <w:rFonts w:cs="Times New Roman"/>
        </w:rPr>
        <w:t xml:space="preserve"> .</w:t>
      </w:r>
      <w:r>
        <w:rPr>
          <w:rFonts w:cs="Times New Roman"/>
        </w:rPr>
        <w:t>001</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158</w:t>
      </w:r>
      <w:r w:rsidRPr="009B72A7">
        <w:rPr>
          <w:rFonts w:cs="Times New Roman"/>
        </w:rPr>
        <w:t xml:space="preserve">, 95% </w:t>
      </w:r>
      <w:r w:rsidRPr="00C262FD">
        <w:rPr>
          <w:rFonts w:cs="Times New Roman"/>
        </w:rPr>
        <w:t>CI [.080, .235],</w:t>
      </w:r>
      <w:r>
        <w:rPr>
          <w:rFonts w:cs="Times New Roman"/>
        </w:rPr>
        <w:t xml:space="preserve"> with the </w:t>
      </w:r>
      <w:r>
        <w:rPr>
          <w:rFonts w:cs="Times New Roman"/>
        </w:rPr>
        <w:lastRenderedPageBreak/>
        <w:t>likelihood of 99.99% for the absence of a serious disease causing less concern than the likelihood of 1:10,</w:t>
      </w:r>
      <w:r w:rsidRPr="00AA1315">
        <w:rPr>
          <w:rFonts w:cs="Times New Roman"/>
        </w:rPr>
        <w:t xml:space="preserve">000, </w:t>
      </w:r>
      <w:r w:rsidRPr="00AA1315">
        <w:rPr>
          <w:i/>
        </w:rPr>
        <w:t>t</w:t>
      </w:r>
      <w:r w:rsidRPr="00AA1315">
        <w:t xml:space="preserve">(129) = 7.242, </w:t>
      </w:r>
      <w:r w:rsidRPr="00AA1315">
        <w:rPr>
          <w:i/>
        </w:rPr>
        <w:t>p</w:t>
      </w:r>
      <w:r w:rsidRPr="00AA1315">
        <w:t xml:space="preserve"> &lt; .001, </w:t>
      </w:r>
      <w:r w:rsidRPr="00AA1315">
        <w:rPr>
          <w:i/>
        </w:rPr>
        <w:t>d</w:t>
      </w:r>
      <w:r w:rsidRPr="00AA1315">
        <w:t xml:space="preserve"> = 0.635, 95% CI [0.446, 0.823] an 0.01% for its presence, </w:t>
      </w:r>
      <w:r w:rsidRPr="00AA1315">
        <w:rPr>
          <w:i/>
        </w:rPr>
        <w:t>t</w:t>
      </w:r>
      <w:r w:rsidRPr="00AA1315">
        <w:t xml:space="preserve">(129) = 5.276, </w:t>
      </w:r>
      <w:r w:rsidRPr="00AA1315">
        <w:rPr>
          <w:i/>
        </w:rPr>
        <w:t>p</w:t>
      </w:r>
      <w:r w:rsidRPr="00AA1315">
        <w:t xml:space="preserve"> &lt; .001, </w:t>
      </w:r>
      <w:r w:rsidRPr="00AA1315">
        <w:rPr>
          <w:i/>
        </w:rPr>
        <w:t>d</w:t>
      </w:r>
      <w:r w:rsidRPr="00AA1315">
        <w:t xml:space="preserve"> = 0.463, 95% CI [0.281, 0.643]. The degree of concern caused by the presentation form 1:10,000 was not different from 0.01%, </w:t>
      </w:r>
      <w:r w:rsidRPr="00AA1315">
        <w:rPr>
          <w:i/>
        </w:rPr>
        <w:t>t</w:t>
      </w:r>
      <w:r w:rsidRPr="00AA1315">
        <w:t xml:space="preserve">(129) = 1.747, </w:t>
      </w:r>
      <w:r w:rsidRPr="00AA1315">
        <w:rPr>
          <w:i/>
        </w:rPr>
        <w:t>p</w:t>
      </w:r>
      <w:r w:rsidRPr="00AA1315">
        <w:t xml:space="preserve"> = .083, </w:t>
      </w:r>
      <w:r w:rsidRPr="00AA1315">
        <w:rPr>
          <w:i/>
        </w:rPr>
        <w:t>d</w:t>
      </w:r>
      <w:r w:rsidRPr="00AA1315">
        <w:t xml:space="preserve"> = 0.153, 95% CI [-.020, 0.326].</w:t>
      </w:r>
      <w:r>
        <w:t xml:space="preserve"> The sample by presentation form interaction was not significant, </w:t>
      </w:r>
      <w:r w:rsidRPr="009B72A7">
        <w:rPr>
          <w:rFonts w:cs="Times New Roman"/>
          <w:i/>
        </w:rPr>
        <w:t>F</w:t>
      </w:r>
      <w:r w:rsidRPr="009B72A7">
        <w:rPr>
          <w:rFonts w:cs="Times New Roman"/>
        </w:rPr>
        <w:t>(</w:t>
      </w:r>
      <w:r>
        <w:rPr>
          <w:rFonts w:cs="Times New Roman"/>
        </w:rPr>
        <w:t>4</w:t>
      </w:r>
      <w:r w:rsidRPr="009B72A7">
        <w:rPr>
          <w:rFonts w:cs="Times New Roman"/>
        </w:rPr>
        <w:t xml:space="preserve">, </w:t>
      </w:r>
      <w:r>
        <w:rPr>
          <w:rFonts w:cs="Times New Roman"/>
        </w:rPr>
        <w:t>252</w:t>
      </w:r>
      <w:r w:rsidRPr="009B72A7">
        <w:rPr>
          <w:rFonts w:cs="Times New Roman"/>
        </w:rPr>
        <w:t xml:space="preserve">) = </w:t>
      </w:r>
      <w:r>
        <w:rPr>
          <w:rFonts w:cs="Times New Roman"/>
        </w:rPr>
        <w:t>1.044</w:t>
      </w:r>
      <w:r w:rsidRPr="009B72A7">
        <w:rPr>
          <w:rFonts w:cs="Times New Roman"/>
        </w:rPr>
        <w:t xml:space="preserve">, </w:t>
      </w:r>
      <w:r w:rsidRPr="009B72A7">
        <w:rPr>
          <w:rFonts w:cs="Times New Roman"/>
          <w:i/>
        </w:rPr>
        <w:t xml:space="preserve">p </w:t>
      </w:r>
      <w:r>
        <w:rPr>
          <w:rFonts w:cs="Times New Roman"/>
        </w:rPr>
        <w:t>=</w:t>
      </w:r>
      <w:r w:rsidRPr="009B72A7">
        <w:rPr>
          <w:rFonts w:cs="Times New Roman"/>
        </w:rPr>
        <w:t xml:space="preserve"> .</w:t>
      </w:r>
      <w:r>
        <w:rPr>
          <w:rFonts w:cs="Times New Roman"/>
        </w:rPr>
        <w:t>385</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016</w:t>
      </w:r>
      <w:r w:rsidRPr="009B72A7">
        <w:rPr>
          <w:rFonts w:cs="Times New Roman"/>
        </w:rPr>
        <w:t xml:space="preserve">, 95% CI </w:t>
      </w:r>
      <w:r w:rsidRPr="00495665">
        <w:rPr>
          <w:rFonts w:cs="Times New Roman"/>
        </w:rPr>
        <w:t>[</w:t>
      </w:r>
      <w:r w:rsidRPr="00AD3B5C">
        <w:rPr>
          <w:rFonts w:cs="Times New Roman"/>
        </w:rPr>
        <w:t>0, .044].</w:t>
      </w:r>
    </w:p>
    <w:p w14:paraId="6E38DE78" w14:textId="77777777" w:rsidR="0074212B" w:rsidRDefault="0074212B" w:rsidP="0074212B">
      <w:pPr>
        <w:rPr>
          <w:rFonts w:cs="Times New Roman"/>
        </w:rPr>
      </w:pPr>
      <w:r w:rsidRPr="002373CC">
        <w:rPr>
          <w:rFonts w:cs="Times New Roman"/>
          <w:b/>
          <w:bCs/>
          <w:i/>
          <w:iCs/>
          <w:lang w:val="en-GB"/>
        </w:rPr>
        <w:t xml:space="preserve">1:100 vs. 1% vs. </w:t>
      </w:r>
      <w:r>
        <w:rPr>
          <w:rFonts w:cs="Times New Roman"/>
          <w:b/>
          <w:bCs/>
          <w:i/>
          <w:iCs/>
          <w:lang w:val="en-GB"/>
        </w:rPr>
        <w:sym w:font="Symbol" w:char="F0D8"/>
      </w:r>
      <w:r>
        <w:rPr>
          <w:rFonts w:cs="Times New Roman"/>
          <w:b/>
          <w:bCs/>
          <w:i/>
          <w:iCs/>
          <w:lang w:val="en-GB"/>
        </w:rPr>
        <w:t xml:space="preserve"> </w:t>
      </w:r>
      <w:r w:rsidRPr="002373CC">
        <w:rPr>
          <w:rFonts w:cs="Times New Roman"/>
          <w:b/>
          <w:bCs/>
          <w:i/>
          <w:iCs/>
          <w:lang w:val="en-GB"/>
        </w:rPr>
        <w:t>99%.</w:t>
      </w:r>
      <w:r>
        <w:rPr>
          <w:rFonts w:cs="Times New Roman"/>
          <w:lang w:val="en-GB"/>
        </w:rPr>
        <w:t xml:space="preserve"> </w:t>
      </w:r>
      <w:r w:rsidRPr="009B72A7">
        <w:rPr>
          <w:rFonts w:cs="Times New Roman"/>
          <w:lang w:val="en-GB"/>
        </w:rPr>
        <w:t xml:space="preserve">The </w:t>
      </w:r>
      <w:r>
        <w:rPr>
          <w:rFonts w:cs="Times New Roman"/>
          <w:lang w:val="en-GB"/>
        </w:rPr>
        <w:t>ANOVA indicated a significant main effect for the presentation form</w:t>
      </w:r>
      <w:r w:rsidRPr="009B72A7">
        <w:rPr>
          <w:rFonts w:cs="Times New Roman"/>
          <w:lang w:val="en-GB"/>
        </w:rPr>
        <w:t xml:space="preserve">, </w:t>
      </w:r>
      <w:r w:rsidRPr="009B72A7">
        <w:rPr>
          <w:rFonts w:cs="Times New Roman"/>
          <w:i/>
        </w:rPr>
        <w:t>F</w:t>
      </w:r>
      <w:r w:rsidRPr="009B72A7">
        <w:rPr>
          <w:rFonts w:cs="Times New Roman"/>
        </w:rPr>
        <w:t xml:space="preserve">(2, </w:t>
      </w:r>
      <w:r>
        <w:rPr>
          <w:rFonts w:cs="Times New Roman"/>
        </w:rPr>
        <w:t>252</w:t>
      </w:r>
      <w:r w:rsidRPr="009B72A7">
        <w:rPr>
          <w:rFonts w:cs="Times New Roman"/>
        </w:rPr>
        <w:t xml:space="preserve">) = </w:t>
      </w:r>
      <w:r>
        <w:rPr>
          <w:rFonts w:cs="Times New Roman"/>
        </w:rPr>
        <w:t>100.912</w:t>
      </w:r>
      <w:r w:rsidRPr="009B72A7">
        <w:rPr>
          <w:rFonts w:cs="Times New Roman"/>
        </w:rPr>
        <w:t xml:space="preserve">, </w:t>
      </w:r>
      <w:r w:rsidRPr="009B72A7">
        <w:rPr>
          <w:rFonts w:cs="Times New Roman"/>
          <w:i/>
        </w:rPr>
        <w:t xml:space="preserve">p </w:t>
      </w:r>
      <w:r>
        <w:rPr>
          <w:rFonts w:cs="Times New Roman"/>
        </w:rPr>
        <w:t>&lt;</w:t>
      </w:r>
      <w:r w:rsidRPr="009B72A7">
        <w:rPr>
          <w:rFonts w:cs="Times New Roman"/>
        </w:rPr>
        <w:t xml:space="preserve"> .</w:t>
      </w:r>
      <w:r>
        <w:rPr>
          <w:rFonts w:cs="Times New Roman"/>
        </w:rPr>
        <w:t>001</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445</w:t>
      </w:r>
      <w:r w:rsidRPr="009B72A7">
        <w:rPr>
          <w:rFonts w:cs="Times New Roman"/>
        </w:rPr>
        <w:t xml:space="preserve">, 95% CI </w:t>
      </w:r>
      <w:r w:rsidRPr="00C262FD">
        <w:rPr>
          <w:rFonts w:cs="Times New Roman"/>
        </w:rPr>
        <w:t>[.355, .516], with</w:t>
      </w:r>
      <w:r>
        <w:rPr>
          <w:rFonts w:cs="Times New Roman"/>
        </w:rPr>
        <w:t xml:space="preserve"> the likelihood of 99% for the absence of a serious disease causing less concern than the likelihood of 1:1</w:t>
      </w:r>
      <w:r w:rsidRPr="00AA1315">
        <w:rPr>
          <w:rFonts w:cs="Times New Roman"/>
        </w:rPr>
        <w:t xml:space="preserve">00, </w:t>
      </w:r>
      <w:r w:rsidRPr="00AA1315">
        <w:rPr>
          <w:i/>
        </w:rPr>
        <w:t>t</w:t>
      </w:r>
      <w:r w:rsidRPr="00AA1315">
        <w:t xml:space="preserve">(129) = </w:t>
      </w:r>
      <w:r>
        <w:t>14.490</w:t>
      </w:r>
      <w:r w:rsidRPr="00AA1315">
        <w:t xml:space="preserve">, </w:t>
      </w:r>
      <w:r w:rsidRPr="00AA1315">
        <w:rPr>
          <w:i/>
        </w:rPr>
        <w:t>p</w:t>
      </w:r>
      <w:r w:rsidRPr="00AA1315">
        <w:t xml:space="preserve"> &lt; .001, </w:t>
      </w:r>
      <w:r w:rsidRPr="00AA1315">
        <w:rPr>
          <w:i/>
        </w:rPr>
        <w:t>d</w:t>
      </w:r>
      <w:r w:rsidRPr="00AA1315">
        <w:t xml:space="preserve"> = </w:t>
      </w:r>
      <w:r>
        <w:t>1.271</w:t>
      </w:r>
      <w:r w:rsidRPr="00AA1315">
        <w:t>, 95% CI [</w:t>
      </w:r>
      <w:r>
        <w:t>1.038</w:t>
      </w:r>
      <w:r w:rsidRPr="00AA1315">
        <w:t xml:space="preserve">, </w:t>
      </w:r>
      <w:r>
        <w:t>1.501</w:t>
      </w:r>
      <w:r w:rsidRPr="00AA1315">
        <w:t>] an</w:t>
      </w:r>
      <w:r>
        <w:t>d</w:t>
      </w:r>
      <w:r w:rsidRPr="00AA1315">
        <w:t xml:space="preserve"> 1% for its presence, </w:t>
      </w:r>
      <w:r w:rsidRPr="00AA1315">
        <w:rPr>
          <w:i/>
        </w:rPr>
        <w:t>t</w:t>
      </w:r>
      <w:r w:rsidRPr="00AA1315">
        <w:t xml:space="preserve">(129) = </w:t>
      </w:r>
      <w:r>
        <w:t>6.422</w:t>
      </w:r>
      <w:r w:rsidRPr="00AA1315">
        <w:t xml:space="preserve">, </w:t>
      </w:r>
      <w:r w:rsidRPr="00AA1315">
        <w:rPr>
          <w:i/>
        </w:rPr>
        <w:t>p</w:t>
      </w:r>
      <w:r w:rsidRPr="00AA1315">
        <w:t xml:space="preserve"> &lt; .001, </w:t>
      </w:r>
      <w:r w:rsidRPr="00AA1315">
        <w:rPr>
          <w:i/>
        </w:rPr>
        <w:t>d</w:t>
      </w:r>
      <w:r w:rsidRPr="00AA1315">
        <w:t xml:space="preserve"> = 0.</w:t>
      </w:r>
      <w:r>
        <w:t>563</w:t>
      </w:r>
      <w:r w:rsidRPr="00AA1315">
        <w:t>, 95% CI [0.</w:t>
      </w:r>
      <w:r>
        <w:t>377</w:t>
      </w:r>
      <w:r w:rsidRPr="00AA1315">
        <w:t>, 0.</w:t>
      </w:r>
      <w:r>
        <w:t>747</w:t>
      </w:r>
      <w:r w:rsidRPr="00AA1315">
        <w:t xml:space="preserve">]. </w:t>
      </w:r>
      <w:r>
        <w:t>The</w:t>
      </w:r>
      <w:r w:rsidRPr="00AA1315">
        <w:t xml:space="preserve"> presentation form 1:100 </w:t>
      </w:r>
      <w:r>
        <w:t xml:space="preserve">caused significantly more concern than </w:t>
      </w:r>
      <w:r w:rsidRPr="00AA1315">
        <w:t xml:space="preserve">1%, </w:t>
      </w:r>
      <w:r w:rsidRPr="00AA1315">
        <w:rPr>
          <w:i/>
        </w:rPr>
        <w:t>t</w:t>
      </w:r>
      <w:r w:rsidRPr="00AA1315">
        <w:t xml:space="preserve">(129) = </w:t>
      </w:r>
      <w:r>
        <w:t>8.757</w:t>
      </w:r>
      <w:r w:rsidRPr="00AA1315">
        <w:t xml:space="preserve">, </w:t>
      </w:r>
      <w:r w:rsidRPr="00AA1315">
        <w:rPr>
          <w:i/>
        </w:rPr>
        <w:t>p</w:t>
      </w:r>
      <w:r w:rsidRPr="00AA1315">
        <w:t xml:space="preserve"> </w:t>
      </w:r>
      <w:r>
        <w:t>&lt; .001</w:t>
      </w:r>
      <w:r w:rsidRPr="00AA1315">
        <w:t xml:space="preserve">, </w:t>
      </w:r>
      <w:r w:rsidRPr="00AA1315">
        <w:rPr>
          <w:i/>
        </w:rPr>
        <w:t>d</w:t>
      </w:r>
      <w:r w:rsidRPr="00AA1315">
        <w:t xml:space="preserve"> = 0.</w:t>
      </w:r>
      <w:r>
        <w:t>768</w:t>
      </w:r>
      <w:r w:rsidRPr="00AA1315">
        <w:t>, 95% CI [</w:t>
      </w:r>
      <w:r>
        <w:t>0.571</w:t>
      </w:r>
      <w:r w:rsidRPr="00AA1315">
        <w:t>, 0.</w:t>
      </w:r>
      <w:r>
        <w:t>963</w:t>
      </w:r>
      <w:r w:rsidRPr="00AA1315">
        <w:t>].</w:t>
      </w:r>
      <w:r>
        <w:t xml:space="preserve"> The sample by presentation form interaction was not significant, </w:t>
      </w:r>
      <w:r w:rsidRPr="009B72A7">
        <w:rPr>
          <w:rFonts w:cs="Times New Roman"/>
          <w:i/>
        </w:rPr>
        <w:t>F</w:t>
      </w:r>
      <w:r w:rsidRPr="009B72A7">
        <w:rPr>
          <w:rFonts w:cs="Times New Roman"/>
        </w:rPr>
        <w:t>(</w:t>
      </w:r>
      <w:r>
        <w:rPr>
          <w:rFonts w:cs="Times New Roman"/>
        </w:rPr>
        <w:t>4</w:t>
      </w:r>
      <w:r w:rsidRPr="009B72A7">
        <w:rPr>
          <w:rFonts w:cs="Times New Roman"/>
        </w:rPr>
        <w:t xml:space="preserve">, </w:t>
      </w:r>
      <w:r>
        <w:rPr>
          <w:rFonts w:cs="Times New Roman"/>
        </w:rPr>
        <w:t>252</w:t>
      </w:r>
      <w:r w:rsidRPr="009B72A7">
        <w:rPr>
          <w:rFonts w:cs="Times New Roman"/>
        </w:rPr>
        <w:t xml:space="preserve">) = </w:t>
      </w:r>
      <w:r>
        <w:rPr>
          <w:rFonts w:cs="Times New Roman"/>
        </w:rPr>
        <w:t>.681</w:t>
      </w:r>
      <w:r w:rsidRPr="009B72A7">
        <w:rPr>
          <w:rFonts w:cs="Times New Roman"/>
        </w:rPr>
        <w:t xml:space="preserve">, </w:t>
      </w:r>
      <w:r w:rsidRPr="009B72A7">
        <w:rPr>
          <w:rFonts w:cs="Times New Roman"/>
          <w:i/>
        </w:rPr>
        <w:t xml:space="preserve">p </w:t>
      </w:r>
      <w:r>
        <w:rPr>
          <w:rFonts w:cs="Times New Roman"/>
        </w:rPr>
        <w:t>=</w:t>
      </w:r>
      <w:r w:rsidRPr="009B72A7">
        <w:rPr>
          <w:rFonts w:cs="Times New Roman"/>
        </w:rPr>
        <w:t xml:space="preserve"> .</w:t>
      </w:r>
      <w:r>
        <w:rPr>
          <w:rFonts w:cs="Times New Roman"/>
        </w:rPr>
        <w:t>605</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011</w:t>
      </w:r>
      <w:r w:rsidRPr="009B72A7">
        <w:rPr>
          <w:rFonts w:cs="Times New Roman"/>
        </w:rPr>
        <w:t>, 95% C</w:t>
      </w:r>
      <w:r w:rsidRPr="00AD3B5C">
        <w:rPr>
          <w:rFonts w:cs="Times New Roman"/>
        </w:rPr>
        <w:t>I [0, .032].</w:t>
      </w:r>
    </w:p>
    <w:p w14:paraId="16BBA4CC" w14:textId="77777777" w:rsidR="0074212B" w:rsidRDefault="0074212B" w:rsidP="0074212B">
      <w:pPr>
        <w:rPr>
          <w:rFonts w:cs="Times New Roman"/>
        </w:rPr>
      </w:pPr>
      <w:r w:rsidRPr="002373CC">
        <w:rPr>
          <w:rFonts w:cs="Times New Roman"/>
          <w:b/>
          <w:bCs/>
          <w:i/>
          <w:iCs/>
          <w:lang w:val="en-GB"/>
        </w:rPr>
        <w:t>1:10 vs. 1</w:t>
      </w:r>
      <w:r>
        <w:rPr>
          <w:rFonts w:cs="Times New Roman"/>
          <w:b/>
          <w:bCs/>
          <w:i/>
          <w:iCs/>
          <w:lang w:val="en-GB"/>
        </w:rPr>
        <w:t>0</w:t>
      </w:r>
      <w:r w:rsidRPr="002373CC">
        <w:rPr>
          <w:rFonts w:cs="Times New Roman"/>
          <w:b/>
          <w:bCs/>
          <w:i/>
          <w:iCs/>
          <w:lang w:val="en-GB"/>
        </w:rPr>
        <w:t xml:space="preserve">% vs. </w:t>
      </w:r>
      <w:r>
        <w:rPr>
          <w:rFonts w:cs="Times New Roman"/>
          <w:b/>
          <w:bCs/>
          <w:i/>
          <w:iCs/>
          <w:lang w:val="en-GB"/>
        </w:rPr>
        <w:sym w:font="Symbol" w:char="F0D8"/>
      </w:r>
      <w:r>
        <w:rPr>
          <w:rFonts w:cs="Times New Roman"/>
          <w:b/>
          <w:bCs/>
          <w:i/>
          <w:iCs/>
          <w:lang w:val="en-GB"/>
        </w:rPr>
        <w:t xml:space="preserve"> </w:t>
      </w:r>
      <w:r w:rsidRPr="002373CC">
        <w:rPr>
          <w:rFonts w:cs="Times New Roman"/>
          <w:b/>
          <w:bCs/>
          <w:i/>
          <w:iCs/>
          <w:lang w:val="en-GB"/>
        </w:rPr>
        <w:t>9</w:t>
      </w:r>
      <w:r>
        <w:rPr>
          <w:rFonts w:cs="Times New Roman"/>
          <w:b/>
          <w:bCs/>
          <w:i/>
          <w:iCs/>
          <w:lang w:val="en-GB"/>
        </w:rPr>
        <w:t>0</w:t>
      </w:r>
      <w:r w:rsidRPr="002373CC">
        <w:rPr>
          <w:rFonts w:cs="Times New Roman"/>
          <w:b/>
          <w:bCs/>
          <w:i/>
          <w:iCs/>
          <w:lang w:val="en-GB"/>
        </w:rPr>
        <w:t>%.</w:t>
      </w:r>
      <w:r>
        <w:rPr>
          <w:rFonts w:cs="Times New Roman"/>
          <w:lang w:val="en-GB"/>
        </w:rPr>
        <w:t xml:space="preserve"> </w:t>
      </w:r>
      <w:r w:rsidRPr="009B72A7">
        <w:rPr>
          <w:rFonts w:cs="Times New Roman"/>
          <w:lang w:val="en-GB"/>
        </w:rPr>
        <w:t xml:space="preserve">The </w:t>
      </w:r>
      <w:r>
        <w:rPr>
          <w:rFonts w:cs="Times New Roman"/>
          <w:lang w:val="en-GB"/>
        </w:rPr>
        <w:t>ANOVA indicated a significant main effect for the presentation form</w:t>
      </w:r>
      <w:r w:rsidRPr="009B72A7">
        <w:rPr>
          <w:rFonts w:cs="Times New Roman"/>
          <w:lang w:val="en-GB"/>
        </w:rPr>
        <w:t xml:space="preserve">, </w:t>
      </w:r>
      <w:r w:rsidRPr="009B72A7">
        <w:rPr>
          <w:rFonts w:cs="Times New Roman"/>
          <w:i/>
        </w:rPr>
        <w:t>F</w:t>
      </w:r>
      <w:r w:rsidRPr="009B72A7">
        <w:rPr>
          <w:rFonts w:cs="Times New Roman"/>
        </w:rPr>
        <w:t xml:space="preserve">(2, </w:t>
      </w:r>
      <w:r>
        <w:rPr>
          <w:rFonts w:cs="Times New Roman"/>
        </w:rPr>
        <w:t>252</w:t>
      </w:r>
      <w:r w:rsidRPr="009B72A7">
        <w:rPr>
          <w:rFonts w:cs="Times New Roman"/>
        </w:rPr>
        <w:t xml:space="preserve">) = </w:t>
      </w:r>
      <w:r>
        <w:rPr>
          <w:rFonts w:cs="Times New Roman"/>
        </w:rPr>
        <w:t>165.825</w:t>
      </w:r>
      <w:r w:rsidRPr="009B72A7">
        <w:rPr>
          <w:rFonts w:cs="Times New Roman"/>
        </w:rPr>
        <w:t xml:space="preserve">, </w:t>
      </w:r>
      <w:r w:rsidRPr="009B72A7">
        <w:rPr>
          <w:rFonts w:cs="Times New Roman"/>
          <w:i/>
        </w:rPr>
        <w:t xml:space="preserve">p </w:t>
      </w:r>
      <w:r>
        <w:rPr>
          <w:rFonts w:cs="Times New Roman"/>
        </w:rPr>
        <w:t>&lt;</w:t>
      </w:r>
      <w:r w:rsidRPr="009B72A7">
        <w:rPr>
          <w:rFonts w:cs="Times New Roman"/>
        </w:rPr>
        <w:t xml:space="preserve"> .</w:t>
      </w:r>
      <w:r>
        <w:rPr>
          <w:rFonts w:cs="Times New Roman"/>
        </w:rPr>
        <w:t>001</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568</w:t>
      </w:r>
      <w:r w:rsidRPr="009B72A7">
        <w:rPr>
          <w:rFonts w:cs="Times New Roman"/>
        </w:rPr>
        <w:t xml:space="preserve">, 95% CI </w:t>
      </w:r>
      <w:r w:rsidRPr="00AD3B5C">
        <w:rPr>
          <w:rFonts w:cs="Times New Roman"/>
        </w:rPr>
        <w:t>[.489, .627], with</w:t>
      </w:r>
      <w:r>
        <w:rPr>
          <w:rFonts w:cs="Times New Roman"/>
        </w:rPr>
        <w:t xml:space="preserve"> the likelihood of 90% for the absence of a serious disease causing less concern than the likelihood of 1:1</w:t>
      </w:r>
      <w:r w:rsidRPr="00AA1315">
        <w:rPr>
          <w:rFonts w:cs="Times New Roman"/>
        </w:rPr>
        <w:t xml:space="preserve">0, </w:t>
      </w:r>
      <w:r w:rsidRPr="00AA1315">
        <w:rPr>
          <w:i/>
        </w:rPr>
        <w:t>t</w:t>
      </w:r>
      <w:r w:rsidRPr="00AA1315">
        <w:t xml:space="preserve">(129) = </w:t>
      </w:r>
      <w:r>
        <w:t>17.826</w:t>
      </w:r>
      <w:r w:rsidRPr="00AA1315">
        <w:t xml:space="preserve">, </w:t>
      </w:r>
      <w:r w:rsidRPr="00AA1315">
        <w:rPr>
          <w:i/>
        </w:rPr>
        <w:t>p</w:t>
      </w:r>
      <w:r w:rsidRPr="00AA1315">
        <w:t xml:space="preserve"> &lt; .001, </w:t>
      </w:r>
      <w:r w:rsidRPr="00AA1315">
        <w:rPr>
          <w:i/>
        </w:rPr>
        <w:t>d</w:t>
      </w:r>
      <w:r w:rsidRPr="00AA1315">
        <w:t xml:space="preserve"> = </w:t>
      </w:r>
      <w:r>
        <w:t>1.563</w:t>
      </w:r>
      <w:r w:rsidRPr="00AA1315">
        <w:t>, 95% CI [</w:t>
      </w:r>
      <w:r>
        <w:t>1.305</w:t>
      </w:r>
      <w:r w:rsidRPr="00AA1315">
        <w:t xml:space="preserve">, </w:t>
      </w:r>
      <w:r>
        <w:t>1.819</w:t>
      </w:r>
      <w:r w:rsidRPr="00AA1315">
        <w:t>] an</w:t>
      </w:r>
      <w:r>
        <w:t>d</w:t>
      </w:r>
      <w:r w:rsidRPr="00AA1315">
        <w:t xml:space="preserve"> </w:t>
      </w:r>
      <w:r>
        <w:t>10</w:t>
      </w:r>
      <w:r w:rsidRPr="00AA1315">
        <w:t xml:space="preserve">% for its presence, </w:t>
      </w:r>
      <w:r w:rsidRPr="00AA1315">
        <w:rPr>
          <w:i/>
        </w:rPr>
        <w:t>t</w:t>
      </w:r>
      <w:r w:rsidRPr="00AA1315">
        <w:t xml:space="preserve">(129) = </w:t>
      </w:r>
      <w:r>
        <w:t>7.853</w:t>
      </w:r>
      <w:r w:rsidRPr="00AA1315">
        <w:t xml:space="preserve">, </w:t>
      </w:r>
      <w:r w:rsidRPr="00AA1315">
        <w:rPr>
          <w:i/>
        </w:rPr>
        <w:t>p</w:t>
      </w:r>
      <w:r w:rsidRPr="00AA1315">
        <w:t xml:space="preserve"> &lt; .001, </w:t>
      </w:r>
      <w:r w:rsidRPr="00AA1315">
        <w:rPr>
          <w:i/>
        </w:rPr>
        <w:t>d</w:t>
      </w:r>
      <w:r w:rsidRPr="00AA1315">
        <w:t xml:space="preserve"> = 0.</w:t>
      </w:r>
      <w:r>
        <w:t>689</w:t>
      </w:r>
      <w:r w:rsidRPr="00AA1315">
        <w:t>, 95% CI [0.</w:t>
      </w:r>
      <w:r>
        <w:t>496</w:t>
      </w:r>
      <w:r w:rsidRPr="00AA1315">
        <w:t>, 0.</w:t>
      </w:r>
      <w:r>
        <w:t>879</w:t>
      </w:r>
      <w:r w:rsidRPr="00AA1315">
        <w:t xml:space="preserve">]. </w:t>
      </w:r>
      <w:r>
        <w:t>The</w:t>
      </w:r>
      <w:r w:rsidRPr="00AA1315">
        <w:t xml:space="preserve"> presentation form 1:10 </w:t>
      </w:r>
      <w:r>
        <w:t xml:space="preserve">caused significantly more concern than </w:t>
      </w:r>
      <w:r w:rsidRPr="00AA1315">
        <w:t>1</w:t>
      </w:r>
      <w:r>
        <w:t>0</w:t>
      </w:r>
      <w:r w:rsidRPr="00AA1315">
        <w:t xml:space="preserve">%, </w:t>
      </w:r>
      <w:r w:rsidRPr="00AA1315">
        <w:rPr>
          <w:i/>
        </w:rPr>
        <w:t>t</w:t>
      </w:r>
      <w:r w:rsidRPr="00AA1315">
        <w:t xml:space="preserve">(129) = </w:t>
      </w:r>
      <w:r>
        <w:t>11.057</w:t>
      </w:r>
      <w:r w:rsidRPr="00AA1315">
        <w:t xml:space="preserve">, </w:t>
      </w:r>
      <w:r w:rsidRPr="00AA1315">
        <w:rPr>
          <w:i/>
        </w:rPr>
        <w:t>p</w:t>
      </w:r>
      <w:r w:rsidRPr="00AA1315">
        <w:t xml:space="preserve"> </w:t>
      </w:r>
      <w:r>
        <w:t>&lt; .001</w:t>
      </w:r>
      <w:r w:rsidRPr="00AA1315">
        <w:t xml:space="preserve">, </w:t>
      </w:r>
      <w:r w:rsidRPr="00AA1315">
        <w:rPr>
          <w:i/>
        </w:rPr>
        <w:t>d</w:t>
      </w:r>
      <w:r w:rsidRPr="00AA1315">
        <w:t xml:space="preserve"> = 0.</w:t>
      </w:r>
      <w:r>
        <w:t>970</w:t>
      </w:r>
      <w:r w:rsidRPr="00AA1315">
        <w:t>, 95% CI [</w:t>
      </w:r>
      <w:r>
        <w:t>0.760</w:t>
      </w:r>
      <w:r w:rsidRPr="00AA1315">
        <w:t xml:space="preserve">, </w:t>
      </w:r>
      <w:r>
        <w:t>1.177</w:t>
      </w:r>
      <w:r w:rsidRPr="00AA1315">
        <w:t>].</w:t>
      </w:r>
      <w:r>
        <w:t xml:space="preserve"> The sample by presentation form interaction was not significant, </w:t>
      </w:r>
      <w:r w:rsidRPr="009B72A7">
        <w:rPr>
          <w:rFonts w:cs="Times New Roman"/>
          <w:i/>
        </w:rPr>
        <w:t>F</w:t>
      </w:r>
      <w:r w:rsidRPr="009B72A7">
        <w:rPr>
          <w:rFonts w:cs="Times New Roman"/>
        </w:rPr>
        <w:t>(</w:t>
      </w:r>
      <w:r>
        <w:rPr>
          <w:rFonts w:cs="Times New Roman"/>
        </w:rPr>
        <w:t>4</w:t>
      </w:r>
      <w:r w:rsidRPr="009B72A7">
        <w:rPr>
          <w:rFonts w:cs="Times New Roman"/>
        </w:rPr>
        <w:t xml:space="preserve">, </w:t>
      </w:r>
      <w:r>
        <w:rPr>
          <w:rFonts w:cs="Times New Roman"/>
        </w:rPr>
        <w:t>252</w:t>
      </w:r>
      <w:r w:rsidRPr="009B72A7">
        <w:rPr>
          <w:rFonts w:cs="Times New Roman"/>
        </w:rPr>
        <w:t xml:space="preserve">) = </w:t>
      </w:r>
      <w:r>
        <w:rPr>
          <w:rFonts w:cs="Times New Roman"/>
        </w:rPr>
        <w:t>2.027</w:t>
      </w:r>
      <w:r w:rsidRPr="009B72A7">
        <w:rPr>
          <w:rFonts w:cs="Times New Roman"/>
        </w:rPr>
        <w:t xml:space="preserve">, </w:t>
      </w:r>
      <w:r w:rsidRPr="009B72A7">
        <w:rPr>
          <w:rFonts w:cs="Times New Roman"/>
          <w:i/>
        </w:rPr>
        <w:t xml:space="preserve">p </w:t>
      </w:r>
      <w:r>
        <w:rPr>
          <w:rFonts w:cs="Times New Roman"/>
        </w:rPr>
        <w:t>=</w:t>
      </w:r>
      <w:r w:rsidRPr="009B72A7">
        <w:rPr>
          <w:rFonts w:cs="Times New Roman"/>
        </w:rPr>
        <w:t xml:space="preserve"> .</w:t>
      </w:r>
      <w:r>
        <w:rPr>
          <w:rFonts w:cs="Times New Roman"/>
        </w:rPr>
        <w:t>091</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031</w:t>
      </w:r>
      <w:r w:rsidRPr="009B72A7">
        <w:rPr>
          <w:rFonts w:cs="Times New Roman"/>
        </w:rPr>
        <w:t xml:space="preserve">, 95% CI </w:t>
      </w:r>
      <w:r w:rsidRPr="00AD3B5C">
        <w:rPr>
          <w:rFonts w:cs="Times New Roman"/>
        </w:rPr>
        <w:t>[0, .070].</w:t>
      </w:r>
    </w:p>
    <w:p w14:paraId="37ADDBAF" w14:textId="77777777" w:rsidR="0074212B" w:rsidRDefault="0074212B" w:rsidP="0074212B">
      <w:pPr>
        <w:rPr>
          <w:rFonts w:cs="Times New Roman"/>
        </w:rPr>
      </w:pPr>
      <w:r w:rsidRPr="002373CC">
        <w:rPr>
          <w:rFonts w:cs="Times New Roman"/>
          <w:b/>
          <w:bCs/>
          <w:i/>
          <w:iCs/>
          <w:lang w:val="en-GB"/>
        </w:rPr>
        <w:t>1:</w:t>
      </w:r>
      <w:r>
        <w:rPr>
          <w:rFonts w:cs="Times New Roman"/>
          <w:b/>
          <w:bCs/>
          <w:i/>
          <w:iCs/>
          <w:lang w:val="en-GB"/>
        </w:rPr>
        <w:t>5</w:t>
      </w:r>
      <w:r w:rsidRPr="002373CC">
        <w:rPr>
          <w:rFonts w:cs="Times New Roman"/>
          <w:b/>
          <w:bCs/>
          <w:i/>
          <w:iCs/>
          <w:lang w:val="en-GB"/>
        </w:rPr>
        <w:t xml:space="preserve"> vs. </w:t>
      </w:r>
      <w:r>
        <w:rPr>
          <w:rFonts w:cs="Times New Roman"/>
          <w:b/>
          <w:bCs/>
          <w:i/>
          <w:iCs/>
          <w:lang w:val="en-GB"/>
        </w:rPr>
        <w:t>20</w:t>
      </w:r>
      <w:r w:rsidRPr="002373CC">
        <w:rPr>
          <w:rFonts w:cs="Times New Roman"/>
          <w:b/>
          <w:bCs/>
          <w:i/>
          <w:iCs/>
          <w:lang w:val="en-GB"/>
        </w:rPr>
        <w:t xml:space="preserve">% vs. </w:t>
      </w:r>
      <w:r>
        <w:rPr>
          <w:rFonts w:cs="Times New Roman"/>
          <w:b/>
          <w:bCs/>
          <w:i/>
          <w:iCs/>
          <w:lang w:val="en-GB"/>
        </w:rPr>
        <w:sym w:font="Symbol" w:char="F0D8"/>
      </w:r>
      <w:r>
        <w:rPr>
          <w:rFonts w:cs="Times New Roman"/>
          <w:b/>
          <w:bCs/>
          <w:i/>
          <w:iCs/>
          <w:lang w:val="en-GB"/>
        </w:rPr>
        <w:t xml:space="preserve"> 80</w:t>
      </w:r>
      <w:r w:rsidRPr="002373CC">
        <w:rPr>
          <w:rFonts w:cs="Times New Roman"/>
          <w:b/>
          <w:bCs/>
          <w:i/>
          <w:iCs/>
          <w:lang w:val="en-GB"/>
        </w:rPr>
        <w:t>%.</w:t>
      </w:r>
      <w:r>
        <w:rPr>
          <w:rFonts w:cs="Times New Roman"/>
          <w:lang w:val="en-GB"/>
        </w:rPr>
        <w:t xml:space="preserve"> </w:t>
      </w:r>
      <w:r w:rsidRPr="009B72A7">
        <w:rPr>
          <w:rFonts w:cs="Times New Roman"/>
          <w:lang w:val="en-GB"/>
        </w:rPr>
        <w:t xml:space="preserve">The </w:t>
      </w:r>
      <w:r>
        <w:rPr>
          <w:rFonts w:cs="Times New Roman"/>
          <w:lang w:val="en-GB"/>
        </w:rPr>
        <w:t>ANOVA indicated a significant main effect for the presentation form</w:t>
      </w:r>
      <w:r w:rsidRPr="009B72A7">
        <w:rPr>
          <w:rFonts w:cs="Times New Roman"/>
          <w:lang w:val="en-GB"/>
        </w:rPr>
        <w:t xml:space="preserve">, </w:t>
      </w:r>
      <w:r w:rsidRPr="009B72A7">
        <w:rPr>
          <w:rFonts w:cs="Times New Roman"/>
          <w:i/>
        </w:rPr>
        <w:t>F</w:t>
      </w:r>
      <w:r w:rsidRPr="009B72A7">
        <w:rPr>
          <w:rFonts w:cs="Times New Roman"/>
        </w:rPr>
        <w:t xml:space="preserve">(2, </w:t>
      </w:r>
      <w:r>
        <w:rPr>
          <w:rFonts w:cs="Times New Roman"/>
        </w:rPr>
        <w:t>252</w:t>
      </w:r>
      <w:r w:rsidRPr="009B72A7">
        <w:rPr>
          <w:rFonts w:cs="Times New Roman"/>
        </w:rPr>
        <w:t xml:space="preserve">) = </w:t>
      </w:r>
      <w:r>
        <w:rPr>
          <w:rFonts w:cs="Times New Roman"/>
        </w:rPr>
        <w:t>160.284</w:t>
      </w:r>
      <w:r w:rsidRPr="009B72A7">
        <w:rPr>
          <w:rFonts w:cs="Times New Roman"/>
        </w:rPr>
        <w:t xml:space="preserve">, </w:t>
      </w:r>
      <w:r w:rsidRPr="009B72A7">
        <w:rPr>
          <w:rFonts w:cs="Times New Roman"/>
          <w:i/>
        </w:rPr>
        <w:t xml:space="preserve">p </w:t>
      </w:r>
      <w:r>
        <w:rPr>
          <w:rFonts w:cs="Times New Roman"/>
        </w:rPr>
        <w:t>&lt;</w:t>
      </w:r>
      <w:r w:rsidRPr="009B72A7">
        <w:rPr>
          <w:rFonts w:cs="Times New Roman"/>
        </w:rPr>
        <w:t xml:space="preserve"> .</w:t>
      </w:r>
      <w:r>
        <w:rPr>
          <w:rFonts w:cs="Times New Roman"/>
        </w:rPr>
        <w:t>001</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560</w:t>
      </w:r>
      <w:r w:rsidRPr="009B72A7">
        <w:rPr>
          <w:rFonts w:cs="Times New Roman"/>
        </w:rPr>
        <w:t xml:space="preserve">, 95% CI </w:t>
      </w:r>
      <w:r w:rsidRPr="00495665">
        <w:rPr>
          <w:rFonts w:cs="Times New Roman"/>
        </w:rPr>
        <w:t>[</w:t>
      </w:r>
      <w:r>
        <w:rPr>
          <w:rFonts w:cs="Times New Roman"/>
        </w:rPr>
        <w:t>.</w:t>
      </w:r>
      <w:r w:rsidRPr="00AD3B5C">
        <w:rPr>
          <w:rFonts w:cs="Times New Roman"/>
        </w:rPr>
        <w:t>480, .619</w:t>
      </w:r>
      <w:r w:rsidRPr="009B72A7">
        <w:rPr>
          <w:rFonts w:cs="Times New Roman"/>
        </w:rPr>
        <w:t>]</w:t>
      </w:r>
      <w:r>
        <w:rPr>
          <w:rFonts w:cs="Times New Roman"/>
        </w:rPr>
        <w:t xml:space="preserve">, with the likelihood of 80% for the absence of a serious disease causing less concern than the likelihood </w:t>
      </w:r>
      <w:r>
        <w:rPr>
          <w:rFonts w:cs="Times New Roman"/>
        </w:rPr>
        <w:lastRenderedPageBreak/>
        <w:t>of 1:5</w:t>
      </w:r>
      <w:r w:rsidRPr="00AA1315">
        <w:rPr>
          <w:rFonts w:cs="Times New Roman"/>
        </w:rPr>
        <w:t xml:space="preserve">, </w:t>
      </w:r>
      <w:r w:rsidRPr="00AA1315">
        <w:rPr>
          <w:i/>
        </w:rPr>
        <w:t>t</w:t>
      </w:r>
      <w:r w:rsidRPr="00AA1315">
        <w:t xml:space="preserve">(129) = </w:t>
      </w:r>
      <w:r>
        <w:t>17.302</w:t>
      </w:r>
      <w:r w:rsidRPr="00AA1315">
        <w:t xml:space="preserve">, </w:t>
      </w:r>
      <w:r w:rsidRPr="00AA1315">
        <w:rPr>
          <w:i/>
        </w:rPr>
        <w:t>p</w:t>
      </w:r>
      <w:r w:rsidRPr="00AA1315">
        <w:t xml:space="preserve"> &lt; .001, </w:t>
      </w:r>
      <w:r w:rsidRPr="00AA1315">
        <w:rPr>
          <w:i/>
        </w:rPr>
        <w:t>d</w:t>
      </w:r>
      <w:r w:rsidRPr="00AA1315">
        <w:t xml:space="preserve"> = </w:t>
      </w:r>
      <w:r>
        <w:t>1.517</w:t>
      </w:r>
      <w:r w:rsidRPr="00AA1315">
        <w:t>, 95% CI [</w:t>
      </w:r>
      <w:r>
        <w:t>1.264</w:t>
      </w:r>
      <w:r w:rsidRPr="00AA1315">
        <w:t xml:space="preserve">, </w:t>
      </w:r>
      <w:r>
        <w:t>1.769</w:t>
      </w:r>
      <w:r w:rsidRPr="00AA1315">
        <w:t>] an</w:t>
      </w:r>
      <w:r>
        <w:t>d</w:t>
      </w:r>
      <w:r w:rsidRPr="00AA1315">
        <w:t xml:space="preserve"> </w:t>
      </w:r>
      <w:r>
        <w:t>20</w:t>
      </w:r>
      <w:r w:rsidRPr="00AA1315">
        <w:t xml:space="preserve">% for its presence, </w:t>
      </w:r>
      <w:r w:rsidRPr="00AA1315">
        <w:rPr>
          <w:i/>
        </w:rPr>
        <w:t>t</w:t>
      </w:r>
      <w:r w:rsidRPr="00AA1315">
        <w:t xml:space="preserve">(129) = </w:t>
      </w:r>
      <w:r>
        <w:t>7.370</w:t>
      </w:r>
      <w:r w:rsidRPr="00AA1315">
        <w:t xml:space="preserve">, </w:t>
      </w:r>
      <w:r w:rsidRPr="00AA1315">
        <w:rPr>
          <w:i/>
        </w:rPr>
        <w:t>p</w:t>
      </w:r>
      <w:r w:rsidRPr="00AA1315">
        <w:t xml:space="preserve"> &lt; .001, </w:t>
      </w:r>
      <w:r w:rsidRPr="00AA1315">
        <w:rPr>
          <w:i/>
        </w:rPr>
        <w:t>d</w:t>
      </w:r>
      <w:r w:rsidRPr="00AA1315">
        <w:t xml:space="preserve"> = 0.</w:t>
      </w:r>
      <w:r>
        <w:t>646</w:t>
      </w:r>
      <w:r w:rsidRPr="00AA1315">
        <w:t>, 95% CI [0.</w:t>
      </w:r>
      <w:r>
        <w:t>456</w:t>
      </w:r>
      <w:r w:rsidRPr="00AA1315">
        <w:t>, 0.</w:t>
      </w:r>
      <w:r>
        <w:t>834</w:t>
      </w:r>
      <w:r w:rsidRPr="00AA1315">
        <w:t xml:space="preserve">]. </w:t>
      </w:r>
      <w:r>
        <w:t>The</w:t>
      </w:r>
      <w:r w:rsidRPr="00AA1315">
        <w:t xml:space="preserve"> presentation form 1:</w:t>
      </w:r>
      <w:r>
        <w:t>5</w:t>
      </w:r>
      <w:r w:rsidRPr="00AA1315">
        <w:t xml:space="preserve"> </w:t>
      </w:r>
      <w:r>
        <w:t>caused significantly more concern than 20</w:t>
      </w:r>
      <w:r w:rsidRPr="00AA1315">
        <w:t xml:space="preserve">%, </w:t>
      </w:r>
      <w:r w:rsidRPr="00AA1315">
        <w:rPr>
          <w:i/>
        </w:rPr>
        <w:t>t</w:t>
      </w:r>
      <w:r w:rsidRPr="00AA1315">
        <w:t xml:space="preserve">(129) = </w:t>
      </w:r>
      <w:r>
        <w:t>10.943</w:t>
      </w:r>
      <w:r w:rsidRPr="00AA1315">
        <w:t xml:space="preserve">, </w:t>
      </w:r>
      <w:r w:rsidRPr="00AA1315">
        <w:rPr>
          <w:i/>
        </w:rPr>
        <w:t>p</w:t>
      </w:r>
      <w:r w:rsidRPr="00AA1315">
        <w:t xml:space="preserve"> </w:t>
      </w:r>
      <w:r>
        <w:t>&lt; .001</w:t>
      </w:r>
      <w:r w:rsidRPr="00AA1315">
        <w:t xml:space="preserve">, </w:t>
      </w:r>
      <w:r w:rsidRPr="00AA1315">
        <w:rPr>
          <w:i/>
        </w:rPr>
        <w:t>d</w:t>
      </w:r>
      <w:r w:rsidRPr="00AA1315">
        <w:t xml:space="preserve"> = 0.</w:t>
      </w:r>
      <w:r>
        <w:t>960</w:t>
      </w:r>
      <w:r w:rsidRPr="00AA1315">
        <w:t>, 95% CI [</w:t>
      </w:r>
      <w:r>
        <w:t>0.751</w:t>
      </w:r>
      <w:r w:rsidRPr="00AA1315">
        <w:t xml:space="preserve">, </w:t>
      </w:r>
      <w:r>
        <w:t>1.166</w:t>
      </w:r>
      <w:r w:rsidRPr="00AA1315">
        <w:t>].</w:t>
      </w:r>
      <w:r>
        <w:t xml:space="preserve"> The sample by presentation form interaction was not significant, </w:t>
      </w:r>
      <w:r w:rsidRPr="009B72A7">
        <w:rPr>
          <w:rFonts w:cs="Times New Roman"/>
          <w:i/>
        </w:rPr>
        <w:t>F</w:t>
      </w:r>
      <w:r w:rsidRPr="00C262FD">
        <w:rPr>
          <w:rFonts w:cs="Times New Roman"/>
          <w:iCs/>
        </w:rPr>
        <w:t>(4</w:t>
      </w:r>
      <w:r w:rsidRPr="009B72A7">
        <w:rPr>
          <w:rFonts w:cs="Times New Roman"/>
        </w:rPr>
        <w:t xml:space="preserve">, </w:t>
      </w:r>
      <w:r>
        <w:rPr>
          <w:rFonts w:cs="Times New Roman"/>
        </w:rPr>
        <w:t>252</w:t>
      </w:r>
      <w:r w:rsidRPr="009B72A7">
        <w:rPr>
          <w:rFonts w:cs="Times New Roman"/>
        </w:rPr>
        <w:t xml:space="preserve">) = </w:t>
      </w:r>
      <w:r>
        <w:rPr>
          <w:rFonts w:cs="Times New Roman"/>
        </w:rPr>
        <w:t>1.767</w:t>
      </w:r>
      <w:r w:rsidRPr="009B72A7">
        <w:rPr>
          <w:rFonts w:cs="Times New Roman"/>
        </w:rPr>
        <w:t xml:space="preserve">, </w:t>
      </w:r>
      <w:r w:rsidRPr="009B72A7">
        <w:rPr>
          <w:rFonts w:cs="Times New Roman"/>
          <w:i/>
        </w:rPr>
        <w:t xml:space="preserve">p </w:t>
      </w:r>
      <w:r>
        <w:rPr>
          <w:rFonts w:cs="Times New Roman"/>
        </w:rPr>
        <w:t>=</w:t>
      </w:r>
      <w:r w:rsidRPr="009B72A7">
        <w:rPr>
          <w:rFonts w:cs="Times New Roman"/>
        </w:rPr>
        <w:t xml:space="preserve"> .</w:t>
      </w:r>
      <w:r>
        <w:rPr>
          <w:rFonts w:cs="Times New Roman"/>
        </w:rPr>
        <w:t>136</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027</w:t>
      </w:r>
      <w:r w:rsidRPr="009B72A7">
        <w:rPr>
          <w:rFonts w:cs="Times New Roman"/>
        </w:rPr>
        <w:t xml:space="preserve">, 95% CI </w:t>
      </w:r>
      <w:r w:rsidRPr="00AD3B5C">
        <w:rPr>
          <w:rFonts w:cs="Times New Roman"/>
        </w:rPr>
        <w:t>[0, .064].</w:t>
      </w:r>
    </w:p>
    <w:p w14:paraId="23D19D8C" w14:textId="77777777" w:rsidR="0074212B" w:rsidRDefault="0074212B" w:rsidP="0074212B">
      <w:pPr>
        <w:rPr>
          <w:rFonts w:cs="Times New Roman"/>
        </w:rPr>
      </w:pPr>
      <w:r w:rsidRPr="002373CC">
        <w:rPr>
          <w:rFonts w:cs="Times New Roman"/>
          <w:b/>
          <w:bCs/>
          <w:i/>
          <w:iCs/>
          <w:lang w:val="en-GB"/>
        </w:rPr>
        <w:t>1:</w:t>
      </w:r>
      <w:r>
        <w:rPr>
          <w:rFonts w:cs="Times New Roman"/>
          <w:b/>
          <w:bCs/>
          <w:i/>
          <w:iCs/>
          <w:lang w:val="en-GB"/>
        </w:rPr>
        <w:t>2</w:t>
      </w:r>
      <w:r w:rsidRPr="002373CC">
        <w:rPr>
          <w:rFonts w:cs="Times New Roman"/>
          <w:b/>
          <w:bCs/>
          <w:i/>
          <w:iCs/>
          <w:lang w:val="en-GB"/>
        </w:rPr>
        <w:t xml:space="preserve"> vs. </w:t>
      </w:r>
      <w:r>
        <w:rPr>
          <w:rFonts w:cs="Times New Roman"/>
          <w:b/>
          <w:bCs/>
          <w:i/>
          <w:iCs/>
          <w:lang w:val="en-GB"/>
        </w:rPr>
        <w:t>50</w:t>
      </w:r>
      <w:r w:rsidRPr="002373CC">
        <w:rPr>
          <w:rFonts w:cs="Times New Roman"/>
          <w:b/>
          <w:bCs/>
          <w:i/>
          <w:iCs/>
          <w:lang w:val="en-GB"/>
        </w:rPr>
        <w:t xml:space="preserve">% vs. </w:t>
      </w:r>
      <w:r>
        <w:rPr>
          <w:rFonts w:cs="Times New Roman"/>
          <w:b/>
          <w:bCs/>
          <w:i/>
          <w:iCs/>
          <w:lang w:val="en-GB"/>
        </w:rPr>
        <w:sym w:font="Symbol" w:char="F0D8"/>
      </w:r>
      <w:r>
        <w:rPr>
          <w:rFonts w:cs="Times New Roman"/>
          <w:b/>
          <w:bCs/>
          <w:i/>
          <w:iCs/>
          <w:lang w:val="en-GB"/>
        </w:rPr>
        <w:t xml:space="preserve"> 50</w:t>
      </w:r>
      <w:r w:rsidRPr="002373CC">
        <w:rPr>
          <w:rFonts w:cs="Times New Roman"/>
          <w:b/>
          <w:bCs/>
          <w:i/>
          <w:iCs/>
          <w:lang w:val="en-GB"/>
        </w:rPr>
        <w:t>%.</w:t>
      </w:r>
      <w:r>
        <w:rPr>
          <w:rFonts w:cs="Times New Roman"/>
          <w:lang w:val="en-GB"/>
        </w:rPr>
        <w:t xml:space="preserve"> </w:t>
      </w:r>
      <w:r w:rsidRPr="009B72A7">
        <w:rPr>
          <w:rFonts w:cs="Times New Roman"/>
          <w:lang w:val="en-GB"/>
        </w:rPr>
        <w:t xml:space="preserve">The </w:t>
      </w:r>
      <w:r>
        <w:rPr>
          <w:rFonts w:cs="Times New Roman"/>
          <w:lang w:val="en-GB"/>
        </w:rPr>
        <w:t>ANOVA indicated a significant main effect for the presentation form</w:t>
      </w:r>
      <w:r w:rsidRPr="009B72A7">
        <w:rPr>
          <w:rFonts w:cs="Times New Roman"/>
          <w:lang w:val="en-GB"/>
        </w:rPr>
        <w:t xml:space="preserve">, </w:t>
      </w:r>
      <w:r w:rsidRPr="009B72A7">
        <w:rPr>
          <w:rFonts w:cs="Times New Roman"/>
          <w:i/>
        </w:rPr>
        <w:t>F</w:t>
      </w:r>
      <w:r w:rsidRPr="009B72A7">
        <w:rPr>
          <w:rFonts w:cs="Times New Roman"/>
        </w:rPr>
        <w:t xml:space="preserve">(2, </w:t>
      </w:r>
      <w:r>
        <w:rPr>
          <w:rFonts w:cs="Times New Roman"/>
        </w:rPr>
        <w:t>252</w:t>
      </w:r>
      <w:r w:rsidRPr="009B72A7">
        <w:rPr>
          <w:rFonts w:cs="Times New Roman"/>
        </w:rPr>
        <w:t xml:space="preserve">) = </w:t>
      </w:r>
      <w:r>
        <w:rPr>
          <w:rFonts w:cs="Times New Roman"/>
        </w:rPr>
        <w:t>90.050</w:t>
      </w:r>
      <w:r w:rsidRPr="009B72A7">
        <w:rPr>
          <w:rFonts w:cs="Times New Roman"/>
        </w:rPr>
        <w:t xml:space="preserve">, </w:t>
      </w:r>
      <w:r w:rsidRPr="009B72A7">
        <w:rPr>
          <w:rFonts w:cs="Times New Roman"/>
          <w:i/>
        </w:rPr>
        <w:t xml:space="preserve">p </w:t>
      </w:r>
      <w:r>
        <w:rPr>
          <w:rFonts w:cs="Times New Roman"/>
        </w:rPr>
        <w:t>&lt;</w:t>
      </w:r>
      <w:r w:rsidRPr="009B72A7">
        <w:rPr>
          <w:rFonts w:cs="Times New Roman"/>
        </w:rPr>
        <w:t xml:space="preserve"> .</w:t>
      </w:r>
      <w:r>
        <w:rPr>
          <w:rFonts w:cs="Times New Roman"/>
        </w:rPr>
        <w:t>001</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417</w:t>
      </w:r>
      <w:r w:rsidRPr="009B72A7">
        <w:rPr>
          <w:rFonts w:cs="Times New Roman"/>
        </w:rPr>
        <w:t xml:space="preserve">, 95% </w:t>
      </w:r>
      <w:r w:rsidRPr="00AD3B5C">
        <w:rPr>
          <w:rFonts w:cs="Times New Roman"/>
        </w:rPr>
        <w:t>CI [.325, .490],</w:t>
      </w:r>
      <w:r>
        <w:rPr>
          <w:rFonts w:cs="Times New Roman"/>
        </w:rPr>
        <w:t xml:space="preserve"> with the likelihood of 50% for the absence of a serious disease causing less concern than the likelihood of 1:2</w:t>
      </w:r>
      <w:r w:rsidRPr="00AA1315">
        <w:rPr>
          <w:rFonts w:cs="Times New Roman"/>
        </w:rPr>
        <w:t xml:space="preserve">, </w:t>
      </w:r>
      <w:r w:rsidRPr="00AA1315">
        <w:rPr>
          <w:i/>
        </w:rPr>
        <w:t>t</w:t>
      </w:r>
      <w:r w:rsidRPr="00AA1315">
        <w:t xml:space="preserve">(129) = </w:t>
      </w:r>
      <w:r>
        <w:t>12.212</w:t>
      </w:r>
      <w:r w:rsidRPr="00AA1315">
        <w:t xml:space="preserve">, </w:t>
      </w:r>
      <w:r w:rsidRPr="00AA1315">
        <w:rPr>
          <w:i/>
        </w:rPr>
        <w:t>p</w:t>
      </w:r>
      <w:r w:rsidRPr="00AA1315">
        <w:t xml:space="preserve"> &lt; .001, </w:t>
      </w:r>
      <w:r w:rsidRPr="00AA1315">
        <w:rPr>
          <w:i/>
        </w:rPr>
        <w:t>d</w:t>
      </w:r>
      <w:r w:rsidRPr="00AA1315">
        <w:t xml:space="preserve"> = </w:t>
      </w:r>
      <w:r>
        <w:t>1.071</w:t>
      </w:r>
      <w:r w:rsidRPr="00AA1315">
        <w:t>, 95% CI [</w:t>
      </w:r>
      <w:r>
        <w:t>0.854</w:t>
      </w:r>
      <w:r w:rsidRPr="00AA1315">
        <w:t xml:space="preserve">, </w:t>
      </w:r>
      <w:r>
        <w:t>1.286</w:t>
      </w:r>
      <w:r w:rsidRPr="00AA1315">
        <w:t>] an</w:t>
      </w:r>
      <w:r>
        <w:t>d</w:t>
      </w:r>
      <w:r w:rsidRPr="00AA1315">
        <w:t xml:space="preserve"> </w:t>
      </w:r>
      <w:r>
        <w:t>50</w:t>
      </w:r>
      <w:r w:rsidRPr="00AA1315">
        <w:t xml:space="preserve">% for its presence, </w:t>
      </w:r>
      <w:r w:rsidRPr="00AA1315">
        <w:rPr>
          <w:i/>
        </w:rPr>
        <w:t>t</w:t>
      </w:r>
      <w:r w:rsidRPr="00AA1315">
        <w:t xml:space="preserve">(129) = </w:t>
      </w:r>
      <w:r>
        <w:t>8.393</w:t>
      </w:r>
      <w:r w:rsidRPr="00AA1315">
        <w:t xml:space="preserve">, </w:t>
      </w:r>
      <w:r w:rsidRPr="00AA1315">
        <w:rPr>
          <w:i/>
        </w:rPr>
        <w:t>p</w:t>
      </w:r>
      <w:r w:rsidRPr="00AA1315">
        <w:t xml:space="preserve"> &lt; .001, </w:t>
      </w:r>
      <w:r w:rsidRPr="00AA1315">
        <w:rPr>
          <w:i/>
        </w:rPr>
        <w:t>d</w:t>
      </w:r>
      <w:r w:rsidRPr="00AA1315">
        <w:t xml:space="preserve"> = 0.</w:t>
      </w:r>
      <w:r>
        <w:t>736</w:t>
      </w:r>
      <w:r w:rsidRPr="00AA1315">
        <w:t>, 95% CI [0.</w:t>
      </w:r>
      <w:r>
        <w:t>541</w:t>
      </w:r>
      <w:r w:rsidRPr="00AA1315">
        <w:t>, 0</w:t>
      </w:r>
      <w:r>
        <w:t>.929</w:t>
      </w:r>
      <w:r w:rsidRPr="00AA1315">
        <w:t xml:space="preserve">]. </w:t>
      </w:r>
      <w:r>
        <w:t>The</w:t>
      </w:r>
      <w:r w:rsidRPr="00AA1315">
        <w:t xml:space="preserve"> presentation form 1:</w:t>
      </w:r>
      <w:r>
        <w:t>2</w:t>
      </w:r>
      <w:r w:rsidRPr="00AA1315">
        <w:t xml:space="preserve"> </w:t>
      </w:r>
      <w:r>
        <w:t>caused significantly more concern than 50</w:t>
      </w:r>
      <w:r w:rsidRPr="00AA1315">
        <w:t xml:space="preserve">%, </w:t>
      </w:r>
      <w:r w:rsidRPr="00AA1315">
        <w:rPr>
          <w:i/>
        </w:rPr>
        <w:t>t</w:t>
      </w:r>
      <w:r w:rsidRPr="00AA1315">
        <w:t xml:space="preserve">(129) = </w:t>
      </w:r>
      <w:r>
        <w:t>6.173</w:t>
      </w:r>
      <w:r w:rsidRPr="00AA1315">
        <w:t xml:space="preserve">, </w:t>
      </w:r>
      <w:r w:rsidRPr="00AA1315">
        <w:rPr>
          <w:i/>
        </w:rPr>
        <w:t>p</w:t>
      </w:r>
      <w:r w:rsidRPr="00AA1315">
        <w:t xml:space="preserve"> </w:t>
      </w:r>
      <w:r>
        <w:t>&lt; .001</w:t>
      </w:r>
      <w:r w:rsidRPr="00AA1315">
        <w:t xml:space="preserve">, </w:t>
      </w:r>
      <w:r w:rsidRPr="00AA1315">
        <w:rPr>
          <w:i/>
        </w:rPr>
        <w:t>d</w:t>
      </w:r>
      <w:r w:rsidRPr="00AA1315">
        <w:t xml:space="preserve"> = 0.</w:t>
      </w:r>
      <w:r>
        <w:t>541</w:t>
      </w:r>
      <w:r w:rsidRPr="00AA1315">
        <w:t>, 95% CI [</w:t>
      </w:r>
      <w:r>
        <w:t>0.356</w:t>
      </w:r>
      <w:r w:rsidRPr="00AA1315">
        <w:t xml:space="preserve">, </w:t>
      </w:r>
      <w:r>
        <w:t>0.725</w:t>
      </w:r>
      <w:r w:rsidRPr="00AA1315">
        <w:t>].</w:t>
      </w:r>
      <w:r>
        <w:t xml:space="preserve"> The sample by presentation form interaction was not significant, </w:t>
      </w:r>
      <w:r w:rsidRPr="009B72A7">
        <w:rPr>
          <w:rFonts w:cs="Times New Roman"/>
          <w:i/>
        </w:rPr>
        <w:t>F</w:t>
      </w:r>
      <w:r>
        <w:rPr>
          <w:rFonts w:cs="Times New Roman"/>
        </w:rPr>
        <w:t>(4</w:t>
      </w:r>
      <w:r w:rsidRPr="009B72A7">
        <w:rPr>
          <w:rFonts w:cs="Times New Roman"/>
        </w:rPr>
        <w:t xml:space="preserve">, </w:t>
      </w:r>
      <w:r>
        <w:rPr>
          <w:rFonts w:cs="Times New Roman"/>
        </w:rPr>
        <w:t>252</w:t>
      </w:r>
      <w:r w:rsidRPr="009B72A7">
        <w:rPr>
          <w:rFonts w:cs="Times New Roman"/>
        </w:rPr>
        <w:t xml:space="preserve">) = </w:t>
      </w:r>
      <w:r>
        <w:rPr>
          <w:rFonts w:cs="Times New Roman"/>
        </w:rPr>
        <w:t>.665</w:t>
      </w:r>
      <w:r w:rsidRPr="009B72A7">
        <w:rPr>
          <w:rFonts w:cs="Times New Roman"/>
        </w:rPr>
        <w:t xml:space="preserve">, </w:t>
      </w:r>
      <w:r w:rsidRPr="009B72A7">
        <w:rPr>
          <w:rFonts w:cs="Times New Roman"/>
          <w:i/>
        </w:rPr>
        <w:t xml:space="preserve">p </w:t>
      </w:r>
      <w:r>
        <w:rPr>
          <w:rFonts w:cs="Times New Roman"/>
        </w:rPr>
        <w:t>=</w:t>
      </w:r>
      <w:r w:rsidRPr="009B72A7">
        <w:rPr>
          <w:rFonts w:cs="Times New Roman"/>
        </w:rPr>
        <w:t xml:space="preserve"> .</w:t>
      </w:r>
      <w:r>
        <w:rPr>
          <w:rFonts w:cs="Times New Roman"/>
        </w:rPr>
        <w:t>617</w:t>
      </w:r>
      <w:r w:rsidRPr="009B72A7">
        <w:rPr>
          <w:rFonts w:cs="Times New Roman"/>
        </w:rPr>
        <w:t xml:space="preserve">, </w:t>
      </w:r>
      <w:r w:rsidRPr="009B72A7">
        <w:rPr>
          <w:rFonts w:cs="Times New Roman"/>
          <w:iCs/>
        </w:rPr>
        <w:t>ɳ²</w:t>
      </w:r>
      <w:r w:rsidRPr="009B72A7">
        <w:rPr>
          <w:rFonts w:cs="Times New Roman"/>
          <w:iCs/>
          <w:vertAlign w:val="subscript"/>
        </w:rPr>
        <w:t>p</w:t>
      </w:r>
      <w:r w:rsidRPr="009B72A7">
        <w:rPr>
          <w:rFonts w:cs="Times New Roman"/>
          <w:i/>
          <w:vertAlign w:val="subscript"/>
        </w:rPr>
        <w:t xml:space="preserve"> </w:t>
      </w:r>
      <w:r w:rsidRPr="009B72A7">
        <w:rPr>
          <w:rFonts w:cs="Times New Roman"/>
        </w:rPr>
        <w:t>= .</w:t>
      </w:r>
      <w:r>
        <w:rPr>
          <w:rFonts w:cs="Times New Roman"/>
        </w:rPr>
        <w:t>010</w:t>
      </w:r>
      <w:r w:rsidRPr="009B72A7">
        <w:rPr>
          <w:rFonts w:cs="Times New Roman"/>
        </w:rPr>
        <w:t xml:space="preserve">, 95% CI </w:t>
      </w:r>
      <w:r w:rsidRPr="00AD3B5C">
        <w:rPr>
          <w:rFonts w:cs="Times New Roman"/>
        </w:rPr>
        <w:t>[0, .031].</w:t>
      </w:r>
    </w:p>
    <w:p w14:paraId="79CD6D43" w14:textId="44A1AE81" w:rsidR="0086694C" w:rsidRDefault="0086694C" w:rsidP="0086694C">
      <w:pPr>
        <w:pStyle w:val="berschrift2"/>
        <w:jc w:val="center"/>
      </w:pPr>
      <w:r>
        <w:t>Exploratory findings</w:t>
      </w:r>
    </w:p>
    <w:p w14:paraId="172867DB" w14:textId="77777777" w:rsidR="00646E38" w:rsidRDefault="00E7057E" w:rsidP="0086694C">
      <w:r>
        <w:t>We exploratorily analyzed the associations</w:t>
      </w:r>
      <w:r w:rsidR="001B1DFA">
        <w:t xml:space="preserve"> of the degree of concern in response to the three framing versions</w:t>
      </w:r>
      <w:r>
        <w:t xml:space="preserve"> </w:t>
      </w:r>
      <w:r w:rsidR="001B1DFA">
        <w:t>with</w:t>
      </w:r>
      <w:r>
        <w:t xml:space="preserve"> somatic symptom burden (as assessed with the SSS-8)</w:t>
      </w:r>
      <w:r w:rsidR="001B1DFA">
        <w:t xml:space="preserve">, disproportionate thoughts, emotions, and behaviors associated with somatic symptoms (as assessed with the SSD-12), and generalized anxiety (as assessed with the GAD-7). </w:t>
      </w:r>
      <w:r w:rsidR="005B2E9F">
        <w:t xml:space="preserve">We found that for both the positive framing approach and the negative framing approach using frequencies, higher somatic symptom burden, higher level of disproportionate thoughts, emotions, and behaviors associated with somatic symptoms, and higher levels of generalized anxiety were associated with a higher degree of concern. For the negative framing approach using percentages, the degree of concern was associated with generalized anxiety, but not with SSS-8 nor SSD-12 sum scores. </w:t>
      </w:r>
      <w:r w:rsidR="00646E38">
        <w:t>All aforementioned correlations are presented in Table S1.</w:t>
      </w:r>
    </w:p>
    <w:p w14:paraId="40DFCA94" w14:textId="77777777" w:rsidR="00646E38" w:rsidRDefault="00646E38" w:rsidP="00817384">
      <w:pPr>
        <w:ind w:firstLine="0"/>
      </w:pPr>
      <w:r>
        <w:lastRenderedPageBreak/>
        <w:t>Table S1</w:t>
      </w:r>
    </w:p>
    <w:p w14:paraId="0FD3516B" w14:textId="77777777" w:rsidR="00646E38" w:rsidRDefault="00646E38" w:rsidP="00646E38">
      <w:pPr>
        <w:ind w:firstLine="0"/>
        <w:rPr>
          <w:i/>
          <w:iCs/>
        </w:rPr>
      </w:pPr>
      <w:r w:rsidRPr="00817384">
        <w:rPr>
          <w:i/>
          <w:iCs/>
        </w:rPr>
        <w:t>Correlations of the degree of concern for different likelihood framings with SSS-8, SSD-12, and GAD-7 sum scores.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4"/>
      </w:tblGrid>
      <w:tr w:rsidR="00646E38" w14:paraId="43908745" w14:textId="77777777" w:rsidTr="00817384">
        <w:tc>
          <w:tcPr>
            <w:tcW w:w="2264" w:type="dxa"/>
            <w:tcBorders>
              <w:top w:val="single" w:sz="4" w:space="0" w:color="auto"/>
              <w:bottom w:val="single" w:sz="4" w:space="0" w:color="auto"/>
              <w:right w:val="single" w:sz="4" w:space="0" w:color="auto"/>
            </w:tcBorders>
          </w:tcPr>
          <w:p w14:paraId="76499E60" w14:textId="510626F1" w:rsidR="00646E38" w:rsidRPr="00817384" w:rsidRDefault="00646E38" w:rsidP="00646E38">
            <w:pPr>
              <w:ind w:firstLine="0"/>
              <w:rPr>
                <w:b/>
                <w:bCs/>
              </w:rPr>
            </w:pPr>
            <w:r w:rsidRPr="00817384">
              <w:rPr>
                <w:b/>
                <w:bCs/>
              </w:rPr>
              <w:t>Likelihood framing</w:t>
            </w:r>
          </w:p>
        </w:tc>
        <w:tc>
          <w:tcPr>
            <w:tcW w:w="2264" w:type="dxa"/>
            <w:tcBorders>
              <w:top w:val="single" w:sz="4" w:space="0" w:color="auto"/>
              <w:left w:val="single" w:sz="4" w:space="0" w:color="auto"/>
              <w:bottom w:val="single" w:sz="4" w:space="0" w:color="auto"/>
            </w:tcBorders>
          </w:tcPr>
          <w:p w14:paraId="014DC08A" w14:textId="265E4314" w:rsidR="00646E38" w:rsidRPr="00817384" w:rsidRDefault="00646E38" w:rsidP="00646E38">
            <w:pPr>
              <w:ind w:firstLine="0"/>
              <w:rPr>
                <w:b/>
                <w:bCs/>
              </w:rPr>
            </w:pPr>
            <w:r>
              <w:rPr>
                <w:b/>
                <w:bCs/>
              </w:rPr>
              <w:t>SSS-8</w:t>
            </w:r>
          </w:p>
        </w:tc>
        <w:tc>
          <w:tcPr>
            <w:tcW w:w="2264" w:type="dxa"/>
            <w:tcBorders>
              <w:top w:val="single" w:sz="4" w:space="0" w:color="auto"/>
              <w:bottom w:val="single" w:sz="4" w:space="0" w:color="auto"/>
            </w:tcBorders>
          </w:tcPr>
          <w:p w14:paraId="1EE024C2" w14:textId="3B6B2D2F" w:rsidR="00646E38" w:rsidRPr="00817384" w:rsidRDefault="00646E38" w:rsidP="00646E38">
            <w:pPr>
              <w:ind w:firstLine="0"/>
              <w:rPr>
                <w:b/>
                <w:bCs/>
              </w:rPr>
            </w:pPr>
            <w:r>
              <w:rPr>
                <w:b/>
                <w:bCs/>
              </w:rPr>
              <w:t>SSD-12</w:t>
            </w:r>
          </w:p>
        </w:tc>
        <w:tc>
          <w:tcPr>
            <w:tcW w:w="2264" w:type="dxa"/>
            <w:tcBorders>
              <w:top w:val="single" w:sz="4" w:space="0" w:color="auto"/>
              <w:bottom w:val="single" w:sz="4" w:space="0" w:color="auto"/>
            </w:tcBorders>
          </w:tcPr>
          <w:p w14:paraId="17EEE9EA" w14:textId="51DB30EC" w:rsidR="00646E38" w:rsidRPr="00817384" w:rsidRDefault="00646E38" w:rsidP="00646E38">
            <w:pPr>
              <w:ind w:firstLine="0"/>
              <w:rPr>
                <w:b/>
                <w:bCs/>
              </w:rPr>
            </w:pPr>
            <w:r>
              <w:rPr>
                <w:b/>
                <w:bCs/>
              </w:rPr>
              <w:t>GAD-7</w:t>
            </w:r>
          </w:p>
        </w:tc>
      </w:tr>
      <w:tr w:rsidR="00646E38" w14:paraId="4EEF6802" w14:textId="77777777" w:rsidTr="00817384">
        <w:tc>
          <w:tcPr>
            <w:tcW w:w="2264" w:type="dxa"/>
            <w:tcBorders>
              <w:top w:val="single" w:sz="4" w:space="0" w:color="auto"/>
              <w:right w:val="single" w:sz="4" w:space="0" w:color="auto"/>
            </w:tcBorders>
          </w:tcPr>
          <w:p w14:paraId="1AA22850" w14:textId="1E7D07DB" w:rsidR="00646E38" w:rsidRPr="00817384" w:rsidRDefault="00646E38" w:rsidP="00646E38">
            <w:pPr>
              <w:ind w:firstLine="0"/>
            </w:pPr>
            <w:r w:rsidRPr="00817384">
              <w:t>Positive framing</w:t>
            </w:r>
          </w:p>
        </w:tc>
        <w:tc>
          <w:tcPr>
            <w:tcW w:w="2264" w:type="dxa"/>
            <w:tcBorders>
              <w:top w:val="single" w:sz="4" w:space="0" w:color="auto"/>
              <w:left w:val="single" w:sz="4" w:space="0" w:color="auto"/>
            </w:tcBorders>
          </w:tcPr>
          <w:p w14:paraId="59F156BC" w14:textId="5D3F94F1" w:rsidR="00646E38" w:rsidRPr="00817384" w:rsidRDefault="00646E38" w:rsidP="00646E38">
            <w:pPr>
              <w:ind w:firstLine="0"/>
            </w:pPr>
            <w:r w:rsidRPr="00817384">
              <w:rPr>
                <w:i/>
                <w:iCs/>
              </w:rPr>
              <w:t>r</w:t>
            </w:r>
            <w:r>
              <w:t xml:space="preserve"> = .177, </w:t>
            </w:r>
            <w:r w:rsidRPr="00817384">
              <w:rPr>
                <w:i/>
                <w:iCs/>
              </w:rPr>
              <w:t>p</w:t>
            </w:r>
            <w:r>
              <w:t xml:space="preserve"> = .044</w:t>
            </w:r>
          </w:p>
        </w:tc>
        <w:tc>
          <w:tcPr>
            <w:tcW w:w="2264" w:type="dxa"/>
            <w:tcBorders>
              <w:top w:val="single" w:sz="4" w:space="0" w:color="auto"/>
            </w:tcBorders>
          </w:tcPr>
          <w:p w14:paraId="1A9943B0" w14:textId="1EBA2110" w:rsidR="00646E38" w:rsidRPr="00817384" w:rsidRDefault="00646E38" w:rsidP="00646E38">
            <w:pPr>
              <w:ind w:firstLine="0"/>
            </w:pPr>
            <w:r w:rsidRPr="004362C1">
              <w:rPr>
                <w:i/>
                <w:iCs/>
              </w:rPr>
              <w:t>r</w:t>
            </w:r>
            <w:r>
              <w:t xml:space="preserve"> = .311, </w:t>
            </w:r>
            <w:r w:rsidRPr="004362C1">
              <w:rPr>
                <w:i/>
                <w:iCs/>
              </w:rPr>
              <w:t>p</w:t>
            </w:r>
            <w:r>
              <w:t xml:space="preserve"> &lt; .001</w:t>
            </w:r>
          </w:p>
        </w:tc>
        <w:tc>
          <w:tcPr>
            <w:tcW w:w="2264" w:type="dxa"/>
            <w:tcBorders>
              <w:top w:val="single" w:sz="4" w:space="0" w:color="auto"/>
            </w:tcBorders>
          </w:tcPr>
          <w:p w14:paraId="04C6852B" w14:textId="1EC5449C" w:rsidR="00646E38" w:rsidRPr="00817384" w:rsidRDefault="00646E38" w:rsidP="00646E38">
            <w:pPr>
              <w:ind w:firstLine="0"/>
            </w:pPr>
            <w:r w:rsidRPr="004362C1">
              <w:rPr>
                <w:i/>
                <w:iCs/>
              </w:rPr>
              <w:t>r</w:t>
            </w:r>
            <w:r>
              <w:t xml:space="preserve"> = .323, </w:t>
            </w:r>
            <w:r w:rsidRPr="004362C1">
              <w:rPr>
                <w:i/>
                <w:iCs/>
              </w:rPr>
              <w:t>p</w:t>
            </w:r>
            <w:r>
              <w:t xml:space="preserve"> &lt; .001</w:t>
            </w:r>
          </w:p>
        </w:tc>
      </w:tr>
      <w:tr w:rsidR="00646E38" w14:paraId="3EAB83BD" w14:textId="77777777" w:rsidTr="00817384">
        <w:tc>
          <w:tcPr>
            <w:tcW w:w="2264" w:type="dxa"/>
            <w:tcBorders>
              <w:right w:val="single" w:sz="4" w:space="0" w:color="auto"/>
            </w:tcBorders>
          </w:tcPr>
          <w:p w14:paraId="51760711" w14:textId="75850E13" w:rsidR="00646E38" w:rsidRPr="00817384" w:rsidRDefault="00646E38" w:rsidP="00646E38">
            <w:pPr>
              <w:ind w:firstLine="0"/>
            </w:pPr>
            <w:r>
              <w:t>Negative framing – frequencies</w:t>
            </w:r>
          </w:p>
        </w:tc>
        <w:tc>
          <w:tcPr>
            <w:tcW w:w="2264" w:type="dxa"/>
            <w:tcBorders>
              <w:left w:val="single" w:sz="4" w:space="0" w:color="auto"/>
            </w:tcBorders>
          </w:tcPr>
          <w:p w14:paraId="37F9F80F" w14:textId="6BD391A0" w:rsidR="00646E38" w:rsidRPr="00817384" w:rsidRDefault="00646E38" w:rsidP="00646E38">
            <w:pPr>
              <w:ind w:firstLine="0"/>
            </w:pPr>
            <w:r w:rsidRPr="004362C1">
              <w:rPr>
                <w:i/>
                <w:iCs/>
              </w:rPr>
              <w:t>r</w:t>
            </w:r>
            <w:r>
              <w:t xml:space="preserve"> = .214, </w:t>
            </w:r>
            <w:r w:rsidRPr="004362C1">
              <w:rPr>
                <w:i/>
                <w:iCs/>
              </w:rPr>
              <w:t>p</w:t>
            </w:r>
            <w:r>
              <w:t xml:space="preserve"> = .014</w:t>
            </w:r>
          </w:p>
        </w:tc>
        <w:tc>
          <w:tcPr>
            <w:tcW w:w="2264" w:type="dxa"/>
          </w:tcPr>
          <w:p w14:paraId="0BAE2BF9" w14:textId="3DAFD9D4" w:rsidR="00646E38" w:rsidRPr="00817384" w:rsidRDefault="00646E38" w:rsidP="00646E38">
            <w:pPr>
              <w:ind w:firstLine="0"/>
            </w:pPr>
            <w:r w:rsidRPr="004362C1">
              <w:rPr>
                <w:i/>
                <w:iCs/>
              </w:rPr>
              <w:t>r</w:t>
            </w:r>
            <w:r>
              <w:t xml:space="preserve"> = .360, </w:t>
            </w:r>
            <w:r w:rsidRPr="004362C1">
              <w:rPr>
                <w:i/>
                <w:iCs/>
              </w:rPr>
              <w:t>p</w:t>
            </w:r>
            <w:r>
              <w:t xml:space="preserve"> &lt; .001</w:t>
            </w:r>
          </w:p>
        </w:tc>
        <w:tc>
          <w:tcPr>
            <w:tcW w:w="2264" w:type="dxa"/>
          </w:tcPr>
          <w:p w14:paraId="33D99EBD" w14:textId="78942F32" w:rsidR="00646E38" w:rsidRPr="00817384" w:rsidRDefault="00646E38" w:rsidP="00646E38">
            <w:pPr>
              <w:ind w:firstLine="0"/>
            </w:pPr>
            <w:r w:rsidRPr="004362C1">
              <w:rPr>
                <w:i/>
                <w:iCs/>
              </w:rPr>
              <w:t>r</w:t>
            </w:r>
            <w:r>
              <w:t xml:space="preserve"> = .361, </w:t>
            </w:r>
            <w:r w:rsidRPr="004362C1">
              <w:rPr>
                <w:i/>
                <w:iCs/>
              </w:rPr>
              <w:t>p</w:t>
            </w:r>
            <w:r>
              <w:t xml:space="preserve"> &lt; .001</w:t>
            </w:r>
          </w:p>
        </w:tc>
      </w:tr>
      <w:tr w:rsidR="00646E38" w14:paraId="3E1718F0" w14:textId="77777777" w:rsidTr="00817384">
        <w:tc>
          <w:tcPr>
            <w:tcW w:w="2264" w:type="dxa"/>
            <w:tcBorders>
              <w:right w:val="single" w:sz="4" w:space="0" w:color="auto"/>
            </w:tcBorders>
          </w:tcPr>
          <w:p w14:paraId="54E9C3A6" w14:textId="59932B0D" w:rsidR="00646E38" w:rsidRPr="00817384" w:rsidRDefault="00646E38" w:rsidP="00646E38">
            <w:pPr>
              <w:ind w:firstLine="0"/>
            </w:pPr>
            <w:r>
              <w:t>Negative framing - percentages</w:t>
            </w:r>
          </w:p>
        </w:tc>
        <w:tc>
          <w:tcPr>
            <w:tcW w:w="2264" w:type="dxa"/>
            <w:tcBorders>
              <w:left w:val="single" w:sz="4" w:space="0" w:color="auto"/>
            </w:tcBorders>
          </w:tcPr>
          <w:p w14:paraId="270396EA" w14:textId="14A4BED5" w:rsidR="00646E38" w:rsidRPr="00817384" w:rsidRDefault="00646E38" w:rsidP="00646E38">
            <w:pPr>
              <w:ind w:firstLine="0"/>
            </w:pPr>
            <w:r w:rsidRPr="004362C1">
              <w:rPr>
                <w:i/>
                <w:iCs/>
              </w:rPr>
              <w:t>r</w:t>
            </w:r>
            <w:r>
              <w:t xml:space="preserve"> = .063, </w:t>
            </w:r>
            <w:r w:rsidRPr="004362C1">
              <w:rPr>
                <w:i/>
                <w:iCs/>
              </w:rPr>
              <w:t>p</w:t>
            </w:r>
            <w:r>
              <w:t xml:space="preserve"> = .476</w:t>
            </w:r>
          </w:p>
        </w:tc>
        <w:tc>
          <w:tcPr>
            <w:tcW w:w="2264" w:type="dxa"/>
          </w:tcPr>
          <w:p w14:paraId="4FC16028" w14:textId="6B6040E4" w:rsidR="00646E38" w:rsidRPr="00817384" w:rsidRDefault="00646E38" w:rsidP="00646E38">
            <w:pPr>
              <w:ind w:firstLine="0"/>
            </w:pPr>
            <w:r w:rsidRPr="004362C1">
              <w:rPr>
                <w:i/>
                <w:iCs/>
              </w:rPr>
              <w:t>r</w:t>
            </w:r>
            <w:r>
              <w:t xml:space="preserve"> = .129, </w:t>
            </w:r>
            <w:r w:rsidRPr="004362C1">
              <w:rPr>
                <w:i/>
                <w:iCs/>
              </w:rPr>
              <w:t>p</w:t>
            </w:r>
            <w:r>
              <w:t xml:space="preserve"> = .144</w:t>
            </w:r>
          </w:p>
        </w:tc>
        <w:tc>
          <w:tcPr>
            <w:tcW w:w="2264" w:type="dxa"/>
          </w:tcPr>
          <w:p w14:paraId="4892AD81" w14:textId="78945C98" w:rsidR="00646E38" w:rsidRPr="00817384" w:rsidRDefault="00646E38" w:rsidP="00646E38">
            <w:pPr>
              <w:ind w:firstLine="0"/>
            </w:pPr>
            <w:r w:rsidRPr="004362C1">
              <w:rPr>
                <w:i/>
                <w:iCs/>
              </w:rPr>
              <w:t>r</w:t>
            </w:r>
            <w:r>
              <w:t xml:space="preserve"> = .175, </w:t>
            </w:r>
            <w:r w:rsidRPr="004362C1">
              <w:rPr>
                <w:i/>
                <w:iCs/>
              </w:rPr>
              <w:t>p</w:t>
            </w:r>
            <w:r>
              <w:t xml:space="preserve"> = .046</w:t>
            </w:r>
          </w:p>
        </w:tc>
      </w:tr>
    </w:tbl>
    <w:p w14:paraId="635A08EF" w14:textId="6335538E" w:rsidR="0086694C" w:rsidRPr="00817384" w:rsidRDefault="00646E38" w:rsidP="00817384">
      <w:pPr>
        <w:ind w:firstLine="0"/>
        <w:rPr>
          <w:i/>
          <w:iCs/>
        </w:rPr>
      </w:pPr>
      <w:r w:rsidRPr="00817384">
        <w:rPr>
          <w:i/>
          <w:iCs/>
        </w:rPr>
        <w:t xml:space="preserve">  </w:t>
      </w:r>
    </w:p>
    <w:p w14:paraId="22A5DED1" w14:textId="77777777" w:rsidR="0056312C" w:rsidRDefault="0056312C"/>
    <w:sectPr w:rsidR="0056312C" w:rsidSect="000573F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700E" w14:textId="77777777" w:rsidR="00560246" w:rsidRDefault="00560246" w:rsidP="00C54DCD">
      <w:pPr>
        <w:spacing w:after="0" w:line="240" w:lineRule="auto"/>
      </w:pPr>
      <w:r>
        <w:separator/>
      </w:r>
    </w:p>
  </w:endnote>
  <w:endnote w:type="continuationSeparator" w:id="0">
    <w:p w14:paraId="2352E349" w14:textId="77777777" w:rsidR="00560246" w:rsidRDefault="00560246" w:rsidP="00C5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C78B" w14:textId="77777777" w:rsidR="00560246" w:rsidRDefault="00560246" w:rsidP="00C54DCD">
      <w:pPr>
        <w:spacing w:after="0" w:line="240" w:lineRule="auto"/>
      </w:pPr>
      <w:r>
        <w:separator/>
      </w:r>
    </w:p>
  </w:footnote>
  <w:footnote w:type="continuationSeparator" w:id="0">
    <w:p w14:paraId="658190C0" w14:textId="77777777" w:rsidR="00560246" w:rsidRDefault="00560246" w:rsidP="00C54DCD">
      <w:pPr>
        <w:spacing w:after="0" w:line="240" w:lineRule="auto"/>
      </w:pPr>
      <w:r>
        <w:continuationSeparator/>
      </w:r>
    </w:p>
  </w:footnote>
  <w:footnote w:id="1">
    <w:p w14:paraId="4DB08EC0" w14:textId="5585DDCF" w:rsidR="00C54DCD" w:rsidRPr="001578AC" w:rsidRDefault="00C54DCD" w:rsidP="00C54DCD">
      <w:pPr>
        <w:pStyle w:val="Funotentext"/>
      </w:pPr>
      <w:r w:rsidRPr="00A36CD2">
        <w:rPr>
          <w:rStyle w:val="Funotenzeichen"/>
        </w:rPr>
        <w:footnoteRef/>
      </w:r>
      <w:r w:rsidRPr="001578AC">
        <w:t xml:space="preserve"> Of note, in </w:t>
      </w:r>
      <w:r>
        <w:t>three</w:t>
      </w:r>
      <w:r w:rsidRPr="001578AC">
        <w:t xml:space="preserve"> people,</w:t>
      </w:r>
      <w:r>
        <w:t xml:space="preserve"> the somatoform disorder was the secondary diagnosis, yet these people were included in the </w:t>
      </w:r>
      <w:r w:rsidR="00846F63">
        <w:t>SFD</w:t>
      </w:r>
      <w:r>
        <w:t xml:space="preserve"> sample because the decision to use another diagnosis as the primary diagnosis was based on formal rather than clinical reasons, and the somatic complaints were in the foreground from a clinical perspective.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2B"/>
    <w:rsid w:val="0000061C"/>
    <w:rsid w:val="00023B9B"/>
    <w:rsid w:val="000259E9"/>
    <w:rsid w:val="000408AE"/>
    <w:rsid w:val="00040C66"/>
    <w:rsid w:val="00045F91"/>
    <w:rsid w:val="000532A8"/>
    <w:rsid w:val="00056800"/>
    <w:rsid w:val="000573F0"/>
    <w:rsid w:val="000607B8"/>
    <w:rsid w:val="000666B2"/>
    <w:rsid w:val="00067972"/>
    <w:rsid w:val="00082256"/>
    <w:rsid w:val="00093D04"/>
    <w:rsid w:val="000A6412"/>
    <w:rsid w:val="000C024A"/>
    <w:rsid w:val="000C3FF8"/>
    <w:rsid w:val="000D1232"/>
    <w:rsid w:val="000D5162"/>
    <w:rsid w:val="000D5A49"/>
    <w:rsid w:val="000E6B42"/>
    <w:rsid w:val="000F3D5F"/>
    <w:rsid w:val="000F521A"/>
    <w:rsid w:val="00107EE2"/>
    <w:rsid w:val="001116EE"/>
    <w:rsid w:val="00113824"/>
    <w:rsid w:val="001143B0"/>
    <w:rsid w:val="00116E3B"/>
    <w:rsid w:val="001268E2"/>
    <w:rsid w:val="00132BE7"/>
    <w:rsid w:val="001477D0"/>
    <w:rsid w:val="00150BDD"/>
    <w:rsid w:val="00153BB6"/>
    <w:rsid w:val="00156289"/>
    <w:rsid w:val="001642FA"/>
    <w:rsid w:val="00167FAB"/>
    <w:rsid w:val="001733C8"/>
    <w:rsid w:val="0017606C"/>
    <w:rsid w:val="001817FF"/>
    <w:rsid w:val="001913BA"/>
    <w:rsid w:val="00194B82"/>
    <w:rsid w:val="001A5D38"/>
    <w:rsid w:val="001B1DFA"/>
    <w:rsid w:val="001C1A5E"/>
    <w:rsid w:val="002041B8"/>
    <w:rsid w:val="00205D78"/>
    <w:rsid w:val="00207493"/>
    <w:rsid w:val="0022161A"/>
    <w:rsid w:val="0022209B"/>
    <w:rsid w:val="00222B63"/>
    <w:rsid w:val="00244B0B"/>
    <w:rsid w:val="00246CAC"/>
    <w:rsid w:val="00267DC6"/>
    <w:rsid w:val="00272853"/>
    <w:rsid w:val="00275405"/>
    <w:rsid w:val="00292269"/>
    <w:rsid w:val="002A7B91"/>
    <w:rsid w:val="002B7166"/>
    <w:rsid w:val="002C2A1F"/>
    <w:rsid w:val="002D2D5C"/>
    <w:rsid w:val="002D4EB4"/>
    <w:rsid w:val="002D646F"/>
    <w:rsid w:val="002E29BB"/>
    <w:rsid w:val="002E42F9"/>
    <w:rsid w:val="002F129D"/>
    <w:rsid w:val="00322E26"/>
    <w:rsid w:val="00326A8F"/>
    <w:rsid w:val="00327A9F"/>
    <w:rsid w:val="00332495"/>
    <w:rsid w:val="003606F4"/>
    <w:rsid w:val="003705C3"/>
    <w:rsid w:val="00371D3F"/>
    <w:rsid w:val="00373587"/>
    <w:rsid w:val="003749D3"/>
    <w:rsid w:val="00375B2D"/>
    <w:rsid w:val="003772D5"/>
    <w:rsid w:val="00377E67"/>
    <w:rsid w:val="003843E2"/>
    <w:rsid w:val="003B7664"/>
    <w:rsid w:val="003B76AB"/>
    <w:rsid w:val="003C47AB"/>
    <w:rsid w:val="003E31BC"/>
    <w:rsid w:val="003F04E7"/>
    <w:rsid w:val="003F294E"/>
    <w:rsid w:val="003F4F2B"/>
    <w:rsid w:val="003F5DCB"/>
    <w:rsid w:val="003F6FE2"/>
    <w:rsid w:val="003F739B"/>
    <w:rsid w:val="00422417"/>
    <w:rsid w:val="00425AA7"/>
    <w:rsid w:val="004421BC"/>
    <w:rsid w:val="0045436A"/>
    <w:rsid w:val="00455BCB"/>
    <w:rsid w:val="00461267"/>
    <w:rsid w:val="00475AEC"/>
    <w:rsid w:val="004851FB"/>
    <w:rsid w:val="00487CF0"/>
    <w:rsid w:val="004B75BB"/>
    <w:rsid w:val="004C1EC8"/>
    <w:rsid w:val="004C5AC1"/>
    <w:rsid w:val="004D68A8"/>
    <w:rsid w:val="004E0BD8"/>
    <w:rsid w:val="004E69C9"/>
    <w:rsid w:val="004F3DE0"/>
    <w:rsid w:val="004F4CD3"/>
    <w:rsid w:val="00516CDF"/>
    <w:rsid w:val="00524F6F"/>
    <w:rsid w:val="005333B1"/>
    <w:rsid w:val="0053711B"/>
    <w:rsid w:val="005522ED"/>
    <w:rsid w:val="00560246"/>
    <w:rsid w:val="005610F9"/>
    <w:rsid w:val="0056287F"/>
    <w:rsid w:val="0056312C"/>
    <w:rsid w:val="0057359A"/>
    <w:rsid w:val="005756E3"/>
    <w:rsid w:val="00575A76"/>
    <w:rsid w:val="00576FEB"/>
    <w:rsid w:val="00590230"/>
    <w:rsid w:val="0059351B"/>
    <w:rsid w:val="005A1159"/>
    <w:rsid w:val="005A7E5A"/>
    <w:rsid w:val="005B2E9F"/>
    <w:rsid w:val="005C671F"/>
    <w:rsid w:val="005D6E18"/>
    <w:rsid w:val="005E5953"/>
    <w:rsid w:val="00602655"/>
    <w:rsid w:val="00607B7E"/>
    <w:rsid w:val="006138EE"/>
    <w:rsid w:val="0062029F"/>
    <w:rsid w:val="00620E7D"/>
    <w:rsid w:val="00640124"/>
    <w:rsid w:val="00644B33"/>
    <w:rsid w:val="00646E38"/>
    <w:rsid w:val="006500EE"/>
    <w:rsid w:val="0065133D"/>
    <w:rsid w:val="006535D2"/>
    <w:rsid w:val="0068342A"/>
    <w:rsid w:val="006919CD"/>
    <w:rsid w:val="00692A74"/>
    <w:rsid w:val="00695756"/>
    <w:rsid w:val="006A10CE"/>
    <w:rsid w:val="006D5DDC"/>
    <w:rsid w:val="0070562F"/>
    <w:rsid w:val="00706FC4"/>
    <w:rsid w:val="007173FC"/>
    <w:rsid w:val="0071797C"/>
    <w:rsid w:val="00717D5F"/>
    <w:rsid w:val="00720596"/>
    <w:rsid w:val="0074212B"/>
    <w:rsid w:val="0075035D"/>
    <w:rsid w:val="0075192C"/>
    <w:rsid w:val="00756A81"/>
    <w:rsid w:val="007644FC"/>
    <w:rsid w:val="0077525E"/>
    <w:rsid w:val="00785D48"/>
    <w:rsid w:val="00787818"/>
    <w:rsid w:val="00793B22"/>
    <w:rsid w:val="007B7AF8"/>
    <w:rsid w:val="007C4915"/>
    <w:rsid w:val="007F005D"/>
    <w:rsid w:val="008112A6"/>
    <w:rsid w:val="00811FA5"/>
    <w:rsid w:val="00812565"/>
    <w:rsid w:val="00817384"/>
    <w:rsid w:val="00821620"/>
    <w:rsid w:val="008351E5"/>
    <w:rsid w:val="00846F63"/>
    <w:rsid w:val="0085218D"/>
    <w:rsid w:val="00856018"/>
    <w:rsid w:val="00857E55"/>
    <w:rsid w:val="00857F7E"/>
    <w:rsid w:val="008648C5"/>
    <w:rsid w:val="00866945"/>
    <w:rsid w:val="0086694C"/>
    <w:rsid w:val="008676C5"/>
    <w:rsid w:val="00880671"/>
    <w:rsid w:val="008833AD"/>
    <w:rsid w:val="00893DDD"/>
    <w:rsid w:val="008B5BF2"/>
    <w:rsid w:val="008B5CEB"/>
    <w:rsid w:val="008B6DB6"/>
    <w:rsid w:val="008D27AF"/>
    <w:rsid w:val="008D5ACA"/>
    <w:rsid w:val="008D6AE3"/>
    <w:rsid w:val="008E571D"/>
    <w:rsid w:val="00903493"/>
    <w:rsid w:val="00914CAD"/>
    <w:rsid w:val="00926F14"/>
    <w:rsid w:val="00935DDE"/>
    <w:rsid w:val="009370F3"/>
    <w:rsid w:val="00940182"/>
    <w:rsid w:val="0094415B"/>
    <w:rsid w:val="009464D7"/>
    <w:rsid w:val="009505E2"/>
    <w:rsid w:val="0095282F"/>
    <w:rsid w:val="00952E60"/>
    <w:rsid w:val="00961B80"/>
    <w:rsid w:val="00963853"/>
    <w:rsid w:val="00967F0F"/>
    <w:rsid w:val="00974DC9"/>
    <w:rsid w:val="009865E8"/>
    <w:rsid w:val="00993557"/>
    <w:rsid w:val="00997C12"/>
    <w:rsid w:val="009A0A8F"/>
    <w:rsid w:val="009B4A77"/>
    <w:rsid w:val="009D115F"/>
    <w:rsid w:val="009D5292"/>
    <w:rsid w:val="009D724B"/>
    <w:rsid w:val="009E300E"/>
    <w:rsid w:val="009F2D30"/>
    <w:rsid w:val="00A0001F"/>
    <w:rsid w:val="00A10F01"/>
    <w:rsid w:val="00A15040"/>
    <w:rsid w:val="00A36CD2"/>
    <w:rsid w:val="00A45251"/>
    <w:rsid w:val="00A50A15"/>
    <w:rsid w:val="00A52C76"/>
    <w:rsid w:val="00A551DB"/>
    <w:rsid w:val="00A62D73"/>
    <w:rsid w:val="00A7204A"/>
    <w:rsid w:val="00A7219B"/>
    <w:rsid w:val="00A7230D"/>
    <w:rsid w:val="00A74188"/>
    <w:rsid w:val="00AB0C88"/>
    <w:rsid w:val="00AB358E"/>
    <w:rsid w:val="00AB6874"/>
    <w:rsid w:val="00AB6984"/>
    <w:rsid w:val="00AB78FA"/>
    <w:rsid w:val="00AC60E2"/>
    <w:rsid w:val="00AD30BF"/>
    <w:rsid w:val="00AD422E"/>
    <w:rsid w:val="00AD5B8C"/>
    <w:rsid w:val="00AD6761"/>
    <w:rsid w:val="00AD67D0"/>
    <w:rsid w:val="00AE023B"/>
    <w:rsid w:val="00AE0CC7"/>
    <w:rsid w:val="00AE2623"/>
    <w:rsid w:val="00AE5016"/>
    <w:rsid w:val="00AE7DFD"/>
    <w:rsid w:val="00AF5CA6"/>
    <w:rsid w:val="00AF716A"/>
    <w:rsid w:val="00B01197"/>
    <w:rsid w:val="00B069E1"/>
    <w:rsid w:val="00B26566"/>
    <w:rsid w:val="00B27F63"/>
    <w:rsid w:val="00B30983"/>
    <w:rsid w:val="00B30C59"/>
    <w:rsid w:val="00B3442B"/>
    <w:rsid w:val="00B35A4A"/>
    <w:rsid w:val="00B41F9C"/>
    <w:rsid w:val="00B53AF4"/>
    <w:rsid w:val="00B65D2D"/>
    <w:rsid w:val="00B834A3"/>
    <w:rsid w:val="00B8557D"/>
    <w:rsid w:val="00B91037"/>
    <w:rsid w:val="00B93A1B"/>
    <w:rsid w:val="00BA4AAF"/>
    <w:rsid w:val="00BA5D2F"/>
    <w:rsid w:val="00BB6882"/>
    <w:rsid w:val="00BC46C7"/>
    <w:rsid w:val="00BC5C25"/>
    <w:rsid w:val="00BD7F08"/>
    <w:rsid w:val="00BE174A"/>
    <w:rsid w:val="00BE2F63"/>
    <w:rsid w:val="00C206A2"/>
    <w:rsid w:val="00C22536"/>
    <w:rsid w:val="00C24720"/>
    <w:rsid w:val="00C27A30"/>
    <w:rsid w:val="00C335BE"/>
    <w:rsid w:val="00C471E3"/>
    <w:rsid w:val="00C5105F"/>
    <w:rsid w:val="00C54DCD"/>
    <w:rsid w:val="00C61DD1"/>
    <w:rsid w:val="00C626E6"/>
    <w:rsid w:val="00C6384C"/>
    <w:rsid w:val="00C64EF4"/>
    <w:rsid w:val="00C65FB9"/>
    <w:rsid w:val="00C723B1"/>
    <w:rsid w:val="00C751A7"/>
    <w:rsid w:val="00C87BAC"/>
    <w:rsid w:val="00CA6234"/>
    <w:rsid w:val="00CB3B51"/>
    <w:rsid w:val="00CC3AF6"/>
    <w:rsid w:val="00CC46D5"/>
    <w:rsid w:val="00CD642A"/>
    <w:rsid w:val="00D00E55"/>
    <w:rsid w:val="00D15AAD"/>
    <w:rsid w:val="00D213CF"/>
    <w:rsid w:val="00D238C5"/>
    <w:rsid w:val="00D70B57"/>
    <w:rsid w:val="00D71B44"/>
    <w:rsid w:val="00D84127"/>
    <w:rsid w:val="00D90A53"/>
    <w:rsid w:val="00DA783F"/>
    <w:rsid w:val="00DB4BEF"/>
    <w:rsid w:val="00DD22EC"/>
    <w:rsid w:val="00DD56B8"/>
    <w:rsid w:val="00DE587E"/>
    <w:rsid w:val="00DF2C02"/>
    <w:rsid w:val="00E021C8"/>
    <w:rsid w:val="00E20DDC"/>
    <w:rsid w:val="00E22662"/>
    <w:rsid w:val="00E543BC"/>
    <w:rsid w:val="00E65F93"/>
    <w:rsid w:val="00E6611A"/>
    <w:rsid w:val="00E7057E"/>
    <w:rsid w:val="00E76C36"/>
    <w:rsid w:val="00E77D66"/>
    <w:rsid w:val="00E812B4"/>
    <w:rsid w:val="00E81C8C"/>
    <w:rsid w:val="00E852E4"/>
    <w:rsid w:val="00E879B6"/>
    <w:rsid w:val="00EA00F4"/>
    <w:rsid w:val="00EA1AFD"/>
    <w:rsid w:val="00EA5651"/>
    <w:rsid w:val="00EB1893"/>
    <w:rsid w:val="00EB7D65"/>
    <w:rsid w:val="00EE759A"/>
    <w:rsid w:val="00EE7BBE"/>
    <w:rsid w:val="00EF0F0F"/>
    <w:rsid w:val="00F01D36"/>
    <w:rsid w:val="00F23F9D"/>
    <w:rsid w:val="00F2607F"/>
    <w:rsid w:val="00F27301"/>
    <w:rsid w:val="00F309E4"/>
    <w:rsid w:val="00F33C4B"/>
    <w:rsid w:val="00F357C0"/>
    <w:rsid w:val="00F40B95"/>
    <w:rsid w:val="00F412E4"/>
    <w:rsid w:val="00F42AC9"/>
    <w:rsid w:val="00F61DDE"/>
    <w:rsid w:val="00F63243"/>
    <w:rsid w:val="00F73460"/>
    <w:rsid w:val="00F81ADA"/>
    <w:rsid w:val="00F87052"/>
    <w:rsid w:val="00FB2687"/>
    <w:rsid w:val="00FB646E"/>
    <w:rsid w:val="00FB7919"/>
    <w:rsid w:val="00FC5722"/>
    <w:rsid w:val="00FD3A67"/>
    <w:rsid w:val="00FE6074"/>
    <w:rsid w:val="00FE6DE8"/>
    <w:rsid w:val="00FF67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0D53AD"/>
  <w15:chartTrackingRefBased/>
  <w15:docId w15:val="{11D23264-BECD-1A48-88F4-39EAE2BF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12B"/>
    <w:pPr>
      <w:spacing w:after="180" w:line="480" w:lineRule="auto"/>
      <w:ind w:firstLine="567"/>
    </w:pPr>
    <w:rPr>
      <w:rFonts w:ascii="Times New Roman" w:eastAsiaTheme="minorEastAsia" w:hAnsi="Times New Roman"/>
      <w:lang w:val="en-US" w:eastAsia="de-DE"/>
    </w:rPr>
  </w:style>
  <w:style w:type="paragraph" w:styleId="berschrift2">
    <w:name w:val="heading 2"/>
    <w:aliases w:val="Abschnittsüberschrift"/>
    <w:basedOn w:val="Standard"/>
    <w:next w:val="Standard"/>
    <w:link w:val="berschrift2Zchn"/>
    <w:uiPriority w:val="9"/>
    <w:unhideWhenUsed/>
    <w:qFormat/>
    <w:rsid w:val="0074212B"/>
    <w:pPr>
      <w:keepNext/>
      <w:keepLines/>
      <w:spacing w:before="120" w:after="0"/>
      <w:ind w:left="567" w:hanging="567"/>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Abschnittsüberschrift Zchn"/>
    <w:basedOn w:val="Absatz-Standardschriftart"/>
    <w:link w:val="berschrift2"/>
    <w:uiPriority w:val="9"/>
    <w:rsid w:val="0074212B"/>
    <w:rPr>
      <w:rFonts w:ascii="Times New Roman" w:eastAsiaTheme="majorEastAsia" w:hAnsi="Times New Roman" w:cstheme="majorBidi"/>
      <w:b/>
      <w:szCs w:val="26"/>
      <w:lang w:val="en-US" w:eastAsia="de-DE"/>
    </w:rPr>
  </w:style>
  <w:style w:type="paragraph" w:styleId="Funotentext">
    <w:name w:val="footnote text"/>
    <w:basedOn w:val="Standard"/>
    <w:link w:val="FunotentextZchn"/>
    <w:uiPriority w:val="99"/>
    <w:unhideWhenUsed/>
    <w:rsid w:val="00C54DCD"/>
    <w:pPr>
      <w:spacing w:after="0" w:line="240" w:lineRule="auto"/>
    </w:pPr>
    <w:rPr>
      <w:sz w:val="20"/>
      <w:szCs w:val="20"/>
    </w:rPr>
  </w:style>
  <w:style w:type="character" w:customStyle="1" w:styleId="FunotentextZchn">
    <w:name w:val="Fußnotentext Zchn"/>
    <w:basedOn w:val="Absatz-Standardschriftart"/>
    <w:link w:val="Funotentext"/>
    <w:uiPriority w:val="99"/>
    <w:rsid w:val="00C54DCD"/>
    <w:rPr>
      <w:rFonts w:ascii="Times New Roman" w:eastAsiaTheme="minorEastAsia" w:hAnsi="Times New Roman"/>
      <w:sz w:val="20"/>
      <w:szCs w:val="20"/>
      <w:lang w:val="en-US" w:eastAsia="de-DE"/>
    </w:rPr>
  </w:style>
  <w:style w:type="character" w:styleId="Funotenzeichen">
    <w:name w:val="footnote reference"/>
    <w:basedOn w:val="Absatz-Standardschriftart"/>
    <w:uiPriority w:val="99"/>
    <w:semiHidden/>
    <w:unhideWhenUsed/>
    <w:rsid w:val="00C54DCD"/>
    <w:rPr>
      <w:vertAlign w:val="superscript"/>
    </w:rPr>
  </w:style>
  <w:style w:type="paragraph" w:customStyle="1" w:styleId="Literaturverzeichnis1">
    <w:name w:val="Literaturverzeichnis1"/>
    <w:basedOn w:val="Standard"/>
    <w:link w:val="BibliographyZchn"/>
    <w:rsid w:val="00C54DCD"/>
    <w:pPr>
      <w:spacing w:after="0"/>
      <w:ind w:left="720" w:hanging="720"/>
    </w:pPr>
    <w:rPr>
      <w:lang w:val="en-GB"/>
    </w:rPr>
  </w:style>
  <w:style w:type="character" w:customStyle="1" w:styleId="BibliographyZchn">
    <w:name w:val="Bibliography Zchn"/>
    <w:basedOn w:val="Absatz-Standardschriftart"/>
    <w:link w:val="Literaturverzeichnis1"/>
    <w:rsid w:val="00C54DCD"/>
    <w:rPr>
      <w:rFonts w:ascii="Times New Roman" w:eastAsiaTheme="minorEastAsia" w:hAnsi="Times New Roman"/>
      <w:lang w:val="en-GB" w:eastAsia="de-DE"/>
    </w:rPr>
  </w:style>
  <w:style w:type="character" w:styleId="Endnotenzeichen">
    <w:name w:val="endnote reference"/>
    <w:basedOn w:val="Absatz-Standardschriftart"/>
    <w:uiPriority w:val="99"/>
    <w:semiHidden/>
    <w:unhideWhenUsed/>
    <w:rsid w:val="005E5953"/>
    <w:rPr>
      <w:vertAlign w:val="superscript"/>
    </w:rPr>
  </w:style>
  <w:style w:type="paragraph" w:styleId="berarbeitung">
    <w:name w:val="Revision"/>
    <w:hidden/>
    <w:uiPriority w:val="99"/>
    <w:semiHidden/>
    <w:rsid w:val="00E879B6"/>
    <w:rPr>
      <w:rFonts w:ascii="Times New Roman" w:eastAsiaTheme="minorEastAsia" w:hAnsi="Times New Roman"/>
      <w:lang w:val="en-US" w:eastAsia="de-DE"/>
    </w:rPr>
  </w:style>
  <w:style w:type="table" w:styleId="Tabellenraster">
    <w:name w:val="Table Grid"/>
    <w:basedOn w:val="NormaleTabelle"/>
    <w:uiPriority w:val="39"/>
    <w:rsid w:val="0064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Kube</dc:creator>
  <cp:keywords/>
  <dc:description/>
  <cp:lastModifiedBy>Tobias Kube</cp:lastModifiedBy>
  <cp:revision>3</cp:revision>
  <dcterms:created xsi:type="dcterms:W3CDTF">2023-03-27T13:14:00Z</dcterms:created>
  <dcterms:modified xsi:type="dcterms:W3CDTF">2023-03-27T13:14:00Z</dcterms:modified>
</cp:coreProperties>
</file>