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98EB" w14:textId="3D8900CB" w:rsidR="001A41BA" w:rsidRPr="004F25D4" w:rsidRDefault="001A41BA" w:rsidP="001A41BA">
      <w:pPr>
        <w:spacing w:before="0" w:after="0" w:line="240" w:lineRule="auto"/>
        <w:rPr>
          <w:rFonts w:ascii="Arial" w:hAnsi="Arial" w:cs="Arial"/>
          <w:b/>
          <w:szCs w:val="20"/>
          <w:lang w:val="en-US"/>
        </w:rPr>
      </w:pPr>
      <w:proofErr w:type="spellStart"/>
      <w:r w:rsidRPr="004F25D4">
        <w:rPr>
          <w:rFonts w:ascii="Arial" w:hAnsi="Arial" w:cs="Arial"/>
          <w:b/>
          <w:szCs w:val="20"/>
          <w:lang w:val="en-US"/>
        </w:rPr>
        <w:t>eTable</w:t>
      </w:r>
      <w:proofErr w:type="spellEnd"/>
      <w:r w:rsidRPr="004F25D4">
        <w:rPr>
          <w:rFonts w:ascii="Arial" w:hAnsi="Arial" w:cs="Arial"/>
          <w:b/>
          <w:szCs w:val="20"/>
          <w:lang w:val="en-US"/>
        </w:rPr>
        <w:t xml:space="preserve"> </w:t>
      </w:r>
      <w:r>
        <w:rPr>
          <w:rFonts w:ascii="Arial" w:hAnsi="Arial" w:cs="Arial"/>
          <w:b/>
          <w:szCs w:val="20"/>
          <w:lang w:val="en-US"/>
        </w:rPr>
        <w:t>1</w:t>
      </w:r>
      <w:r w:rsidR="00723119">
        <w:rPr>
          <w:rFonts w:ascii="Arial" w:hAnsi="Arial" w:cs="Arial"/>
          <w:b/>
          <w:szCs w:val="20"/>
          <w:lang w:val="en-US"/>
        </w:rPr>
        <w:t>5</w:t>
      </w:r>
      <w:r w:rsidRPr="004F25D4">
        <w:rPr>
          <w:rFonts w:ascii="Arial" w:hAnsi="Arial" w:cs="Arial"/>
          <w:b/>
          <w:szCs w:val="20"/>
          <w:lang w:val="en-US"/>
        </w:rPr>
        <w:t>.</w:t>
      </w:r>
      <w:r w:rsidRPr="001A41BA">
        <w:rPr>
          <w:rFonts w:ascii="Arial" w:hAnsi="Arial" w:cs="Arial"/>
          <w:b/>
          <w:szCs w:val="20"/>
          <w:lang w:val="en-US"/>
        </w:rPr>
        <w:t xml:space="preserve"> </w:t>
      </w:r>
      <w:r w:rsidRPr="004F25D4">
        <w:rPr>
          <w:rFonts w:ascii="Arial" w:hAnsi="Arial" w:cs="Arial"/>
          <w:b/>
          <w:szCs w:val="20"/>
          <w:lang w:val="en-US"/>
        </w:rPr>
        <w:t>Consensus on the reporting and experimental design of clinical and cognitive-behavioral neurofeedback studies (CRED)-</w:t>
      </w:r>
      <w:proofErr w:type="spellStart"/>
      <w:r w:rsidRPr="004F25D4">
        <w:rPr>
          <w:rFonts w:ascii="Arial" w:hAnsi="Arial" w:cs="Arial"/>
          <w:b/>
          <w:szCs w:val="20"/>
          <w:lang w:val="en-US"/>
        </w:rPr>
        <w:t>nf</w:t>
      </w:r>
      <w:proofErr w:type="spellEnd"/>
      <w:r w:rsidRPr="004F25D4">
        <w:rPr>
          <w:rFonts w:ascii="Arial" w:hAnsi="Arial" w:cs="Arial"/>
          <w:b/>
          <w:szCs w:val="20"/>
          <w:lang w:val="en-US"/>
        </w:rPr>
        <w:t>-checklist.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2"/>
        <w:gridCol w:w="738"/>
        <w:gridCol w:w="9523"/>
        <w:gridCol w:w="2634"/>
      </w:tblGrid>
      <w:tr w:rsidR="001A41BA" w:rsidRPr="005B534A" w14:paraId="5E8B2959" w14:textId="77777777" w:rsidTr="005B534A">
        <w:tc>
          <w:tcPr>
            <w:tcW w:w="0" w:type="auto"/>
            <w:shd w:val="clear" w:color="auto" w:fill="auto"/>
          </w:tcPr>
          <w:p w14:paraId="66236A07" w14:textId="77777777" w:rsidR="001A41BA" w:rsidRPr="005B534A" w:rsidRDefault="001A41BA" w:rsidP="005B534A">
            <w:pPr>
              <w:pStyle w:val="berschrift1"/>
              <w:keepLines w:val="0"/>
              <w:numPr>
                <w:ilvl w:val="0"/>
                <w:numId w:val="1"/>
              </w:numPr>
              <w:tabs>
                <w:tab w:val="left" w:pos="0"/>
                <w:tab w:val="num" w:pos="79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Arial" w:eastAsia="Arial" w:hAnsi="Arial" w:cs="Arial"/>
                <w:bCs/>
                <w:kern w:val="32"/>
                <w:sz w:val="20"/>
                <w:szCs w:val="20"/>
                <w:lang w:val="en-US"/>
              </w:rPr>
            </w:pPr>
            <w:bookmarkStart w:id="0" w:name="_Toc71119865"/>
            <w:r w:rsidRPr="005B534A">
              <w:rPr>
                <w:rFonts w:ascii="Arial" w:eastAsia="Arial" w:hAnsi="Arial" w:cs="Arial"/>
                <w:bCs/>
                <w:kern w:val="32"/>
                <w:sz w:val="20"/>
                <w:szCs w:val="20"/>
                <w:lang w:val="en-US"/>
              </w:rPr>
              <w:t>Domain</w:t>
            </w:r>
            <w:bookmarkEnd w:id="0"/>
          </w:p>
        </w:tc>
        <w:tc>
          <w:tcPr>
            <w:tcW w:w="0" w:type="auto"/>
            <w:shd w:val="clear" w:color="auto" w:fill="auto"/>
          </w:tcPr>
          <w:p w14:paraId="77A775A4" w14:textId="77777777" w:rsidR="001A41BA" w:rsidRPr="005B534A" w:rsidRDefault="001A41BA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Item #</w:t>
            </w:r>
          </w:p>
        </w:tc>
        <w:tc>
          <w:tcPr>
            <w:tcW w:w="0" w:type="auto"/>
            <w:shd w:val="clear" w:color="auto" w:fill="auto"/>
          </w:tcPr>
          <w:p w14:paraId="6E591261" w14:textId="77777777" w:rsidR="001A41BA" w:rsidRPr="005B534A" w:rsidRDefault="001A41BA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Checklist item</w:t>
            </w:r>
          </w:p>
        </w:tc>
        <w:tc>
          <w:tcPr>
            <w:tcW w:w="0" w:type="auto"/>
            <w:shd w:val="clear" w:color="auto" w:fill="auto"/>
          </w:tcPr>
          <w:p w14:paraId="6A23128A" w14:textId="501EF522" w:rsidR="001A41BA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Reported on page</w:t>
            </w:r>
            <w:r w:rsidR="005B534A" w:rsidRPr="005B53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#</w:t>
            </w:r>
          </w:p>
        </w:tc>
      </w:tr>
      <w:tr w:rsidR="001A41BA" w:rsidRPr="00812593" w14:paraId="68E28C43" w14:textId="77777777" w:rsidTr="00407186">
        <w:tc>
          <w:tcPr>
            <w:tcW w:w="0" w:type="auto"/>
            <w:gridSpan w:val="4"/>
            <w:shd w:val="clear" w:color="auto" w:fill="auto"/>
          </w:tcPr>
          <w:p w14:paraId="1BBE26C8" w14:textId="77777777" w:rsidR="001A41BA" w:rsidRPr="00812593" w:rsidRDefault="001A41BA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1259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Pre-experiment</w:t>
            </w:r>
          </w:p>
        </w:tc>
      </w:tr>
      <w:tr w:rsidR="001A41BA" w:rsidRPr="00230D90" w14:paraId="5E84FD94" w14:textId="77777777" w:rsidTr="00407186">
        <w:tc>
          <w:tcPr>
            <w:tcW w:w="0" w:type="auto"/>
            <w:vMerge w:val="restart"/>
            <w:shd w:val="clear" w:color="auto" w:fill="auto"/>
          </w:tcPr>
          <w:p w14:paraId="562BDCBA" w14:textId="77777777" w:rsidR="001A41BA" w:rsidRPr="005B534A" w:rsidRDefault="001A41BA" w:rsidP="00407186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BBFA51B" w14:textId="77777777" w:rsidR="001A41BA" w:rsidRPr="005B534A" w:rsidRDefault="001A41BA" w:rsidP="00407186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14:paraId="322DFF56" w14:textId="77777777" w:rsidR="001A41BA" w:rsidRPr="005B534A" w:rsidRDefault="001A41BA" w:rsidP="00407186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Pre-register experimental protocol and planned analyses</w:t>
            </w:r>
          </w:p>
        </w:tc>
        <w:tc>
          <w:tcPr>
            <w:tcW w:w="0" w:type="auto"/>
            <w:shd w:val="clear" w:color="auto" w:fill="auto"/>
          </w:tcPr>
          <w:p w14:paraId="5CD534C5" w14:textId="4F8C9373" w:rsidR="00583239" w:rsidRDefault="0058323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Article, 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</w:p>
          <w:p w14:paraId="29A949E7" w14:textId="20C8B09E" w:rsidR="001A41BA" w:rsidRPr="005B534A" w:rsidRDefault="0070353E" w:rsidP="0070353E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Statistical Analysis Plan, pp. 9 </w:t>
            </w:r>
            <w:r w:rsidRPr="005B534A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</w:t>
            </w:r>
          </w:p>
        </w:tc>
      </w:tr>
      <w:tr w:rsidR="001A41BA" w:rsidRPr="005B534A" w14:paraId="32594C94" w14:textId="77777777" w:rsidTr="00407186">
        <w:tc>
          <w:tcPr>
            <w:tcW w:w="0" w:type="auto"/>
            <w:vMerge/>
            <w:shd w:val="clear" w:color="auto" w:fill="auto"/>
          </w:tcPr>
          <w:p w14:paraId="2F010EBA" w14:textId="77777777" w:rsidR="001A41BA" w:rsidRPr="005B534A" w:rsidRDefault="001A41BA" w:rsidP="00407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569EC7FE" w14:textId="77777777" w:rsidR="001A41BA" w:rsidRPr="005B534A" w:rsidRDefault="001A41BA" w:rsidP="00407186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1b</w:t>
            </w:r>
          </w:p>
        </w:tc>
        <w:tc>
          <w:tcPr>
            <w:tcW w:w="0" w:type="auto"/>
            <w:shd w:val="clear" w:color="auto" w:fill="auto"/>
          </w:tcPr>
          <w:p w14:paraId="246B2D9F" w14:textId="77777777" w:rsidR="001A41BA" w:rsidRPr="005B534A" w:rsidRDefault="001A41BA" w:rsidP="00407186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Justify sample size</w:t>
            </w:r>
          </w:p>
        </w:tc>
        <w:tc>
          <w:tcPr>
            <w:tcW w:w="0" w:type="auto"/>
            <w:shd w:val="clear" w:color="auto" w:fill="auto"/>
          </w:tcPr>
          <w:p w14:paraId="50B74EEE" w14:textId="5589DCEB" w:rsidR="001A41BA" w:rsidRDefault="005B534A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Article, 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  <w:p w14:paraId="3EC1F824" w14:textId="235BD95E" w:rsidR="0070353E" w:rsidRPr="005B534A" w:rsidRDefault="0070353E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Supplement 1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, pp. 9 </w:t>
            </w:r>
            <w:r w:rsidRPr="005B534A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12</w:t>
            </w:r>
          </w:p>
        </w:tc>
      </w:tr>
      <w:tr w:rsidR="001A41BA" w:rsidRPr="00812593" w14:paraId="51853579" w14:textId="77777777" w:rsidTr="00407186">
        <w:tc>
          <w:tcPr>
            <w:tcW w:w="0" w:type="auto"/>
            <w:gridSpan w:val="4"/>
            <w:shd w:val="clear" w:color="auto" w:fill="auto"/>
          </w:tcPr>
          <w:p w14:paraId="26DB98E4" w14:textId="77777777" w:rsidR="001A41BA" w:rsidRPr="00812593" w:rsidRDefault="001A41BA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1259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Control groups</w:t>
            </w:r>
          </w:p>
        </w:tc>
      </w:tr>
      <w:tr w:rsidR="00656ED9" w:rsidRPr="005B534A" w14:paraId="1D6CE60F" w14:textId="77777777" w:rsidTr="00407186">
        <w:tc>
          <w:tcPr>
            <w:tcW w:w="0" w:type="auto"/>
            <w:vMerge w:val="restart"/>
            <w:shd w:val="clear" w:color="auto" w:fill="auto"/>
          </w:tcPr>
          <w:p w14:paraId="7E614A34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568B8A1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4D7FEF8D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Employ control group(s) or control condition(s)</w:t>
            </w:r>
          </w:p>
        </w:tc>
        <w:tc>
          <w:tcPr>
            <w:tcW w:w="0" w:type="auto"/>
            <w:shd w:val="clear" w:color="auto" w:fill="auto"/>
          </w:tcPr>
          <w:p w14:paraId="4015BFD3" w14:textId="33844A31" w:rsidR="00656ED9" w:rsidRPr="005B534A" w:rsidRDefault="005B534A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656ED9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656ED9" w:rsidRPr="005B534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656ED9" w:rsidRPr="005B534A" w14:paraId="76D75E3D" w14:textId="77777777" w:rsidTr="00407186">
        <w:tc>
          <w:tcPr>
            <w:tcW w:w="0" w:type="auto"/>
            <w:vMerge/>
            <w:shd w:val="clear" w:color="auto" w:fill="auto"/>
          </w:tcPr>
          <w:p w14:paraId="75C29035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4233B6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2b</w:t>
            </w:r>
          </w:p>
        </w:tc>
        <w:tc>
          <w:tcPr>
            <w:tcW w:w="0" w:type="auto"/>
            <w:shd w:val="clear" w:color="auto" w:fill="auto"/>
          </w:tcPr>
          <w:p w14:paraId="16AA21CE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When leveraging experimental designs where a double-blind is possible, use a double-blind</w:t>
            </w:r>
          </w:p>
        </w:tc>
        <w:tc>
          <w:tcPr>
            <w:tcW w:w="0" w:type="auto"/>
            <w:shd w:val="clear" w:color="auto" w:fill="auto"/>
          </w:tcPr>
          <w:p w14:paraId="17DF9156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Not applicable</w:t>
            </w:r>
          </w:p>
        </w:tc>
      </w:tr>
      <w:tr w:rsidR="00656ED9" w:rsidRPr="005B534A" w14:paraId="54D94B3A" w14:textId="77777777" w:rsidTr="00407186">
        <w:tc>
          <w:tcPr>
            <w:tcW w:w="0" w:type="auto"/>
            <w:vMerge/>
            <w:shd w:val="clear" w:color="auto" w:fill="auto"/>
          </w:tcPr>
          <w:p w14:paraId="3F474DBC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D7DFDA4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2c</w:t>
            </w:r>
          </w:p>
        </w:tc>
        <w:tc>
          <w:tcPr>
            <w:tcW w:w="0" w:type="auto"/>
            <w:shd w:val="clear" w:color="auto" w:fill="auto"/>
          </w:tcPr>
          <w:p w14:paraId="557835F9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Blind those who rate the outcomes, and when possible, the statisticians involved</w:t>
            </w:r>
          </w:p>
        </w:tc>
        <w:tc>
          <w:tcPr>
            <w:tcW w:w="0" w:type="auto"/>
            <w:shd w:val="clear" w:color="auto" w:fill="auto"/>
          </w:tcPr>
          <w:p w14:paraId="7FBB708A" w14:textId="4110F0FB" w:rsidR="00656ED9" w:rsidRPr="005B534A" w:rsidRDefault="005B534A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656ED9" w:rsidRPr="005B534A" w14:paraId="6276CD7A" w14:textId="77777777" w:rsidTr="00407186">
        <w:tc>
          <w:tcPr>
            <w:tcW w:w="0" w:type="auto"/>
            <w:vMerge/>
            <w:shd w:val="clear" w:color="auto" w:fill="auto"/>
          </w:tcPr>
          <w:p w14:paraId="2F27DBE5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72BA248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2d</w:t>
            </w:r>
          </w:p>
        </w:tc>
        <w:tc>
          <w:tcPr>
            <w:tcW w:w="0" w:type="auto"/>
            <w:shd w:val="clear" w:color="auto" w:fill="auto"/>
          </w:tcPr>
          <w:p w14:paraId="4FFD5F9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Examine to what extent participants and experimenters remain blinded</w:t>
            </w:r>
          </w:p>
        </w:tc>
        <w:tc>
          <w:tcPr>
            <w:tcW w:w="0" w:type="auto"/>
            <w:shd w:val="clear" w:color="auto" w:fill="auto"/>
          </w:tcPr>
          <w:p w14:paraId="464865D1" w14:textId="1EA983F6" w:rsidR="00656ED9" w:rsidRPr="005B534A" w:rsidRDefault="005B534A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656ED9" w:rsidRPr="005B534A" w14:paraId="72B36DD7" w14:textId="77777777" w:rsidTr="00407186">
        <w:tc>
          <w:tcPr>
            <w:tcW w:w="0" w:type="auto"/>
            <w:vMerge/>
            <w:shd w:val="clear" w:color="auto" w:fill="auto"/>
          </w:tcPr>
          <w:p w14:paraId="02B5B743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044351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2e</w:t>
            </w:r>
          </w:p>
        </w:tc>
        <w:tc>
          <w:tcPr>
            <w:tcW w:w="0" w:type="auto"/>
            <w:shd w:val="clear" w:color="auto" w:fill="auto"/>
          </w:tcPr>
          <w:p w14:paraId="23B4C211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In clinical efficacy studies, employ a standard-of-care intervention group as a benchmark for improvement</w:t>
            </w:r>
          </w:p>
        </w:tc>
        <w:tc>
          <w:tcPr>
            <w:tcW w:w="0" w:type="auto"/>
            <w:shd w:val="clear" w:color="auto" w:fill="auto"/>
          </w:tcPr>
          <w:p w14:paraId="6885DE70" w14:textId="4241B622" w:rsidR="00656ED9" w:rsidRPr="005B534A" w:rsidRDefault="005B534A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656ED9" w:rsidRPr="00812593" w14:paraId="05D7276D" w14:textId="77777777" w:rsidTr="00407186">
        <w:tc>
          <w:tcPr>
            <w:tcW w:w="0" w:type="auto"/>
            <w:gridSpan w:val="4"/>
            <w:shd w:val="clear" w:color="auto" w:fill="auto"/>
          </w:tcPr>
          <w:p w14:paraId="6889B44F" w14:textId="77777777" w:rsidR="00656ED9" w:rsidRPr="00812593" w:rsidRDefault="00656ED9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1259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Control measures</w:t>
            </w:r>
          </w:p>
        </w:tc>
      </w:tr>
      <w:tr w:rsidR="00656ED9" w:rsidRPr="005B534A" w14:paraId="7D052D2F" w14:textId="77777777" w:rsidTr="00407186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2A102337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823CBA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20496565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Collect data on psychosocial factors</w:t>
            </w:r>
          </w:p>
        </w:tc>
        <w:tc>
          <w:tcPr>
            <w:tcW w:w="0" w:type="auto"/>
            <w:shd w:val="clear" w:color="auto" w:fill="auto"/>
          </w:tcPr>
          <w:p w14:paraId="3AC39A59" w14:textId="16AB145A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Article,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 w:rsidR="00230D90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- 7</w:t>
            </w:r>
          </w:p>
        </w:tc>
      </w:tr>
      <w:tr w:rsidR="00656ED9" w:rsidRPr="005B534A" w14:paraId="5C21A330" w14:textId="77777777" w:rsidTr="00407186">
        <w:tc>
          <w:tcPr>
            <w:tcW w:w="0" w:type="auto"/>
            <w:vMerge/>
            <w:shd w:val="clear" w:color="auto" w:fill="auto"/>
          </w:tcPr>
          <w:p w14:paraId="4AA350A5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659AB6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3b</w:t>
            </w:r>
          </w:p>
        </w:tc>
        <w:tc>
          <w:tcPr>
            <w:tcW w:w="0" w:type="auto"/>
            <w:shd w:val="clear" w:color="auto" w:fill="auto"/>
          </w:tcPr>
          <w:p w14:paraId="69123422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whether participants were provided with a strategy</w:t>
            </w:r>
          </w:p>
        </w:tc>
        <w:tc>
          <w:tcPr>
            <w:tcW w:w="0" w:type="auto"/>
            <w:shd w:val="clear" w:color="auto" w:fill="auto"/>
          </w:tcPr>
          <w:p w14:paraId="7A66FDC0" w14:textId="5B564C0E" w:rsidR="00656ED9" w:rsidRPr="0070353E" w:rsidRDefault="0070353E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70353E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 w:rsidRPr="0070353E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p. </w:t>
            </w:r>
            <w:r w:rsidR="00230D90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5</w:t>
            </w:r>
          </w:p>
        </w:tc>
      </w:tr>
      <w:tr w:rsidR="00656ED9" w:rsidRPr="005B534A" w14:paraId="6968C352" w14:textId="77777777" w:rsidTr="00407186">
        <w:tc>
          <w:tcPr>
            <w:tcW w:w="0" w:type="auto"/>
            <w:vMerge/>
            <w:shd w:val="clear" w:color="auto" w:fill="auto"/>
          </w:tcPr>
          <w:p w14:paraId="117E4CC5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553DD5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3c</w:t>
            </w:r>
          </w:p>
        </w:tc>
        <w:tc>
          <w:tcPr>
            <w:tcW w:w="0" w:type="auto"/>
            <w:shd w:val="clear" w:color="auto" w:fill="auto"/>
          </w:tcPr>
          <w:p w14:paraId="6D5FEA4F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the strategies participants used</w:t>
            </w:r>
          </w:p>
        </w:tc>
        <w:tc>
          <w:tcPr>
            <w:tcW w:w="0" w:type="auto"/>
            <w:shd w:val="clear" w:color="auto" w:fill="auto"/>
          </w:tcPr>
          <w:p w14:paraId="13ACDB61" w14:textId="16D49372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pp. 6 </w:t>
            </w:r>
            <w:r w:rsidRPr="005B534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56ED9" w:rsidRPr="005B534A" w14:paraId="17E615CB" w14:textId="77777777" w:rsidTr="00407186">
        <w:tc>
          <w:tcPr>
            <w:tcW w:w="0" w:type="auto"/>
            <w:vMerge/>
            <w:shd w:val="clear" w:color="auto" w:fill="auto"/>
          </w:tcPr>
          <w:p w14:paraId="731A0BA2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93D46CE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3d</w:t>
            </w:r>
          </w:p>
        </w:tc>
        <w:tc>
          <w:tcPr>
            <w:tcW w:w="0" w:type="auto"/>
            <w:shd w:val="clear" w:color="auto" w:fill="auto"/>
          </w:tcPr>
          <w:p w14:paraId="4ED2178A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methods used for online-data processing and artifact correction</w:t>
            </w:r>
          </w:p>
        </w:tc>
        <w:tc>
          <w:tcPr>
            <w:tcW w:w="0" w:type="auto"/>
            <w:shd w:val="clear" w:color="auto" w:fill="auto"/>
          </w:tcPr>
          <w:p w14:paraId="6CDDE6A4" w14:textId="04173FD0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Supplement 2, </w:t>
            </w:r>
            <w:r w:rsidR="0070353E" w:rsidRPr="0070353E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pp.</w:t>
            </w:r>
            <w:r w:rsidR="0070353E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9 </w:t>
            </w:r>
            <w:r w:rsidRPr="005B534A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– 10</w:t>
            </w:r>
          </w:p>
        </w:tc>
      </w:tr>
      <w:tr w:rsidR="00656ED9" w:rsidRPr="005B534A" w14:paraId="5F6BF547" w14:textId="77777777" w:rsidTr="00407186">
        <w:tc>
          <w:tcPr>
            <w:tcW w:w="0" w:type="auto"/>
            <w:vMerge/>
            <w:shd w:val="clear" w:color="auto" w:fill="auto"/>
          </w:tcPr>
          <w:p w14:paraId="70DEDC18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0AE6C45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3e</w:t>
            </w:r>
          </w:p>
        </w:tc>
        <w:tc>
          <w:tcPr>
            <w:tcW w:w="0" w:type="auto"/>
            <w:shd w:val="clear" w:color="auto" w:fill="auto"/>
          </w:tcPr>
          <w:p w14:paraId="2E7C6E1B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condition and group effects for artifacts</w:t>
            </w:r>
          </w:p>
        </w:tc>
        <w:tc>
          <w:tcPr>
            <w:tcW w:w="0" w:type="auto"/>
            <w:shd w:val="clear" w:color="auto" w:fill="auto"/>
          </w:tcPr>
          <w:p w14:paraId="7698CFE2" w14:textId="77777777" w:rsidR="00656ED9" w:rsidRPr="005B534A" w:rsidRDefault="00656ED9" w:rsidP="005B534A">
            <w:pPr>
              <w:pStyle w:val="berschrift3"/>
              <w:spacing w:before="0" w:line="240" w:lineRule="auto"/>
              <w:jc w:val="center"/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</w:pPr>
            <w:r w:rsidRPr="005B534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Not applicable</w:t>
            </w:r>
          </w:p>
        </w:tc>
      </w:tr>
      <w:tr w:rsidR="00656ED9" w:rsidRPr="00812593" w14:paraId="5ECAE5E1" w14:textId="77777777" w:rsidTr="00407186">
        <w:tc>
          <w:tcPr>
            <w:tcW w:w="0" w:type="auto"/>
            <w:gridSpan w:val="4"/>
            <w:shd w:val="clear" w:color="auto" w:fill="auto"/>
          </w:tcPr>
          <w:p w14:paraId="4BAD9F73" w14:textId="77777777" w:rsidR="00656ED9" w:rsidRPr="00812593" w:rsidRDefault="00656ED9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1259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Feedback specifications</w:t>
            </w:r>
          </w:p>
        </w:tc>
      </w:tr>
      <w:tr w:rsidR="00656ED9" w:rsidRPr="005B534A" w14:paraId="3757D4E8" w14:textId="77777777" w:rsidTr="00407186">
        <w:tc>
          <w:tcPr>
            <w:tcW w:w="0" w:type="auto"/>
            <w:vMerge w:val="restart"/>
            <w:shd w:val="clear" w:color="auto" w:fill="auto"/>
            <w:vAlign w:val="center"/>
          </w:tcPr>
          <w:p w14:paraId="28E1C02E" w14:textId="77777777" w:rsidR="00656ED9" w:rsidRPr="005B534A" w:rsidRDefault="00656ED9" w:rsidP="00656E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7967D9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4a</w:t>
            </w:r>
          </w:p>
        </w:tc>
        <w:tc>
          <w:tcPr>
            <w:tcW w:w="0" w:type="auto"/>
            <w:shd w:val="clear" w:color="auto" w:fill="auto"/>
          </w:tcPr>
          <w:p w14:paraId="635C5A9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how the online-feature extraction was defined</w:t>
            </w:r>
          </w:p>
        </w:tc>
        <w:tc>
          <w:tcPr>
            <w:tcW w:w="0" w:type="auto"/>
            <w:shd w:val="clear" w:color="auto" w:fill="auto"/>
          </w:tcPr>
          <w:p w14:paraId="04DD79C1" w14:textId="5BA5C7A2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5</w:t>
            </w:r>
          </w:p>
          <w:p w14:paraId="7E55A996" w14:textId="7EB2377F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iCs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pp. 8 </w:t>
            </w:r>
            <w:r w:rsidR="005B534A" w:rsidRPr="005B534A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–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10</w:t>
            </w:r>
          </w:p>
        </w:tc>
      </w:tr>
      <w:tr w:rsidR="00656ED9" w:rsidRPr="005B534A" w14:paraId="18CF25BE" w14:textId="77777777" w:rsidTr="00407186">
        <w:tc>
          <w:tcPr>
            <w:tcW w:w="0" w:type="auto"/>
            <w:vMerge/>
            <w:shd w:val="clear" w:color="auto" w:fill="auto"/>
            <w:vAlign w:val="center"/>
          </w:tcPr>
          <w:p w14:paraId="3F8F9409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22EE940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4b</w:t>
            </w:r>
          </w:p>
        </w:tc>
        <w:tc>
          <w:tcPr>
            <w:tcW w:w="0" w:type="auto"/>
            <w:shd w:val="clear" w:color="auto" w:fill="auto"/>
          </w:tcPr>
          <w:p w14:paraId="5CB6F6C4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and justify the reinforcement schedule</w:t>
            </w:r>
          </w:p>
        </w:tc>
        <w:tc>
          <w:tcPr>
            <w:tcW w:w="0" w:type="auto"/>
            <w:shd w:val="clear" w:color="auto" w:fill="auto"/>
          </w:tcPr>
          <w:p w14:paraId="7225B816" w14:textId="5F81297D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5</w:t>
            </w:r>
          </w:p>
          <w:p w14:paraId="2C1410A4" w14:textId="46D57FC7" w:rsidR="00656ED9" w:rsidRPr="005B534A" w:rsidRDefault="00656ED9" w:rsidP="005B534A">
            <w:pPr>
              <w:pStyle w:val="berschrift3"/>
              <w:spacing w:before="0" w:line="240" w:lineRule="auto"/>
              <w:jc w:val="center"/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  <w:t xml:space="preserve">pp. 8 </w:t>
            </w:r>
            <w:r w:rsidR="005B534A" w:rsidRPr="005B534A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– </w:t>
            </w:r>
            <w:r w:rsidR="005B534A" w:rsidRPr="005B534A">
              <w:rPr>
                <w:rFonts w:ascii="Arial" w:eastAsia="Arial" w:hAnsi="Arial" w:cs="Arial"/>
                <w:b w:val="0"/>
                <w:sz w:val="20"/>
                <w:szCs w:val="20"/>
                <w:lang w:val="en-US"/>
              </w:rPr>
              <w:t>10</w:t>
            </w:r>
          </w:p>
        </w:tc>
      </w:tr>
      <w:tr w:rsidR="00656ED9" w:rsidRPr="005B534A" w14:paraId="38F0C709" w14:textId="77777777" w:rsidTr="00407186">
        <w:tc>
          <w:tcPr>
            <w:tcW w:w="0" w:type="auto"/>
            <w:vMerge/>
            <w:shd w:val="clear" w:color="auto" w:fill="auto"/>
            <w:vAlign w:val="center"/>
          </w:tcPr>
          <w:p w14:paraId="5DE7AC69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BCE0F70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4c</w:t>
            </w:r>
          </w:p>
        </w:tc>
        <w:tc>
          <w:tcPr>
            <w:tcW w:w="0" w:type="auto"/>
            <w:shd w:val="clear" w:color="auto" w:fill="auto"/>
          </w:tcPr>
          <w:p w14:paraId="4B33069E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the feedback modality and content</w:t>
            </w:r>
          </w:p>
        </w:tc>
        <w:tc>
          <w:tcPr>
            <w:tcW w:w="0" w:type="auto"/>
            <w:shd w:val="clear" w:color="auto" w:fill="auto"/>
          </w:tcPr>
          <w:p w14:paraId="7F91A772" w14:textId="1BBB70C9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5</w:t>
            </w:r>
          </w:p>
          <w:p w14:paraId="11D1CEA2" w14:textId="4E4A0855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pp. 8 </w:t>
            </w:r>
            <w:r w:rsidR="005B534A" w:rsidRPr="005B534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656ED9" w:rsidRPr="005B534A" w14:paraId="72328D4B" w14:textId="77777777" w:rsidTr="00407186">
        <w:tc>
          <w:tcPr>
            <w:tcW w:w="0" w:type="auto"/>
            <w:vMerge/>
            <w:shd w:val="clear" w:color="auto" w:fill="auto"/>
            <w:vAlign w:val="center"/>
          </w:tcPr>
          <w:p w14:paraId="0810883A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7D46D862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4d</w:t>
            </w:r>
          </w:p>
        </w:tc>
        <w:tc>
          <w:tcPr>
            <w:tcW w:w="0" w:type="auto"/>
            <w:shd w:val="clear" w:color="auto" w:fill="auto"/>
          </w:tcPr>
          <w:p w14:paraId="21E8141A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Collect and report all brain activity variable(s) and/or contrasts used for feedback, as displayed to experimental participants</w:t>
            </w:r>
          </w:p>
        </w:tc>
        <w:tc>
          <w:tcPr>
            <w:tcW w:w="0" w:type="auto"/>
            <w:shd w:val="clear" w:color="auto" w:fill="auto"/>
          </w:tcPr>
          <w:p w14:paraId="5F57DD85" w14:textId="022B2801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5, 7</w:t>
            </w:r>
          </w:p>
          <w:p w14:paraId="48DA1A5F" w14:textId="569AF7B5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pp. 8 </w:t>
            </w:r>
            <w:r w:rsidR="005B534A" w:rsidRPr="005B534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5B534A"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656ED9" w:rsidRPr="005B534A" w14:paraId="63CF8839" w14:textId="77777777" w:rsidTr="00407186">
        <w:tc>
          <w:tcPr>
            <w:tcW w:w="0" w:type="auto"/>
            <w:vMerge/>
            <w:shd w:val="clear" w:color="auto" w:fill="auto"/>
            <w:vAlign w:val="center"/>
          </w:tcPr>
          <w:p w14:paraId="18636DD6" w14:textId="77777777" w:rsidR="00656ED9" w:rsidRPr="005B534A" w:rsidRDefault="00656ED9" w:rsidP="00656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9795A5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4e</w:t>
            </w:r>
          </w:p>
        </w:tc>
        <w:tc>
          <w:tcPr>
            <w:tcW w:w="0" w:type="auto"/>
            <w:shd w:val="clear" w:color="auto" w:fill="auto"/>
          </w:tcPr>
          <w:p w14:paraId="7F8AE2BD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the hardware and software used</w:t>
            </w:r>
          </w:p>
        </w:tc>
        <w:tc>
          <w:tcPr>
            <w:tcW w:w="0" w:type="auto"/>
            <w:shd w:val="clear" w:color="auto" w:fill="auto"/>
          </w:tcPr>
          <w:p w14:paraId="0E295C88" w14:textId="02ABF74B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Supplement 2,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pp. 9 </w:t>
            </w:r>
            <w:r w:rsidR="005B534A" w:rsidRPr="005B534A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–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10</w:t>
            </w:r>
          </w:p>
        </w:tc>
      </w:tr>
      <w:tr w:rsidR="00656ED9" w:rsidRPr="00812593" w14:paraId="2F7A219B" w14:textId="77777777" w:rsidTr="00407186">
        <w:tc>
          <w:tcPr>
            <w:tcW w:w="0" w:type="auto"/>
            <w:gridSpan w:val="4"/>
            <w:shd w:val="clear" w:color="auto" w:fill="auto"/>
          </w:tcPr>
          <w:p w14:paraId="2BA9E31A" w14:textId="77777777" w:rsidR="00656ED9" w:rsidRPr="00812593" w:rsidRDefault="00656ED9" w:rsidP="005B534A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12593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Outcome measures</w:t>
            </w:r>
          </w:p>
        </w:tc>
      </w:tr>
      <w:tr w:rsidR="00656ED9" w:rsidRPr="005B534A" w14:paraId="4BB7CAF2" w14:textId="77777777" w:rsidTr="00407186">
        <w:tc>
          <w:tcPr>
            <w:tcW w:w="0" w:type="auto"/>
            <w:shd w:val="clear" w:color="auto" w:fill="auto"/>
          </w:tcPr>
          <w:p w14:paraId="7B6803E2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Brain</w:t>
            </w:r>
          </w:p>
        </w:tc>
        <w:tc>
          <w:tcPr>
            <w:tcW w:w="0" w:type="auto"/>
            <w:shd w:val="clear" w:color="auto" w:fill="auto"/>
          </w:tcPr>
          <w:p w14:paraId="6069E75E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5a</w:t>
            </w:r>
          </w:p>
        </w:tc>
        <w:tc>
          <w:tcPr>
            <w:tcW w:w="0" w:type="auto"/>
            <w:shd w:val="clear" w:color="auto" w:fill="auto"/>
          </w:tcPr>
          <w:p w14:paraId="59DDDB2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Report neurofeedback regulation success based on the feedback signal</w:t>
            </w:r>
          </w:p>
        </w:tc>
        <w:tc>
          <w:tcPr>
            <w:tcW w:w="0" w:type="auto"/>
            <w:shd w:val="clear" w:color="auto" w:fill="auto"/>
          </w:tcPr>
          <w:p w14:paraId="1FB121D0" w14:textId="5CA0BC64" w:rsidR="005B534A" w:rsidRPr="005B534A" w:rsidRDefault="005B534A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Article, p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9, 10</w:t>
            </w:r>
          </w:p>
          <w:p w14:paraId="60021A4C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56ED9" w:rsidRPr="005B534A" w14:paraId="0CCF132A" w14:textId="77777777" w:rsidTr="00407186">
        <w:tc>
          <w:tcPr>
            <w:tcW w:w="0" w:type="auto"/>
            <w:shd w:val="clear" w:color="auto" w:fill="auto"/>
          </w:tcPr>
          <w:p w14:paraId="64F190F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254030B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5b</w:t>
            </w:r>
          </w:p>
        </w:tc>
        <w:tc>
          <w:tcPr>
            <w:tcW w:w="0" w:type="auto"/>
            <w:shd w:val="clear" w:color="auto" w:fill="auto"/>
          </w:tcPr>
          <w:p w14:paraId="0C057B44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Plot within-session and between-session regulation blocks of feedback variable(s), as well as pre-to-post resting baselines or contrasts</w:t>
            </w:r>
          </w:p>
        </w:tc>
        <w:tc>
          <w:tcPr>
            <w:tcW w:w="0" w:type="auto"/>
            <w:shd w:val="clear" w:color="auto" w:fill="auto"/>
          </w:tcPr>
          <w:p w14:paraId="49569101" w14:textId="51729390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D80018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D80018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9, 10</w:t>
            </w:r>
          </w:p>
          <w:p w14:paraId="1905C123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56ED9" w:rsidRPr="005B534A" w14:paraId="1ABCBCA0" w14:textId="77777777" w:rsidTr="00407186">
        <w:tc>
          <w:tcPr>
            <w:tcW w:w="0" w:type="auto"/>
            <w:shd w:val="clear" w:color="auto" w:fill="auto"/>
          </w:tcPr>
          <w:p w14:paraId="7F1EF59D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1C1938D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5c</w:t>
            </w:r>
          </w:p>
        </w:tc>
        <w:tc>
          <w:tcPr>
            <w:tcW w:w="0" w:type="auto"/>
            <w:shd w:val="clear" w:color="auto" w:fill="auto"/>
          </w:tcPr>
          <w:p w14:paraId="5A466A74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Statistically compare the experimental condition/group to the control condition(s)/group(s) (not only each group to baseline measures)</w:t>
            </w:r>
          </w:p>
        </w:tc>
        <w:tc>
          <w:tcPr>
            <w:tcW w:w="0" w:type="auto"/>
            <w:shd w:val="clear" w:color="auto" w:fill="auto"/>
          </w:tcPr>
          <w:p w14:paraId="4E54F061" w14:textId="4CC3640B" w:rsidR="005B534A" w:rsidRPr="005B534A" w:rsidRDefault="005B534A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D80018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="00D80018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9, 10</w:t>
            </w:r>
          </w:p>
          <w:p w14:paraId="663BAF30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56ED9" w:rsidRPr="005B534A" w14:paraId="0F8F2BBD" w14:textId="77777777" w:rsidTr="00407186">
        <w:tc>
          <w:tcPr>
            <w:tcW w:w="0" w:type="auto"/>
            <w:shd w:val="clear" w:color="auto" w:fill="auto"/>
          </w:tcPr>
          <w:p w14:paraId="559D0716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Behavior</w:t>
            </w:r>
          </w:p>
        </w:tc>
        <w:tc>
          <w:tcPr>
            <w:tcW w:w="0" w:type="auto"/>
            <w:shd w:val="clear" w:color="auto" w:fill="auto"/>
          </w:tcPr>
          <w:p w14:paraId="0425C358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37C3AD1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Include measures of clinical or behavioral significance, defined a priori, and describe whether they were reached</w:t>
            </w:r>
          </w:p>
        </w:tc>
        <w:tc>
          <w:tcPr>
            <w:tcW w:w="0" w:type="auto"/>
            <w:shd w:val="clear" w:color="auto" w:fill="auto"/>
          </w:tcPr>
          <w:p w14:paraId="474079D8" w14:textId="6006B764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Article, </w:t>
            </w:r>
            <w:r w:rsidR="005B534A"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pp.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8, 9</w:t>
            </w:r>
          </w:p>
        </w:tc>
      </w:tr>
      <w:tr w:rsidR="00656ED9" w:rsidRPr="005B534A" w14:paraId="57EFE667" w14:textId="77777777" w:rsidTr="00407186">
        <w:tc>
          <w:tcPr>
            <w:tcW w:w="0" w:type="auto"/>
            <w:shd w:val="clear" w:color="auto" w:fill="auto"/>
          </w:tcPr>
          <w:p w14:paraId="028DA417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EDCC33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6b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941E3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Run correlational analyses between regulation success and behavioral outcomes</w:t>
            </w:r>
          </w:p>
        </w:tc>
        <w:tc>
          <w:tcPr>
            <w:tcW w:w="0" w:type="auto"/>
            <w:shd w:val="clear" w:color="auto" w:fill="auto"/>
          </w:tcPr>
          <w:p w14:paraId="5832792D" w14:textId="52BBDA25" w:rsidR="005B534A" w:rsidRPr="005B534A" w:rsidRDefault="005B534A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Article, p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p</w:t>
            </w:r>
            <w:r w:rsidRPr="005B534A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 xml:space="preserve">. </w:t>
            </w:r>
            <w:r w:rsidR="00D80018"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  <w:t>9, 10</w:t>
            </w:r>
          </w:p>
          <w:p w14:paraId="1DA18173" w14:textId="2F6531C1" w:rsidR="00656ED9" w:rsidRPr="005B534A" w:rsidRDefault="00656ED9" w:rsidP="005B534A">
            <w:pPr>
              <w:pStyle w:val="berschrift4"/>
              <w:spacing w:before="0" w:line="240" w:lineRule="auto"/>
              <w:jc w:val="center"/>
              <w:rPr>
                <w:rFonts w:ascii="Arial" w:eastAsia="Arial" w:hAnsi="Arial" w:cs="Arial"/>
                <w:i w:val="0"/>
                <w:sz w:val="20"/>
                <w:szCs w:val="20"/>
                <w:lang w:val="en-US"/>
              </w:rPr>
            </w:pPr>
          </w:p>
        </w:tc>
      </w:tr>
      <w:tr w:rsidR="00656ED9" w:rsidRPr="005B534A" w14:paraId="4A0B57A3" w14:textId="77777777" w:rsidTr="00407186">
        <w:tc>
          <w:tcPr>
            <w:tcW w:w="0" w:type="auto"/>
            <w:gridSpan w:val="3"/>
            <w:shd w:val="clear" w:color="auto" w:fill="auto"/>
          </w:tcPr>
          <w:p w14:paraId="2966DE27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Data storage</w:t>
            </w:r>
          </w:p>
        </w:tc>
        <w:tc>
          <w:tcPr>
            <w:tcW w:w="0" w:type="auto"/>
            <w:shd w:val="clear" w:color="auto" w:fill="auto"/>
          </w:tcPr>
          <w:p w14:paraId="6A6544C0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656ED9" w:rsidRPr="005B534A" w14:paraId="286F58BF" w14:textId="77777777" w:rsidTr="00407186">
        <w:tc>
          <w:tcPr>
            <w:tcW w:w="0" w:type="auto"/>
            <w:shd w:val="clear" w:color="auto" w:fill="auto"/>
          </w:tcPr>
          <w:p w14:paraId="302DD28C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F2FF87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7a</w:t>
            </w:r>
          </w:p>
        </w:tc>
        <w:tc>
          <w:tcPr>
            <w:tcW w:w="0" w:type="auto"/>
            <w:shd w:val="clear" w:color="auto" w:fill="auto"/>
          </w:tcPr>
          <w:p w14:paraId="4D41C080" w14:textId="77777777" w:rsidR="00656ED9" w:rsidRPr="005B534A" w:rsidRDefault="00656ED9" w:rsidP="00656ED9">
            <w:pPr>
              <w:tabs>
                <w:tab w:val="left" w:pos="0"/>
              </w:tabs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Upload all materials, analysis scripts, code, and raw data used for analyses, as well as final values, to an open access data repository, when feasible</w:t>
            </w:r>
          </w:p>
        </w:tc>
        <w:tc>
          <w:tcPr>
            <w:tcW w:w="0" w:type="auto"/>
            <w:shd w:val="clear" w:color="auto" w:fill="auto"/>
          </w:tcPr>
          <w:p w14:paraId="6E82BBE6" w14:textId="77777777" w:rsidR="00656ED9" w:rsidRPr="005B534A" w:rsidRDefault="00656ED9" w:rsidP="005B534A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B534A">
              <w:rPr>
                <w:rFonts w:ascii="Arial" w:eastAsia="Arial" w:hAnsi="Arial" w:cs="Arial"/>
                <w:sz w:val="20"/>
                <w:szCs w:val="20"/>
                <w:lang w:val="en-US"/>
              </w:rPr>
              <w:t>Not applicable</w:t>
            </w:r>
          </w:p>
        </w:tc>
      </w:tr>
    </w:tbl>
    <w:p w14:paraId="52AC6A55" w14:textId="6B3186C8" w:rsidR="00407186" w:rsidRDefault="00407186"/>
    <w:sectPr w:rsidR="00407186" w:rsidSect="000821F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979"/>
    <w:multiLevelType w:val="multilevel"/>
    <w:tmpl w:val="307C8E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978" w:hanging="576"/>
      </w:pPr>
    </w:lvl>
    <w:lvl w:ilvl="2">
      <w:start w:val="1"/>
      <w:numFmt w:val="decimal"/>
      <w:lvlText w:val="%1.%2.%3"/>
      <w:lvlJc w:val="left"/>
      <w:pPr>
        <w:ind w:left="46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86698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BA"/>
    <w:rsid w:val="000821F6"/>
    <w:rsid w:val="001A41BA"/>
    <w:rsid w:val="00230D90"/>
    <w:rsid w:val="002C2D33"/>
    <w:rsid w:val="002F31FA"/>
    <w:rsid w:val="003B7228"/>
    <w:rsid w:val="00407186"/>
    <w:rsid w:val="00583239"/>
    <w:rsid w:val="005B534A"/>
    <w:rsid w:val="00656ED9"/>
    <w:rsid w:val="0070353E"/>
    <w:rsid w:val="00723119"/>
    <w:rsid w:val="00812593"/>
    <w:rsid w:val="009E457B"/>
    <w:rsid w:val="00A831FE"/>
    <w:rsid w:val="00C81B72"/>
    <w:rsid w:val="00D61A9B"/>
    <w:rsid w:val="00D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D744"/>
  <w15:chartTrackingRefBased/>
  <w15:docId w15:val="{C8796F84-049D-48BB-97E0-57EAA920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41BA"/>
    <w:pPr>
      <w:spacing w:before="120" w:after="120" w:line="36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A41BA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1A41B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1A41BA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qFormat/>
    <w:rsid w:val="001A41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1A41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41BA"/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1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1B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1A41B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1A41B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1A41BA"/>
    <w:rPr>
      <w:rFonts w:ascii="Times New Roman" w:eastAsiaTheme="majorEastAsia" w:hAnsi="Times New Roman" w:cstheme="majorBidi"/>
      <w:i/>
      <w:iCs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71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718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Rösch, Sarah</dc:creator>
  <cp:keywords/>
  <dc:description/>
  <cp:lastModifiedBy>ricarda schmidt</cp:lastModifiedBy>
  <cp:revision>2</cp:revision>
  <dcterms:created xsi:type="dcterms:W3CDTF">2023-02-06T13:34:00Z</dcterms:created>
  <dcterms:modified xsi:type="dcterms:W3CDTF">2023-02-06T13:34:00Z</dcterms:modified>
</cp:coreProperties>
</file>