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6663" w14:textId="0184B39D" w:rsidR="002200A7" w:rsidRDefault="00F658C7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GB"/>
        </w:rPr>
      </w:pPr>
      <w:r w:rsidRPr="00425203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GB"/>
        </w:rPr>
        <w:t>Supplement</w:t>
      </w:r>
      <w:r w:rsidR="001841D4" w:rsidRPr="00425203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GB"/>
        </w:rPr>
        <w:t>al</w:t>
      </w:r>
      <w:r w:rsidRPr="00425203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GB"/>
        </w:rPr>
        <w:t xml:space="preserve"> material</w:t>
      </w:r>
    </w:p>
    <w:p w14:paraId="4398A44F" w14:textId="54FDC8B9" w:rsidR="002C39EC" w:rsidRDefault="002C39EC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</w:pPr>
      <w:r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 xml:space="preserve">Section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1- Somatic health of AUD patients</w:t>
      </w:r>
    </w:p>
    <w:tbl>
      <w:tblPr>
        <w:tblStyle w:val="TableGrid"/>
        <w:tblW w:w="7939" w:type="dxa"/>
        <w:tblInd w:w="-289" w:type="dxa"/>
        <w:tblLook w:val="04A0" w:firstRow="1" w:lastRow="0" w:firstColumn="1" w:lastColumn="0" w:noHBand="0" w:noVBand="1"/>
      </w:tblPr>
      <w:tblGrid>
        <w:gridCol w:w="827"/>
        <w:gridCol w:w="564"/>
        <w:gridCol w:w="861"/>
        <w:gridCol w:w="1434"/>
        <w:gridCol w:w="1276"/>
        <w:gridCol w:w="1559"/>
        <w:gridCol w:w="1418"/>
      </w:tblGrid>
      <w:tr w:rsidR="002C39EC" w:rsidRPr="00387EE8" w14:paraId="261F5362" w14:textId="77777777" w:rsidTr="002C1462">
        <w:tc>
          <w:tcPr>
            <w:tcW w:w="827" w:type="dxa"/>
          </w:tcPr>
          <w:p w14:paraId="58C63F05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</w:t>
            </w:r>
          </w:p>
        </w:tc>
        <w:tc>
          <w:tcPr>
            <w:tcW w:w="564" w:type="dxa"/>
          </w:tcPr>
          <w:p w14:paraId="486C79E2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861" w:type="dxa"/>
          </w:tcPr>
          <w:p w14:paraId="048CAF7E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5687" w:type="dxa"/>
            <w:gridSpan w:val="4"/>
          </w:tcPr>
          <w:p w14:paraId="243526D4" w14:textId="77777777" w:rsidR="002C39EC" w:rsidRPr="00F34020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0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Health Status</w:t>
            </w:r>
          </w:p>
        </w:tc>
      </w:tr>
      <w:tr w:rsidR="002C39EC" w:rsidRPr="00387EE8" w14:paraId="09463155" w14:textId="77777777" w:rsidTr="002C1462">
        <w:tc>
          <w:tcPr>
            <w:tcW w:w="2252" w:type="dxa"/>
            <w:gridSpan w:val="3"/>
          </w:tcPr>
          <w:p w14:paraId="1ACE8B34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14:paraId="00BF1100" w14:textId="77777777" w:rsidR="002C39EC" w:rsidRPr="00EB3321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3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Hypertension</w:t>
            </w:r>
          </w:p>
        </w:tc>
        <w:tc>
          <w:tcPr>
            <w:tcW w:w="1276" w:type="dxa"/>
          </w:tcPr>
          <w:p w14:paraId="3CFBEEF0" w14:textId="3229D32D" w:rsidR="002C39EC" w:rsidRPr="00EB3321" w:rsidRDefault="00A274DA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Steatosis</w:t>
            </w:r>
          </w:p>
        </w:tc>
        <w:tc>
          <w:tcPr>
            <w:tcW w:w="1559" w:type="dxa"/>
          </w:tcPr>
          <w:p w14:paraId="280A4109" w14:textId="77777777" w:rsidR="002C39EC" w:rsidRPr="00EB3321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Hepatitis </w:t>
            </w:r>
          </w:p>
        </w:tc>
        <w:tc>
          <w:tcPr>
            <w:tcW w:w="1418" w:type="dxa"/>
          </w:tcPr>
          <w:p w14:paraId="2C6DBF07" w14:textId="77777777" w:rsidR="002C39EC" w:rsidRPr="00EB3321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Cirrhosis </w:t>
            </w:r>
          </w:p>
        </w:tc>
      </w:tr>
      <w:tr w:rsidR="002C39EC" w:rsidRPr="00387EE8" w14:paraId="65BF75F4" w14:textId="77777777" w:rsidTr="002C1462">
        <w:tc>
          <w:tcPr>
            <w:tcW w:w="827" w:type="dxa"/>
          </w:tcPr>
          <w:p w14:paraId="64DF4FC9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</w:tcPr>
          <w:p w14:paraId="6604BDEA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61" w:type="dxa"/>
          </w:tcPr>
          <w:p w14:paraId="5EF6A96D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434" w:type="dxa"/>
          </w:tcPr>
          <w:p w14:paraId="37CE9842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B3F7C4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1234E13D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B19C22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65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C39EC" w:rsidRPr="00387EE8" w14:paraId="6C318FCE" w14:textId="77777777" w:rsidTr="002C1462">
        <w:tc>
          <w:tcPr>
            <w:tcW w:w="827" w:type="dxa"/>
          </w:tcPr>
          <w:p w14:paraId="7D1CF4EB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14:paraId="5AECCF0F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61" w:type="dxa"/>
          </w:tcPr>
          <w:p w14:paraId="49D05DAC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34" w:type="dxa"/>
          </w:tcPr>
          <w:p w14:paraId="59A6668D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14:paraId="5FB90B9C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65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58FF3816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178AB8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39EC" w:rsidRPr="00387EE8" w14:paraId="7DF65F9A" w14:textId="77777777" w:rsidTr="002C1462">
        <w:tc>
          <w:tcPr>
            <w:tcW w:w="827" w:type="dxa"/>
          </w:tcPr>
          <w:p w14:paraId="4466BF4E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</w:tcPr>
          <w:p w14:paraId="34C5FBB6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61" w:type="dxa"/>
          </w:tcPr>
          <w:p w14:paraId="2A564FEF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34" w:type="dxa"/>
          </w:tcPr>
          <w:p w14:paraId="4C453CFE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41CCD2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65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525B4105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DA4784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65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C39EC" w:rsidRPr="00387EE8" w14:paraId="5B42EA0A" w14:textId="77777777" w:rsidTr="002C1462">
        <w:tc>
          <w:tcPr>
            <w:tcW w:w="827" w:type="dxa"/>
          </w:tcPr>
          <w:p w14:paraId="6FBE902D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</w:tcPr>
          <w:p w14:paraId="7CAE0AA6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61" w:type="dxa"/>
          </w:tcPr>
          <w:p w14:paraId="3BDB8FB2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434" w:type="dxa"/>
          </w:tcPr>
          <w:p w14:paraId="71247036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F1AB93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65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5B4FE5DE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3249B8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39EC" w:rsidRPr="00387EE8" w14:paraId="0F54D89E" w14:textId="77777777" w:rsidTr="002C1462">
        <w:tc>
          <w:tcPr>
            <w:tcW w:w="827" w:type="dxa"/>
          </w:tcPr>
          <w:p w14:paraId="31196570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</w:tcPr>
          <w:p w14:paraId="3655516E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61" w:type="dxa"/>
          </w:tcPr>
          <w:p w14:paraId="0221B757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34" w:type="dxa"/>
          </w:tcPr>
          <w:p w14:paraId="628337EE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058F8F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73615995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B693E6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39EC" w:rsidRPr="00387EE8" w14:paraId="598F9A5E" w14:textId="77777777" w:rsidTr="002C1462">
        <w:tc>
          <w:tcPr>
            <w:tcW w:w="827" w:type="dxa"/>
          </w:tcPr>
          <w:p w14:paraId="4506D4D4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</w:tcPr>
          <w:p w14:paraId="321FA208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1" w:type="dxa"/>
          </w:tcPr>
          <w:p w14:paraId="0297DEA8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34" w:type="dxa"/>
          </w:tcPr>
          <w:p w14:paraId="17458D07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400FA6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A5366F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262614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39EC" w:rsidRPr="00387EE8" w14:paraId="6E7A4DAE" w14:textId="77777777" w:rsidTr="002C1462">
        <w:tc>
          <w:tcPr>
            <w:tcW w:w="827" w:type="dxa"/>
          </w:tcPr>
          <w:p w14:paraId="7521DE77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4" w:type="dxa"/>
          </w:tcPr>
          <w:p w14:paraId="2F605EA9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61" w:type="dxa"/>
          </w:tcPr>
          <w:p w14:paraId="1F1C54BC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434" w:type="dxa"/>
          </w:tcPr>
          <w:p w14:paraId="1CEB73E2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C978CD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2BFFD4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023A11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39EC" w:rsidRPr="00387EE8" w14:paraId="5E949E54" w14:textId="77777777" w:rsidTr="002C1462">
        <w:tc>
          <w:tcPr>
            <w:tcW w:w="827" w:type="dxa"/>
          </w:tcPr>
          <w:p w14:paraId="6502EC31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4" w:type="dxa"/>
          </w:tcPr>
          <w:p w14:paraId="3C2C07DE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61" w:type="dxa"/>
          </w:tcPr>
          <w:p w14:paraId="003690FD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34" w:type="dxa"/>
          </w:tcPr>
          <w:p w14:paraId="4864FC5F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32A6C5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34CF1F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7BFAC641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C39EC" w:rsidRPr="00387EE8" w14:paraId="7D30AE11" w14:textId="77777777" w:rsidTr="002C1462">
        <w:tc>
          <w:tcPr>
            <w:tcW w:w="827" w:type="dxa"/>
          </w:tcPr>
          <w:p w14:paraId="068AD9F4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4" w:type="dxa"/>
          </w:tcPr>
          <w:p w14:paraId="17D82C87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61" w:type="dxa"/>
          </w:tcPr>
          <w:p w14:paraId="5B30E413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434" w:type="dxa"/>
          </w:tcPr>
          <w:p w14:paraId="7DAA8D1B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F44DB5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4155C6D6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B9CE6C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C39EC" w:rsidRPr="00387EE8" w14:paraId="03470799" w14:textId="77777777" w:rsidTr="002C1462">
        <w:tc>
          <w:tcPr>
            <w:tcW w:w="827" w:type="dxa"/>
          </w:tcPr>
          <w:p w14:paraId="4F92C227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</w:tcPr>
          <w:p w14:paraId="4C2F354C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61" w:type="dxa"/>
          </w:tcPr>
          <w:p w14:paraId="4A1C8A5D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34" w:type="dxa"/>
          </w:tcPr>
          <w:p w14:paraId="43F4DEE3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1780C9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34B45C16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3D9342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C39EC" w:rsidRPr="00387EE8" w14:paraId="5C3F425B" w14:textId="77777777" w:rsidTr="002C1462">
        <w:tc>
          <w:tcPr>
            <w:tcW w:w="827" w:type="dxa"/>
          </w:tcPr>
          <w:p w14:paraId="56FB2A09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</w:tcPr>
          <w:p w14:paraId="7C88709D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61" w:type="dxa"/>
          </w:tcPr>
          <w:p w14:paraId="1955239C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34" w:type="dxa"/>
          </w:tcPr>
          <w:p w14:paraId="7243D2CA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FA7549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59724C8E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EFD807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C39EC" w:rsidRPr="00387EE8" w14:paraId="610AC7D7" w14:textId="77777777" w:rsidTr="002C1462">
        <w:tc>
          <w:tcPr>
            <w:tcW w:w="827" w:type="dxa"/>
          </w:tcPr>
          <w:p w14:paraId="01E197A5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4" w:type="dxa"/>
          </w:tcPr>
          <w:p w14:paraId="46834EB6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61" w:type="dxa"/>
          </w:tcPr>
          <w:p w14:paraId="366F77AF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34" w:type="dxa"/>
          </w:tcPr>
          <w:p w14:paraId="6D4F3DB4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FF0706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39BD228F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E39653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39EC" w:rsidRPr="00387EE8" w14:paraId="5DD1BC5E" w14:textId="77777777" w:rsidTr="002C1462">
        <w:tc>
          <w:tcPr>
            <w:tcW w:w="827" w:type="dxa"/>
          </w:tcPr>
          <w:p w14:paraId="75A16D33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4" w:type="dxa"/>
          </w:tcPr>
          <w:p w14:paraId="4CE74586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61" w:type="dxa"/>
          </w:tcPr>
          <w:p w14:paraId="5F62F33B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34" w:type="dxa"/>
          </w:tcPr>
          <w:p w14:paraId="7219F832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53873B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77C005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0E54A3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39EC" w:rsidRPr="00387EE8" w14:paraId="151037BA" w14:textId="77777777" w:rsidTr="002C1462">
        <w:tc>
          <w:tcPr>
            <w:tcW w:w="827" w:type="dxa"/>
          </w:tcPr>
          <w:p w14:paraId="5234431B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4" w:type="dxa"/>
          </w:tcPr>
          <w:p w14:paraId="39FF3E4C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7A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61" w:type="dxa"/>
          </w:tcPr>
          <w:p w14:paraId="1005BB22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34" w:type="dxa"/>
          </w:tcPr>
          <w:p w14:paraId="46E8D2CE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EBFF4D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34AE1E57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CEC2B4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C39EC" w:rsidRPr="00387EE8" w14:paraId="1CD27E8E" w14:textId="77777777" w:rsidTr="002C1462">
        <w:tc>
          <w:tcPr>
            <w:tcW w:w="827" w:type="dxa"/>
          </w:tcPr>
          <w:p w14:paraId="2A36A739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4" w:type="dxa"/>
          </w:tcPr>
          <w:p w14:paraId="0DBA0895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61" w:type="dxa"/>
          </w:tcPr>
          <w:p w14:paraId="34E7EB8F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34" w:type="dxa"/>
          </w:tcPr>
          <w:p w14:paraId="4044A5F7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9FC67B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8E16AE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0608DB52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C39EC" w:rsidRPr="00387EE8" w14:paraId="4A0A1630" w14:textId="77777777" w:rsidTr="002C1462">
        <w:tc>
          <w:tcPr>
            <w:tcW w:w="827" w:type="dxa"/>
          </w:tcPr>
          <w:p w14:paraId="524DD60A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4" w:type="dxa"/>
          </w:tcPr>
          <w:p w14:paraId="0F193047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61" w:type="dxa"/>
          </w:tcPr>
          <w:p w14:paraId="545DC3D2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434" w:type="dxa"/>
          </w:tcPr>
          <w:p w14:paraId="2C2E39B0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67EC15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21D89E9F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4A0E0F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39EC" w:rsidRPr="00387EE8" w14:paraId="65BDDEF4" w14:textId="77777777" w:rsidTr="002C1462">
        <w:tc>
          <w:tcPr>
            <w:tcW w:w="827" w:type="dxa"/>
          </w:tcPr>
          <w:p w14:paraId="000206E2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4" w:type="dxa"/>
          </w:tcPr>
          <w:p w14:paraId="68CEBE9A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61" w:type="dxa"/>
          </w:tcPr>
          <w:p w14:paraId="5E73041E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34" w:type="dxa"/>
          </w:tcPr>
          <w:p w14:paraId="7D71E95B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124EEF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576AD880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390090C0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C39EC" w:rsidRPr="00387EE8" w14:paraId="20987338" w14:textId="77777777" w:rsidTr="002C1462">
        <w:tc>
          <w:tcPr>
            <w:tcW w:w="827" w:type="dxa"/>
          </w:tcPr>
          <w:p w14:paraId="401F223D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4" w:type="dxa"/>
          </w:tcPr>
          <w:p w14:paraId="057151B6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61" w:type="dxa"/>
          </w:tcPr>
          <w:p w14:paraId="67585488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34" w:type="dxa"/>
          </w:tcPr>
          <w:p w14:paraId="42AFE60F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19A291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7E7BB3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5C78F1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39EC" w:rsidRPr="00387EE8" w14:paraId="544BCE55" w14:textId="77777777" w:rsidTr="002C1462">
        <w:tc>
          <w:tcPr>
            <w:tcW w:w="827" w:type="dxa"/>
          </w:tcPr>
          <w:p w14:paraId="1388F1A1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4" w:type="dxa"/>
          </w:tcPr>
          <w:p w14:paraId="07AA6F81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61" w:type="dxa"/>
          </w:tcPr>
          <w:p w14:paraId="30845C50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34" w:type="dxa"/>
          </w:tcPr>
          <w:p w14:paraId="60D64898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14:paraId="17ABDFC4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B40EF0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ADD186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C39EC" w:rsidRPr="00387EE8" w14:paraId="67BD51A1" w14:textId="77777777" w:rsidTr="002C1462">
        <w:tc>
          <w:tcPr>
            <w:tcW w:w="827" w:type="dxa"/>
          </w:tcPr>
          <w:p w14:paraId="7B3765BF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4" w:type="dxa"/>
          </w:tcPr>
          <w:p w14:paraId="17474C8C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61" w:type="dxa"/>
          </w:tcPr>
          <w:p w14:paraId="25504996" w14:textId="77777777" w:rsidR="002C39EC" w:rsidRPr="00F54AA0" w:rsidRDefault="002C39EC" w:rsidP="002C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AA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434" w:type="dxa"/>
          </w:tcPr>
          <w:p w14:paraId="1423D836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14:paraId="3E2A457E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76B8BD40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412F38" w14:textId="77777777" w:rsidR="002C39EC" w:rsidRPr="002565B6" w:rsidRDefault="002C39EC" w:rsidP="002C14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</w:tbl>
    <w:p w14:paraId="5EC95C20" w14:textId="77777777" w:rsidR="00A85A2B" w:rsidRDefault="00A85A2B" w:rsidP="00A85A2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E0B5DC" w14:textId="0302C742" w:rsidR="00A85A2B" w:rsidRPr="00072ABB" w:rsidRDefault="00A85A2B" w:rsidP="00A85A2B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72ABB">
        <w:rPr>
          <w:rFonts w:ascii="Times New Roman" w:hAnsi="Times New Roman" w:cs="Times New Roman"/>
          <w:b/>
          <w:bCs/>
          <w:color w:val="000000" w:themeColor="text1"/>
        </w:rPr>
        <w:t xml:space="preserve">Table </w:t>
      </w:r>
      <w:r w:rsidRPr="00072ABB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072ABB">
        <w:rPr>
          <w:rFonts w:ascii="Times New Roman" w:hAnsi="Times New Roman" w:cs="Times New Roman"/>
          <w:b/>
          <w:bCs/>
          <w:color w:val="000000" w:themeColor="text1"/>
        </w:rPr>
        <w:t>a.</w:t>
      </w:r>
      <w:r w:rsidRPr="00072ABB">
        <w:rPr>
          <w:rFonts w:ascii="Times New Roman" w:hAnsi="Times New Roman" w:cs="Times New Roman"/>
          <w:color w:val="000000" w:themeColor="text1"/>
        </w:rPr>
        <w:t xml:space="preserve"> </w:t>
      </w:r>
      <w:r w:rsidR="00602C1D" w:rsidRPr="00072ABB">
        <w:rPr>
          <w:rFonts w:ascii="Times New Roman" w:hAnsi="Times New Roman" w:cs="Times New Roman"/>
          <w:color w:val="000000" w:themeColor="text1"/>
        </w:rPr>
        <w:t>Co-morbid somatic conditions</w:t>
      </w:r>
      <w:r w:rsidR="00334D1E" w:rsidRPr="00072ABB">
        <w:rPr>
          <w:rFonts w:ascii="Times New Roman" w:hAnsi="Times New Roman" w:cs="Times New Roman"/>
          <w:color w:val="000000" w:themeColor="text1"/>
        </w:rPr>
        <w:t xml:space="preserve"> </w:t>
      </w:r>
      <w:r w:rsidR="00785F0E" w:rsidRPr="00072ABB">
        <w:rPr>
          <w:rFonts w:ascii="Times New Roman" w:hAnsi="Times New Roman" w:cs="Times New Roman"/>
          <w:color w:val="000000" w:themeColor="text1"/>
        </w:rPr>
        <w:t>of A</w:t>
      </w:r>
      <w:r w:rsidRPr="00072ABB">
        <w:rPr>
          <w:rFonts w:ascii="Times New Roman" w:hAnsi="Times New Roman" w:cs="Times New Roman"/>
          <w:color w:val="000000" w:themeColor="text1"/>
        </w:rPr>
        <w:t xml:space="preserve">lcohol Use Disorder (AUD) </w:t>
      </w:r>
      <w:r w:rsidR="00785F0E" w:rsidRPr="00072ABB">
        <w:rPr>
          <w:rFonts w:ascii="Times New Roman" w:hAnsi="Times New Roman" w:cs="Times New Roman"/>
          <w:color w:val="000000" w:themeColor="text1"/>
        </w:rPr>
        <w:t>patients (N=20)</w:t>
      </w:r>
      <w:r w:rsidR="00B37B01" w:rsidRPr="00072ABB">
        <w:rPr>
          <w:rFonts w:ascii="Times New Roman" w:hAnsi="Times New Roman" w:cs="Times New Roman"/>
          <w:color w:val="000000" w:themeColor="text1"/>
        </w:rPr>
        <w:t xml:space="preserve"> at time of testing</w:t>
      </w:r>
      <w:r w:rsidR="00785F0E" w:rsidRPr="00072ABB">
        <w:rPr>
          <w:rFonts w:ascii="Times New Roman" w:hAnsi="Times New Roman" w:cs="Times New Roman"/>
          <w:color w:val="000000" w:themeColor="text1"/>
        </w:rPr>
        <w:t>.</w:t>
      </w:r>
      <w:r w:rsidR="00B37B01" w:rsidRPr="00072ABB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Hlk138091453"/>
      <w:r w:rsidR="00B37B01" w:rsidRPr="00072ABB">
        <w:rPr>
          <w:rFonts w:ascii="Times New Roman" w:hAnsi="Times New Roman" w:cs="Times New Roman"/>
          <w:color w:val="000000" w:themeColor="text1"/>
        </w:rPr>
        <w:t xml:space="preserve">A majority of AUD patients </w:t>
      </w:r>
      <w:r w:rsidR="00940AAC" w:rsidRPr="00072ABB">
        <w:rPr>
          <w:rFonts w:ascii="Times New Roman" w:hAnsi="Times New Roman" w:cs="Times New Roman"/>
          <w:color w:val="000000" w:themeColor="text1"/>
        </w:rPr>
        <w:t>were diagnosed with moderate to severe</w:t>
      </w:r>
      <w:r w:rsidR="00A62DD2" w:rsidRPr="00072ABB">
        <w:rPr>
          <w:rFonts w:ascii="Times New Roman" w:hAnsi="Times New Roman" w:cs="Times New Roman"/>
          <w:color w:val="000000" w:themeColor="text1"/>
        </w:rPr>
        <w:t xml:space="preserve"> alcohol-related</w:t>
      </w:r>
      <w:r w:rsidR="00940AAC" w:rsidRPr="00072ABB">
        <w:rPr>
          <w:rFonts w:ascii="Times New Roman" w:hAnsi="Times New Roman" w:cs="Times New Roman"/>
          <w:color w:val="000000" w:themeColor="text1"/>
        </w:rPr>
        <w:t xml:space="preserve"> liver disease</w:t>
      </w:r>
      <w:r w:rsidR="00A62DD2" w:rsidRPr="00072ABB">
        <w:rPr>
          <w:rFonts w:ascii="Times New Roman" w:hAnsi="Times New Roman" w:cs="Times New Roman"/>
          <w:color w:val="000000" w:themeColor="text1"/>
        </w:rPr>
        <w:t xml:space="preserve"> (ARLD)</w:t>
      </w:r>
      <w:r w:rsidR="00940AAC" w:rsidRPr="00072ABB">
        <w:rPr>
          <w:rFonts w:ascii="Times New Roman" w:hAnsi="Times New Roman" w:cs="Times New Roman"/>
          <w:color w:val="000000" w:themeColor="text1"/>
        </w:rPr>
        <w:t xml:space="preserve">, </w:t>
      </w:r>
      <w:bookmarkEnd w:id="0"/>
      <w:r w:rsidR="00940AAC" w:rsidRPr="00072ABB">
        <w:rPr>
          <w:rFonts w:ascii="Times New Roman" w:hAnsi="Times New Roman" w:cs="Times New Roman"/>
          <w:color w:val="000000" w:themeColor="text1"/>
        </w:rPr>
        <w:t xml:space="preserve">while a minority were diagnosed with any cardiovascular conditions. </w:t>
      </w:r>
      <w:r w:rsidR="00A62DD2" w:rsidRPr="00072ABB">
        <w:rPr>
          <w:rFonts w:ascii="Times New Roman" w:hAnsi="Times New Roman" w:cs="Times New Roman"/>
          <w:color w:val="000000" w:themeColor="text1"/>
        </w:rPr>
        <w:t xml:space="preserve">Conditions reported (from left to right): hypertension (3 patients), </w:t>
      </w:r>
      <w:r w:rsidR="00370289" w:rsidRPr="00072ABB">
        <w:rPr>
          <w:rFonts w:ascii="Times New Roman" w:hAnsi="Times New Roman" w:cs="Times New Roman"/>
          <w:color w:val="000000" w:themeColor="text1"/>
        </w:rPr>
        <w:t xml:space="preserve">alcoholic </w:t>
      </w:r>
      <w:r w:rsidR="00A274DA" w:rsidRPr="00072ABB">
        <w:rPr>
          <w:rFonts w:ascii="Times New Roman" w:hAnsi="Times New Roman" w:cs="Times New Roman"/>
          <w:color w:val="000000" w:themeColor="text1"/>
        </w:rPr>
        <w:t>steatosis</w:t>
      </w:r>
      <w:r w:rsidR="00A62DD2" w:rsidRPr="00072ABB">
        <w:rPr>
          <w:rFonts w:ascii="Times New Roman" w:hAnsi="Times New Roman" w:cs="Times New Roman"/>
          <w:color w:val="000000" w:themeColor="text1"/>
        </w:rPr>
        <w:t xml:space="preserve"> </w:t>
      </w:r>
      <w:r w:rsidR="004516AE" w:rsidRPr="00072ABB">
        <w:rPr>
          <w:rFonts w:ascii="Times New Roman" w:hAnsi="Times New Roman" w:cs="Times New Roman"/>
          <w:color w:val="000000" w:themeColor="text1"/>
        </w:rPr>
        <w:t>i.e.,</w:t>
      </w:r>
      <w:r w:rsidR="00A274DA" w:rsidRPr="00072ABB">
        <w:rPr>
          <w:rFonts w:ascii="Times New Roman" w:hAnsi="Times New Roman" w:cs="Times New Roman"/>
          <w:color w:val="000000" w:themeColor="text1"/>
        </w:rPr>
        <w:t xml:space="preserve"> </w:t>
      </w:r>
      <w:r w:rsidR="00A62DD2" w:rsidRPr="00072ABB">
        <w:rPr>
          <w:rFonts w:ascii="Times New Roman" w:hAnsi="Times New Roman" w:cs="Times New Roman"/>
          <w:color w:val="000000" w:themeColor="text1"/>
        </w:rPr>
        <w:t xml:space="preserve">fatty </w:t>
      </w:r>
      <w:r w:rsidR="00E00124" w:rsidRPr="00072ABB">
        <w:rPr>
          <w:rFonts w:ascii="Times New Roman" w:hAnsi="Times New Roman" w:cs="Times New Roman"/>
          <w:color w:val="000000" w:themeColor="text1"/>
        </w:rPr>
        <w:t>liver (13 patients), alcoholic hepatitis (</w:t>
      </w:r>
      <w:r w:rsidR="00A274DA" w:rsidRPr="00072ABB">
        <w:rPr>
          <w:rFonts w:ascii="Times New Roman" w:hAnsi="Times New Roman" w:cs="Times New Roman"/>
          <w:color w:val="000000" w:themeColor="text1"/>
        </w:rPr>
        <w:t>3</w:t>
      </w:r>
      <w:r w:rsidR="00FD06E0" w:rsidRPr="00072ABB">
        <w:rPr>
          <w:rFonts w:ascii="Times New Roman" w:hAnsi="Times New Roman" w:cs="Times New Roman"/>
          <w:color w:val="000000" w:themeColor="text1"/>
        </w:rPr>
        <w:t xml:space="preserve"> patients</w:t>
      </w:r>
      <w:r w:rsidR="00E00124" w:rsidRPr="00072ABB">
        <w:rPr>
          <w:rFonts w:ascii="Times New Roman" w:hAnsi="Times New Roman" w:cs="Times New Roman"/>
          <w:color w:val="000000" w:themeColor="text1"/>
        </w:rPr>
        <w:t>)</w:t>
      </w:r>
      <w:r w:rsidR="00A274DA" w:rsidRPr="00072ABB">
        <w:rPr>
          <w:rFonts w:ascii="Times New Roman" w:hAnsi="Times New Roman" w:cs="Times New Roman"/>
          <w:color w:val="000000" w:themeColor="text1"/>
        </w:rPr>
        <w:t xml:space="preserve">, </w:t>
      </w:r>
      <w:r w:rsidR="00FD06E0" w:rsidRPr="00072ABB">
        <w:rPr>
          <w:rFonts w:ascii="Times New Roman" w:hAnsi="Times New Roman" w:cs="Times New Roman"/>
          <w:color w:val="000000" w:themeColor="text1"/>
        </w:rPr>
        <w:t xml:space="preserve">and </w:t>
      </w:r>
      <w:r w:rsidR="00A274DA" w:rsidRPr="00072ABB">
        <w:rPr>
          <w:rFonts w:ascii="Times New Roman" w:hAnsi="Times New Roman" w:cs="Times New Roman"/>
          <w:color w:val="000000" w:themeColor="text1"/>
        </w:rPr>
        <w:t>alcoholic cirrhosis</w:t>
      </w:r>
      <w:r w:rsidR="00FD06E0" w:rsidRPr="00072ABB">
        <w:rPr>
          <w:rFonts w:ascii="Times New Roman" w:hAnsi="Times New Roman" w:cs="Times New Roman"/>
          <w:color w:val="000000" w:themeColor="text1"/>
        </w:rPr>
        <w:t xml:space="preserve"> (11 patients).</w:t>
      </w:r>
      <w:r w:rsidR="00A274DA" w:rsidRPr="00072ABB">
        <w:rPr>
          <w:rFonts w:ascii="Times New Roman" w:hAnsi="Times New Roman" w:cs="Times New Roman"/>
          <w:color w:val="000000" w:themeColor="text1"/>
        </w:rPr>
        <w:t xml:space="preserve"> </w:t>
      </w:r>
      <w:r w:rsidR="00E00124" w:rsidRPr="00072ABB">
        <w:rPr>
          <w:rFonts w:ascii="Times New Roman" w:hAnsi="Times New Roman" w:cs="Times New Roman"/>
          <w:color w:val="000000" w:themeColor="text1"/>
        </w:rPr>
        <w:t xml:space="preserve"> </w:t>
      </w:r>
      <w:r w:rsidR="00A62DD2" w:rsidRPr="00072ABB">
        <w:rPr>
          <w:rFonts w:ascii="Times New Roman" w:hAnsi="Times New Roman" w:cs="Times New Roman"/>
          <w:color w:val="000000" w:themeColor="text1"/>
        </w:rPr>
        <w:t xml:space="preserve">  </w:t>
      </w:r>
      <w:r w:rsidR="00940AAC" w:rsidRPr="00072ABB">
        <w:rPr>
          <w:rFonts w:ascii="Times New Roman" w:hAnsi="Times New Roman" w:cs="Times New Roman"/>
          <w:color w:val="000000" w:themeColor="text1"/>
        </w:rPr>
        <w:t xml:space="preserve"> </w:t>
      </w:r>
      <w:r w:rsidRPr="00072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5A004E3C" w14:textId="77777777" w:rsidR="002C39EC" w:rsidRPr="00425203" w:rsidRDefault="002C39EC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GB"/>
        </w:rPr>
      </w:pPr>
    </w:p>
    <w:p w14:paraId="7498D06C" w14:textId="655775AF" w:rsidR="00F12FFD" w:rsidRPr="00425203" w:rsidRDefault="00CC51F5" w:rsidP="00CC51F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</w:pPr>
      <w:r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 xml:space="preserve">Section </w:t>
      </w:r>
      <w:r w:rsidR="002C39E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2</w:t>
      </w:r>
      <w:r w:rsidR="001E3AA4"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 xml:space="preserve">- Demographic and psychiatric factors for the larger </w:t>
      </w:r>
      <w:r w:rsidR="00F15C76"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HC</w:t>
      </w:r>
      <w:r w:rsidR="001E3AA4"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 xml:space="preserve"> sample</w:t>
      </w:r>
      <w:r w:rsidR="00FF6A3C"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 xml:space="preserve"> (N=35)</w:t>
      </w:r>
    </w:p>
    <w:p w14:paraId="56E24FEF" w14:textId="3F77584B" w:rsidR="00CC51F5" w:rsidRPr="00425203" w:rsidRDefault="00CC51F5" w:rsidP="00CC51F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AUD group was significantly older than the</w:t>
      </w:r>
      <w:r w:rsidR="000B5C1A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larger</w:t>
      </w:r>
      <w:r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15C76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HC</w:t>
      </w:r>
      <w:r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group, while the </w:t>
      </w:r>
      <w:r w:rsidR="00F15C76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HC group</w:t>
      </w:r>
      <w:r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had undergone more years of formal education. As expected, the AUD group showed greater alcohol use frequency and severity</w:t>
      </w:r>
      <w:r w:rsidR="00F15C76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as well as </w:t>
      </w:r>
      <w:r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greater severity of psychiatric factors depression, anxiety</w:t>
      </w:r>
      <w:r w:rsidR="00F15C76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negative urgency impulsivity, </w:t>
      </w:r>
      <w:r w:rsidR="00F15C76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and</w:t>
      </w:r>
      <w:r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 statistical trend toward greater positive urgency impulsivity. Lastly, the AUD group more quickly discounted delayed rewards</w:t>
      </w:r>
      <w:r w:rsidR="000B5C1A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(Table 1a)</w:t>
      </w:r>
      <w:r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24449C83" w14:textId="77777777" w:rsidR="00CC51F5" w:rsidRPr="00425203" w:rsidRDefault="00CC51F5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tbl>
      <w:tblPr>
        <w:tblStyle w:val="TableGrid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843"/>
        <w:gridCol w:w="1701"/>
        <w:gridCol w:w="1701"/>
        <w:gridCol w:w="992"/>
        <w:gridCol w:w="850"/>
        <w:gridCol w:w="993"/>
        <w:gridCol w:w="1275"/>
      </w:tblGrid>
      <w:tr w:rsidR="004C00E2" w:rsidRPr="00425203" w14:paraId="085281B2" w14:textId="77777777" w:rsidTr="00111E4A">
        <w:tc>
          <w:tcPr>
            <w:tcW w:w="2127" w:type="dxa"/>
            <w:gridSpan w:val="2"/>
          </w:tcPr>
          <w:p w14:paraId="3C7CFBD5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Factor</w:t>
            </w:r>
          </w:p>
        </w:tc>
        <w:tc>
          <w:tcPr>
            <w:tcW w:w="1843" w:type="dxa"/>
          </w:tcPr>
          <w:p w14:paraId="21D5EEAD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AUD Mean(SD)</w:t>
            </w:r>
          </w:p>
        </w:tc>
        <w:tc>
          <w:tcPr>
            <w:tcW w:w="1701" w:type="dxa"/>
          </w:tcPr>
          <w:p w14:paraId="27322396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HC Mean(SD)</w:t>
            </w:r>
          </w:p>
        </w:tc>
        <w:tc>
          <w:tcPr>
            <w:tcW w:w="1701" w:type="dxa"/>
          </w:tcPr>
          <w:p w14:paraId="498C08EF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Test</w:t>
            </w:r>
          </w:p>
        </w:tc>
        <w:tc>
          <w:tcPr>
            <w:tcW w:w="992" w:type="dxa"/>
          </w:tcPr>
          <w:p w14:paraId="1C3F91B1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Statistic</w:t>
            </w:r>
          </w:p>
        </w:tc>
        <w:tc>
          <w:tcPr>
            <w:tcW w:w="850" w:type="dxa"/>
          </w:tcPr>
          <w:p w14:paraId="4DC4F71C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42520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Df</w:t>
            </w:r>
            <w:proofErr w:type="spellEnd"/>
          </w:p>
        </w:tc>
        <w:tc>
          <w:tcPr>
            <w:tcW w:w="993" w:type="dxa"/>
          </w:tcPr>
          <w:p w14:paraId="1848D5C6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P</w:t>
            </w:r>
            <w:r w:rsidRPr="0042520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-Value</w:t>
            </w:r>
          </w:p>
        </w:tc>
        <w:tc>
          <w:tcPr>
            <w:tcW w:w="1275" w:type="dxa"/>
          </w:tcPr>
          <w:p w14:paraId="3D3DD649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CIs</w:t>
            </w:r>
          </w:p>
        </w:tc>
      </w:tr>
      <w:tr w:rsidR="004C00E2" w:rsidRPr="00425203" w14:paraId="2D51B632" w14:textId="77777777" w:rsidTr="00111E4A">
        <w:tc>
          <w:tcPr>
            <w:tcW w:w="2127" w:type="dxa"/>
            <w:gridSpan w:val="2"/>
          </w:tcPr>
          <w:p w14:paraId="60462E9A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Age</w:t>
            </w:r>
          </w:p>
        </w:tc>
        <w:tc>
          <w:tcPr>
            <w:tcW w:w="1843" w:type="dxa"/>
          </w:tcPr>
          <w:p w14:paraId="7F76B8D6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52.5(12.8)</w:t>
            </w:r>
          </w:p>
        </w:tc>
        <w:tc>
          <w:tcPr>
            <w:tcW w:w="1701" w:type="dxa"/>
          </w:tcPr>
          <w:p w14:paraId="089DE35B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39(14.1)</w:t>
            </w:r>
          </w:p>
        </w:tc>
        <w:tc>
          <w:tcPr>
            <w:tcW w:w="1701" w:type="dxa"/>
          </w:tcPr>
          <w:p w14:paraId="2C27C60B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Mann-Whitney</w:t>
            </w:r>
          </w:p>
        </w:tc>
        <w:tc>
          <w:tcPr>
            <w:tcW w:w="992" w:type="dxa"/>
          </w:tcPr>
          <w:p w14:paraId="0CE55F61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536.0</w:t>
            </w:r>
          </w:p>
        </w:tc>
        <w:tc>
          <w:tcPr>
            <w:tcW w:w="850" w:type="dxa"/>
          </w:tcPr>
          <w:p w14:paraId="5688B55F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  <w:tc>
          <w:tcPr>
            <w:tcW w:w="993" w:type="dxa"/>
          </w:tcPr>
          <w:p w14:paraId="55A2F300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.001**</w:t>
            </w:r>
          </w:p>
        </w:tc>
        <w:tc>
          <w:tcPr>
            <w:tcW w:w="1275" w:type="dxa"/>
          </w:tcPr>
          <w:p w14:paraId="675119A5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5.8-21.2</w:t>
            </w:r>
          </w:p>
        </w:tc>
      </w:tr>
      <w:tr w:rsidR="004C00E2" w:rsidRPr="00425203" w14:paraId="3C7C776E" w14:textId="77777777" w:rsidTr="00111E4A">
        <w:tc>
          <w:tcPr>
            <w:tcW w:w="2127" w:type="dxa"/>
            <w:gridSpan w:val="2"/>
          </w:tcPr>
          <w:p w14:paraId="32C75B2E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Gender</w:t>
            </w:r>
          </w:p>
        </w:tc>
        <w:tc>
          <w:tcPr>
            <w:tcW w:w="1843" w:type="dxa"/>
          </w:tcPr>
          <w:p w14:paraId="2501C456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.3(.47)</w:t>
            </w:r>
          </w:p>
        </w:tc>
        <w:tc>
          <w:tcPr>
            <w:tcW w:w="1701" w:type="dxa"/>
          </w:tcPr>
          <w:p w14:paraId="4FD5DBCD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.31(.47)</w:t>
            </w:r>
          </w:p>
        </w:tc>
        <w:tc>
          <w:tcPr>
            <w:tcW w:w="1701" w:type="dxa"/>
          </w:tcPr>
          <w:p w14:paraId="5A5E2907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Mann-Whitney</w:t>
            </w:r>
          </w:p>
        </w:tc>
        <w:tc>
          <w:tcPr>
            <w:tcW w:w="992" w:type="dxa"/>
          </w:tcPr>
          <w:p w14:paraId="6958DE69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345.0</w:t>
            </w:r>
          </w:p>
        </w:tc>
        <w:tc>
          <w:tcPr>
            <w:tcW w:w="850" w:type="dxa"/>
          </w:tcPr>
          <w:p w14:paraId="11595F6E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  <w:tc>
          <w:tcPr>
            <w:tcW w:w="993" w:type="dxa"/>
          </w:tcPr>
          <w:p w14:paraId="2CAEA70D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.92</w:t>
            </w:r>
          </w:p>
        </w:tc>
        <w:tc>
          <w:tcPr>
            <w:tcW w:w="1275" w:type="dxa"/>
          </w:tcPr>
          <w:p w14:paraId="434B5804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00E2" w:rsidRPr="00425203" w14:paraId="1FF02B21" w14:textId="77777777" w:rsidTr="00111E4A">
        <w:tc>
          <w:tcPr>
            <w:tcW w:w="2127" w:type="dxa"/>
            <w:gridSpan w:val="2"/>
          </w:tcPr>
          <w:p w14:paraId="0DFE98F8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Years of Education</w:t>
            </w:r>
          </w:p>
        </w:tc>
        <w:tc>
          <w:tcPr>
            <w:tcW w:w="1843" w:type="dxa"/>
          </w:tcPr>
          <w:p w14:paraId="7B3F2C0B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15(3.28)</w:t>
            </w:r>
          </w:p>
        </w:tc>
        <w:tc>
          <w:tcPr>
            <w:tcW w:w="1701" w:type="dxa"/>
          </w:tcPr>
          <w:p w14:paraId="4189ACEA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17(3.39)</w:t>
            </w:r>
          </w:p>
        </w:tc>
        <w:tc>
          <w:tcPr>
            <w:tcW w:w="1701" w:type="dxa"/>
          </w:tcPr>
          <w:p w14:paraId="59BB5DDB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Student’s</w:t>
            </w:r>
          </w:p>
        </w:tc>
        <w:tc>
          <w:tcPr>
            <w:tcW w:w="992" w:type="dxa"/>
          </w:tcPr>
          <w:p w14:paraId="040C7407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-2.15</w:t>
            </w:r>
          </w:p>
        </w:tc>
        <w:tc>
          <w:tcPr>
            <w:tcW w:w="850" w:type="dxa"/>
          </w:tcPr>
          <w:p w14:paraId="6CCBDF5F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1,53</w:t>
            </w:r>
          </w:p>
        </w:tc>
        <w:tc>
          <w:tcPr>
            <w:tcW w:w="993" w:type="dxa"/>
          </w:tcPr>
          <w:p w14:paraId="64452D81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.04*</w:t>
            </w:r>
          </w:p>
        </w:tc>
        <w:tc>
          <w:tcPr>
            <w:tcW w:w="1275" w:type="dxa"/>
          </w:tcPr>
          <w:p w14:paraId="4CEFA094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-3.9 - -0.1</w:t>
            </w:r>
          </w:p>
        </w:tc>
      </w:tr>
      <w:tr w:rsidR="004C00E2" w:rsidRPr="00425203" w14:paraId="5E293DDA" w14:textId="77777777" w:rsidTr="00111E4A">
        <w:tc>
          <w:tcPr>
            <w:tcW w:w="2127" w:type="dxa"/>
            <w:gridSpan w:val="2"/>
          </w:tcPr>
          <w:p w14:paraId="5BB350E7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Alcohol Use</w:t>
            </w:r>
          </w:p>
        </w:tc>
        <w:tc>
          <w:tcPr>
            <w:tcW w:w="1843" w:type="dxa"/>
          </w:tcPr>
          <w:p w14:paraId="09338570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15(10.54)</w:t>
            </w:r>
          </w:p>
        </w:tc>
        <w:tc>
          <w:tcPr>
            <w:tcW w:w="1701" w:type="dxa"/>
          </w:tcPr>
          <w:p w14:paraId="1892D329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6.3(5.1)</w:t>
            </w:r>
          </w:p>
        </w:tc>
        <w:tc>
          <w:tcPr>
            <w:tcW w:w="1701" w:type="dxa"/>
          </w:tcPr>
          <w:p w14:paraId="53BB8B95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Welch’s</w:t>
            </w:r>
          </w:p>
        </w:tc>
        <w:tc>
          <w:tcPr>
            <w:tcW w:w="992" w:type="dxa"/>
          </w:tcPr>
          <w:p w14:paraId="5CE6BC1A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4.13</w:t>
            </w:r>
          </w:p>
        </w:tc>
        <w:tc>
          <w:tcPr>
            <w:tcW w:w="850" w:type="dxa"/>
          </w:tcPr>
          <w:p w14:paraId="1ACB1DA5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1,24.1</w:t>
            </w:r>
          </w:p>
        </w:tc>
        <w:tc>
          <w:tcPr>
            <w:tcW w:w="993" w:type="dxa"/>
          </w:tcPr>
          <w:p w14:paraId="7D3D0181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.002**</w:t>
            </w:r>
          </w:p>
        </w:tc>
        <w:tc>
          <w:tcPr>
            <w:tcW w:w="1275" w:type="dxa"/>
          </w:tcPr>
          <w:p w14:paraId="286FA568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3.5-13.9</w:t>
            </w:r>
          </w:p>
        </w:tc>
      </w:tr>
      <w:tr w:rsidR="004C00E2" w:rsidRPr="00425203" w14:paraId="3EC45E14" w14:textId="77777777" w:rsidTr="00111E4A">
        <w:tc>
          <w:tcPr>
            <w:tcW w:w="2127" w:type="dxa"/>
            <w:gridSpan w:val="2"/>
          </w:tcPr>
          <w:p w14:paraId="6F36C170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Nicotine Use</w:t>
            </w:r>
          </w:p>
        </w:tc>
        <w:tc>
          <w:tcPr>
            <w:tcW w:w="1843" w:type="dxa"/>
          </w:tcPr>
          <w:p w14:paraId="22A7DF73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1(1.78)</w:t>
            </w:r>
          </w:p>
        </w:tc>
        <w:tc>
          <w:tcPr>
            <w:tcW w:w="1701" w:type="dxa"/>
          </w:tcPr>
          <w:p w14:paraId="1D33F8B3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0.3(0.96)</w:t>
            </w:r>
          </w:p>
        </w:tc>
        <w:tc>
          <w:tcPr>
            <w:tcW w:w="1701" w:type="dxa"/>
          </w:tcPr>
          <w:p w14:paraId="6DD8AE29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Welch’s</w:t>
            </w:r>
          </w:p>
        </w:tc>
        <w:tc>
          <w:tcPr>
            <w:tcW w:w="992" w:type="dxa"/>
          </w:tcPr>
          <w:p w14:paraId="2C9E5182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850" w:type="dxa"/>
          </w:tcPr>
          <w:p w14:paraId="50A9B062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1,25.5</w:t>
            </w:r>
          </w:p>
        </w:tc>
        <w:tc>
          <w:tcPr>
            <w:tcW w:w="993" w:type="dxa"/>
          </w:tcPr>
          <w:p w14:paraId="18E0765F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.12</w:t>
            </w:r>
          </w:p>
        </w:tc>
        <w:tc>
          <w:tcPr>
            <w:tcW w:w="1275" w:type="dxa"/>
          </w:tcPr>
          <w:p w14:paraId="7629DB06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00E2" w:rsidRPr="00425203" w14:paraId="2CFE2154" w14:textId="77777777" w:rsidTr="00111E4A">
        <w:tc>
          <w:tcPr>
            <w:tcW w:w="2127" w:type="dxa"/>
            <w:gridSpan w:val="2"/>
          </w:tcPr>
          <w:p w14:paraId="0E5A0A7F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Depression</w:t>
            </w:r>
          </w:p>
        </w:tc>
        <w:tc>
          <w:tcPr>
            <w:tcW w:w="1843" w:type="dxa"/>
          </w:tcPr>
          <w:p w14:paraId="2F516CD3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11.4(9.5)</w:t>
            </w:r>
          </w:p>
        </w:tc>
        <w:tc>
          <w:tcPr>
            <w:tcW w:w="1701" w:type="dxa"/>
          </w:tcPr>
          <w:p w14:paraId="61C8A774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6(6.32)</w:t>
            </w:r>
          </w:p>
        </w:tc>
        <w:tc>
          <w:tcPr>
            <w:tcW w:w="1701" w:type="dxa"/>
          </w:tcPr>
          <w:p w14:paraId="69CCEDF2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Welch’s</w:t>
            </w:r>
          </w:p>
        </w:tc>
        <w:tc>
          <w:tcPr>
            <w:tcW w:w="992" w:type="dxa"/>
          </w:tcPr>
          <w:p w14:paraId="75D150D3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2.26</w:t>
            </w:r>
          </w:p>
        </w:tc>
        <w:tc>
          <w:tcPr>
            <w:tcW w:w="850" w:type="dxa"/>
          </w:tcPr>
          <w:p w14:paraId="7A16AEC7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1,28.2</w:t>
            </w:r>
          </w:p>
        </w:tc>
        <w:tc>
          <w:tcPr>
            <w:tcW w:w="993" w:type="dxa"/>
          </w:tcPr>
          <w:p w14:paraId="533BF982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.03*</w:t>
            </w:r>
          </w:p>
        </w:tc>
        <w:tc>
          <w:tcPr>
            <w:tcW w:w="1275" w:type="dxa"/>
          </w:tcPr>
          <w:p w14:paraId="3EDFDBC0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0.5-10.2</w:t>
            </w:r>
          </w:p>
        </w:tc>
      </w:tr>
      <w:tr w:rsidR="004C00E2" w:rsidRPr="00425203" w14:paraId="64EB0AFF" w14:textId="77777777" w:rsidTr="00111E4A">
        <w:tc>
          <w:tcPr>
            <w:tcW w:w="2127" w:type="dxa"/>
            <w:gridSpan w:val="2"/>
          </w:tcPr>
          <w:p w14:paraId="2C515F6B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Anxiety</w:t>
            </w:r>
          </w:p>
        </w:tc>
        <w:tc>
          <w:tcPr>
            <w:tcW w:w="1843" w:type="dxa"/>
          </w:tcPr>
          <w:p w14:paraId="48C665C9" w14:textId="3ECB84FD" w:rsidR="00F658C7" w:rsidRPr="00425203" w:rsidRDefault="008B035F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22.18</w:t>
            </w:r>
            <w:r w:rsidR="00F658C7" w:rsidRPr="00425203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25203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F658C7" w:rsidRPr="0042520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42520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658C7" w:rsidRPr="0042520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7E3BA8A8" w14:textId="697EF263" w:rsidR="00F658C7" w:rsidRPr="00425203" w:rsidRDefault="008B035F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17.7</w:t>
            </w:r>
            <w:r w:rsidR="00F658C7" w:rsidRPr="00425203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25203">
              <w:rPr>
                <w:rFonts w:ascii="Times New Roman" w:hAnsi="Times New Roman" w:cs="Times New Roman"/>
                <w:color w:val="000000" w:themeColor="text1"/>
              </w:rPr>
              <w:t>5.45</w:t>
            </w:r>
            <w:r w:rsidR="00F658C7" w:rsidRPr="0042520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51C230AA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Welch’s</w:t>
            </w:r>
          </w:p>
        </w:tc>
        <w:tc>
          <w:tcPr>
            <w:tcW w:w="992" w:type="dxa"/>
          </w:tcPr>
          <w:p w14:paraId="21D1B882" w14:textId="4ED24EBD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1841D4" w:rsidRPr="00425203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850" w:type="dxa"/>
          </w:tcPr>
          <w:p w14:paraId="05A02966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1,28.8</w:t>
            </w:r>
          </w:p>
        </w:tc>
        <w:tc>
          <w:tcPr>
            <w:tcW w:w="993" w:type="dxa"/>
          </w:tcPr>
          <w:p w14:paraId="6C60DD2F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.04*</w:t>
            </w:r>
          </w:p>
        </w:tc>
        <w:tc>
          <w:tcPr>
            <w:tcW w:w="1275" w:type="dxa"/>
          </w:tcPr>
          <w:p w14:paraId="5B123794" w14:textId="13CF55D6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561DF3" w:rsidRPr="0042520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2520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561DF3" w:rsidRPr="00425203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42520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865C8" w:rsidRPr="0042520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4C00E2" w:rsidRPr="00425203" w14:paraId="01F2153F" w14:textId="77777777" w:rsidTr="00111E4A">
        <w:tc>
          <w:tcPr>
            <w:tcW w:w="1276" w:type="dxa"/>
            <w:vMerge w:val="restart"/>
          </w:tcPr>
          <w:p w14:paraId="2811B77F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B95B54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F17756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Impulsivity</w:t>
            </w:r>
          </w:p>
        </w:tc>
        <w:tc>
          <w:tcPr>
            <w:tcW w:w="851" w:type="dxa"/>
          </w:tcPr>
          <w:p w14:paraId="217C0592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SS</w:t>
            </w:r>
          </w:p>
        </w:tc>
        <w:tc>
          <w:tcPr>
            <w:tcW w:w="1843" w:type="dxa"/>
          </w:tcPr>
          <w:p w14:paraId="2DEE7806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28.4(8)</w:t>
            </w:r>
          </w:p>
        </w:tc>
        <w:tc>
          <w:tcPr>
            <w:tcW w:w="1701" w:type="dxa"/>
          </w:tcPr>
          <w:p w14:paraId="307F4AAF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30.1(10.2)</w:t>
            </w:r>
          </w:p>
        </w:tc>
        <w:tc>
          <w:tcPr>
            <w:tcW w:w="1701" w:type="dxa"/>
          </w:tcPr>
          <w:p w14:paraId="1E60E083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Mann-Whitney</w:t>
            </w:r>
          </w:p>
        </w:tc>
        <w:tc>
          <w:tcPr>
            <w:tcW w:w="992" w:type="dxa"/>
          </w:tcPr>
          <w:p w14:paraId="0591B944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258.0</w:t>
            </w:r>
          </w:p>
        </w:tc>
        <w:tc>
          <w:tcPr>
            <w:tcW w:w="850" w:type="dxa"/>
          </w:tcPr>
          <w:p w14:paraId="427D179B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  <w:tc>
          <w:tcPr>
            <w:tcW w:w="993" w:type="dxa"/>
          </w:tcPr>
          <w:p w14:paraId="53FF6E19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</w:tc>
        <w:tc>
          <w:tcPr>
            <w:tcW w:w="1275" w:type="dxa"/>
          </w:tcPr>
          <w:p w14:paraId="092F984A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00E2" w:rsidRPr="00425203" w14:paraId="36E81953" w14:textId="77777777" w:rsidTr="00111E4A">
        <w:tc>
          <w:tcPr>
            <w:tcW w:w="1276" w:type="dxa"/>
            <w:vMerge/>
          </w:tcPr>
          <w:p w14:paraId="3F25B481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248A8F8F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NU</w:t>
            </w:r>
          </w:p>
        </w:tc>
        <w:tc>
          <w:tcPr>
            <w:tcW w:w="1843" w:type="dxa"/>
          </w:tcPr>
          <w:p w14:paraId="72B2317F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28.4(7.72)</w:t>
            </w:r>
          </w:p>
        </w:tc>
        <w:tc>
          <w:tcPr>
            <w:tcW w:w="1701" w:type="dxa"/>
          </w:tcPr>
          <w:p w14:paraId="3921B918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22.9(7.1)</w:t>
            </w:r>
          </w:p>
        </w:tc>
        <w:tc>
          <w:tcPr>
            <w:tcW w:w="1701" w:type="dxa"/>
          </w:tcPr>
          <w:p w14:paraId="5DC68D2E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Student’s</w:t>
            </w:r>
          </w:p>
        </w:tc>
        <w:tc>
          <w:tcPr>
            <w:tcW w:w="992" w:type="dxa"/>
          </w:tcPr>
          <w:p w14:paraId="25231825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2.66</w:t>
            </w:r>
          </w:p>
        </w:tc>
        <w:tc>
          <w:tcPr>
            <w:tcW w:w="850" w:type="dxa"/>
          </w:tcPr>
          <w:p w14:paraId="4E6215A3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1,53</w:t>
            </w:r>
          </w:p>
        </w:tc>
        <w:tc>
          <w:tcPr>
            <w:tcW w:w="993" w:type="dxa"/>
          </w:tcPr>
          <w:p w14:paraId="23E4F205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.01*</w:t>
            </w:r>
          </w:p>
        </w:tc>
        <w:tc>
          <w:tcPr>
            <w:tcW w:w="1275" w:type="dxa"/>
          </w:tcPr>
          <w:p w14:paraId="2125818F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1.4-9.6</w:t>
            </w:r>
          </w:p>
        </w:tc>
      </w:tr>
      <w:tr w:rsidR="004C00E2" w:rsidRPr="00425203" w14:paraId="1C6CC588" w14:textId="77777777" w:rsidTr="00111E4A">
        <w:tc>
          <w:tcPr>
            <w:tcW w:w="1276" w:type="dxa"/>
            <w:vMerge/>
          </w:tcPr>
          <w:p w14:paraId="01205ED8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1E34834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PU</w:t>
            </w:r>
          </w:p>
        </w:tc>
        <w:tc>
          <w:tcPr>
            <w:tcW w:w="1843" w:type="dxa"/>
          </w:tcPr>
          <w:p w14:paraId="1755D487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27.6(6.78)</w:t>
            </w:r>
          </w:p>
        </w:tc>
        <w:tc>
          <w:tcPr>
            <w:tcW w:w="1701" w:type="dxa"/>
          </w:tcPr>
          <w:p w14:paraId="52C6F19E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24(6.4)</w:t>
            </w:r>
          </w:p>
        </w:tc>
        <w:tc>
          <w:tcPr>
            <w:tcW w:w="1701" w:type="dxa"/>
          </w:tcPr>
          <w:p w14:paraId="35302B8B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Student’s</w:t>
            </w:r>
          </w:p>
        </w:tc>
        <w:tc>
          <w:tcPr>
            <w:tcW w:w="992" w:type="dxa"/>
          </w:tcPr>
          <w:p w14:paraId="1403319D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1.95</w:t>
            </w:r>
          </w:p>
        </w:tc>
        <w:tc>
          <w:tcPr>
            <w:tcW w:w="850" w:type="dxa"/>
          </w:tcPr>
          <w:p w14:paraId="59931DC3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1,53</w:t>
            </w:r>
          </w:p>
        </w:tc>
        <w:tc>
          <w:tcPr>
            <w:tcW w:w="993" w:type="dxa"/>
          </w:tcPr>
          <w:p w14:paraId="7BE9B7D9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.06</w:t>
            </w:r>
          </w:p>
        </w:tc>
        <w:tc>
          <w:tcPr>
            <w:tcW w:w="1275" w:type="dxa"/>
          </w:tcPr>
          <w:p w14:paraId="503F0341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00E2" w:rsidRPr="00425203" w14:paraId="287D2495" w14:textId="77777777" w:rsidTr="00111E4A">
        <w:tc>
          <w:tcPr>
            <w:tcW w:w="1276" w:type="dxa"/>
            <w:vMerge/>
          </w:tcPr>
          <w:p w14:paraId="13E2C1FC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7D389046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LOPre</w:t>
            </w:r>
          </w:p>
        </w:tc>
        <w:tc>
          <w:tcPr>
            <w:tcW w:w="1843" w:type="dxa"/>
          </w:tcPr>
          <w:p w14:paraId="7E03C250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22.2(5.04)</w:t>
            </w:r>
          </w:p>
        </w:tc>
        <w:tc>
          <w:tcPr>
            <w:tcW w:w="1701" w:type="dxa"/>
          </w:tcPr>
          <w:p w14:paraId="7142850D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20.9(6.46)</w:t>
            </w:r>
          </w:p>
        </w:tc>
        <w:tc>
          <w:tcPr>
            <w:tcW w:w="1701" w:type="dxa"/>
          </w:tcPr>
          <w:p w14:paraId="1FF725A8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Mann-Whitney</w:t>
            </w:r>
          </w:p>
        </w:tc>
        <w:tc>
          <w:tcPr>
            <w:tcW w:w="992" w:type="dxa"/>
          </w:tcPr>
          <w:p w14:paraId="676C6117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.67</w:t>
            </w:r>
          </w:p>
        </w:tc>
        <w:tc>
          <w:tcPr>
            <w:tcW w:w="850" w:type="dxa"/>
          </w:tcPr>
          <w:p w14:paraId="43D59F00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  <w:tc>
          <w:tcPr>
            <w:tcW w:w="993" w:type="dxa"/>
          </w:tcPr>
          <w:p w14:paraId="75418F33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.77</w:t>
            </w:r>
          </w:p>
        </w:tc>
        <w:tc>
          <w:tcPr>
            <w:tcW w:w="1275" w:type="dxa"/>
          </w:tcPr>
          <w:p w14:paraId="6F1F8D50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00E2" w:rsidRPr="00425203" w14:paraId="2766D7D4" w14:textId="77777777" w:rsidTr="00111E4A">
        <w:tc>
          <w:tcPr>
            <w:tcW w:w="1276" w:type="dxa"/>
            <w:vMerge/>
          </w:tcPr>
          <w:p w14:paraId="63F13EF8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39099DF0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LOPer</w:t>
            </w:r>
          </w:p>
        </w:tc>
        <w:tc>
          <w:tcPr>
            <w:tcW w:w="1843" w:type="dxa"/>
          </w:tcPr>
          <w:p w14:paraId="40FCE4F7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21.3(5.58)</w:t>
            </w:r>
          </w:p>
        </w:tc>
        <w:tc>
          <w:tcPr>
            <w:tcW w:w="1701" w:type="dxa"/>
          </w:tcPr>
          <w:p w14:paraId="40E8BD55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18.6(6.06)</w:t>
            </w:r>
          </w:p>
        </w:tc>
        <w:tc>
          <w:tcPr>
            <w:tcW w:w="1701" w:type="dxa"/>
          </w:tcPr>
          <w:p w14:paraId="3BB44B68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Mann-Whitney</w:t>
            </w:r>
          </w:p>
        </w:tc>
        <w:tc>
          <w:tcPr>
            <w:tcW w:w="992" w:type="dxa"/>
          </w:tcPr>
          <w:p w14:paraId="0EBDB358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.36</w:t>
            </w:r>
          </w:p>
        </w:tc>
        <w:tc>
          <w:tcPr>
            <w:tcW w:w="850" w:type="dxa"/>
          </w:tcPr>
          <w:p w14:paraId="1E95F34A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  <w:tc>
          <w:tcPr>
            <w:tcW w:w="993" w:type="dxa"/>
          </w:tcPr>
          <w:p w14:paraId="79A319D2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.16</w:t>
            </w:r>
          </w:p>
        </w:tc>
        <w:tc>
          <w:tcPr>
            <w:tcW w:w="1275" w:type="dxa"/>
          </w:tcPr>
          <w:p w14:paraId="0122997C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00E2" w:rsidRPr="00425203" w14:paraId="76946937" w14:textId="77777777" w:rsidTr="00111E4A">
        <w:tc>
          <w:tcPr>
            <w:tcW w:w="2127" w:type="dxa"/>
            <w:gridSpan w:val="2"/>
          </w:tcPr>
          <w:p w14:paraId="2F72B92F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Delay Discounting</w:t>
            </w:r>
          </w:p>
        </w:tc>
        <w:tc>
          <w:tcPr>
            <w:tcW w:w="1843" w:type="dxa"/>
          </w:tcPr>
          <w:p w14:paraId="5F3704E5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0.03(0.04)</w:t>
            </w:r>
          </w:p>
        </w:tc>
        <w:tc>
          <w:tcPr>
            <w:tcW w:w="1701" w:type="dxa"/>
          </w:tcPr>
          <w:p w14:paraId="5CC3ABF4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0.005(0.005)</w:t>
            </w:r>
          </w:p>
        </w:tc>
        <w:tc>
          <w:tcPr>
            <w:tcW w:w="1701" w:type="dxa"/>
          </w:tcPr>
          <w:p w14:paraId="59A8A13B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Welch’s</w:t>
            </w:r>
          </w:p>
        </w:tc>
        <w:tc>
          <w:tcPr>
            <w:tcW w:w="992" w:type="dxa"/>
          </w:tcPr>
          <w:p w14:paraId="353E3C5C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2.57</w:t>
            </w:r>
          </w:p>
        </w:tc>
        <w:tc>
          <w:tcPr>
            <w:tcW w:w="850" w:type="dxa"/>
          </w:tcPr>
          <w:p w14:paraId="2F9E6CCA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1,11.3</w:t>
            </w:r>
          </w:p>
        </w:tc>
        <w:tc>
          <w:tcPr>
            <w:tcW w:w="993" w:type="dxa"/>
          </w:tcPr>
          <w:p w14:paraId="6BC05347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.03*</w:t>
            </w:r>
          </w:p>
        </w:tc>
        <w:tc>
          <w:tcPr>
            <w:tcW w:w="1275" w:type="dxa"/>
          </w:tcPr>
          <w:p w14:paraId="4C47B916" w14:textId="77777777" w:rsidR="00F658C7" w:rsidRPr="00425203" w:rsidRDefault="00F658C7" w:rsidP="00111E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5203">
              <w:rPr>
                <w:rFonts w:ascii="Times New Roman" w:hAnsi="Times New Roman" w:cs="Times New Roman"/>
                <w:color w:val="000000" w:themeColor="text1"/>
              </w:rPr>
              <w:t>0.004-0.05</w:t>
            </w:r>
          </w:p>
        </w:tc>
      </w:tr>
    </w:tbl>
    <w:p w14:paraId="6DC894E3" w14:textId="36955639" w:rsidR="00F658C7" w:rsidRPr="00425203" w:rsidRDefault="00F658C7">
      <w:pPr>
        <w:rPr>
          <w:rFonts w:ascii="Times New Roman" w:hAnsi="Times New Roman" w:cs="Times New Roman"/>
          <w:color w:val="000000" w:themeColor="text1"/>
          <w:lang w:val="en-GB"/>
        </w:rPr>
      </w:pPr>
    </w:p>
    <w:p w14:paraId="324C8439" w14:textId="72CF82D8" w:rsidR="00F658C7" w:rsidRPr="00072ABB" w:rsidRDefault="0023603F" w:rsidP="00F658C7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72ABB">
        <w:rPr>
          <w:rFonts w:ascii="Times New Roman" w:hAnsi="Times New Roman" w:cs="Times New Roman"/>
          <w:b/>
          <w:bCs/>
          <w:color w:val="000000" w:themeColor="text1"/>
        </w:rPr>
        <w:t xml:space="preserve">Table </w:t>
      </w:r>
      <w:r w:rsidR="002C39EC" w:rsidRPr="00072ABB">
        <w:rPr>
          <w:rFonts w:ascii="Times New Roman" w:hAnsi="Times New Roman" w:cs="Times New Roman"/>
          <w:b/>
          <w:bCs/>
          <w:color w:val="000000" w:themeColor="text1"/>
        </w:rPr>
        <w:t>2</w:t>
      </w:r>
      <w:r w:rsidRPr="00072ABB"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F658C7" w:rsidRPr="00072ABB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F658C7" w:rsidRPr="00072ABB">
        <w:rPr>
          <w:rFonts w:ascii="Times New Roman" w:hAnsi="Times New Roman" w:cs="Times New Roman"/>
          <w:color w:val="000000" w:themeColor="text1"/>
        </w:rPr>
        <w:t xml:space="preserve"> Demographic and psychiatric factors between Alcohol Use Disorder (AUD) and </w:t>
      </w:r>
      <w:r w:rsidR="003148DD" w:rsidRPr="00072ABB">
        <w:rPr>
          <w:rFonts w:ascii="Times New Roman" w:hAnsi="Times New Roman" w:cs="Times New Roman"/>
          <w:color w:val="000000" w:themeColor="text1"/>
        </w:rPr>
        <w:t xml:space="preserve">the larger (N=35) </w:t>
      </w:r>
      <w:r w:rsidR="00F658C7" w:rsidRPr="00072ABB">
        <w:rPr>
          <w:rFonts w:ascii="Times New Roman" w:hAnsi="Times New Roman" w:cs="Times New Roman"/>
          <w:color w:val="000000" w:themeColor="text1"/>
        </w:rPr>
        <w:t xml:space="preserve">healthy control (HC) groups. Factor=type of demographic or psychiatric factor under evaluation (from top to bottom: age, gender, years of education, alcohol use [AUDIT], nicotine use [Fagerström], depression [BDI-II], anxiety [STAI], delay discounting [MCQ], impulsivity [UPPS-P] with subscales sensation-seeking [SS], negative urgency [NU], positive urgency [PU], lack of premeditation [LOPre], and lack of perseveration [LOPer]); AUD Mean(SD)=the mean and standard deviation in the AUD group by factor; HC Mean(SD)=the mean and standard deviation in the HC group by factor; Test=type of t-test used according to statistical assumptions met; Statistic=test statistic; </w:t>
      </w:r>
      <w:proofErr w:type="spellStart"/>
      <w:r w:rsidR="00F658C7" w:rsidRPr="00072ABB">
        <w:rPr>
          <w:rFonts w:ascii="Times New Roman" w:hAnsi="Times New Roman" w:cs="Times New Roman"/>
          <w:color w:val="000000" w:themeColor="text1"/>
        </w:rPr>
        <w:t>Df</w:t>
      </w:r>
      <w:proofErr w:type="spellEnd"/>
      <w:r w:rsidR="00F658C7" w:rsidRPr="00072ABB">
        <w:rPr>
          <w:rFonts w:ascii="Times New Roman" w:hAnsi="Times New Roman" w:cs="Times New Roman"/>
          <w:color w:val="000000" w:themeColor="text1"/>
        </w:rPr>
        <w:t xml:space="preserve">= degrees of freedom; </w:t>
      </w:r>
      <w:r w:rsidR="00F658C7" w:rsidRPr="00072ABB">
        <w:rPr>
          <w:rFonts w:ascii="Times New Roman" w:hAnsi="Times New Roman" w:cs="Times New Roman"/>
          <w:i/>
          <w:iCs/>
          <w:color w:val="000000" w:themeColor="text1"/>
        </w:rPr>
        <w:t>P</w:t>
      </w:r>
      <w:r w:rsidR="00F658C7" w:rsidRPr="00072ABB">
        <w:rPr>
          <w:rFonts w:ascii="Times New Roman" w:hAnsi="Times New Roman" w:cs="Times New Roman"/>
          <w:color w:val="000000" w:themeColor="text1"/>
        </w:rPr>
        <w:t>-Value=significance level of test (a</w:t>
      </w:r>
      <w:r w:rsidR="00F658C7" w:rsidRPr="00072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sterisks by a </w:t>
      </w:r>
      <w:r w:rsidR="00F658C7" w:rsidRPr="00072AB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</w:t>
      </w:r>
      <w:r w:rsidR="00F658C7" w:rsidRPr="00072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-value indicate statistical significance; </w:t>
      </w:r>
      <w:r w:rsidR="00F658C7" w:rsidRPr="00072AB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P&lt;</w:t>
      </w:r>
      <w:r w:rsidR="00F658C7" w:rsidRPr="00072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.05*, </w:t>
      </w:r>
      <w:r w:rsidR="00F658C7" w:rsidRPr="00072ABB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P&lt;</w:t>
      </w:r>
      <w:r w:rsidR="00F658C7" w:rsidRPr="00072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.005**); CIs=confidence intervals of the </w:t>
      </w:r>
      <w:r w:rsidR="008F61C1" w:rsidRPr="00072ABB">
        <w:rPr>
          <w:rFonts w:ascii="Times New Roman" w:hAnsi="Times New Roman" w:cs="Times New Roman"/>
          <w:color w:val="000000" w:themeColor="text1"/>
          <w:shd w:val="clear" w:color="auto" w:fill="FFFFFF"/>
        </w:rPr>
        <w:t>mean difference</w:t>
      </w:r>
      <w:r w:rsidR="00F658C7" w:rsidRPr="00072A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for each statistically significant finding. </w:t>
      </w:r>
    </w:p>
    <w:p w14:paraId="12FBC0D1" w14:textId="0ABF4435" w:rsidR="00075488" w:rsidRPr="00425203" w:rsidRDefault="00075488" w:rsidP="00075488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</w:pPr>
      <w:r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 xml:space="preserve">Section </w:t>
      </w:r>
      <w:r w:rsidR="002C39E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3</w:t>
      </w:r>
      <w:r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 xml:space="preserve">- </w:t>
      </w:r>
      <w:r w:rsidR="00FF6A3C"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 xml:space="preserve">SST performance of the larger </w:t>
      </w:r>
      <w:r w:rsidR="00935044"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HC</w:t>
      </w:r>
      <w:r w:rsidR="00FF6A3C"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 xml:space="preserve"> sample (N=35)</w:t>
      </w:r>
      <w:r w:rsidR="00EF1795"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 xml:space="preserve"> as</w:t>
      </w:r>
      <w:r w:rsidR="00FF6A3C"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 xml:space="preserve"> compared to AUD group</w:t>
      </w:r>
    </w:p>
    <w:p w14:paraId="37066475" w14:textId="7B5AB19C" w:rsidR="00075488" w:rsidRPr="00425203" w:rsidRDefault="004073D9" w:rsidP="00663F8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For</w:t>
      </w:r>
      <w:r w:rsidR="00FF6A3C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larger </w:t>
      </w:r>
      <w:r w:rsidR="00935044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HC</w:t>
      </w:r>
      <w:r w:rsidR="00FF6A3C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group, </w:t>
      </w:r>
      <w:r w:rsidR="00075488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average SSRT (157.3±54.4) in the </w:t>
      </w:r>
      <w:r w:rsidR="00935044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IFC</w:t>
      </w:r>
      <w:r w:rsidR="00075488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+4 condition was significantly lower than the average SSRT (173.2±48.4) in the </w:t>
      </w:r>
      <w:r w:rsidR="00935044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IFC</w:t>
      </w:r>
      <w:r w:rsidR="00075488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+100 condition, t(34)=-2.82, </w:t>
      </w:r>
      <w:r w:rsidR="00075488" w:rsidRPr="0042520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P</w:t>
      </w:r>
      <w:r w:rsidR="00075488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=.008, CIs:-0.82- -0.12. </w:t>
      </w:r>
      <w:r w:rsidR="008C5F1F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Between-groups,</w:t>
      </w:r>
      <w:r w:rsidR="00135ECB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</w:t>
      </w:r>
      <w:r w:rsidR="00075488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he</w:t>
      </w:r>
      <w:r w:rsidR="00935044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HC</w:t>
      </w:r>
      <w:r w:rsidR="00075488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group </w:t>
      </w:r>
      <w:r w:rsidR="00EF1795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(-15.9±33.4) </w:t>
      </w:r>
      <w:r w:rsidR="00075488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as compared to the AUD group</w:t>
      </w:r>
      <w:r w:rsidR="00EF1795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(14.5±54.7)</w:t>
      </w:r>
      <w:r w:rsidR="00075488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showed a significant facilitation in SST performance, t(53)=2.56, </w:t>
      </w:r>
      <w:r w:rsidR="00075488" w:rsidRPr="0042520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P</w:t>
      </w:r>
      <w:r w:rsidR="00075488" w:rsidRPr="0042520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=.01, CIs: 6.61-54.16. </w:t>
      </w:r>
    </w:p>
    <w:p w14:paraId="69396519" w14:textId="614D0787" w:rsidR="00886503" w:rsidRPr="00425203" w:rsidRDefault="00886503" w:rsidP="00886503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</w:pPr>
      <w:r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 xml:space="preserve">Section </w:t>
      </w:r>
      <w:r w:rsidR="002C39E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4</w:t>
      </w:r>
      <w:r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 xml:space="preserve">- SST performance of the </w:t>
      </w:r>
      <w:r w:rsidR="00F55874"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abstinent AUD group</w:t>
      </w:r>
      <w:r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 xml:space="preserve"> (N=</w:t>
      </w:r>
      <w:r w:rsidR="00F55874"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1</w:t>
      </w:r>
      <w:r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 xml:space="preserve">5) as compared to </w:t>
      </w:r>
      <w:r w:rsidR="00F55874" w:rsidRPr="0042520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  <w:t>the HC group</w:t>
      </w:r>
    </w:p>
    <w:p w14:paraId="42BBBBC6" w14:textId="60C419BD" w:rsidR="00F55874" w:rsidRPr="00425203" w:rsidRDefault="00F55874" w:rsidP="00425203">
      <w:pPr>
        <w:spacing w:line="36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  <w:r w:rsidRPr="004252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Section </w:t>
      </w:r>
      <w:r w:rsidR="002C3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4</w:t>
      </w:r>
      <w:r w:rsidRPr="004252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.1- </w:t>
      </w:r>
      <w:r w:rsidR="00F15C76" w:rsidRPr="004252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Within- and between- group </w:t>
      </w:r>
      <w:r w:rsidR="002061A8" w:rsidRPr="004252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analyses of the abstinent AUD group between cPAS conditions</w:t>
      </w:r>
    </w:p>
    <w:p w14:paraId="6745E536" w14:textId="2F605D05" w:rsidR="00F55874" w:rsidRPr="00072ABB" w:rsidRDefault="002061A8" w:rsidP="00425203">
      <w:pPr>
        <w:spacing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I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 the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abstinent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AUD group, there was no significant difference in SST performance between IFC+4 (1</w:t>
      </w:r>
      <w:r w:rsidR="00307025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96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307025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±6</w:t>
      </w:r>
      <w:r w:rsidR="00307025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4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307025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52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 and IFC+100 (</w:t>
      </w:r>
      <w:r w:rsidR="00307025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180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307025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3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±6</w:t>
      </w:r>
      <w:r w:rsidR="00307025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9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307025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3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 conditions (</w:t>
      </w:r>
      <w:r w:rsidR="00F55874" w:rsidRPr="00072AB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P&gt;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.05).</w:t>
      </w:r>
      <w:r w:rsidR="004C00E2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 HC group (-21±31.2) as compared to the </w:t>
      </w:r>
      <w:r w:rsidR="004C00E2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abstinent 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AUD group (</w:t>
      </w:r>
      <w:r w:rsidR="00307025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15.87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±</w:t>
      </w:r>
      <w:r w:rsidR="00307025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62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 showed a significant facilitation in SST performance in the IFC+4 condition, t(3</w:t>
      </w:r>
      <w:r w:rsidR="004A3898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3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)=-2.</w:t>
      </w:r>
      <w:r w:rsidR="004A3898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31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F55874" w:rsidRPr="00072AB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P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=.0</w:t>
      </w:r>
      <w:r w:rsidR="004A3898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3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CIs: -</w:t>
      </w:r>
      <w:r w:rsidR="004A3898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4A3898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48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 -</w:t>
      </w:r>
      <w:r w:rsidR="004A3898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0.09</w:t>
      </w:r>
      <w:r w:rsidR="00F5587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). </w:t>
      </w:r>
    </w:p>
    <w:p w14:paraId="76EE9484" w14:textId="00931470" w:rsidR="006F1DDF" w:rsidRPr="00425203" w:rsidRDefault="006F1DDF" w:rsidP="0035282F">
      <w:pPr>
        <w:spacing w:line="36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</w:pPr>
      <w:r w:rsidRPr="004252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 xml:space="preserve">Section </w:t>
      </w:r>
      <w:r w:rsidR="002C39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4</w:t>
      </w:r>
      <w:r w:rsidRPr="004252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.</w:t>
      </w:r>
      <w:r w:rsidR="00217C5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2</w:t>
      </w:r>
      <w:r w:rsidRPr="004252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- Stepwise logistic regression of individual improvement rates between abstinent AUD group (N=15) and HC group</w:t>
      </w:r>
    </w:p>
    <w:p w14:paraId="41DBCBE8" w14:textId="71A7C572" w:rsidR="00F55874" w:rsidRPr="00072ABB" w:rsidRDefault="00F55874" w:rsidP="0035282F">
      <w:pPr>
        <w:spacing w:line="36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Fifteen of 20 (75%) HC compared to </w:t>
      </w:r>
      <w:r w:rsidR="00D5638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4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</w:t>
      </w:r>
      <w:r w:rsidR="00D5638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15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</w:t>
      </w:r>
      <w:r w:rsidR="00D56384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26.7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%) </w:t>
      </w:r>
      <w:r w:rsidR="004362FE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abstinent 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AUD improved SST performance in the experimental condition. A stepwise logistic regression model using observed SSRT performance improvement in the IFC+4 condition (i.e., yes=1/no=0) as a dependent variable and group as a fixed factor 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was statistically significant (</w:t>
      </w:r>
      <w:r w:rsidRPr="00072A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[3</w:t>
      </w:r>
      <w:r w:rsidR="005445C0"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, N=</w:t>
      </w:r>
      <w:r w:rsidR="005445C0"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]=</w:t>
      </w:r>
      <w:r w:rsidR="005445C0"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45C0"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72A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=.0</w:t>
      </w:r>
      <w:r w:rsidR="005445C0"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); this model explained 2</w:t>
      </w:r>
      <w:r w:rsidR="005D315B"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315B"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% (</w:t>
      </w:r>
      <w:proofErr w:type="spellStart"/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Nagelkerke</w:t>
      </w:r>
      <w:proofErr w:type="spellEnd"/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) of the variance in SSRT performance improvement between-groups and correctly classified 7</w:t>
      </w:r>
      <w:r w:rsidR="005D315B"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315B"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of cases. Overall, 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HC group designation was associated with more than twice higher likelihood of SSRT improvement </w:t>
      </w:r>
      <w:r w:rsidR="004362FE"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than abstinent AUD group designation 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the IFC+4 cPAS condition 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(HCs: </w:t>
      </w:r>
      <w:r w:rsidR="005D315B"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vs. AUD: </w:t>
      </w:r>
      <w:r w:rsidR="005D315B"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315B"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%; HC odds ratio: 2.33, AUD odds ratio: 0.</w:t>
      </w:r>
      <w:r w:rsidR="005D315B"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156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072A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=.0</w:t>
      </w:r>
      <w:r w:rsidR="005D315B"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; CIs: -3.3</w:t>
      </w:r>
      <w:r w:rsidR="00AD050B"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- -0.</w:t>
      </w:r>
      <w:r w:rsidR="00AD050B"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072ABB">
        <w:rPr>
          <w:rFonts w:ascii="Times New Roman" w:hAnsi="Times New Roman" w:cs="Times New Roman"/>
          <w:color w:val="000000" w:themeColor="text1"/>
          <w:sz w:val="24"/>
          <w:szCs w:val="24"/>
        </w:rPr>
        <w:t>, Figure 3).</w:t>
      </w:r>
    </w:p>
    <w:p w14:paraId="1A5B7673" w14:textId="77777777" w:rsidR="00F55874" w:rsidRPr="00425203" w:rsidRDefault="00F55874">
      <w:pPr>
        <w:rPr>
          <w:rFonts w:ascii="Times New Roman" w:hAnsi="Times New Roman" w:cs="Times New Roman"/>
          <w:color w:val="000000" w:themeColor="text1"/>
          <w:lang w:val="en-GB"/>
        </w:rPr>
      </w:pPr>
    </w:p>
    <w:sectPr w:rsidR="00F55874" w:rsidRPr="00425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C7"/>
    <w:rsid w:val="00072ABB"/>
    <w:rsid w:val="00075488"/>
    <w:rsid w:val="000B5C1A"/>
    <w:rsid w:val="000C34B5"/>
    <w:rsid w:val="00135ECB"/>
    <w:rsid w:val="001841D4"/>
    <w:rsid w:val="001E3AA4"/>
    <w:rsid w:val="002061A8"/>
    <w:rsid w:val="00217C52"/>
    <w:rsid w:val="002200A7"/>
    <w:rsid w:val="00233F29"/>
    <w:rsid w:val="0023603F"/>
    <w:rsid w:val="0027634D"/>
    <w:rsid w:val="002C39EC"/>
    <w:rsid w:val="00307025"/>
    <w:rsid w:val="003148DD"/>
    <w:rsid w:val="00334D1E"/>
    <w:rsid w:val="0035282F"/>
    <w:rsid w:val="00361ACE"/>
    <w:rsid w:val="00370289"/>
    <w:rsid w:val="003E37AF"/>
    <w:rsid w:val="004073D9"/>
    <w:rsid w:val="00425203"/>
    <w:rsid w:val="004362FE"/>
    <w:rsid w:val="004516AE"/>
    <w:rsid w:val="004A3898"/>
    <w:rsid w:val="004C00E2"/>
    <w:rsid w:val="005445C0"/>
    <w:rsid w:val="00561DF3"/>
    <w:rsid w:val="005D315B"/>
    <w:rsid w:val="00602C1D"/>
    <w:rsid w:val="00663F80"/>
    <w:rsid w:val="006941E1"/>
    <w:rsid w:val="006F1DDF"/>
    <w:rsid w:val="00785F0E"/>
    <w:rsid w:val="007865C8"/>
    <w:rsid w:val="008774B5"/>
    <w:rsid w:val="00886503"/>
    <w:rsid w:val="008B035F"/>
    <w:rsid w:val="008C5F1F"/>
    <w:rsid w:val="008F61C1"/>
    <w:rsid w:val="00935044"/>
    <w:rsid w:val="00940AAC"/>
    <w:rsid w:val="00A1693B"/>
    <w:rsid w:val="00A274DA"/>
    <w:rsid w:val="00A62DD2"/>
    <w:rsid w:val="00A85A2B"/>
    <w:rsid w:val="00AD050B"/>
    <w:rsid w:val="00B37B01"/>
    <w:rsid w:val="00CC51F5"/>
    <w:rsid w:val="00D041E3"/>
    <w:rsid w:val="00D2724E"/>
    <w:rsid w:val="00D56384"/>
    <w:rsid w:val="00E00124"/>
    <w:rsid w:val="00E354FC"/>
    <w:rsid w:val="00EC39E4"/>
    <w:rsid w:val="00EF1795"/>
    <w:rsid w:val="00F12FFD"/>
    <w:rsid w:val="00F15C76"/>
    <w:rsid w:val="00F55874"/>
    <w:rsid w:val="00F658C7"/>
    <w:rsid w:val="00FD06E0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0AFF"/>
  <w15:chartTrackingRefBased/>
  <w15:docId w15:val="{079ACC92-BBF9-4A80-B5FB-3F7ED347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Sallie</dc:creator>
  <cp:keywords/>
  <dc:description/>
  <cp:lastModifiedBy>Samantha Sallie</cp:lastModifiedBy>
  <cp:revision>55</cp:revision>
  <dcterms:created xsi:type="dcterms:W3CDTF">2022-08-28T15:55:00Z</dcterms:created>
  <dcterms:modified xsi:type="dcterms:W3CDTF">2023-06-20T15:41:00Z</dcterms:modified>
</cp:coreProperties>
</file>