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1D0C" w14:textId="4B408C7F" w:rsidR="009444F2" w:rsidRPr="001D6E53" w:rsidRDefault="009444F2" w:rsidP="001D6E53">
      <w:pPr>
        <w:spacing w:after="240"/>
        <w:jc w:val="both"/>
        <w:rPr>
          <w:rFonts w:cs="Times New Roman"/>
          <w:b/>
          <w:bCs/>
        </w:rPr>
      </w:pPr>
      <w:r w:rsidRPr="001D6E53">
        <w:rPr>
          <w:rFonts w:cs="Times New Roman"/>
          <w:b/>
          <w:bCs/>
        </w:rPr>
        <w:t>Supplementary Methods</w:t>
      </w:r>
    </w:p>
    <w:p w14:paraId="7E8D66DC" w14:textId="065AC28D" w:rsidR="00AF6402" w:rsidRPr="001D6E53" w:rsidRDefault="00A11FA5" w:rsidP="001D6E53">
      <w:pPr>
        <w:spacing w:after="240"/>
        <w:jc w:val="both"/>
        <w:rPr>
          <w:rFonts w:eastAsia="Times New Roman" w:cs="Times New Roman"/>
          <w:b/>
          <w:bCs/>
          <w:i/>
        </w:rPr>
      </w:pPr>
      <w:r w:rsidRPr="001D6E53">
        <w:rPr>
          <w:rFonts w:eastAsia="Times New Roman" w:cs="Times New Roman"/>
          <w:b/>
          <w:bCs/>
          <w:i/>
        </w:rPr>
        <w:t>Impulsive Personality Trait GWAS</w:t>
      </w:r>
    </w:p>
    <w:p w14:paraId="7CFDB256" w14:textId="06FA8425" w:rsidR="00F002D4" w:rsidRPr="001D6E53" w:rsidRDefault="00A11FA5" w:rsidP="001D6E53">
      <w:pPr>
        <w:spacing w:after="240"/>
        <w:jc w:val="both"/>
        <w:rPr>
          <w:rFonts w:eastAsia="Times New Roman" w:cs="Times New Roman"/>
          <w:bCs/>
        </w:rPr>
      </w:pPr>
      <w:r w:rsidRPr="001D6E53">
        <w:rPr>
          <w:rFonts w:eastAsia="Times New Roman" w:cs="Times New Roman"/>
          <w:bCs/>
        </w:rPr>
        <w:tab/>
      </w:r>
      <w:r w:rsidRPr="001D6E53">
        <w:rPr>
          <w:rFonts w:eastAsia="Times New Roman" w:cs="Times New Roman"/>
          <w:b/>
          <w:bCs/>
        </w:rPr>
        <w:t>Genotyping, Imputation, and Quality Control</w:t>
      </w:r>
      <w:r w:rsidRPr="001D6E53">
        <w:rPr>
          <w:rFonts w:eastAsia="Times New Roman" w:cs="Times New Roman"/>
          <w:bCs/>
        </w:rPr>
        <w:t xml:space="preserve">. </w:t>
      </w:r>
      <w:r w:rsidR="001F41BE" w:rsidRPr="001D6E53">
        <w:rPr>
          <w:rFonts w:eastAsia="Times New Roman" w:cs="Times New Roman"/>
          <w:bCs/>
        </w:rPr>
        <w:t>Genome-wide association study (GWAS)</w:t>
      </w:r>
      <w:r w:rsidRPr="001D6E53">
        <w:rPr>
          <w:rFonts w:eastAsia="Times New Roman" w:cs="Times New Roman"/>
          <w:bCs/>
        </w:rPr>
        <w:t xml:space="preserve"> summary statistics for impulsive personality trait (IPT) phenotypes were obtained from three primary sources: the UK Biobank (UKB</w:t>
      </w:r>
      <w:r w:rsidR="00F002D4" w:rsidRPr="001D6E53">
        <w:rPr>
          <w:rFonts w:eastAsia="Times New Roman" w:cs="Times New Roman"/>
          <w:bCs/>
        </w:rPr>
        <w:t xml:space="preserve">; </w:t>
      </w:r>
      <w:proofErr w:type="spellStart"/>
      <w:r w:rsidR="00F002D4" w:rsidRPr="001D6E53">
        <w:rPr>
          <w:rFonts w:eastAsia="Times New Roman" w:cs="Times New Roman"/>
          <w:bCs/>
        </w:rPr>
        <w:t>Bycroft</w:t>
      </w:r>
      <w:proofErr w:type="spellEnd"/>
      <w:r w:rsidR="00F002D4" w:rsidRPr="001D6E53">
        <w:rPr>
          <w:rFonts w:eastAsia="Times New Roman" w:cs="Times New Roman"/>
          <w:bCs/>
        </w:rPr>
        <w:t xml:space="preserve"> et al., 2018</w:t>
      </w:r>
      <w:r w:rsidRPr="001D6E53">
        <w:rPr>
          <w:rFonts w:eastAsia="Times New Roman" w:cs="Times New Roman"/>
          <w:bCs/>
        </w:rPr>
        <w:t xml:space="preserve">), direct-to-consumer genetics company 23andMe, Inc. (Sunnyvale, CA), and </w:t>
      </w:r>
      <w:r w:rsidR="00F002D4" w:rsidRPr="001D6E53">
        <w:rPr>
          <w:rFonts w:eastAsia="Times New Roman" w:cs="Times New Roman"/>
          <w:bCs/>
        </w:rPr>
        <w:t xml:space="preserve">a </w:t>
      </w:r>
      <w:r w:rsidRPr="001D6E53">
        <w:rPr>
          <w:rFonts w:eastAsia="Times New Roman" w:cs="Times New Roman"/>
          <w:bCs/>
        </w:rPr>
        <w:t xml:space="preserve">meta-analytic sample comprised of the Northern Finland Birth Cohort, the Cardiovascular Risk in Young Finns Study, the Helsinki Birth Cohort Study, and the Australian twin registry </w:t>
      </w:r>
      <w:r w:rsidR="00F002D4" w:rsidRPr="001D6E53">
        <w:rPr>
          <w:rFonts w:eastAsia="Times New Roman" w:cs="Times New Roman"/>
          <w:bCs/>
        </w:rPr>
        <w:t>which were</w:t>
      </w:r>
      <w:r w:rsidRPr="001D6E53">
        <w:rPr>
          <w:rFonts w:eastAsia="Times New Roman" w:cs="Times New Roman"/>
          <w:bCs/>
        </w:rPr>
        <w:t xml:space="preserve"> provided upon request for additional IPT phenotypes (Service et al., 2012). </w:t>
      </w:r>
    </w:p>
    <w:p w14:paraId="760CA7F5" w14:textId="3E2B9902" w:rsidR="00A11FA5" w:rsidRPr="001D6E53" w:rsidRDefault="00A11FA5" w:rsidP="001D6E53">
      <w:pPr>
        <w:spacing w:after="240"/>
        <w:ind w:firstLine="720"/>
        <w:jc w:val="both"/>
        <w:rPr>
          <w:rFonts w:eastAsia="Times New Roman" w:cs="Times New Roman"/>
        </w:rPr>
      </w:pPr>
      <w:r w:rsidRPr="001D6E53">
        <w:rPr>
          <w:rFonts w:eastAsia="Times New Roman" w:cs="Times New Roman"/>
          <w:bCs/>
        </w:rPr>
        <w:t>Briefly, 23andMe samples were genotyped using Illumina (San Diego, CA) platforms (</w:t>
      </w:r>
      <w:r w:rsidRPr="001D6E53">
        <w:rPr>
          <w:rFonts w:eastAsia="Times New Roman" w:cs="Times New Roman"/>
        </w:rPr>
        <w:t xml:space="preserve">Illumina HumanHap550+ Bead chip V1 V2, </w:t>
      </w:r>
      <w:proofErr w:type="spellStart"/>
      <w:r w:rsidRPr="001D6E53">
        <w:rPr>
          <w:rFonts w:eastAsia="Times New Roman" w:cs="Times New Roman"/>
        </w:rPr>
        <w:t>OmniExpress</w:t>
      </w:r>
      <w:proofErr w:type="spellEnd"/>
      <w:r w:rsidRPr="001D6E53">
        <w:rPr>
          <w:rFonts w:eastAsia="Times New Roman" w:cs="Times New Roman"/>
        </w:rPr>
        <w:t>+ Bead chip V3, Custom array V4). Following quality control (QC) procedures (e.g., call rate &gt; 95%, Hardy–Weinberg equilibrium [HWE]</w:t>
      </w:r>
      <w:r w:rsidRPr="001D6E53">
        <w:rPr>
          <w:rFonts w:eastAsia="Times New Roman" w:cs="Times New Roman"/>
          <w:i/>
        </w:rPr>
        <w:t xml:space="preserve"> P </w:t>
      </w:r>
      <w:r w:rsidRPr="001D6E53">
        <w:rPr>
          <w:rFonts w:eastAsia="Times New Roman" w:cs="Times New Roman"/>
        </w:rPr>
        <w:t>&lt; 1 × 10</w:t>
      </w:r>
      <w:r w:rsidRPr="001D6E53">
        <w:rPr>
          <w:rFonts w:eastAsia="Times New Roman" w:cs="Times New Roman"/>
          <w:vertAlign w:val="superscript"/>
        </w:rPr>
        <w:t>−20</w:t>
      </w:r>
      <w:r w:rsidRPr="001D6E53">
        <w:rPr>
          <w:rFonts w:eastAsia="Times New Roman" w:cs="Times New Roman"/>
        </w:rPr>
        <w:t>, restriction to unrelated individuals using identity-by-descent [IBD] approaches), genotypes were imputed against Phase 1 v3 of 1000 Genomes Project haplotypes (The 1000 Genomes Project Consortium, 2010) using Minimac2 (Fuchsberge</w:t>
      </w:r>
      <w:r w:rsidR="001F41BE" w:rsidRPr="001D6E53">
        <w:rPr>
          <w:rFonts w:eastAsia="Times New Roman" w:cs="Times New Roman"/>
        </w:rPr>
        <w:t xml:space="preserve">r, </w:t>
      </w:r>
      <w:proofErr w:type="spellStart"/>
      <w:r w:rsidR="001F41BE" w:rsidRPr="001D6E53">
        <w:rPr>
          <w:rFonts w:eastAsia="Times New Roman" w:cs="Times New Roman"/>
        </w:rPr>
        <w:t>Abecasis</w:t>
      </w:r>
      <w:proofErr w:type="spellEnd"/>
      <w:r w:rsidR="001F41BE" w:rsidRPr="001D6E53">
        <w:rPr>
          <w:rFonts w:eastAsia="Times New Roman" w:cs="Times New Roman"/>
        </w:rPr>
        <w:t>, &amp; Hinds</w:t>
      </w:r>
      <w:r w:rsidRPr="001D6E53">
        <w:rPr>
          <w:rFonts w:eastAsia="Times New Roman" w:cs="Times New Roman"/>
        </w:rPr>
        <w:t>, 2015). Imputation resulted in &gt; 9 million high-quality SNPs (</w:t>
      </w:r>
      <w:r w:rsidRPr="001D6E53">
        <w:rPr>
          <w:rFonts w:eastAsia="Times New Roman" w:cs="Times New Roman"/>
          <w:i/>
          <w:iCs/>
        </w:rPr>
        <w:t>r</w:t>
      </w:r>
      <w:r w:rsidRPr="001D6E53">
        <w:rPr>
          <w:rFonts w:eastAsia="Times New Roman" w:cs="Times New Roman"/>
          <w:vertAlign w:val="superscript"/>
        </w:rPr>
        <w:t>2</w:t>
      </w:r>
      <w:r w:rsidRPr="001D6E53">
        <w:rPr>
          <w:rFonts w:eastAsia="Times New Roman" w:cs="Times New Roman"/>
        </w:rPr>
        <w:t xml:space="preserve"> ≥ .5) for association analyses of each trait. QC of genetic variants, imputation, and genome-wide analyses were performed by 23andMe, and summary statistics of IPT phenotypes were provided by request (see Sanchez-Roige</w:t>
      </w:r>
      <w:r w:rsidR="00F002D4" w:rsidRPr="001D6E53">
        <w:rPr>
          <w:rFonts w:eastAsia="Times New Roman" w:cs="Times New Roman"/>
        </w:rPr>
        <w:t xml:space="preserve"> </w:t>
      </w:r>
      <w:r w:rsidRPr="001D6E53">
        <w:rPr>
          <w:rFonts w:eastAsia="Times New Roman" w:cs="Times New Roman"/>
        </w:rPr>
        <w:t>et al., 201</w:t>
      </w:r>
      <w:r w:rsidR="00F002D4" w:rsidRPr="001D6E53">
        <w:rPr>
          <w:rFonts w:eastAsia="Times New Roman" w:cs="Times New Roman"/>
        </w:rPr>
        <w:t>9</w:t>
      </w:r>
      <w:r w:rsidRPr="001D6E53">
        <w:rPr>
          <w:rFonts w:eastAsia="Times New Roman" w:cs="Times New Roman"/>
        </w:rPr>
        <w:t xml:space="preserve"> for a full account of these methods). </w:t>
      </w:r>
    </w:p>
    <w:p w14:paraId="5E946188" w14:textId="6361CD5E" w:rsidR="00A11FA5" w:rsidRPr="001D6E53" w:rsidRDefault="00A11FA5" w:rsidP="001D6E53">
      <w:pPr>
        <w:spacing w:after="240"/>
        <w:jc w:val="both"/>
        <w:rPr>
          <w:rFonts w:eastAsia="Times New Roman" w:cs="Times New Roman"/>
        </w:rPr>
      </w:pPr>
      <w:r w:rsidRPr="001D6E53">
        <w:rPr>
          <w:rFonts w:eastAsia="Times New Roman" w:cs="Times New Roman"/>
        </w:rPr>
        <w:tab/>
        <w:t xml:space="preserve">UKB samples were genotyped using one of two platforms: the Applied Biosystems UK </w:t>
      </w:r>
      <w:proofErr w:type="spellStart"/>
      <w:r w:rsidRPr="001D6E53">
        <w:rPr>
          <w:rFonts w:eastAsia="Times New Roman" w:cs="Times New Roman"/>
        </w:rPr>
        <w:t>BiLEVE</w:t>
      </w:r>
      <w:proofErr w:type="spellEnd"/>
      <w:r w:rsidRPr="001D6E53">
        <w:rPr>
          <w:rFonts w:eastAsia="Times New Roman" w:cs="Times New Roman"/>
        </w:rPr>
        <w:t xml:space="preserve"> Axiom and Applied Biosystems UK Biobank Axiom Arrays by Affymetrix (Santa Clara, CA). Following QC, genotypes were imputed to combined Haplotype Reference Consortium (HRCr1.1; McCarthy et al., 2016) and merged UK10K and 1000 Genomes Phase 3 reference panels (Huang et al., 2015) using IMPUTE4 (Howie,</w:t>
      </w:r>
      <w:r w:rsidR="001F41BE" w:rsidRPr="001D6E53">
        <w:rPr>
          <w:rFonts w:eastAsia="Times New Roman" w:cs="Times New Roman"/>
        </w:rPr>
        <w:t xml:space="preserve"> Fuchsberger, Stephens, </w:t>
      </w:r>
      <w:proofErr w:type="spellStart"/>
      <w:r w:rsidR="001F41BE" w:rsidRPr="001D6E53">
        <w:rPr>
          <w:rFonts w:eastAsia="Times New Roman" w:cs="Times New Roman"/>
        </w:rPr>
        <w:t>Marchini</w:t>
      </w:r>
      <w:proofErr w:type="spellEnd"/>
      <w:r w:rsidR="001F41BE" w:rsidRPr="001D6E53">
        <w:rPr>
          <w:rFonts w:eastAsia="Times New Roman" w:cs="Times New Roman"/>
        </w:rPr>
        <w:t xml:space="preserve">, &amp; </w:t>
      </w:r>
      <w:proofErr w:type="spellStart"/>
      <w:r w:rsidR="001F41BE" w:rsidRPr="001D6E53">
        <w:rPr>
          <w:rFonts w:eastAsia="Times New Roman" w:cs="Times New Roman"/>
        </w:rPr>
        <w:t>Abecasis</w:t>
      </w:r>
      <w:proofErr w:type="spellEnd"/>
      <w:r w:rsidR="001F41BE" w:rsidRPr="001D6E53">
        <w:rPr>
          <w:rFonts w:eastAsia="Times New Roman" w:cs="Times New Roman"/>
        </w:rPr>
        <w:t>,</w:t>
      </w:r>
      <w:r w:rsidRPr="001D6E53">
        <w:rPr>
          <w:rFonts w:eastAsia="Times New Roman" w:cs="Times New Roman"/>
        </w:rPr>
        <w:t xml:space="preserve"> 2012). For greater detail on genotyping, QC, and imputation of all UKB data and smaller replication samples for the ‘risk</w:t>
      </w:r>
      <w:r w:rsidR="00BD1E9A" w:rsidRPr="001D6E53">
        <w:rPr>
          <w:rFonts w:eastAsia="Times New Roman" w:cs="Times New Roman"/>
        </w:rPr>
        <w:t>-</w:t>
      </w:r>
      <w:r w:rsidRPr="001D6E53">
        <w:rPr>
          <w:rFonts w:eastAsia="Times New Roman" w:cs="Times New Roman"/>
        </w:rPr>
        <w:t xml:space="preserve">taking’ phenotype, see </w:t>
      </w:r>
      <w:proofErr w:type="spellStart"/>
      <w:r w:rsidRPr="001D6E53">
        <w:rPr>
          <w:rFonts w:eastAsia="Times New Roman" w:cs="Times New Roman"/>
        </w:rPr>
        <w:t>Bycroft</w:t>
      </w:r>
      <w:proofErr w:type="spellEnd"/>
      <w:r w:rsidRPr="001D6E53">
        <w:rPr>
          <w:rFonts w:eastAsia="Times New Roman" w:cs="Times New Roman"/>
        </w:rPr>
        <w:t xml:space="preserve"> et al. (2018) and Linnér et al. (2019), respectively. UKB and replication sample GWAS summary statistics for the ‘risk</w:t>
      </w:r>
      <w:r w:rsidR="00BD1E9A" w:rsidRPr="001D6E53">
        <w:rPr>
          <w:rFonts w:eastAsia="Times New Roman" w:cs="Times New Roman"/>
        </w:rPr>
        <w:t>-</w:t>
      </w:r>
      <w:r w:rsidRPr="001D6E53">
        <w:rPr>
          <w:rFonts w:eastAsia="Times New Roman" w:cs="Times New Roman"/>
        </w:rPr>
        <w:t xml:space="preserve">taking’ phenotype were obtained from the Social Science Genetic Association Consortium (SSGAC; </w:t>
      </w:r>
      <w:hyperlink r:id="rId4" w:history="1">
        <w:r w:rsidRPr="001D6E53">
          <w:rPr>
            <w:rFonts w:eastAsia="Times New Roman" w:cs="Times New Roman"/>
            <w:color w:val="0563C1"/>
            <w:u w:val="single"/>
          </w:rPr>
          <w:t>https://thessgac.com/</w:t>
        </w:r>
      </w:hyperlink>
      <w:r w:rsidRPr="001D6E53">
        <w:rPr>
          <w:rFonts w:eastAsia="Times New Roman" w:cs="Times New Roman"/>
        </w:rPr>
        <w:t xml:space="preserve">). </w:t>
      </w:r>
    </w:p>
    <w:p w14:paraId="18EB9F4E" w14:textId="75F1AC5F" w:rsidR="00D14B31" w:rsidRDefault="00A11FA5" w:rsidP="001D6E53">
      <w:pPr>
        <w:spacing w:after="240"/>
        <w:jc w:val="both"/>
        <w:rPr>
          <w:rFonts w:eastAsia="Times New Roman" w:cs="Times New Roman"/>
        </w:rPr>
      </w:pPr>
      <w:r w:rsidRPr="001D6E53">
        <w:rPr>
          <w:rFonts w:eastAsia="Times New Roman" w:cs="Times New Roman"/>
        </w:rPr>
        <w:tab/>
        <w:t>GWAS data from the Service et al. meta-analytic samples were genotyped across various Illumina and Affymetrix platforms. QC procedures were conducted for variants and samples based on missing data, call rates, sex discrepancy, ancestral outliers, and HWE (</w:t>
      </w:r>
      <w:r w:rsidRPr="001D6E53">
        <w:rPr>
          <w:rFonts w:eastAsia="Times New Roman" w:cs="Times New Roman"/>
          <w:i/>
          <w:iCs/>
        </w:rPr>
        <w:t>P</w:t>
      </w:r>
      <w:r w:rsidRPr="001D6E53">
        <w:rPr>
          <w:rFonts w:eastAsia="Times New Roman" w:cs="Times New Roman"/>
        </w:rPr>
        <w:t xml:space="preserve"> &lt; 1 × 10</w:t>
      </w:r>
      <w:r w:rsidRPr="001D6E53">
        <w:rPr>
          <w:rFonts w:eastAsia="Times New Roman" w:cs="Times New Roman"/>
          <w:vertAlign w:val="superscript"/>
        </w:rPr>
        <w:t>-5</w:t>
      </w:r>
      <w:r w:rsidRPr="001D6E53">
        <w:rPr>
          <w:rFonts w:eastAsia="Times New Roman" w:cs="Times New Roman"/>
        </w:rPr>
        <w:t xml:space="preserve">). </w:t>
      </w:r>
      <w:proofErr w:type="spellStart"/>
      <w:r w:rsidRPr="001D6E53">
        <w:rPr>
          <w:rFonts w:eastAsia="Times New Roman" w:cs="Times New Roman"/>
        </w:rPr>
        <w:t>QCed</w:t>
      </w:r>
      <w:proofErr w:type="spellEnd"/>
      <w:r w:rsidRPr="001D6E53">
        <w:rPr>
          <w:rFonts w:eastAsia="Times New Roman" w:cs="Times New Roman"/>
        </w:rPr>
        <w:t xml:space="preserve"> genotype data were imputed to the European panel of the HapMap2 reference sample (</w:t>
      </w:r>
      <w:proofErr w:type="spellStart"/>
      <w:r w:rsidR="006951A7">
        <w:rPr>
          <w:rFonts w:eastAsia="Times New Roman" w:cs="Times New Roman"/>
        </w:rPr>
        <w:t>Sabeti</w:t>
      </w:r>
      <w:proofErr w:type="spellEnd"/>
      <w:r w:rsidR="006951A7">
        <w:rPr>
          <w:rFonts w:eastAsia="Times New Roman" w:cs="Times New Roman"/>
        </w:rPr>
        <w:t xml:space="preserve"> et al.,</w:t>
      </w:r>
      <w:r w:rsidRPr="001D6E53">
        <w:rPr>
          <w:rFonts w:eastAsia="Times New Roman" w:cs="Times New Roman"/>
        </w:rPr>
        <w:t xml:space="preserve"> 2007)</w:t>
      </w:r>
      <w:r w:rsidR="00DF6BBF" w:rsidRPr="001D6E53">
        <w:rPr>
          <w:rFonts w:eastAsia="Times New Roman" w:cs="Times New Roman"/>
        </w:rPr>
        <w:t>, separately by cohort,</w:t>
      </w:r>
      <w:r w:rsidRPr="001D6E53">
        <w:rPr>
          <w:rFonts w:eastAsia="Times New Roman" w:cs="Times New Roman"/>
        </w:rPr>
        <w:t xml:space="preserve"> using the Markov Chain </w:t>
      </w:r>
      <w:proofErr w:type="spellStart"/>
      <w:r w:rsidRPr="001D6E53">
        <w:rPr>
          <w:rFonts w:eastAsia="Times New Roman" w:cs="Times New Roman"/>
        </w:rPr>
        <w:t>Haplotyper</w:t>
      </w:r>
      <w:proofErr w:type="spellEnd"/>
      <w:r w:rsidRPr="001D6E53">
        <w:rPr>
          <w:rFonts w:eastAsia="Times New Roman" w:cs="Times New Roman"/>
        </w:rPr>
        <w:t xml:space="preserve"> (</w:t>
      </w:r>
      <w:proofErr w:type="spellStart"/>
      <w:r w:rsidRPr="001D6E53">
        <w:rPr>
          <w:rFonts w:eastAsia="Times New Roman" w:cs="Times New Roman"/>
        </w:rPr>
        <w:t>MaCH</w:t>
      </w:r>
      <w:proofErr w:type="spellEnd"/>
      <w:r w:rsidRPr="001D6E53">
        <w:rPr>
          <w:rFonts w:eastAsia="Times New Roman" w:cs="Times New Roman"/>
        </w:rPr>
        <w:t>; Li et al., 2009)</w:t>
      </w:r>
      <w:r w:rsidR="00DF6BBF" w:rsidRPr="001D6E53">
        <w:rPr>
          <w:rFonts w:eastAsia="Times New Roman" w:cs="Times New Roman"/>
        </w:rPr>
        <w:t xml:space="preserve"> prior to sample-size weighted meta-analysis in METAL (Willer</w:t>
      </w:r>
      <w:r w:rsidR="001F41BE" w:rsidRPr="001D6E53">
        <w:rPr>
          <w:rFonts w:eastAsia="Times New Roman" w:cs="Times New Roman"/>
        </w:rPr>
        <w:t xml:space="preserve">, Li, &amp; </w:t>
      </w:r>
      <w:proofErr w:type="spellStart"/>
      <w:r w:rsidR="001F41BE" w:rsidRPr="001D6E53">
        <w:rPr>
          <w:rFonts w:eastAsia="Times New Roman" w:cs="Times New Roman"/>
        </w:rPr>
        <w:t>Abecasis</w:t>
      </w:r>
      <w:proofErr w:type="spellEnd"/>
      <w:r w:rsidR="00DF6BBF" w:rsidRPr="001D6E53">
        <w:rPr>
          <w:rFonts w:eastAsia="Times New Roman" w:cs="Times New Roman"/>
        </w:rPr>
        <w:t>, 2010).</w:t>
      </w:r>
      <w:r w:rsidR="00121DCC" w:rsidRPr="001D6E53">
        <w:rPr>
          <w:rFonts w:eastAsia="Times New Roman" w:cs="Times New Roman"/>
        </w:rPr>
        <w:t xml:space="preserve"> </w:t>
      </w:r>
      <w:r w:rsidR="00DF6BBF" w:rsidRPr="001D6E53">
        <w:rPr>
          <w:rFonts w:eastAsia="Times New Roman" w:cs="Times New Roman"/>
        </w:rPr>
        <w:t xml:space="preserve">Following imputation and QC procedures, 1,252,387 </w:t>
      </w:r>
      <w:r w:rsidRPr="001D6E53">
        <w:rPr>
          <w:rFonts w:eastAsia="Times New Roman" w:cs="Times New Roman"/>
        </w:rPr>
        <w:t>high-quality (</w:t>
      </w:r>
      <w:r w:rsidRPr="001D6E53">
        <w:rPr>
          <w:rFonts w:eastAsia="Times New Roman" w:cs="Times New Roman"/>
          <w:i/>
          <w:iCs/>
        </w:rPr>
        <w:t>r</w:t>
      </w:r>
      <w:r w:rsidRPr="001D6E53">
        <w:rPr>
          <w:rFonts w:eastAsia="Times New Roman" w:cs="Times New Roman"/>
          <w:vertAlign w:val="superscript"/>
        </w:rPr>
        <w:t>2</w:t>
      </w:r>
      <w:r w:rsidRPr="001D6E53">
        <w:rPr>
          <w:rFonts w:eastAsia="Times New Roman" w:cs="Times New Roman"/>
        </w:rPr>
        <w:t xml:space="preserve"> &gt; .3) </w:t>
      </w:r>
      <w:r w:rsidR="00DF6BBF" w:rsidRPr="001D6E53">
        <w:rPr>
          <w:rFonts w:eastAsia="Times New Roman" w:cs="Times New Roman"/>
        </w:rPr>
        <w:t>SNPs</w:t>
      </w:r>
      <w:r w:rsidRPr="001D6E53">
        <w:rPr>
          <w:rFonts w:eastAsia="Times New Roman" w:cs="Times New Roman"/>
        </w:rPr>
        <w:t xml:space="preserve"> </w:t>
      </w:r>
      <w:r w:rsidR="00DF6BBF" w:rsidRPr="001D6E53">
        <w:rPr>
          <w:rFonts w:eastAsia="Times New Roman" w:cs="Times New Roman"/>
        </w:rPr>
        <w:t>across cohorts were available for association analyses</w:t>
      </w:r>
      <w:r w:rsidRPr="001D6E53">
        <w:rPr>
          <w:rFonts w:eastAsia="Times New Roman" w:cs="Times New Roman"/>
        </w:rPr>
        <w:t xml:space="preserve">. Given the comparatively low number of tested variants in this study (i.e., versus &gt; 5 million in more recent studies), summary statistics imputation was conducted for the Service et al. GWAS of TCI subscales as described in the </w:t>
      </w:r>
      <w:r w:rsidRPr="001D6E53">
        <w:rPr>
          <w:rFonts w:eastAsia="Times New Roman" w:cs="Times New Roman"/>
          <w:i/>
          <w:iCs/>
        </w:rPr>
        <w:t xml:space="preserve">Summary Statistics Imputation </w:t>
      </w:r>
      <w:r w:rsidRPr="001D6E53">
        <w:rPr>
          <w:rFonts w:eastAsia="Times New Roman" w:cs="Times New Roman"/>
          <w:iCs/>
        </w:rPr>
        <w:t xml:space="preserve">section </w:t>
      </w:r>
      <w:r w:rsidRPr="001D6E53">
        <w:rPr>
          <w:rFonts w:eastAsia="Times New Roman" w:cs="Times New Roman"/>
        </w:rPr>
        <w:t xml:space="preserve">below. </w:t>
      </w:r>
    </w:p>
    <w:p w14:paraId="75C7F41E" w14:textId="039E4DAF" w:rsidR="00213D0D" w:rsidRPr="001D6E53" w:rsidRDefault="00213D0D" w:rsidP="00213D0D">
      <w:pPr>
        <w:spacing w:after="240"/>
        <w:ind w:firstLine="720"/>
        <w:jc w:val="both"/>
        <w:rPr>
          <w:rFonts w:eastAsia="Times New Roman" w:cs="Times New Roman"/>
        </w:rPr>
      </w:pPr>
      <w:r w:rsidRPr="001D6E53">
        <w:rPr>
          <w:rFonts w:eastAsia="Times New Roman" w:cs="Times New Roman"/>
          <w:b/>
          <w:bCs/>
        </w:rPr>
        <w:lastRenderedPageBreak/>
        <w:t xml:space="preserve">Summary Statistics Imputation. </w:t>
      </w:r>
      <w:r w:rsidRPr="001D6E53">
        <w:rPr>
          <w:rFonts w:eastAsia="Times New Roman" w:cs="Times New Roman"/>
        </w:rPr>
        <w:t xml:space="preserve">As noted above, </w:t>
      </w:r>
      <w:r w:rsidRPr="001D6E53">
        <w:rPr>
          <w:rFonts w:eastAsia="Times New Roman" w:cs="Times New Roman"/>
          <w:bCs/>
          <w:iCs/>
        </w:rPr>
        <w:t xml:space="preserve">GWAS data for </w:t>
      </w:r>
      <w:r w:rsidRPr="001D6E53">
        <w:rPr>
          <w:rFonts w:eastAsia="Times New Roman" w:cs="Times New Roman"/>
        </w:rPr>
        <w:t xml:space="preserve">TCI </w:t>
      </w:r>
      <w:r w:rsidR="003B0DE6">
        <w:rPr>
          <w:rFonts w:eastAsia="Times New Roman" w:cs="Times New Roman"/>
        </w:rPr>
        <w:t>scales</w:t>
      </w:r>
      <w:r w:rsidRPr="001D6E53">
        <w:rPr>
          <w:rFonts w:eastAsia="Times New Roman" w:cs="Times New Roman"/>
        </w:rPr>
        <w:t xml:space="preserve"> were originally imputed to HapMap2 separately by cohort, using </w:t>
      </w:r>
      <w:proofErr w:type="spellStart"/>
      <w:r w:rsidRPr="001D6E53">
        <w:rPr>
          <w:rFonts w:eastAsia="Times New Roman" w:cs="Times New Roman"/>
        </w:rPr>
        <w:t>MaCH</w:t>
      </w:r>
      <w:proofErr w:type="spellEnd"/>
      <w:r w:rsidRPr="001D6E53">
        <w:rPr>
          <w:rFonts w:eastAsia="Times New Roman" w:cs="Times New Roman"/>
        </w:rPr>
        <w:t xml:space="preserve"> prior to sample-size weighted meta-analysis in METAL. Following QC procedures, 1,252,387 SNPs across cohorts were available for association analyses. To obtain similar sets of imputed variants across traits adequate for multivariate modeling of GWAS using GenomicSEM, summary statistics imputation was applied to impute tagged variants thus allowing for association tests with a range of variants comparable to more recent </w:t>
      </w:r>
      <w:r w:rsidR="00F23801">
        <w:rPr>
          <w:rFonts w:eastAsia="Times New Roman" w:cs="Times New Roman"/>
        </w:rPr>
        <w:t>IPT</w:t>
      </w:r>
      <w:r w:rsidR="00F23801" w:rsidRPr="001D6E53">
        <w:rPr>
          <w:rFonts w:eastAsia="Times New Roman" w:cs="Times New Roman"/>
        </w:rPr>
        <w:t xml:space="preserve"> </w:t>
      </w:r>
      <w:r w:rsidRPr="001D6E53">
        <w:rPr>
          <w:rFonts w:eastAsia="Times New Roman" w:cs="Times New Roman"/>
        </w:rPr>
        <w:t xml:space="preserve">GWAS (e.g., Sanchez-Roige et al., 2019). GWAS summary statistics for TCI </w:t>
      </w:r>
      <w:r w:rsidR="003B0DE6">
        <w:rPr>
          <w:rFonts w:eastAsia="Times New Roman" w:cs="Times New Roman"/>
        </w:rPr>
        <w:t>scales</w:t>
      </w:r>
      <w:r w:rsidRPr="001D6E53">
        <w:rPr>
          <w:rFonts w:eastAsia="Times New Roman" w:cs="Times New Roman"/>
        </w:rPr>
        <w:t xml:space="preserve"> were imputed to a merged reference panel using the UK10K cohort (REL-2012-06-02; The UK10K Consortium, 2015) plus the European subsample of the 1000 Genomes Project Phase3 data (release 20131101.v5; The 1000 Genomes Project Consortium, 2015). This merged reference panel was accessed through the European Genome-Phenome Archive (EGAD00001000776). The combined sample size of this reference panel is 4,284. </w:t>
      </w:r>
    </w:p>
    <w:p w14:paraId="7656AA16" w14:textId="2BFB8A21" w:rsidR="00213D0D" w:rsidRPr="00213D0D" w:rsidRDefault="00213D0D" w:rsidP="00213D0D">
      <w:pPr>
        <w:spacing w:after="240"/>
        <w:ind w:firstLine="720"/>
        <w:jc w:val="both"/>
        <w:rPr>
          <w:rFonts w:eastAsia="Times New Roman" w:cs="Times New Roman"/>
          <w:b/>
          <w:bCs/>
        </w:rPr>
      </w:pPr>
      <w:r w:rsidRPr="001D6E53">
        <w:rPr>
          <w:rFonts w:eastAsia="Times New Roman" w:cs="Times New Roman"/>
        </w:rPr>
        <w:t xml:space="preserve">To impute summary statistics for missing variants, the summary statistics imputation method implemented in the </w:t>
      </w:r>
      <w:proofErr w:type="spellStart"/>
      <w:r w:rsidRPr="001D6E53">
        <w:rPr>
          <w:rFonts w:eastAsia="Times New Roman" w:cs="Times New Roman"/>
        </w:rPr>
        <w:t>ssimp</w:t>
      </w:r>
      <w:proofErr w:type="spellEnd"/>
      <w:r w:rsidRPr="001D6E53">
        <w:rPr>
          <w:rFonts w:eastAsia="Times New Roman" w:cs="Times New Roman"/>
        </w:rPr>
        <w:t xml:space="preserve"> v0.5.6 software was used for SNPs with MAF ≥ 0.01 (</w:t>
      </w:r>
      <w:proofErr w:type="spellStart"/>
      <w:r w:rsidRPr="001D6E53">
        <w:rPr>
          <w:rFonts w:eastAsia="Times New Roman" w:cs="Times New Roman"/>
        </w:rPr>
        <w:t>Rüeger</w:t>
      </w:r>
      <w:proofErr w:type="spellEnd"/>
      <w:r w:rsidRPr="001D6E53">
        <w:rPr>
          <w:rFonts w:eastAsia="Times New Roman" w:cs="Times New Roman"/>
        </w:rPr>
        <w:t xml:space="preserve">, McDaid, &amp; </w:t>
      </w:r>
      <w:proofErr w:type="spellStart"/>
      <w:r w:rsidRPr="001D6E53">
        <w:rPr>
          <w:rFonts w:eastAsia="Times New Roman" w:cs="Times New Roman"/>
        </w:rPr>
        <w:t>Kutalik</w:t>
      </w:r>
      <w:proofErr w:type="spellEnd"/>
      <w:r w:rsidRPr="001D6E53">
        <w:rPr>
          <w:rFonts w:eastAsia="Times New Roman" w:cs="Times New Roman"/>
        </w:rPr>
        <w:t xml:space="preserve">, 2018). Briefly, summary statistics imputation harnesses the linkage disequilibrium (LD) information estimated from the matched sequencing reference panels to directly impute meta-analysis summary statistics. To account for varying sample sizes across tag SNPs, the overlap between samples was modeled using dependent missingness (--missingness </w:t>
      </w:r>
      <w:r w:rsidRPr="001D6E53">
        <w:rPr>
          <w:rFonts w:eastAsia="Times New Roman" w:cs="Times New Roman"/>
          <w:i/>
          <w:iCs/>
        </w:rPr>
        <w:t>dep</w:t>
      </w:r>
      <w:r w:rsidRPr="001D6E53">
        <w:rPr>
          <w:rFonts w:eastAsia="Times New Roman" w:cs="Times New Roman"/>
        </w:rPr>
        <w:t>) which results in a lower RMSE of imputed statistics when sample size variance is low as is the case with the TCI summary statistics (</w:t>
      </w:r>
      <w:proofErr w:type="spellStart"/>
      <w:r w:rsidRPr="001D6E53">
        <w:rPr>
          <w:rFonts w:eastAsia="Times New Roman" w:cs="Times New Roman"/>
        </w:rPr>
        <w:t>Rüeger</w:t>
      </w:r>
      <w:proofErr w:type="spellEnd"/>
      <w:r w:rsidRPr="001D6E53">
        <w:rPr>
          <w:rFonts w:eastAsia="Times New Roman" w:cs="Times New Roman"/>
        </w:rPr>
        <w:t xml:space="preserve">, McDaid, &amp; </w:t>
      </w:r>
      <w:proofErr w:type="spellStart"/>
      <w:r w:rsidRPr="001D6E53">
        <w:rPr>
          <w:rFonts w:eastAsia="Times New Roman" w:cs="Times New Roman"/>
        </w:rPr>
        <w:t>Kutalik</w:t>
      </w:r>
      <w:proofErr w:type="spellEnd"/>
      <w:r w:rsidRPr="001D6E53">
        <w:rPr>
          <w:rFonts w:eastAsia="Times New Roman" w:cs="Times New Roman"/>
        </w:rPr>
        <w:t>, 2018). SNPs with imputation quality scores of (</w:t>
      </w:r>
      <w:r w:rsidRPr="001D6E53">
        <w:rPr>
          <w:rFonts w:eastAsia="Times New Roman" w:cs="Times New Roman"/>
          <w:i/>
          <w:iCs/>
        </w:rPr>
        <w:t>r</w:t>
      </w:r>
      <w:r w:rsidRPr="001D6E53">
        <w:rPr>
          <w:rFonts w:eastAsia="Times New Roman" w:cs="Times New Roman"/>
          <w:vertAlign w:val="superscript"/>
        </w:rPr>
        <w:t>2</w:t>
      </w:r>
      <w:r w:rsidRPr="001D6E53">
        <w:rPr>
          <w:rFonts w:eastAsia="Times New Roman" w:cs="Times New Roman"/>
        </w:rPr>
        <w:t xml:space="preserve">) &lt; 0.7 were excluded following imputation, and the resulting summary statistics for TCI novelty seeking and harm avoidance contained test statistics for 6,172,768 and 6,175,142 SNPs respectively. </w:t>
      </w:r>
    </w:p>
    <w:p w14:paraId="1F5B6135" w14:textId="3D3E9B50" w:rsidR="00121DCC" w:rsidRPr="001D6E53" w:rsidRDefault="00D14B31" w:rsidP="001D6E53">
      <w:pPr>
        <w:spacing w:after="240"/>
        <w:jc w:val="both"/>
        <w:rPr>
          <w:rFonts w:eastAsia="Times New Roman" w:cs="Times New Roman"/>
        </w:rPr>
      </w:pPr>
      <w:r w:rsidRPr="001D6E53">
        <w:rPr>
          <w:rFonts w:eastAsia="Times New Roman" w:cs="Times New Roman"/>
        </w:rPr>
        <w:tab/>
      </w:r>
      <w:r w:rsidRPr="001D6E53">
        <w:rPr>
          <w:rFonts w:eastAsia="Times New Roman" w:cs="Times New Roman"/>
          <w:b/>
        </w:rPr>
        <w:t>Primary IPT Measures.</w:t>
      </w:r>
      <w:r w:rsidR="00121DCC" w:rsidRPr="001D6E53">
        <w:rPr>
          <w:rFonts w:eastAsia="Times New Roman" w:cs="Times New Roman"/>
          <w:b/>
        </w:rPr>
        <w:t xml:space="preserve"> </w:t>
      </w:r>
      <w:r w:rsidR="00121DCC" w:rsidRPr="001D6E53">
        <w:rPr>
          <w:rFonts w:eastAsia="Times New Roman" w:cs="Times New Roman"/>
        </w:rPr>
        <w:t>GWAS IPT phenotypes were primarily measured using the 20-item brief version of the UPPS-P Impulsive Behavior Scale (</w:t>
      </w:r>
      <w:r w:rsidR="00121DCC" w:rsidRPr="001D6E53">
        <w:rPr>
          <w:rFonts w:eastAsia="Times New Roman" w:cs="Times New Roman"/>
          <w:bCs/>
        </w:rPr>
        <w:t>Cyders, Littlefield, Coffey, &amp; Karyadi, 2014</w:t>
      </w:r>
      <w:r w:rsidR="00121DCC" w:rsidRPr="001D6E53">
        <w:rPr>
          <w:rFonts w:eastAsia="Times New Roman" w:cs="Times New Roman"/>
        </w:rPr>
        <w:t xml:space="preserve">), the Barratt Impulsiveness Scale (BIS-11; </w:t>
      </w:r>
      <w:r w:rsidR="00121DCC" w:rsidRPr="001D6E53">
        <w:rPr>
          <w:rFonts w:eastAsia="Times New Roman" w:cs="Times New Roman"/>
          <w:bCs/>
        </w:rPr>
        <w:t>Patton, Stanford, &amp; Barratt, 1995</w:t>
      </w:r>
      <w:r w:rsidR="00121DCC" w:rsidRPr="001D6E53">
        <w:rPr>
          <w:rFonts w:eastAsia="Times New Roman" w:cs="Times New Roman"/>
        </w:rPr>
        <w:t xml:space="preserve">), and Cloninger’s Temperament and Character Inventory (TCI; </w:t>
      </w:r>
      <w:r w:rsidR="00121DCC" w:rsidRPr="001D6E53">
        <w:rPr>
          <w:rFonts w:eastAsia="Times New Roman" w:cs="Times New Roman"/>
          <w:bCs/>
        </w:rPr>
        <w:t>Cloninger, Przybeck, Svrakic, &amp; Wetzel, 1994</w:t>
      </w:r>
      <w:r w:rsidR="00121DCC" w:rsidRPr="001D6E53">
        <w:rPr>
          <w:rFonts w:eastAsia="Times New Roman" w:cs="Times New Roman"/>
        </w:rPr>
        <w:t xml:space="preserve">). The 20-item brief version of the UPPS-P measures dimensions of impulsive personality using five subscales: </w:t>
      </w:r>
      <w:r w:rsidR="00121DCC" w:rsidRPr="001D6E53">
        <w:rPr>
          <w:rFonts w:eastAsia="Times New Roman" w:cs="Times New Roman"/>
          <w:i/>
          <w:iCs/>
        </w:rPr>
        <w:t>(lack of) premeditation</w:t>
      </w:r>
      <w:r w:rsidR="00121DCC" w:rsidRPr="001D6E53">
        <w:rPr>
          <w:rFonts w:eastAsia="Times New Roman" w:cs="Times New Roman"/>
        </w:rPr>
        <w:t xml:space="preserve"> (“I usually think carefully before doing anything”), </w:t>
      </w:r>
      <w:r w:rsidR="00121DCC" w:rsidRPr="001D6E53">
        <w:rPr>
          <w:rFonts w:eastAsia="Times New Roman" w:cs="Times New Roman"/>
          <w:i/>
          <w:iCs/>
        </w:rPr>
        <w:t>(lack of) perseverance</w:t>
      </w:r>
      <w:r w:rsidR="00121DCC" w:rsidRPr="001D6E53">
        <w:rPr>
          <w:rFonts w:eastAsia="Times New Roman" w:cs="Times New Roman"/>
        </w:rPr>
        <w:t xml:space="preserve"> (“I finish what I start”), </w:t>
      </w:r>
      <w:r w:rsidR="00121DCC" w:rsidRPr="001D6E53">
        <w:rPr>
          <w:rFonts w:eastAsia="Times New Roman" w:cs="Times New Roman"/>
          <w:i/>
          <w:iCs/>
        </w:rPr>
        <w:t>negative urgency</w:t>
      </w:r>
      <w:r w:rsidR="00121DCC" w:rsidRPr="001D6E53">
        <w:rPr>
          <w:rFonts w:eastAsia="Times New Roman" w:cs="Times New Roman"/>
        </w:rPr>
        <w:t xml:space="preserve"> (“When I am upset I often act without thinking”), </w:t>
      </w:r>
      <w:r w:rsidR="00121DCC" w:rsidRPr="001D6E53">
        <w:rPr>
          <w:rFonts w:eastAsia="Times New Roman" w:cs="Times New Roman"/>
          <w:i/>
          <w:iCs/>
        </w:rPr>
        <w:t>positive urgency</w:t>
      </w:r>
      <w:r w:rsidR="00121DCC" w:rsidRPr="001D6E53">
        <w:rPr>
          <w:rFonts w:eastAsia="Times New Roman" w:cs="Times New Roman"/>
        </w:rPr>
        <w:t xml:space="preserve"> (“I tend to lose control when I am in a great mood”), and </w:t>
      </w:r>
      <w:r w:rsidR="00121DCC" w:rsidRPr="001D6E53">
        <w:rPr>
          <w:rFonts w:eastAsia="Times New Roman" w:cs="Times New Roman"/>
          <w:i/>
          <w:iCs/>
        </w:rPr>
        <w:t>sensation seeking</w:t>
      </w:r>
      <w:r w:rsidR="00121DCC" w:rsidRPr="001D6E53">
        <w:rPr>
          <w:rFonts w:eastAsia="Times New Roman" w:cs="Times New Roman"/>
        </w:rPr>
        <w:t xml:space="preserve"> (“I would enjoy the sensation of skiing very fast down a high mountain slope”). Each subscale is assessed by four 4-point Likert scale items (1 = “Agree strongly”, 2 = “Agree somewhat”, 3 = “Disagree somewhat”, 4 = “Disagree strongly”). Some items are reverse coded, and subscales are scored such that greater scores represent greater levels of impulsivity for each trait. Internal consistencies were acceptable for each subscale phenotype assessed in the 23andMe GWAS sample (Cronbach’s </w:t>
      </w:r>
      <w:r w:rsidR="00121DCC" w:rsidRPr="001D6E53">
        <w:rPr>
          <w:rFonts w:eastAsia="Times New Roman" w:cs="Times New Roman"/>
          <w:lang w:val="el-GR"/>
        </w:rPr>
        <w:t>α</w:t>
      </w:r>
      <w:r w:rsidR="00121DCC" w:rsidRPr="001D6E53">
        <w:rPr>
          <w:rFonts w:eastAsia="Times New Roman" w:cs="Times New Roman"/>
        </w:rPr>
        <w:t xml:space="preserve"> ≥ .70; Sanchez-Roige et al., 2019). </w:t>
      </w:r>
    </w:p>
    <w:p w14:paraId="0FACF3DE" w14:textId="20BB6CDE" w:rsidR="00121DCC" w:rsidRPr="001D6E53" w:rsidRDefault="00121DCC" w:rsidP="001D6E53">
      <w:pPr>
        <w:spacing w:after="240"/>
        <w:jc w:val="both"/>
        <w:rPr>
          <w:rFonts w:eastAsia="Times New Roman" w:cs="Times New Roman"/>
        </w:rPr>
      </w:pPr>
      <w:r w:rsidRPr="001D6E53">
        <w:rPr>
          <w:rFonts w:eastAsia="Times New Roman" w:cs="Times New Roman"/>
        </w:rPr>
        <w:tab/>
        <w:t xml:space="preserve">The BIS-11 is a 30-item measure designed to assess three domains of impulsive personality: </w:t>
      </w:r>
      <w:r w:rsidRPr="001D6E53">
        <w:rPr>
          <w:rFonts w:eastAsia="Times New Roman" w:cs="Times New Roman"/>
          <w:i/>
          <w:iCs/>
        </w:rPr>
        <w:t>attentional impulsivity</w:t>
      </w:r>
      <w:r w:rsidRPr="001D6E53">
        <w:rPr>
          <w:rFonts w:eastAsia="Times New Roman" w:cs="Times New Roman"/>
        </w:rPr>
        <w:t xml:space="preserve"> (“I don’t pay attention”), </w:t>
      </w:r>
      <w:r w:rsidRPr="001D6E53">
        <w:rPr>
          <w:rFonts w:eastAsia="Times New Roman" w:cs="Times New Roman"/>
          <w:i/>
          <w:iCs/>
        </w:rPr>
        <w:t>motor impulsivity</w:t>
      </w:r>
      <w:r w:rsidRPr="001D6E53">
        <w:rPr>
          <w:rFonts w:eastAsia="Times New Roman" w:cs="Times New Roman"/>
        </w:rPr>
        <w:t xml:space="preserve"> (“I do things without thinking”), and </w:t>
      </w:r>
      <w:r w:rsidRPr="001D6E53">
        <w:rPr>
          <w:rFonts w:eastAsia="Times New Roman" w:cs="Times New Roman"/>
          <w:i/>
          <w:iCs/>
        </w:rPr>
        <w:t>non-planning impulsivity</w:t>
      </w:r>
      <w:r w:rsidRPr="001D6E53">
        <w:rPr>
          <w:rFonts w:eastAsia="Times New Roman" w:cs="Times New Roman"/>
        </w:rPr>
        <w:t xml:space="preserve"> (“I am self-controlled”). Each domain contains eight to 11 items measured on a 4-point Likert scale (1 = “Rarely/never”, 2 = “Occasionally”, 3 = “Often”, 4 = “Almost always/always”). Some items are reverse coded, and items are scored such that greater scores represent greater levels of impulsivity for each domain. A total score is also often calculated by summing items across all subscales. Internal consistencies for domain scores </w:t>
      </w:r>
      <w:r w:rsidRPr="001D6E53">
        <w:rPr>
          <w:rFonts w:eastAsia="Times New Roman" w:cs="Times New Roman"/>
        </w:rPr>
        <w:lastRenderedPageBreak/>
        <w:t xml:space="preserve">assessed in the 23andMe GWAS sample (Sanchez-Roige et al., 2019) ranged from poor (motor impulsivity Cronbach’s </w:t>
      </w:r>
      <w:r w:rsidRPr="001D6E53">
        <w:rPr>
          <w:rFonts w:eastAsia="Times New Roman" w:cs="Times New Roman"/>
          <w:lang w:val="el-GR"/>
        </w:rPr>
        <w:t>α</w:t>
      </w:r>
      <w:r w:rsidRPr="001D6E53">
        <w:rPr>
          <w:rFonts w:eastAsia="Times New Roman" w:cs="Times New Roman"/>
        </w:rPr>
        <w:t xml:space="preserve"> = .54) to acceptable (attentional impulsivity Cronbach’s </w:t>
      </w:r>
      <w:r w:rsidRPr="001D6E53">
        <w:rPr>
          <w:rFonts w:eastAsia="Times New Roman" w:cs="Times New Roman"/>
          <w:lang w:val="el-GR"/>
        </w:rPr>
        <w:t>α</w:t>
      </w:r>
      <w:r w:rsidRPr="001D6E53">
        <w:rPr>
          <w:rFonts w:eastAsia="Times New Roman" w:cs="Times New Roman"/>
        </w:rPr>
        <w:t xml:space="preserve"> = .74; non-planning impulsivity Cronbach’s </w:t>
      </w:r>
      <w:r w:rsidRPr="001D6E53">
        <w:rPr>
          <w:rFonts w:eastAsia="Times New Roman" w:cs="Times New Roman"/>
          <w:lang w:val="el-GR"/>
        </w:rPr>
        <w:t>α</w:t>
      </w:r>
      <w:r w:rsidRPr="001D6E53">
        <w:rPr>
          <w:rFonts w:eastAsia="Times New Roman" w:cs="Times New Roman"/>
        </w:rPr>
        <w:t xml:space="preserve"> = .73). Internal consistency of the total score was good (Cronbach’s </w:t>
      </w:r>
      <w:r w:rsidRPr="001D6E53">
        <w:rPr>
          <w:rFonts w:eastAsia="Times New Roman" w:cs="Times New Roman"/>
          <w:lang w:val="el-GR"/>
        </w:rPr>
        <w:t>α</w:t>
      </w:r>
      <w:r w:rsidRPr="001D6E53">
        <w:rPr>
          <w:rFonts w:eastAsia="Times New Roman" w:cs="Times New Roman"/>
        </w:rPr>
        <w:t xml:space="preserve"> = .83). </w:t>
      </w:r>
    </w:p>
    <w:p w14:paraId="56A1C632" w14:textId="1F81AFED" w:rsidR="00F27032" w:rsidRPr="001D6E53" w:rsidRDefault="00121DCC" w:rsidP="001D6E53">
      <w:pPr>
        <w:spacing w:after="240"/>
        <w:jc w:val="both"/>
        <w:rPr>
          <w:rFonts w:eastAsia="Times New Roman" w:cs="Times New Roman"/>
        </w:rPr>
      </w:pPr>
      <w:r w:rsidRPr="001D6E53">
        <w:rPr>
          <w:rFonts w:eastAsia="Times New Roman" w:cs="Times New Roman"/>
        </w:rPr>
        <w:tab/>
        <w:t xml:space="preserve">The TCI is </w:t>
      </w:r>
      <w:r w:rsidR="002A769E" w:rsidRPr="001D6E53">
        <w:rPr>
          <w:rFonts w:eastAsia="Times New Roman" w:cs="Times New Roman"/>
        </w:rPr>
        <w:t xml:space="preserve">a </w:t>
      </w:r>
      <w:r w:rsidRPr="001D6E53">
        <w:rPr>
          <w:rFonts w:eastAsia="Times New Roman" w:cs="Times New Roman"/>
        </w:rPr>
        <w:t>226-item measure containing binary (T</w:t>
      </w:r>
      <w:r w:rsidR="002A769E" w:rsidRPr="001D6E53">
        <w:rPr>
          <w:rFonts w:eastAsia="Times New Roman" w:cs="Times New Roman"/>
        </w:rPr>
        <w:t>rue</w:t>
      </w:r>
      <w:r w:rsidRPr="001D6E53">
        <w:rPr>
          <w:rFonts w:eastAsia="Times New Roman" w:cs="Times New Roman"/>
        </w:rPr>
        <w:t>/F</w:t>
      </w:r>
      <w:r w:rsidR="002A769E" w:rsidRPr="001D6E53">
        <w:rPr>
          <w:rFonts w:eastAsia="Times New Roman" w:cs="Times New Roman"/>
        </w:rPr>
        <w:t>alse</w:t>
      </w:r>
      <w:r w:rsidRPr="001D6E53">
        <w:rPr>
          <w:rFonts w:eastAsia="Times New Roman" w:cs="Times New Roman"/>
        </w:rPr>
        <w:t xml:space="preserve">) response options assessing four primary domains of temperament: </w:t>
      </w:r>
      <w:r w:rsidRPr="001D6E53">
        <w:rPr>
          <w:rFonts w:eastAsia="Times New Roman" w:cs="Times New Roman"/>
          <w:i/>
          <w:iCs/>
        </w:rPr>
        <w:t>novelty seeking</w:t>
      </w:r>
      <w:r w:rsidRPr="001D6E53">
        <w:rPr>
          <w:rFonts w:eastAsia="Times New Roman" w:cs="Times New Roman"/>
        </w:rPr>
        <w:t xml:space="preserve"> (“I am much more reserved and controlled than most people”), </w:t>
      </w:r>
      <w:r w:rsidRPr="001D6E53">
        <w:rPr>
          <w:rFonts w:eastAsia="Times New Roman" w:cs="Times New Roman"/>
          <w:i/>
          <w:iCs/>
        </w:rPr>
        <w:t>harm avoidance</w:t>
      </w:r>
      <w:r w:rsidRPr="001D6E53">
        <w:rPr>
          <w:rFonts w:eastAsia="Times New Roman" w:cs="Times New Roman"/>
        </w:rPr>
        <w:t xml:space="preserve"> (“I usually feel tense and worried when I have to do something new and unfamiliar”), </w:t>
      </w:r>
      <w:r w:rsidRPr="001D6E53">
        <w:rPr>
          <w:rFonts w:eastAsia="Times New Roman" w:cs="Times New Roman"/>
          <w:i/>
          <w:iCs/>
        </w:rPr>
        <w:t>reward dependence</w:t>
      </w:r>
      <w:r w:rsidRPr="001D6E53">
        <w:rPr>
          <w:rFonts w:eastAsia="Times New Roman" w:cs="Times New Roman"/>
        </w:rPr>
        <w:t xml:space="preserve"> (“I like to please other people as much as I can”), and </w:t>
      </w:r>
      <w:r w:rsidRPr="001D6E53">
        <w:rPr>
          <w:rFonts w:eastAsia="Times New Roman" w:cs="Times New Roman"/>
          <w:i/>
          <w:iCs/>
        </w:rPr>
        <w:t>persistence</w:t>
      </w:r>
      <w:r w:rsidRPr="001D6E53">
        <w:rPr>
          <w:rFonts w:eastAsia="Times New Roman" w:cs="Times New Roman"/>
        </w:rPr>
        <w:t xml:space="preserve"> (“I am usually so determined that I continued to work long after other people have given up”). Though each sample in the Service et al. TCI GWAS meta-analysis used slightly different item subsets and versions of the TCI, these four subscales were retained across each sample. Though internal consistencies of the temperament subscales for each meta-analytic sample were not reported by Service et al., in a previous report of internal consistencies of these subscales in the Northern Finland Birth Cohort values ranged from poor (persistence Cronbach’s </w:t>
      </w:r>
      <w:r w:rsidRPr="001D6E53">
        <w:rPr>
          <w:rFonts w:eastAsia="Times New Roman" w:cs="Times New Roman"/>
          <w:lang w:val="el-GR"/>
        </w:rPr>
        <w:t>α</w:t>
      </w:r>
      <w:r w:rsidRPr="001D6E53">
        <w:rPr>
          <w:rFonts w:eastAsia="Times New Roman" w:cs="Times New Roman"/>
        </w:rPr>
        <w:t xml:space="preserve"> = .55) to good (harm avoidance Cronbach’s </w:t>
      </w:r>
      <w:r w:rsidRPr="001D6E53">
        <w:rPr>
          <w:rFonts w:eastAsia="Times New Roman" w:cs="Times New Roman"/>
          <w:lang w:val="el-GR"/>
        </w:rPr>
        <w:t>α</w:t>
      </w:r>
      <w:r w:rsidRPr="001D6E53">
        <w:rPr>
          <w:rFonts w:eastAsia="Times New Roman" w:cs="Times New Roman"/>
        </w:rPr>
        <w:t xml:space="preserve"> = .85; </w:t>
      </w:r>
      <w:proofErr w:type="spellStart"/>
      <w:r w:rsidRPr="001D6E53">
        <w:rPr>
          <w:rFonts w:eastAsia="Times New Roman" w:cs="Times New Roman"/>
        </w:rPr>
        <w:t>Miettunen</w:t>
      </w:r>
      <w:proofErr w:type="spellEnd"/>
      <w:r w:rsidRPr="001D6E53">
        <w:rPr>
          <w:rFonts w:eastAsia="Times New Roman" w:cs="Times New Roman"/>
        </w:rPr>
        <w:t xml:space="preserve"> et al., 2004). </w:t>
      </w:r>
    </w:p>
    <w:p w14:paraId="51CD0978" w14:textId="48BE8D28" w:rsidR="006C162A" w:rsidRDefault="006C162A" w:rsidP="001D6E53">
      <w:pPr>
        <w:spacing w:after="240"/>
        <w:jc w:val="both"/>
        <w:rPr>
          <w:rFonts w:eastAsia="Times New Roman" w:cs="Times New Roman"/>
          <w:bCs/>
        </w:rPr>
      </w:pPr>
      <w:r w:rsidRPr="001D6E53">
        <w:rPr>
          <w:rFonts w:eastAsia="Times New Roman" w:cs="Times New Roman"/>
        </w:rPr>
        <w:tab/>
        <w:t>Adventurousness was assessed in the 23andMe sample using the following Likert-scale item: “</w:t>
      </w:r>
      <w:r w:rsidRPr="001D6E53">
        <w:rPr>
          <w:rFonts w:eastAsia="Times New Roman" w:cs="Times New Roman"/>
          <w:bCs/>
        </w:rPr>
        <w:t xml:space="preserve">Would you consider yourself to be more cautious or more adventurous?” (Linnér et al., 2019). </w:t>
      </w:r>
    </w:p>
    <w:p w14:paraId="3084B5B3" w14:textId="7D4ABCC2" w:rsidR="00D91015" w:rsidRDefault="00D91015" w:rsidP="001D6E53">
      <w:pPr>
        <w:spacing w:after="240"/>
        <w:jc w:val="both"/>
        <w:rPr>
          <w:rFonts w:eastAsia="Times New Roman" w:cs="Times New Roman"/>
          <w:bCs/>
        </w:rPr>
      </w:pPr>
      <w:r>
        <w:rPr>
          <w:rFonts w:eastAsia="Times New Roman" w:cs="Times New Roman"/>
          <w:bCs/>
        </w:rPr>
        <w:tab/>
        <w:t>R</w:t>
      </w:r>
      <w:r w:rsidRPr="001D6E53">
        <w:rPr>
          <w:rFonts w:eastAsia="Times New Roman" w:cs="Times New Roman"/>
          <w:bCs/>
        </w:rPr>
        <w:t>isk tolerance</w:t>
      </w:r>
      <w:r>
        <w:rPr>
          <w:rFonts w:eastAsia="Times New Roman" w:cs="Times New Roman"/>
          <w:bCs/>
        </w:rPr>
        <w:t>,</w:t>
      </w:r>
      <w:r w:rsidRPr="001D6E53">
        <w:rPr>
          <w:rFonts w:eastAsia="Times New Roman" w:cs="Times New Roman"/>
          <w:bCs/>
        </w:rPr>
        <w:t xml:space="preserve"> </w:t>
      </w:r>
      <w:r>
        <w:rPr>
          <w:rFonts w:eastAsia="Times New Roman" w:cs="Times New Roman"/>
          <w:bCs/>
        </w:rPr>
        <w:t xml:space="preserve">or </w:t>
      </w:r>
      <w:r w:rsidRPr="001D6E53">
        <w:rPr>
          <w:rFonts w:eastAsia="Times New Roman" w:cs="Times New Roman"/>
          <w:bCs/>
        </w:rPr>
        <w:t>risk-taking</w:t>
      </w:r>
      <w:r>
        <w:rPr>
          <w:rFonts w:eastAsia="Times New Roman" w:cs="Times New Roman"/>
          <w:bCs/>
        </w:rPr>
        <w:t>,</w:t>
      </w:r>
      <w:r w:rsidRPr="001D6E53">
        <w:rPr>
          <w:rFonts w:eastAsia="Times New Roman" w:cs="Times New Roman"/>
          <w:bCs/>
        </w:rPr>
        <w:t xml:space="preserve"> </w:t>
      </w:r>
      <w:r>
        <w:rPr>
          <w:rFonts w:eastAsia="Times New Roman" w:cs="Times New Roman"/>
          <w:bCs/>
        </w:rPr>
        <w:t>was</w:t>
      </w:r>
      <w:r w:rsidRPr="001D6E53">
        <w:rPr>
          <w:rFonts w:eastAsia="Times New Roman" w:cs="Times New Roman"/>
          <w:bCs/>
        </w:rPr>
        <w:t xml:space="preserve"> assessed </w:t>
      </w:r>
      <w:r>
        <w:rPr>
          <w:rFonts w:eastAsia="Times New Roman" w:cs="Times New Roman"/>
          <w:bCs/>
        </w:rPr>
        <w:t xml:space="preserve">in 23andMe, UKB, and ten smaller replication samples </w:t>
      </w:r>
      <w:r w:rsidRPr="001D6E53">
        <w:rPr>
          <w:rFonts w:eastAsia="Times New Roman" w:cs="Times New Roman"/>
          <w:bCs/>
        </w:rPr>
        <w:t>via Likert-scale and binary items (“Would you describe yourself as someone who takes risks?”</w:t>
      </w:r>
      <w:r>
        <w:rPr>
          <w:rFonts w:eastAsia="Times New Roman" w:cs="Times New Roman"/>
          <w:bCs/>
        </w:rPr>
        <w:t xml:space="preserve">; </w:t>
      </w:r>
      <w:r w:rsidRPr="001D6E53">
        <w:rPr>
          <w:rFonts w:eastAsia="Times New Roman" w:cs="Times New Roman"/>
          <w:bCs/>
        </w:rPr>
        <w:t>Linnér et al., 2019).</w:t>
      </w:r>
    </w:p>
    <w:p w14:paraId="6851B672" w14:textId="6BEED5C6" w:rsidR="00023BB3" w:rsidRDefault="00023BB3" w:rsidP="00213D0D">
      <w:pPr>
        <w:autoSpaceDE w:val="0"/>
        <w:autoSpaceDN w:val="0"/>
        <w:adjustRightInd w:val="0"/>
        <w:jc w:val="both"/>
        <w:rPr>
          <w:i/>
          <w:iCs/>
        </w:rPr>
      </w:pPr>
      <w:r>
        <w:rPr>
          <w:rFonts w:eastAsia="Times New Roman" w:cs="Times New Roman"/>
          <w:bCs/>
        </w:rPr>
        <w:tab/>
      </w:r>
      <w:r>
        <w:rPr>
          <w:rFonts w:eastAsia="Times New Roman" w:cs="Times New Roman"/>
          <w:b/>
        </w:rPr>
        <w:t xml:space="preserve">Selection of Dual-Systems Indicator GWAS. </w:t>
      </w:r>
      <w:r>
        <w:t>In our selection of indicator GWAS for the three factors of interest in our study (sensation seeking, urgency, and lack of self-control), we focused primarily on traits which similarly reflect these three theoretical constructs. For sensation seeking, we chose traits which reflect a similar tendency toward risky, thrilling, or rewarding experiences</w:t>
      </w:r>
      <w:r w:rsidR="00142F4B">
        <w:t xml:space="preserve"> – UPPS-P sensation seeking, risk-taking, and adventurousness</w:t>
      </w:r>
      <w:r>
        <w:t>. For urgency, we chose traits reflecting potentially impulsive action in response to high negative or positive affective states</w:t>
      </w:r>
      <w:r w:rsidR="00142F4B">
        <w:t xml:space="preserve"> – UPPS-P negative urgency, UPPS-P positive urgency, and TCI harm avoidance</w:t>
      </w:r>
      <w:r>
        <w:t>. For lack of self-control, we chose traits that generally are thought to reflect a lack of forethought or planning of actions</w:t>
      </w:r>
      <w:r w:rsidR="00142F4B">
        <w:t xml:space="preserve"> – UPPS-P lack of premeditation, BIS-11 total score, and TCI novelty seeking</w:t>
      </w:r>
      <w:r>
        <w:t>. While UPPS-P lack of perseverance is associated with lack of premeditation as a facet of ‘deficits in conscientiousness’ (Cyders &amp; Smith, 2007), it more accurately reflects a tendency not to complete projects or to quit when a task becomes difficult or boring, rather than</w:t>
      </w:r>
      <w:r w:rsidR="00D91015">
        <w:t xml:space="preserve"> a failure</w:t>
      </w:r>
      <w:r>
        <w:t xml:space="preserve"> </w:t>
      </w:r>
      <w:r w:rsidR="00142F4B">
        <w:t xml:space="preserve">to </w:t>
      </w:r>
      <w:r>
        <w:t xml:space="preserve">inhibit impulsive approach behaviors </w:t>
      </w:r>
      <w:r w:rsidRPr="004E46E3">
        <w:rPr>
          <w:i/>
          <w:iCs/>
        </w:rPr>
        <w:t>per se</w:t>
      </w:r>
      <w:r>
        <w:t>. As a demonstration of this construct mismatch at the genetic level based on available GWAS summary statistics, lack of perseverance is uncorrelated with either BIS-11 total scores (</w:t>
      </w:r>
      <w:r>
        <w:rPr>
          <w:i/>
          <w:iCs/>
        </w:rPr>
        <w:t>r</w:t>
      </w:r>
      <w:r>
        <w:rPr>
          <w:i/>
          <w:iCs/>
          <w:vertAlign w:val="subscript"/>
        </w:rPr>
        <w:t>g</w:t>
      </w:r>
      <w:r>
        <w:t xml:space="preserve"> = .29, </w:t>
      </w:r>
      <w:r>
        <w:rPr>
          <w:i/>
          <w:iCs/>
        </w:rPr>
        <w:t>SE</w:t>
      </w:r>
      <w:r>
        <w:t xml:space="preserve"> = .22, </w:t>
      </w:r>
      <w:r>
        <w:rPr>
          <w:i/>
          <w:iCs/>
        </w:rPr>
        <w:t>P</w:t>
      </w:r>
      <w:r>
        <w:t xml:space="preserve"> = .19) or lack of premeditation (</w:t>
      </w:r>
      <w:r>
        <w:rPr>
          <w:i/>
          <w:iCs/>
        </w:rPr>
        <w:t>r</w:t>
      </w:r>
      <w:r>
        <w:rPr>
          <w:i/>
          <w:iCs/>
          <w:vertAlign w:val="subscript"/>
        </w:rPr>
        <w:t>g</w:t>
      </w:r>
      <w:r>
        <w:t xml:space="preserve"> = .44, </w:t>
      </w:r>
      <w:r>
        <w:rPr>
          <w:i/>
          <w:iCs/>
        </w:rPr>
        <w:t>SE</w:t>
      </w:r>
      <w:r>
        <w:t xml:space="preserve"> = .25, </w:t>
      </w:r>
      <w:r>
        <w:rPr>
          <w:i/>
          <w:iCs/>
        </w:rPr>
        <w:t>P</w:t>
      </w:r>
      <w:r>
        <w:t xml:space="preserve"> = .08). Likewise, TCI persistence (“perseverance in spite of fatigue or frustration”) is relatively unrelated conceptually to our target construct of lack of self-control, though more closely related conceptually to lack of persistence. TCI persistence was genetically uncorrelated with any other UPPS-P or TCI trait. TCI reward dependence reflects “individual sensitivity to social rewards,” and is thus, not conceptually very close to sensation seeking in this case. TCI reward dependence was also genetically uncorrelated with any other UPPS-P or TCI trait.</w:t>
      </w:r>
    </w:p>
    <w:p w14:paraId="48E40580" w14:textId="77777777" w:rsidR="00213D0D" w:rsidRPr="00213D0D" w:rsidRDefault="00213D0D" w:rsidP="00213D0D">
      <w:pPr>
        <w:autoSpaceDE w:val="0"/>
        <w:autoSpaceDN w:val="0"/>
        <w:adjustRightInd w:val="0"/>
        <w:jc w:val="both"/>
        <w:rPr>
          <w:i/>
          <w:iCs/>
        </w:rPr>
      </w:pPr>
    </w:p>
    <w:p w14:paraId="23F88E71" w14:textId="2922783E" w:rsidR="00F27032" w:rsidRPr="001D6E53" w:rsidRDefault="00BE1ABD" w:rsidP="001D6E53">
      <w:pPr>
        <w:spacing w:after="240"/>
        <w:ind w:firstLine="720"/>
        <w:jc w:val="both"/>
        <w:rPr>
          <w:rFonts w:eastAsia="Times New Roman" w:cs="Times New Roman"/>
          <w:bCs/>
        </w:rPr>
      </w:pPr>
      <w:r w:rsidRPr="001D6E53">
        <w:rPr>
          <w:rFonts w:eastAsia="Times New Roman" w:cs="Times New Roman"/>
          <w:b/>
          <w:bCs/>
        </w:rPr>
        <w:lastRenderedPageBreak/>
        <w:t>Risk</w:t>
      </w:r>
      <w:r w:rsidR="00BD1E9A" w:rsidRPr="001D6E53">
        <w:rPr>
          <w:rFonts w:eastAsia="Times New Roman" w:cs="Times New Roman"/>
          <w:b/>
          <w:bCs/>
        </w:rPr>
        <w:t>-t</w:t>
      </w:r>
      <w:r w:rsidRPr="001D6E53">
        <w:rPr>
          <w:rFonts w:eastAsia="Times New Roman" w:cs="Times New Roman"/>
          <w:b/>
          <w:bCs/>
        </w:rPr>
        <w:t xml:space="preserve">aking </w:t>
      </w:r>
      <w:r w:rsidR="00121DCC" w:rsidRPr="001D6E53">
        <w:rPr>
          <w:rFonts w:eastAsia="Times New Roman" w:cs="Times New Roman"/>
          <w:b/>
          <w:bCs/>
        </w:rPr>
        <w:t>GWAS Meta-Analys</w:t>
      </w:r>
      <w:r w:rsidRPr="001D6E53">
        <w:rPr>
          <w:rFonts w:eastAsia="Times New Roman" w:cs="Times New Roman"/>
          <w:b/>
          <w:bCs/>
        </w:rPr>
        <w:t>i</w:t>
      </w:r>
      <w:r w:rsidR="00121DCC" w:rsidRPr="001D6E53">
        <w:rPr>
          <w:rFonts w:eastAsia="Times New Roman" w:cs="Times New Roman"/>
          <w:b/>
          <w:bCs/>
        </w:rPr>
        <w:t>s</w:t>
      </w:r>
      <w:r w:rsidRPr="001D6E53">
        <w:rPr>
          <w:rFonts w:eastAsia="Times New Roman" w:cs="Times New Roman"/>
          <w:bCs/>
        </w:rPr>
        <w:t>.</w:t>
      </w:r>
      <w:r w:rsidR="00121DCC" w:rsidRPr="001D6E53">
        <w:rPr>
          <w:rFonts w:eastAsia="Times New Roman" w:cs="Times New Roman"/>
          <w:bCs/>
        </w:rPr>
        <w:t xml:space="preserve"> </w:t>
      </w:r>
      <w:r w:rsidR="00D064B3" w:rsidRPr="001D6E53">
        <w:rPr>
          <w:rFonts w:eastAsia="Times New Roman" w:cs="Times New Roman"/>
          <w:bCs/>
        </w:rPr>
        <w:t>A GWAS meta-analysis was conducted on risk tolerance (risk</w:t>
      </w:r>
      <w:r w:rsidR="00BD1E9A" w:rsidRPr="001D6E53">
        <w:rPr>
          <w:rFonts w:eastAsia="Times New Roman" w:cs="Times New Roman"/>
          <w:bCs/>
        </w:rPr>
        <w:t>-</w:t>
      </w:r>
      <w:r w:rsidR="00D064B3" w:rsidRPr="001D6E53">
        <w:rPr>
          <w:rFonts w:eastAsia="Times New Roman" w:cs="Times New Roman"/>
          <w:bCs/>
        </w:rPr>
        <w:t>taking) phenotypes assessed via Likert-scale and binary items (“Would you describe yourself as someone who takes risks?”) utilizing GWAS summary statistics for this phenotype from 23andMe (</w:t>
      </w:r>
      <w:r w:rsidR="00D064B3" w:rsidRPr="001D6E53">
        <w:rPr>
          <w:rFonts w:eastAsia="Times New Roman" w:cs="Times New Roman"/>
          <w:bCs/>
          <w:i/>
        </w:rPr>
        <w:t>N</w:t>
      </w:r>
      <w:r w:rsidR="00D064B3" w:rsidRPr="001D6E53">
        <w:rPr>
          <w:rFonts w:eastAsia="Times New Roman" w:cs="Times New Roman"/>
          <w:bCs/>
        </w:rPr>
        <w:t xml:space="preserve"> = 24,302) and the UKB cohort along with ten smaller replication samples (Linnér et al., 2019; </w:t>
      </w:r>
      <w:r w:rsidR="00D064B3" w:rsidRPr="001D6E53">
        <w:rPr>
          <w:rFonts w:eastAsia="Times New Roman" w:cs="Times New Roman"/>
          <w:bCs/>
          <w:i/>
        </w:rPr>
        <w:t>N</w:t>
      </w:r>
      <w:r w:rsidR="00D064B3" w:rsidRPr="001D6E53">
        <w:rPr>
          <w:rFonts w:eastAsia="Times New Roman" w:cs="Times New Roman"/>
          <w:bCs/>
        </w:rPr>
        <w:t xml:space="preserve"> = 466,571). For this risk</w:t>
      </w:r>
      <w:r w:rsidR="00BD1E9A" w:rsidRPr="001D6E53">
        <w:rPr>
          <w:rFonts w:eastAsia="Times New Roman" w:cs="Times New Roman"/>
          <w:bCs/>
        </w:rPr>
        <w:t>-</w:t>
      </w:r>
      <w:r w:rsidR="00D064B3" w:rsidRPr="001D6E53">
        <w:rPr>
          <w:rFonts w:eastAsia="Times New Roman" w:cs="Times New Roman"/>
          <w:bCs/>
        </w:rPr>
        <w:t xml:space="preserve">taking GWAS meta-analysis, </w:t>
      </w:r>
      <w:r w:rsidR="00D064B3" w:rsidRPr="001D6E53">
        <w:rPr>
          <w:rFonts w:eastAsia="Times New Roman" w:cs="Times New Roman"/>
        </w:rPr>
        <w:t xml:space="preserve">METAL was used to conduct a one-stage sample-size-weighted meta-analysis of the two non-overlapping cohort-level GWAS summary statistics for SNPs with MAF ≥ 0.01. </w:t>
      </w:r>
      <w:r w:rsidR="00121DCC" w:rsidRPr="001D6E53">
        <w:rPr>
          <w:rFonts w:eastAsia="Times New Roman" w:cs="Times New Roman"/>
          <w:bCs/>
        </w:rPr>
        <w:t>Preliminary genetic correlation analyses confirmed a high degree of concordance between</w:t>
      </w:r>
      <w:r w:rsidR="002A769E" w:rsidRPr="001D6E53">
        <w:rPr>
          <w:rFonts w:eastAsia="Times New Roman" w:cs="Times New Roman"/>
          <w:bCs/>
        </w:rPr>
        <w:t xml:space="preserve"> the</w:t>
      </w:r>
      <w:r w:rsidR="00121DCC" w:rsidRPr="001D6E53">
        <w:rPr>
          <w:rFonts w:eastAsia="Times New Roman" w:cs="Times New Roman"/>
          <w:bCs/>
        </w:rPr>
        <w:t xml:space="preserve"> </w:t>
      </w:r>
      <w:r w:rsidR="00D064B3" w:rsidRPr="001D6E53">
        <w:rPr>
          <w:rFonts w:eastAsia="Times New Roman" w:cs="Times New Roman"/>
          <w:bCs/>
        </w:rPr>
        <w:t>23andMe and Linnér et al. risk</w:t>
      </w:r>
      <w:r w:rsidR="00BD1E9A" w:rsidRPr="001D6E53">
        <w:rPr>
          <w:rFonts w:eastAsia="Times New Roman" w:cs="Times New Roman"/>
          <w:bCs/>
        </w:rPr>
        <w:t>-</w:t>
      </w:r>
      <w:r w:rsidR="00D064B3" w:rsidRPr="001D6E53">
        <w:rPr>
          <w:rFonts w:eastAsia="Times New Roman" w:cs="Times New Roman"/>
          <w:bCs/>
        </w:rPr>
        <w:t xml:space="preserve">taking </w:t>
      </w:r>
      <w:r w:rsidR="002A769E" w:rsidRPr="001D6E53">
        <w:rPr>
          <w:rFonts w:eastAsia="Times New Roman" w:cs="Times New Roman"/>
          <w:bCs/>
        </w:rPr>
        <w:t>summary statistics</w:t>
      </w:r>
      <w:r w:rsidR="00D064B3" w:rsidRPr="001D6E53">
        <w:rPr>
          <w:rFonts w:eastAsia="Times New Roman" w:cs="Times New Roman"/>
          <w:bCs/>
        </w:rPr>
        <w:t xml:space="preserve">: </w:t>
      </w:r>
      <w:r w:rsidR="00121DCC" w:rsidRPr="001D6E53">
        <w:rPr>
          <w:rFonts w:eastAsia="Times New Roman" w:cs="Times New Roman"/>
          <w:bCs/>
          <w:i/>
          <w:iCs/>
        </w:rPr>
        <w:t>r</w:t>
      </w:r>
      <w:r w:rsidR="00121DCC" w:rsidRPr="001D6E53">
        <w:rPr>
          <w:rFonts w:eastAsia="Times New Roman" w:cs="Times New Roman"/>
          <w:bCs/>
          <w:i/>
          <w:iCs/>
          <w:vertAlign w:val="subscript"/>
        </w:rPr>
        <w:t>g</w:t>
      </w:r>
      <w:r w:rsidR="00121DCC" w:rsidRPr="001D6E53">
        <w:rPr>
          <w:rFonts w:eastAsia="Times New Roman" w:cs="Times New Roman"/>
          <w:bCs/>
          <w:i/>
          <w:iCs/>
        </w:rPr>
        <w:t xml:space="preserve"> </w:t>
      </w:r>
      <w:r w:rsidR="00121DCC" w:rsidRPr="001D6E53">
        <w:rPr>
          <w:rFonts w:eastAsia="Times New Roman" w:cs="Times New Roman"/>
          <w:bCs/>
        </w:rPr>
        <w:t xml:space="preserve">= .83, </w:t>
      </w:r>
      <w:r w:rsidR="00121DCC" w:rsidRPr="001D6E53">
        <w:rPr>
          <w:rFonts w:eastAsia="Times New Roman" w:cs="Times New Roman"/>
          <w:bCs/>
          <w:i/>
          <w:iCs/>
        </w:rPr>
        <w:t>SE</w:t>
      </w:r>
      <w:r w:rsidR="00121DCC" w:rsidRPr="001D6E53">
        <w:rPr>
          <w:rFonts w:eastAsia="Times New Roman" w:cs="Times New Roman"/>
          <w:bCs/>
        </w:rPr>
        <w:t xml:space="preserve"> = .08, </w:t>
      </w:r>
      <w:r w:rsidR="00121DCC" w:rsidRPr="001D6E53">
        <w:rPr>
          <w:rFonts w:eastAsia="Times New Roman" w:cs="Times New Roman"/>
          <w:bCs/>
          <w:i/>
          <w:iCs/>
        </w:rPr>
        <w:t xml:space="preserve">P </w:t>
      </w:r>
      <w:r w:rsidR="00121DCC" w:rsidRPr="001D6E53">
        <w:rPr>
          <w:rFonts w:eastAsia="Times New Roman" w:cs="Times New Roman"/>
        </w:rPr>
        <w:t>= 1.78 ×</w:t>
      </w:r>
      <w:r w:rsidR="00121DCC" w:rsidRPr="001D6E53">
        <w:rPr>
          <w:rFonts w:eastAsia="Times New Roman" w:cs="Times New Roman"/>
          <w:i/>
        </w:rPr>
        <w:t xml:space="preserve"> </w:t>
      </w:r>
      <w:r w:rsidR="00121DCC" w:rsidRPr="001D6E53">
        <w:rPr>
          <w:rFonts w:eastAsia="Times New Roman" w:cs="Times New Roman"/>
        </w:rPr>
        <w:t>10</w:t>
      </w:r>
      <w:r w:rsidR="00121DCC" w:rsidRPr="001D6E53">
        <w:rPr>
          <w:rFonts w:eastAsia="Times New Roman" w:cs="Times New Roman"/>
          <w:vertAlign w:val="superscript"/>
        </w:rPr>
        <w:t>-23</w:t>
      </w:r>
      <w:r w:rsidR="00D064B3" w:rsidRPr="001D6E53">
        <w:rPr>
          <w:rFonts w:eastAsia="Times New Roman" w:cs="Times New Roman"/>
        </w:rPr>
        <w:t>.</w:t>
      </w:r>
      <w:r w:rsidR="00121DCC" w:rsidRPr="001D6E53">
        <w:rPr>
          <w:rFonts w:eastAsia="Times New Roman" w:cs="Times New Roman"/>
        </w:rPr>
        <w:t xml:space="preserve"> The resulting risk</w:t>
      </w:r>
      <w:r w:rsidR="00BD1E9A" w:rsidRPr="001D6E53">
        <w:rPr>
          <w:rFonts w:eastAsia="Times New Roman" w:cs="Times New Roman"/>
        </w:rPr>
        <w:t>-</w:t>
      </w:r>
      <w:r w:rsidR="00121DCC" w:rsidRPr="001D6E53">
        <w:rPr>
          <w:rFonts w:eastAsia="Times New Roman" w:cs="Times New Roman"/>
        </w:rPr>
        <w:t xml:space="preserve">taking </w:t>
      </w:r>
      <w:r w:rsidR="00D064B3" w:rsidRPr="001D6E53">
        <w:rPr>
          <w:rFonts w:eastAsia="Times New Roman" w:cs="Times New Roman"/>
        </w:rPr>
        <w:t xml:space="preserve">meta-analytic summary statistics </w:t>
      </w:r>
      <w:r w:rsidR="00121DCC" w:rsidRPr="001D6E53">
        <w:rPr>
          <w:rFonts w:eastAsia="Times New Roman" w:cs="Times New Roman"/>
        </w:rPr>
        <w:t>(</w:t>
      </w:r>
      <w:r w:rsidR="00121DCC" w:rsidRPr="001D6E53">
        <w:rPr>
          <w:rFonts w:eastAsia="Times New Roman" w:cs="Times New Roman"/>
          <w:i/>
          <w:iCs/>
        </w:rPr>
        <w:t xml:space="preserve">N </w:t>
      </w:r>
      <w:r w:rsidR="00121DCC" w:rsidRPr="001D6E53">
        <w:rPr>
          <w:rFonts w:eastAsia="Times New Roman" w:cs="Times New Roman"/>
        </w:rPr>
        <w:t>= 490,873)</w:t>
      </w:r>
      <w:r w:rsidR="00D064B3" w:rsidRPr="001D6E53">
        <w:rPr>
          <w:rFonts w:eastAsia="Times New Roman" w:cs="Times New Roman"/>
        </w:rPr>
        <w:t xml:space="preserve"> </w:t>
      </w:r>
      <w:r w:rsidR="00121DCC" w:rsidRPr="001D6E53">
        <w:rPr>
          <w:rFonts w:eastAsia="Times New Roman" w:cs="Times New Roman"/>
        </w:rPr>
        <w:t xml:space="preserve">were used as </w:t>
      </w:r>
      <w:r w:rsidR="00D064B3" w:rsidRPr="001D6E53">
        <w:rPr>
          <w:rFonts w:eastAsia="Times New Roman" w:cs="Times New Roman"/>
        </w:rPr>
        <w:t xml:space="preserve">an </w:t>
      </w:r>
      <w:r w:rsidR="00121DCC" w:rsidRPr="001D6E53">
        <w:rPr>
          <w:rFonts w:eastAsia="Times New Roman" w:cs="Times New Roman"/>
        </w:rPr>
        <w:t xml:space="preserve">indicator GWAS for downstream GenomicSEM analyses (see Supplementary Figure 1 for </w:t>
      </w:r>
      <w:r w:rsidR="00121DCC" w:rsidRPr="001D6E53">
        <w:rPr>
          <w:rFonts w:eastAsia="Times New Roman" w:cs="Times New Roman"/>
          <w:color w:val="000000"/>
        </w:rPr>
        <w:t xml:space="preserve">quantile-quantile [Q-Q] plots of </w:t>
      </w:r>
      <w:r w:rsidR="00D064B3" w:rsidRPr="001D6E53">
        <w:rPr>
          <w:rFonts w:eastAsia="Times New Roman" w:cs="Times New Roman"/>
          <w:color w:val="000000"/>
        </w:rPr>
        <w:t>these</w:t>
      </w:r>
      <w:r w:rsidR="00121DCC" w:rsidRPr="001D6E53">
        <w:rPr>
          <w:rFonts w:eastAsia="Times New Roman" w:cs="Times New Roman"/>
          <w:color w:val="000000"/>
        </w:rPr>
        <w:t xml:space="preserve"> meta-analytic results). </w:t>
      </w:r>
      <w:r w:rsidRPr="001D6E53">
        <w:rPr>
          <w:rFonts w:eastAsia="Times New Roman" w:cs="Times New Roman"/>
          <w:color w:val="000000"/>
        </w:rPr>
        <w:t>Genomic control was not applied to METAL results for any trait as meta-analysis–level genomic control correction can be overly conservative for traits used in downstream LDSC-based analyses, generally yielding an LDSC intercept less than 1 (Bulik-Sullivan, Loh, et al., 2015; Lee,</w:t>
      </w:r>
      <w:r w:rsidR="001F41BE" w:rsidRPr="001D6E53">
        <w:rPr>
          <w:rFonts w:eastAsia="Times New Roman" w:cs="Times New Roman"/>
          <w:color w:val="000000"/>
        </w:rPr>
        <w:t xml:space="preserve"> </w:t>
      </w:r>
      <w:proofErr w:type="spellStart"/>
      <w:r w:rsidR="001F41BE" w:rsidRPr="001D6E53">
        <w:rPr>
          <w:rFonts w:eastAsia="Times New Roman" w:cs="Times New Roman"/>
          <w:color w:val="000000"/>
        </w:rPr>
        <w:t>McGue</w:t>
      </w:r>
      <w:proofErr w:type="spellEnd"/>
      <w:r w:rsidR="001F41BE" w:rsidRPr="001D6E53">
        <w:rPr>
          <w:rFonts w:eastAsia="Times New Roman" w:cs="Times New Roman"/>
          <w:color w:val="000000"/>
        </w:rPr>
        <w:t xml:space="preserve">, </w:t>
      </w:r>
      <w:proofErr w:type="spellStart"/>
      <w:r w:rsidR="001F41BE" w:rsidRPr="001D6E53">
        <w:rPr>
          <w:rFonts w:eastAsia="Times New Roman" w:cs="Times New Roman"/>
          <w:color w:val="000000"/>
        </w:rPr>
        <w:t>Iacono</w:t>
      </w:r>
      <w:proofErr w:type="spellEnd"/>
      <w:r w:rsidR="001F41BE" w:rsidRPr="001D6E53">
        <w:rPr>
          <w:rFonts w:eastAsia="Times New Roman" w:cs="Times New Roman"/>
          <w:color w:val="000000"/>
        </w:rPr>
        <w:t>, &amp; Chow,</w:t>
      </w:r>
      <w:r w:rsidRPr="001D6E53">
        <w:rPr>
          <w:rFonts w:eastAsia="Times New Roman" w:cs="Times New Roman"/>
          <w:color w:val="000000"/>
        </w:rPr>
        <w:t xml:space="preserve"> 2018).</w:t>
      </w:r>
    </w:p>
    <w:p w14:paraId="3F48B1C2" w14:textId="173D4123" w:rsidR="00A11FA5" w:rsidRPr="001D6E53" w:rsidRDefault="00A11FA5" w:rsidP="001D6E53">
      <w:pPr>
        <w:spacing w:after="240"/>
        <w:jc w:val="both"/>
        <w:rPr>
          <w:rFonts w:eastAsia="Times New Roman" w:cs="Times New Roman"/>
          <w:b/>
          <w:bCs/>
          <w:i/>
        </w:rPr>
      </w:pPr>
      <w:r w:rsidRPr="001D6E53">
        <w:rPr>
          <w:rFonts w:eastAsia="Times New Roman" w:cs="Times New Roman"/>
          <w:b/>
          <w:bCs/>
          <w:i/>
        </w:rPr>
        <w:t>Neuroimaging GWAS</w:t>
      </w:r>
    </w:p>
    <w:p w14:paraId="4F65B3AD" w14:textId="2A6BBB04" w:rsidR="009444F2" w:rsidRPr="001D6E53" w:rsidRDefault="00AF6402" w:rsidP="001D6E53">
      <w:pPr>
        <w:spacing w:after="240"/>
        <w:ind w:firstLine="720"/>
        <w:jc w:val="both"/>
        <w:rPr>
          <w:rFonts w:eastAsia="Times New Roman" w:cs="Times New Roman"/>
          <w:bCs/>
        </w:rPr>
      </w:pPr>
      <w:r w:rsidRPr="001D6E53">
        <w:rPr>
          <w:rFonts w:eastAsia="Times New Roman" w:cs="Times New Roman"/>
          <w:b/>
          <w:bCs/>
        </w:rPr>
        <w:t>Genotyping, Imputation, and Quality Control</w:t>
      </w:r>
      <w:r w:rsidRPr="001D6E53">
        <w:rPr>
          <w:rFonts w:eastAsia="Times New Roman" w:cs="Times New Roman"/>
          <w:bCs/>
        </w:rPr>
        <w:t xml:space="preserve">. </w:t>
      </w:r>
      <w:r w:rsidR="00A11FA5" w:rsidRPr="001D6E53">
        <w:rPr>
          <w:rFonts w:eastAsia="Times New Roman" w:cs="Times New Roman"/>
          <w:bCs/>
        </w:rPr>
        <w:t>GWAS summary statistics for neuroimaging phenotypes were obtained from three primary sources: UKB</w:t>
      </w:r>
      <w:r w:rsidR="002A769E" w:rsidRPr="001D6E53">
        <w:rPr>
          <w:rFonts w:eastAsia="Times New Roman" w:cs="Times New Roman"/>
          <w:bCs/>
        </w:rPr>
        <w:t>,</w:t>
      </w:r>
      <w:r w:rsidR="00A11FA5" w:rsidRPr="001D6E53">
        <w:rPr>
          <w:rFonts w:eastAsia="Times New Roman" w:cs="Times New Roman"/>
          <w:bCs/>
        </w:rPr>
        <w:t xml:space="preserve"> the Enhancing Neuro Imaging Genetics Through Meta-Analysis (ENIGMA) </w:t>
      </w:r>
      <w:r w:rsidR="002A769E" w:rsidRPr="001D6E53">
        <w:rPr>
          <w:rFonts w:eastAsia="Times New Roman" w:cs="Times New Roman"/>
          <w:bCs/>
        </w:rPr>
        <w:t xml:space="preserve">consortium, </w:t>
      </w:r>
      <w:r w:rsidR="00A11FA5" w:rsidRPr="001D6E53">
        <w:rPr>
          <w:rFonts w:eastAsia="Times New Roman" w:cs="Times New Roman"/>
          <w:bCs/>
        </w:rPr>
        <w:t xml:space="preserve">and </w:t>
      </w:r>
      <w:r w:rsidR="002A769E" w:rsidRPr="001D6E53">
        <w:rPr>
          <w:rFonts w:eastAsia="Times New Roman" w:cs="Times New Roman"/>
          <w:bCs/>
        </w:rPr>
        <w:t xml:space="preserve">the </w:t>
      </w:r>
      <w:r w:rsidR="00D14B31" w:rsidRPr="001D6E53">
        <w:rPr>
          <w:rFonts w:eastAsia="Times New Roman" w:cs="Times New Roman"/>
          <w:bCs/>
        </w:rPr>
        <w:t>Cohorts for Heart and Aging Research in Genomic Epidemiology (CHARGE)</w:t>
      </w:r>
      <w:r w:rsidR="00A11FA5" w:rsidRPr="001D6E53">
        <w:rPr>
          <w:rFonts w:eastAsia="Times New Roman" w:cs="Times New Roman"/>
          <w:bCs/>
        </w:rPr>
        <w:t xml:space="preserve"> </w:t>
      </w:r>
      <w:r w:rsidR="002A769E" w:rsidRPr="001D6E53">
        <w:rPr>
          <w:rFonts w:eastAsia="Times New Roman" w:cs="Times New Roman"/>
          <w:bCs/>
        </w:rPr>
        <w:t>consortium</w:t>
      </w:r>
      <w:r w:rsidR="00A11FA5" w:rsidRPr="001D6E53">
        <w:rPr>
          <w:rFonts w:eastAsia="Times New Roman" w:cs="Times New Roman"/>
          <w:bCs/>
        </w:rPr>
        <w:t>. GWAS data from UKB samples for neuroimaging phenotypes described below were prepared in a similar fashion to UKB GWAS summary data for risk</w:t>
      </w:r>
      <w:r w:rsidR="00BD1E9A" w:rsidRPr="001D6E53">
        <w:rPr>
          <w:rFonts w:eastAsia="Times New Roman" w:cs="Times New Roman"/>
          <w:bCs/>
        </w:rPr>
        <w:t>-</w:t>
      </w:r>
      <w:r w:rsidR="00A11FA5" w:rsidRPr="001D6E53">
        <w:rPr>
          <w:rFonts w:eastAsia="Times New Roman" w:cs="Times New Roman"/>
          <w:bCs/>
        </w:rPr>
        <w:t xml:space="preserve">taking phenotypes described above </w:t>
      </w:r>
      <w:r w:rsidR="00A11FA5" w:rsidRPr="001D6E53">
        <w:rPr>
          <w:rFonts w:eastAsia="Times New Roman" w:cs="Times New Roman"/>
        </w:rPr>
        <w:t>(</w:t>
      </w:r>
      <w:r w:rsidR="00A11FA5" w:rsidRPr="001D6E53">
        <w:rPr>
          <w:rFonts w:eastAsia="Times New Roman" w:cs="Times New Roman"/>
          <w:i/>
          <w:iCs/>
        </w:rPr>
        <w:t xml:space="preserve">see Impulsive Personality Trait GWAS: Genotyping, Imputation, and Quality Control </w:t>
      </w:r>
      <w:r w:rsidR="00A11FA5" w:rsidRPr="001D6E53">
        <w:rPr>
          <w:rFonts w:eastAsia="Times New Roman" w:cs="Times New Roman"/>
        </w:rPr>
        <w:t>section</w:t>
      </w:r>
      <w:r w:rsidR="00075CBD" w:rsidRPr="001D6E53">
        <w:rPr>
          <w:rFonts w:eastAsia="Times New Roman" w:cs="Times New Roman"/>
        </w:rPr>
        <w:t xml:space="preserve"> above</w:t>
      </w:r>
      <w:r w:rsidR="00A11FA5" w:rsidRPr="001D6E53">
        <w:rPr>
          <w:rFonts w:eastAsia="Times New Roman" w:cs="Times New Roman"/>
        </w:rPr>
        <w:t xml:space="preserve">). ENIGMA data (e.g., Grasby et al., 2020; Satizabal et al., 2019) were genotyped using a variety of commercial arrays across the participating studies. Each study sample underwent variant and sample-based QC procedures (e.g., call rate, HWE). Imputation to the 1000 Genomes Project Phase 1 v3 or HRC reference panels was conducted using various validated software packages (see Grasby et al., 2020 and Satizabal et al., 2019 for additional details). CHARGE data </w:t>
      </w:r>
      <w:r w:rsidR="00075CBD" w:rsidRPr="001D6E53">
        <w:rPr>
          <w:rFonts w:eastAsia="Times New Roman" w:cs="Times New Roman"/>
        </w:rPr>
        <w:t>were genotyped to a custom array and imputed to either the European subsamples of the 1000 Genomes Project or HRCr1.1 panels following QC</w:t>
      </w:r>
      <w:r w:rsidR="00A11FA5" w:rsidRPr="001D6E53">
        <w:rPr>
          <w:rFonts w:eastAsia="Times New Roman" w:cs="Times New Roman"/>
        </w:rPr>
        <w:t>.</w:t>
      </w:r>
      <w:r w:rsidR="00A11FA5" w:rsidRPr="001D6E53">
        <w:rPr>
          <w:rFonts w:eastAsia="Times New Roman" w:cs="Times New Roman"/>
          <w:bCs/>
        </w:rPr>
        <w:t xml:space="preserve"> GWAS summary statistics included morphological and volumetric phenotypes for cortical brain regions and subcortical brain structures</w:t>
      </w:r>
      <w:r w:rsidR="00F27032" w:rsidRPr="001D6E53">
        <w:rPr>
          <w:rFonts w:eastAsia="Times New Roman" w:cs="Times New Roman"/>
          <w:bCs/>
        </w:rPr>
        <w:t xml:space="preserve">. </w:t>
      </w:r>
      <w:r w:rsidR="00A11FA5" w:rsidRPr="001D6E53">
        <w:rPr>
          <w:rFonts w:eastAsia="Times New Roman" w:cs="Times New Roman"/>
          <w:bCs/>
        </w:rPr>
        <w:t xml:space="preserve">From these sources, </w:t>
      </w:r>
      <w:r w:rsidR="00121DCC" w:rsidRPr="001D6E53">
        <w:rPr>
          <w:rFonts w:eastAsia="Times New Roman" w:cs="Times New Roman"/>
          <w:bCs/>
        </w:rPr>
        <w:t>three</w:t>
      </w:r>
      <w:r w:rsidR="00A11FA5" w:rsidRPr="001D6E53">
        <w:rPr>
          <w:rFonts w:eastAsia="Times New Roman" w:cs="Times New Roman"/>
          <w:bCs/>
        </w:rPr>
        <w:t xml:space="preserve"> primary sets of imaging phenotypes across the brain were utilized (see Table 1). </w:t>
      </w:r>
    </w:p>
    <w:p w14:paraId="66D1D773" w14:textId="7886379B" w:rsidR="00121DCC" w:rsidRPr="001D6E53" w:rsidRDefault="00121DCC" w:rsidP="001D6E53">
      <w:pPr>
        <w:spacing w:after="240"/>
        <w:ind w:firstLine="720"/>
        <w:jc w:val="both"/>
        <w:rPr>
          <w:rFonts w:eastAsia="Times New Roman" w:cs="Times New Roman"/>
          <w:bCs/>
        </w:rPr>
      </w:pPr>
      <w:r w:rsidRPr="001D6E53">
        <w:rPr>
          <w:rFonts w:eastAsia="Times New Roman" w:cs="Times New Roman"/>
          <w:b/>
        </w:rPr>
        <w:t xml:space="preserve">Neuroimaging Phenotypes. </w:t>
      </w:r>
      <w:r w:rsidRPr="001D6E53">
        <w:rPr>
          <w:rFonts w:eastAsia="Times New Roman" w:cs="Times New Roman"/>
          <w:bCs/>
        </w:rPr>
        <w:t>The first set included GWAS summary statistics from UKB obtained using the Oxford Brain Imaging Genetics (BIG40) web server (</w:t>
      </w:r>
      <w:hyperlink r:id="rId5" w:history="1">
        <w:r w:rsidRPr="001D6E53">
          <w:rPr>
            <w:rStyle w:val="Hyperlink"/>
            <w:rFonts w:eastAsia="Times New Roman" w:cs="Times New Roman"/>
            <w:bCs/>
          </w:rPr>
          <w:t>https://open.win.ox.ac.uk/ukbiobank/big40/</w:t>
        </w:r>
      </w:hyperlink>
      <w:r w:rsidRPr="001D6E53">
        <w:rPr>
          <w:rFonts w:eastAsia="Times New Roman" w:cs="Times New Roman"/>
          <w:bCs/>
        </w:rPr>
        <w:t>) for volumes of 62 cortical regional tissue volume phenotypes (</w:t>
      </w:r>
      <w:r w:rsidRPr="001D6E53">
        <w:rPr>
          <w:rFonts w:eastAsia="Times New Roman" w:cs="Times New Roman"/>
          <w:bCs/>
          <w:i/>
        </w:rPr>
        <w:t>N</w:t>
      </w:r>
      <w:r w:rsidRPr="001D6E53">
        <w:rPr>
          <w:rFonts w:eastAsia="Times New Roman" w:cs="Times New Roman"/>
          <w:bCs/>
        </w:rPr>
        <w:t xml:space="preserve"> = 31,968; Smith et al., 2021). These include 31 left-hemisphere and 31 right-hemisphere cortical parcellation phenotypes generated via the Desikan-Killiany-Tourville atlas (Klein &amp; Tourville, 2012). The second set included GWAS summary statistics from ENIGMA and UKB obtained by request for cortical surface area and thickness phenotypes controlling for global cortical surface area and thickness (</w:t>
      </w:r>
      <w:r w:rsidRPr="001D6E53">
        <w:rPr>
          <w:rFonts w:eastAsia="Times New Roman" w:cs="Times New Roman"/>
          <w:bCs/>
          <w:i/>
        </w:rPr>
        <w:t>N</w:t>
      </w:r>
      <w:r w:rsidRPr="001D6E53">
        <w:rPr>
          <w:rFonts w:eastAsia="Times New Roman" w:cs="Times New Roman"/>
          <w:bCs/>
        </w:rPr>
        <w:t xml:space="preserve"> = 33,992; Grasby et al., 2020; (</w:t>
      </w:r>
      <w:hyperlink r:id="rId6" w:history="1">
        <w:r w:rsidRPr="001D6E53">
          <w:rPr>
            <w:rStyle w:val="Hyperlink"/>
            <w:rFonts w:eastAsia="Times New Roman" w:cs="Times New Roman"/>
            <w:bCs/>
          </w:rPr>
          <w:t>http://enigma.ini.usc.edu/</w:t>
        </w:r>
      </w:hyperlink>
      <w:r w:rsidRPr="001D6E53">
        <w:rPr>
          <w:rFonts w:eastAsia="Times New Roman" w:cs="Times New Roman"/>
          <w:bCs/>
        </w:rPr>
        <w:t xml:space="preserve">). These include 34 cortical surface area (SA) and 34 cortical thickness (TH) phenotypes generated via the Desikan-Killiany atlas (Desikan et al., 2006). The third set included GWAS summary statistics from CHARGE, ENIGMA, and UKB obtained by request for volumes of seven subcortical structures: the nucleus accumbens, amygdala, caudate nucleus, putamen, globus </w:t>
      </w:r>
      <w:r w:rsidRPr="001D6E53">
        <w:rPr>
          <w:rFonts w:eastAsia="Times New Roman" w:cs="Times New Roman"/>
          <w:bCs/>
        </w:rPr>
        <w:lastRenderedPageBreak/>
        <w:t>pallidus, thalamus, and brainstem [including the mesencephalon, pons, and medulla oblongata] (</w:t>
      </w:r>
      <w:r w:rsidRPr="001D6E53">
        <w:rPr>
          <w:rFonts w:eastAsia="Times New Roman" w:cs="Times New Roman"/>
          <w:bCs/>
          <w:i/>
        </w:rPr>
        <w:t>N</w:t>
      </w:r>
      <w:r w:rsidRPr="001D6E53">
        <w:rPr>
          <w:rFonts w:eastAsia="Times New Roman" w:cs="Times New Roman"/>
          <w:bCs/>
        </w:rPr>
        <w:t xml:space="preserve"> = 24,945 - 30,175; Satizabal et al., 2019; (</w:t>
      </w:r>
      <w:hyperlink r:id="rId7" w:history="1">
        <w:r w:rsidRPr="001D6E53">
          <w:rPr>
            <w:rStyle w:val="Hyperlink"/>
            <w:rFonts w:eastAsia="Times New Roman" w:cs="Times New Roman"/>
            <w:bCs/>
          </w:rPr>
          <w:t>http://enigma.ini.usc.edu/</w:t>
        </w:r>
      </w:hyperlink>
      <w:r w:rsidRPr="001D6E53">
        <w:rPr>
          <w:rFonts w:eastAsia="Times New Roman" w:cs="Times New Roman"/>
          <w:bCs/>
        </w:rPr>
        <w:t xml:space="preserve">). CHARGE summary statistics used for this study were from an unrestricted set, and thus, excluded four cohorts restricted from use in research characterized by the study of potentially sensitive behavioral traits (e.g., impulsivity and alcohol use). </w:t>
      </w:r>
    </w:p>
    <w:p w14:paraId="6CC3E1A4" w14:textId="6A6F9E4D" w:rsidR="00E53D77" w:rsidRPr="001D6E53" w:rsidRDefault="00BE1ABD" w:rsidP="001D6E53">
      <w:pPr>
        <w:spacing w:after="240"/>
        <w:jc w:val="both"/>
        <w:rPr>
          <w:rFonts w:eastAsia="Times New Roman" w:cs="Times New Roman"/>
          <w:b/>
          <w:bCs/>
          <w:i/>
          <w:iCs/>
        </w:rPr>
      </w:pPr>
      <w:r w:rsidRPr="001D6E53">
        <w:rPr>
          <w:rFonts w:eastAsia="Times New Roman" w:cs="Times New Roman"/>
          <w:b/>
          <w:bCs/>
          <w:i/>
          <w:iCs/>
        </w:rPr>
        <w:t>GenomicSEM Analyses</w:t>
      </w:r>
    </w:p>
    <w:p w14:paraId="5CB31470" w14:textId="49F5BDF6" w:rsidR="00C00F6A" w:rsidRPr="001D6E53" w:rsidRDefault="003F22CC" w:rsidP="001D6E53">
      <w:pPr>
        <w:spacing w:after="240"/>
        <w:ind w:firstLine="720"/>
        <w:jc w:val="both"/>
        <w:rPr>
          <w:rFonts w:eastAsia="Times New Roman" w:cs="Times New Roman"/>
          <w:bCs/>
        </w:rPr>
      </w:pPr>
      <w:r w:rsidRPr="001D6E53">
        <w:rPr>
          <w:rFonts w:eastAsia="Times New Roman" w:cs="Times New Roman"/>
          <w:bCs/>
        </w:rPr>
        <w:t xml:space="preserve">Briefly, GenomicSEM </w:t>
      </w:r>
      <w:r w:rsidR="00BB0972">
        <w:rPr>
          <w:rFonts w:eastAsia="Times New Roman" w:cs="Times New Roman"/>
          <w:bCs/>
        </w:rPr>
        <w:t xml:space="preserve">(Grotzinger et al., 2019) </w:t>
      </w:r>
      <w:r w:rsidRPr="001D6E53">
        <w:rPr>
          <w:rFonts w:eastAsia="Times New Roman" w:cs="Times New Roman"/>
          <w:bCs/>
        </w:rPr>
        <w:t xml:space="preserve">is a natural extension of linkage-disequilibrium score regression (LDSC; Bulik-Sullivan, Loh, et al., 2015; Bulik-Sullivan, Finucane, et al., 2015), which calculates genetic correlations between any two traits for which summary statistics are available, provided the samples were drawn from the same ancestral background. Summary statistics are filtered and pre-processed using the </w:t>
      </w:r>
      <w:r w:rsidRPr="001D6E53">
        <w:rPr>
          <w:rFonts w:eastAsia="Times New Roman" w:cs="Times New Roman"/>
          <w:bCs/>
          <w:i/>
          <w:iCs/>
        </w:rPr>
        <w:t xml:space="preserve">munge </w:t>
      </w:r>
      <w:r w:rsidRPr="001D6E53">
        <w:rPr>
          <w:rFonts w:eastAsia="Times New Roman" w:cs="Times New Roman"/>
          <w:bCs/>
        </w:rPr>
        <w:t xml:space="preserve">function which retains all HapMap3 SNPs (The International HapMap 3 Consortium, 2010) with MAF &gt; 0.01 outside the major histocompatibility complex region. </w:t>
      </w:r>
      <w:r w:rsidR="00C00F6A" w:rsidRPr="001D6E53">
        <w:rPr>
          <w:rFonts w:eastAsia="Times New Roman" w:cs="Times New Roman"/>
          <w:bCs/>
        </w:rPr>
        <w:t>LDSC, and by extension, GenomicSEM, estimates genetic covariance between traits by incorporating information contained in GWAS summary statistics (i.e., SNPs effect sizes and standard errors) with ancestry-specific LD reference panels to account for non-independence of SNPs (i.e., LD scores referencing the non-random association of two or more SNPs in a population) providing an estimate of genetic covariance between all traits examined within the specified ancestral population.</w:t>
      </w:r>
    </w:p>
    <w:p w14:paraId="68837D55" w14:textId="3632FA24" w:rsidR="00A14E13" w:rsidRPr="001D6E53" w:rsidRDefault="003F22CC" w:rsidP="001D6E53">
      <w:pPr>
        <w:spacing w:after="240"/>
        <w:ind w:firstLine="720"/>
        <w:jc w:val="both"/>
        <w:rPr>
          <w:rFonts w:eastAsia="Times New Roman" w:cs="Times New Roman"/>
          <w:bCs/>
        </w:rPr>
      </w:pPr>
      <w:r w:rsidRPr="001D6E53">
        <w:rPr>
          <w:rFonts w:eastAsia="Times New Roman" w:cs="Times New Roman"/>
          <w:bCs/>
        </w:rPr>
        <w:t xml:space="preserve">Using LDSC, GenomicSEM computes a full genetic correlation matrix across the set of traits for which munged GWAS summary statistics are provided and then estimates the model with this correlation matrix using the </w:t>
      </w:r>
      <w:proofErr w:type="spellStart"/>
      <w:r w:rsidRPr="001D6E53">
        <w:rPr>
          <w:rFonts w:eastAsia="Times New Roman" w:cs="Times New Roman"/>
          <w:bCs/>
          <w:i/>
          <w:iCs/>
        </w:rPr>
        <w:t>lavaan</w:t>
      </w:r>
      <w:proofErr w:type="spellEnd"/>
      <w:r w:rsidRPr="001D6E53">
        <w:rPr>
          <w:rFonts w:eastAsia="Times New Roman" w:cs="Times New Roman"/>
          <w:bCs/>
        </w:rPr>
        <w:t xml:space="preserve"> SEM package (version 0.6-8; </w:t>
      </w:r>
      <w:proofErr w:type="spellStart"/>
      <w:r w:rsidRPr="001D6E53">
        <w:rPr>
          <w:rFonts w:eastAsia="Times New Roman" w:cs="Times New Roman"/>
          <w:bCs/>
        </w:rPr>
        <w:t>Rosseel</w:t>
      </w:r>
      <w:proofErr w:type="spellEnd"/>
      <w:r w:rsidRPr="001D6E53">
        <w:rPr>
          <w:rFonts w:eastAsia="Times New Roman" w:cs="Times New Roman"/>
          <w:bCs/>
        </w:rPr>
        <w:t>, 2012) in R. Most of the summary statistics included in the analyses were based on overlapping samples (e.g., 23andMe, UKB); however, this method adjusts for sample overlap by estimating a sampling covariance matrix that indexes the extent to which sampling errors of the estimates are associated (Grotzinger et al., 2019).</w:t>
      </w:r>
    </w:p>
    <w:p w14:paraId="7AB9E5CE" w14:textId="5968EB87" w:rsidR="00C53FF1" w:rsidRPr="00926B7F" w:rsidRDefault="003F22CC" w:rsidP="001531D6">
      <w:pPr>
        <w:spacing w:after="240"/>
        <w:ind w:firstLine="720"/>
        <w:jc w:val="both"/>
        <w:rPr>
          <w:rFonts w:eastAsia="Times New Roman" w:cs="Times New Roman"/>
          <w:b/>
          <w:bCs/>
          <w:i/>
          <w:iCs/>
        </w:rPr>
      </w:pPr>
      <w:r w:rsidRPr="001D6E53">
        <w:rPr>
          <w:rFonts w:eastAsia="Times New Roman" w:cs="Times New Roman"/>
          <w:bCs/>
        </w:rPr>
        <w:t xml:space="preserve">Of note, GenomicSEM boosts power relative to GWAS of individual phenotypes even when sample sizes are uneven across phenotypes. However, compared to maximum likelihood estimation, </w:t>
      </w:r>
      <w:r w:rsidR="00E53D77" w:rsidRPr="001D6E53">
        <w:rPr>
          <w:rFonts w:eastAsia="Times New Roman" w:cs="Times New Roman"/>
          <w:bCs/>
        </w:rPr>
        <w:t xml:space="preserve">diagonally weighted least squares (DWLS) </w:t>
      </w:r>
      <w:r w:rsidRPr="001D6E53">
        <w:rPr>
          <w:rFonts w:eastAsia="Times New Roman" w:cs="Times New Roman"/>
          <w:bCs/>
        </w:rPr>
        <w:t>estimation is more likely to produce a solution that is dominated by the patterns of associations involving the most well-powered traits, thereby producing model estimates that more closely match the pieces of the genetic covariances matrix that are estimated with greater precision (i.e., smaller standard errors typically reflective of larger sample sizes). Importantly, this does not guarantee that model parameters (e.g., factor loadings) will be overly influenced by GWAS with larger sample sizes as several other factors influence the estimation of these parameters including relative correlations between traits, magnitude of differences in relative power of indicator GWAS, degree of sample overlap, and overidentification of models (</w:t>
      </w:r>
      <w:r w:rsidRPr="001D6E53">
        <w:rPr>
          <w:rFonts w:eastAsia="Times New Roman" w:cs="Times New Roman"/>
          <w:bCs/>
          <w:i/>
          <w:iCs/>
        </w:rPr>
        <w:t>df</w:t>
      </w:r>
      <w:r w:rsidRPr="001D6E53">
        <w:rPr>
          <w:rFonts w:eastAsia="Times New Roman" w:cs="Times New Roman"/>
          <w:bCs/>
        </w:rPr>
        <w:t xml:space="preserve"> &gt; 0). Thus, there is a variance-bias tradeoff between DWLS and maximum likelihood estimation here: greater precision of estimates versus decreased bias arising from discrepant sample sizes (</w:t>
      </w:r>
      <w:proofErr w:type="spellStart"/>
      <w:r w:rsidRPr="001D6E53">
        <w:rPr>
          <w:rFonts w:eastAsia="Times New Roman" w:cs="Times New Roman"/>
          <w:bCs/>
        </w:rPr>
        <w:t>Yarkoni</w:t>
      </w:r>
      <w:proofErr w:type="spellEnd"/>
      <w:r w:rsidRPr="001D6E53">
        <w:rPr>
          <w:rFonts w:eastAsia="Times New Roman" w:cs="Times New Roman"/>
          <w:bCs/>
        </w:rPr>
        <w:t xml:space="preserve"> &amp; Westfall, 2017). However, in cases of just-identification and high sample overlap, characteristic of single latent factor multivariate GWAS models conducted as part of this study, this tradeoff is expected to be small (</w:t>
      </w:r>
      <w:proofErr w:type="spellStart"/>
      <w:r w:rsidRPr="001D6E53">
        <w:rPr>
          <w:rFonts w:eastAsia="Times New Roman" w:cs="Times New Roman"/>
          <w:bCs/>
        </w:rPr>
        <w:t>Groztinger</w:t>
      </w:r>
      <w:proofErr w:type="spellEnd"/>
      <w:r w:rsidRPr="001D6E53">
        <w:rPr>
          <w:rFonts w:eastAsia="Times New Roman" w:cs="Times New Roman"/>
          <w:bCs/>
        </w:rPr>
        <w:t xml:space="preserve"> et al., 2019).</w:t>
      </w:r>
      <w:r w:rsidRPr="001D6E53">
        <w:rPr>
          <w:rFonts w:eastAsia="Times New Roman" w:cs="Times New Roman"/>
          <w:b/>
          <w:bCs/>
          <w:i/>
          <w:iCs/>
        </w:rPr>
        <w:t xml:space="preserve"> </w:t>
      </w:r>
    </w:p>
    <w:p w14:paraId="451DF80A" w14:textId="0B82BFD1" w:rsidR="003F22CC" w:rsidRPr="001D6E53" w:rsidRDefault="003F22CC" w:rsidP="001D6E53">
      <w:pPr>
        <w:spacing w:after="240"/>
        <w:jc w:val="both"/>
        <w:rPr>
          <w:rFonts w:eastAsia="Times New Roman" w:cs="Times New Roman"/>
          <w:b/>
          <w:bCs/>
          <w:i/>
          <w:iCs/>
        </w:rPr>
      </w:pPr>
      <w:r w:rsidRPr="001D6E53">
        <w:rPr>
          <w:rFonts w:eastAsia="Times New Roman" w:cs="Times New Roman"/>
          <w:b/>
          <w:bCs/>
          <w:i/>
          <w:iCs/>
        </w:rPr>
        <w:t>Multivariate GWAS</w:t>
      </w:r>
    </w:p>
    <w:p w14:paraId="29C180D5" w14:textId="4D1EBDC5" w:rsidR="003F22CC" w:rsidRPr="001D6E53" w:rsidRDefault="003F22CC" w:rsidP="001D6E53">
      <w:pPr>
        <w:spacing w:after="240"/>
        <w:jc w:val="both"/>
        <w:rPr>
          <w:rFonts w:eastAsia="Times New Roman" w:cs="Times New Roman"/>
        </w:rPr>
      </w:pPr>
      <w:r w:rsidRPr="001D6E53">
        <w:rPr>
          <w:rFonts w:eastAsia="Times New Roman" w:cs="Times New Roman"/>
          <w:b/>
          <w:bCs/>
          <w:i/>
          <w:iCs/>
        </w:rPr>
        <w:lastRenderedPageBreak/>
        <w:tab/>
      </w:r>
      <w:r w:rsidRPr="001D6E53">
        <w:rPr>
          <w:rFonts w:eastAsia="Times New Roman" w:cs="Times New Roman"/>
        </w:rPr>
        <w:t xml:space="preserve">Following examination of structural and stratified GenomicSEM analyses utilizing LD information without measured SNPs, multivariate GWAS analyses were conducted by estimating SNP associations with each latent genetic factor. As a first step in this process, a single set of summary statistics for each model was generated using the </w:t>
      </w:r>
      <w:proofErr w:type="spellStart"/>
      <w:r w:rsidRPr="001D6E53">
        <w:rPr>
          <w:rFonts w:eastAsia="Times New Roman" w:cs="Times New Roman"/>
          <w:i/>
          <w:iCs/>
        </w:rPr>
        <w:t>sumstats</w:t>
      </w:r>
      <w:proofErr w:type="spellEnd"/>
      <w:r w:rsidRPr="001D6E53">
        <w:rPr>
          <w:rFonts w:eastAsia="Times New Roman" w:cs="Times New Roman"/>
          <w:i/>
          <w:iCs/>
        </w:rPr>
        <w:t xml:space="preserve"> </w:t>
      </w:r>
      <w:r w:rsidRPr="001D6E53">
        <w:rPr>
          <w:rFonts w:eastAsia="Times New Roman" w:cs="Times New Roman"/>
        </w:rPr>
        <w:t>function which performs list-wise deletion and standardization across each of the univariate GWAS summary statistics</w:t>
      </w:r>
      <w:r w:rsidR="00B05475" w:rsidRPr="001D6E53">
        <w:rPr>
          <w:rFonts w:eastAsia="Times New Roman" w:cs="Times New Roman"/>
        </w:rPr>
        <w:t xml:space="preserve"> serving as model indicators</w:t>
      </w:r>
      <w:r w:rsidRPr="001D6E53">
        <w:rPr>
          <w:rFonts w:eastAsia="Times New Roman" w:cs="Times New Roman"/>
        </w:rPr>
        <w:t>. Given the list-wise deletion of SNPs missing from any one of the indicators</w:t>
      </w:r>
      <w:r w:rsidR="00B05475" w:rsidRPr="001D6E53">
        <w:rPr>
          <w:rFonts w:eastAsia="Times New Roman" w:cs="Times New Roman"/>
        </w:rPr>
        <w:t>,</w:t>
      </w:r>
      <w:r w:rsidRPr="001D6E53">
        <w:rPr>
          <w:rFonts w:eastAsia="Times New Roman" w:cs="Times New Roman"/>
        </w:rPr>
        <w:t xml:space="preserve"> and </w:t>
      </w:r>
      <w:r w:rsidR="00B05475" w:rsidRPr="001D6E53">
        <w:rPr>
          <w:rFonts w:eastAsia="Times New Roman" w:cs="Times New Roman"/>
        </w:rPr>
        <w:t xml:space="preserve">thus, </w:t>
      </w:r>
      <w:r w:rsidRPr="001D6E53">
        <w:rPr>
          <w:rFonts w:eastAsia="Times New Roman" w:cs="Times New Roman"/>
        </w:rPr>
        <w:t xml:space="preserve">variation </w:t>
      </w:r>
      <w:r w:rsidR="00B05475" w:rsidRPr="001D6E53">
        <w:rPr>
          <w:rFonts w:eastAsia="Times New Roman" w:cs="Times New Roman"/>
        </w:rPr>
        <w:t xml:space="preserve">in the </w:t>
      </w:r>
      <w:r w:rsidRPr="001D6E53">
        <w:rPr>
          <w:rFonts w:eastAsia="Times New Roman" w:cs="Times New Roman"/>
        </w:rPr>
        <w:t xml:space="preserve">available markers </w:t>
      </w:r>
      <w:r w:rsidR="00B05475" w:rsidRPr="001D6E53">
        <w:rPr>
          <w:rFonts w:eastAsia="Times New Roman" w:cs="Times New Roman"/>
        </w:rPr>
        <w:t xml:space="preserve">for </w:t>
      </w:r>
      <w:r w:rsidRPr="001D6E53">
        <w:rPr>
          <w:rFonts w:eastAsia="Times New Roman" w:cs="Times New Roman"/>
        </w:rPr>
        <w:t xml:space="preserve">each </w:t>
      </w:r>
      <w:r w:rsidR="00B05475" w:rsidRPr="001D6E53">
        <w:rPr>
          <w:rFonts w:eastAsia="Times New Roman" w:cs="Times New Roman"/>
        </w:rPr>
        <w:t xml:space="preserve">latent factor </w:t>
      </w:r>
      <w:r w:rsidRPr="001D6E53">
        <w:rPr>
          <w:rFonts w:eastAsia="Times New Roman" w:cs="Times New Roman"/>
        </w:rPr>
        <w:t xml:space="preserve">(e.g., sensation seeking vs. others, see Table 1), </w:t>
      </w:r>
      <w:r w:rsidR="00E53D77" w:rsidRPr="001D6E53">
        <w:rPr>
          <w:rFonts w:eastAsia="Times New Roman" w:cs="Times New Roman"/>
        </w:rPr>
        <w:t>single latent</w:t>
      </w:r>
      <w:r w:rsidRPr="001D6E53">
        <w:rPr>
          <w:rFonts w:eastAsia="Times New Roman" w:cs="Times New Roman"/>
        </w:rPr>
        <w:t xml:space="preserve"> factor models, rather than two-factor correlated models, were used for multivariate GWAS of dual-systems </w:t>
      </w:r>
      <w:r w:rsidR="00E53D77" w:rsidRPr="001D6E53">
        <w:rPr>
          <w:rFonts w:eastAsia="Times New Roman" w:cs="Times New Roman"/>
        </w:rPr>
        <w:t>constructs</w:t>
      </w:r>
      <w:r w:rsidRPr="001D6E53">
        <w:rPr>
          <w:rFonts w:eastAsia="Times New Roman" w:cs="Times New Roman"/>
        </w:rPr>
        <w:t xml:space="preserve"> to optimize power to detect associations for all available SNPs. </w:t>
      </w:r>
    </w:p>
    <w:p w14:paraId="7F78461D" w14:textId="054FE487" w:rsidR="003F22CC" w:rsidRPr="001D6E53" w:rsidRDefault="003F22CC" w:rsidP="001D6E53">
      <w:pPr>
        <w:spacing w:after="240"/>
        <w:jc w:val="both"/>
        <w:rPr>
          <w:rFonts w:eastAsia="Times New Roman" w:cs="Times New Roman"/>
        </w:rPr>
      </w:pPr>
      <w:r w:rsidRPr="001D6E53">
        <w:rPr>
          <w:rFonts w:eastAsia="Times New Roman" w:cs="Times New Roman"/>
        </w:rPr>
        <w:tab/>
        <w:t xml:space="preserve">Next, the </w:t>
      </w:r>
      <w:proofErr w:type="spellStart"/>
      <w:r w:rsidRPr="001D6E53">
        <w:rPr>
          <w:rFonts w:eastAsia="Times New Roman" w:cs="Times New Roman"/>
          <w:i/>
          <w:iCs/>
        </w:rPr>
        <w:t>userGWAS</w:t>
      </w:r>
      <w:proofErr w:type="spellEnd"/>
      <w:r w:rsidRPr="001D6E53">
        <w:rPr>
          <w:rFonts w:eastAsia="Times New Roman" w:cs="Times New Roman"/>
        </w:rPr>
        <w:t xml:space="preserve"> function was utilized to run the specified structural model in an iterative manner for each measured SNP in the combined set of summary statistics, regressing the latent genetic factor on each SNP</w:t>
      </w:r>
      <w:r w:rsidR="001D3442" w:rsidRPr="001D6E53">
        <w:rPr>
          <w:rFonts w:eastAsia="Times New Roman" w:cs="Times New Roman"/>
        </w:rPr>
        <w:t xml:space="preserve"> individually</w:t>
      </w:r>
      <w:r w:rsidRPr="001D6E53">
        <w:rPr>
          <w:rFonts w:eastAsia="Times New Roman" w:cs="Times New Roman"/>
        </w:rPr>
        <w:t xml:space="preserve">. In contrast to the structural </w:t>
      </w:r>
      <w:r w:rsidR="00E53D77" w:rsidRPr="001D6E53">
        <w:rPr>
          <w:rFonts w:eastAsia="Times New Roman" w:cs="Times New Roman"/>
        </w:rPr>
        <w:t xml:space="preserve">genomic </w:t>
      </w:r>
      <w:r w:rsidRPr="001D6E53">
        <w:rPr>
          <w:rFonts w:eastAsia="Times New Roman" w:cs="Times New Roman"/>
        </w:rPr>
        <w:t>models, the latent genetic factors were the dependent variables in these analyses, and thus unit loading identification was specified for scaling purposes (i.e., the loading of the GWAS indicator with the greatest correlations with other indicators was set to 1). From these multivariate GWAS analyses, individual SNP associations (unstandardized regression coefficients and standard errors [</w:t>
      </w:r>
      <w:proofErr w:type="spellStart"/>
      <w:r w:rsidRPr="001D6E53">
        <w:rPr>
          <w:rFonts w:eastAsia="Times New Roman" w:cs="Times New Roman"/>
          <w:i/>
          <w:iCs/>
        </w:rPr>
        <w:t>b</w:t>
      </w:r>
      <w:r w:rsidRPr="001D6E53">
        <w:rPr>
          <w:rFonts w:eastAsia="Times New Roman" w:cs="Times New Roman"/>
          <w:vertAlign w:val="subscript"/>
        </w:rPr>
        <w:t>SNP</w:t>
      </w:r>
      <w:proofErr w:type="spellEnd"/>
      <w:r w:rsidRPr="001D6E53">
        <w:rPr>
          <w:rFonts w:eastAsia="Times New Roman" w:cs="Times New Roman"/>
          <w:i/>
          <w:iCs/>
        </w:rPr>
        <w:t>, SE</w:t>
      </w:r>
      <w:r w:rsidRPr="001D6E53">
        <w:rPr>
          <w:rFonts w:eastAsia="Times New Roman" w:cs="Times New Roman"/>
          <w:vertAlign w:val="subscript"/>
        </w:rPr>
        <w:t>SNP</w:t>
      </w:r>
      <w:r w:rsidRPr="001D6E53">
        <w:rPr>
          <w:rFonts w:eastAsia="Times New Roman" w:cs="Times New Roman"/>
        </w:rPr>
        <w:t xml:space="preserve">]) with latent factors as well as </w:t>
      </w:r>
      <w:r w:rsidRPr="001D6E53">
        <w:rPr>
          <w:rFonts w:eastAsia="Times New Roman" w:cs="Times New Roman"/>
          <w:i/>
        </w:rPr>
        <w:t>χ</w:t>
      </w:r>
      <w:r w:rsidRPr="001D6E53">
        <w:rPr>
          <w:rFonts w:eastAsia="Times New Roman" w:cs="Times New Roman"/>
          <w:bCs/>
          <w:vertAlign w:val="superscript"/>
        </w:rPr>
        <w:t>2</w:t>
      </w:r>
      <w:r w:rsidRPr="001D6E53">
        <w:rPr>
          <w:rFonts w:eastAsia="Times New Roman" w:cs="Times New Roman"/>
          <w:bCs/>
        </w:rPr>
        <w:t xml:space="preserve"> and AIC statistics for each individual SNP regression model were obtained.</w:t>
      </w:r>
      <w:r w:rsidRPr="001D6E53">
        <w:rPr>
          <w:rFonts w:eastAsia="Times New Roman" w:cs="Times New Roman"/>
        </w:rPr>
        <w:t xml:space="preserve"> Individual SNP effects were estimated for the latent genetic factors in each model if they were available in all univariate summary statistics, had a MAF ≥ 0.5%, and were present in the 1000 Genomes Project Phase 3 v5 reference panel. </w:t>
      </w:r>
    </w:p>
    <w:p w14:paraId="4426C577" w14:textId="1DBE3A6E" w:rsidR="003F22CC" w:rsidRPr="001D6E53" w:rsidRDefault="003F22CC" w:rsidP="001D6E53">
      <w:pPr>
        <w:spacing w:after="240"/>
        <w:jc w:val="both"/>
        <w:rPr>
          <w:rFonts w:eastAsia="Times New Roman" w:cs="Times New Roman"/>
        </w:rPr>
      </w:pPr>
      <w:r w:rsidRPr="001D6E53">
        <w:rPr>
          <w:rFonts w:eastAsia="Times New Roman" w:cs="Times New Roman"/>
        </w:rPr>
        <w:tab/>
        <w:t>The effective sample size for each latent factor (</w:t>
      </w:r>
      <m:oMath>
        <m:acc>
          <m:accPr>
            <m:ctrlPr>
              <w:rPr>
                <w:rFonts w:ascii="Cambria Math" w:eastAsia="Times New Roman" w:hAnsi="Cambria Math" w:cs="Times New Roman"/>
                <w:i/>
                <w:iCs/>
                <w:vertAlign w:val="subscript"/>
              </w:rPr>
            </m:ctrlPr>
          </m:accPr>
          <m:e>
            <m:r>
              <w:rPr>
                <w:rFonts w:ascii="Cambria Math" w:eastAsia="Times New Roman" w:hAnsi="Cambria Math" w:cs="Times New Roman"/>
                <w:vertAlign w:val="subscript"/>
              </w:rPr>
              <m:t>N</m:t>
            </m:r>
          </m:e>
        </m:acc>
      </m:oMath>
      <w:r w:rsidRPr="001D6E53">
        <w:rPr>
          <w:rFonts w:eastAsia="Times New Roman" w:cs="Times New Roman"/>
        </w:rPr>
        <w:t>)</w:t>
      </w:r>
      <w:r w:rsidRPr="001D6E53">
        <w:rPr>
          <w:rFonts w:eastAsia="Times New Roman" w:cs="Times New Roman"/>
          <w:i/>
          <w:iCs/>
        </w:rPr>
        <w:t xml:space="preserve"> </w:t>
      </w:r>
      <w:r w:rsidRPr="001D6E53">
        <w:rPr>
          <w:rFonts w:eastAsia="Times New Roman" w:cs="Times New Roman"/>
        </w:rPr>
        <w:t xml:space="preserve">was estimated using the approach described by Mallard et al., 2022: </w:t>
      </w:r>
    </w:p>
    <w:p w14:paraId="1E7234AF" w14:textId="76BC9E2A" w:rsidR="003F22CC" w:rsidRPr="001D6E53" w:rsidRDefault="00BB0972" w:rsidP="001D6E53">
      <w:pPr>
        <w:spacing w:after="240"/>
        <w:jc w:val="both"/>
        <w:rPr>
          <w:rFonts w:eastAsia="Times New Roman" w:cs="Times New Roman"/>
        </w:rPr>
      </w:pPr>
      <m:oMathPara>
        <m:oMath>
          <m:acc>
            <m:accPr>
              <m:ctrlPr>
                <w:rPr>
                  <w:rFonts w:ascii="Cambria Math" w:eastAsia="Times New Roman" w:hAnsi="Cambria Math" w:cs="Times New Roman"/>
                  <w:i/>
                  <w:iCs/>
                  <w:vertAlign w:val="subscript"/>
                </w:rPr>
              </m:ctrlPr>
            </m:accPr>
            <m:e>
              <m:r>
                <w:rPr>
                  <w:rFonts w:ascii="Cambria Math" w:eastAsia="Times New Roman" w:hAnsi="Cambria Math" w:cs="Times New Roman"/>
                  <w:vertAlign w:val="subscript"/>
                </w:rPr>
                <m:t>N</m:t>
              </m:r>
            </m:e>
          </m:acc>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m</m:t>
              </m:r>
            </m:den>
          </m:f>
          <m:r>
            <w:rPr>
              <w:rFonts w:ascii="Cambria Math" w:eastAsia="Times New Roman" w:hAnsi="Cambria Math" w:cs="Times New Roman"/>
            </w:rPr>
            <m:t xml:space="preserve"> </m:t>
          </m:r>
          <m:nary>
            <m:naryPr>
              <m:chr m:val="∑"/>
              <m:limLoc m:val="undOvr"/>
              <m:ctrlPr>
                <w:rPr>
                  <w:rFonts w:ascii="Cambria Math" w:eastAsia="Times New Roman" w:hAnsi="Cambria Math" w:cs="Times New Roman"/>
                  <w:i/>
                </w:rPr>
              </m:ctrlPr>
            </m:naryPr>
            <m:sub>
              <m:r>
                <w:rPr>
                  <w:rFonts w:ascii="Cambria Math" w:eastAsia="Times New Roman" w:hAnsi="Cambria Math" w:cs="Times New Roman"/>
                </w:rPr>
                <m:t>MAF=a</m:t>
              </m:r>
            </m:sub>
            <m:sup>
              <m:r>
                <w:rPr>
                  <w:rFonts w:ascii="Cambria Math" w:eastAsia="Times New Roman" w:hAnsi="Cambria Math" w:cs="Times New Roman"/>
                </w:rPr>
                <m:t>b</m:t>
              </m:r>
            </m:sup>
            <m:e>
              <m:sSub>
                <m:sSubPr>
                  <m:ctrlPr>
                    <w:rPr>
                      <w:rFonts w:ascii="Cambria Math" w:eastAsia="Times New Roman" w:hAnsi="Cambria Math" w:cs="Times New Roman"/>
                      <w:i/>
                    </w:rPr>
                  </m:ctrlPr>
                </m:sSubPr>
                <m:e>
                  <m:r>
                    <w:rPr>
                      <w:rFonts w:ascii="Cambria Math" w:eastAsia="Times New Roman" w:hAnsi="Cambria Math" w:cs="Times New Roman"/>
                    </w:rPr>
                    <m:t>n</m:t>
                  </m:r>
                </m:e>
                <m:sub>
                  <m:r>
                    <w:rPr>
                      <w:rFonts w:ascii="Cambria Math" w:eastAsia="Times New Roman" w:hAnsi="Cambria Math" w:cs="Times New Roman"/>
                    </w:rPr>
                    <m:t>j</m:t>
                  </m:r>
                </m:sub>
              </m:sSub>
            </m:e>
          </m:nary>
        </m:oMath>
      </m:oMathPara>
    </w:p>
    <w:p w14:paraId="1E5BD7DF" w14:textId="050CC627" w:rsidR="003F22CC" w:rsidRPr="001D6E53" w:rsidRDefault="003F22CC" w:rsidP="001D6E53">
      <w:pPr>
        <w:spacing w:after="240"/>
        <w:ind w:firstLine="720"/>
        <w:jc w:val="both"/>
        <w:rPr>
          <w:rFonts w:eastAsia="Times New Roman" w:cs="Times New Roman"/>
        </w:rPr>
      </w:pPr>
      <w:r w:rsidRPr="001D6E53">
        <w:rPr>
          <w:rFonts w:eastAsia="Times New Roman" w:cs="Times New Roman"/>
        </w:rPr>
        <w:t xml:space="preserve">Effective sample size is calculated according to this formula where </w:t>
      </w:r>
      <w:proofErr w:type="spellStart"/>
      <w:r w:rsidRPr="001D6E53">
        <w:rPr>
          <w:rFonts w:eastAsia="Times New Roman" w:cs="Times New Roman"/>
          <w:i/>
          <w:iCs/>
        </w:rPr>
        <w:t>n</w:t>
      </w:r>
      <w:r w:rsidRPr="001D6E53">
        <w:rPr>
          <w:rFonts w:eastAsia="Times New Roman" w:cs="Times New Roman"/>
          <w:i/>
          <w:iCs/>
          <w:vertAlign w:val="subscript"/>
        </w:rPr>
        <w:t>j</w:t>
      </w:r>
      <w:proofErr w:type="spellEnd"/>
      <w:r w:rsidRPr="001D6E53">
        <w:rPr>
          <w:rFonts w:eastAsia="Times New Roman" w:cs="Times New Roman"/>
          <w:i/>
          <w:iCs/>
          <w:vertAlign w:val="subscript"/>
        </w:rPr>
        <w:t xml:space="preserve"> </w:t>
      </w:r>
      <w:r w:rsidRPr="001D6E53">
        <w:rPr>
          <w:rFonts w:eastAsia="Times New Roman" w:cs="Times New Roman"/>
        </w:rPr>
        <w:t>is the effective sample size of a given SNP for a latent factor, calculated by dividing (1/</w:t>
      </w:r>
      <w:r w:rsidRPr="001D6E53">
        <w:rPr>
          <w:rFonts w:eastAsia="Times New Roman" w:cs="Times New Roman"/>
          <w:i/>
          <w:iCs/>
        </w:rPr>
        <w:t>SE</w:t>
      </w:r>
      <w:r w:rsidRPr="001D6E53">
        <w:rPr>
          <w:rFonts w:eastAsia="Times New Roman" w:cs="Times New Roman"/>
          <w:vertAlign w:val="subscript"/>
        </w:rPr>
        <w:t>SNP</w:t>
      </w:r>
      <w:r w:rsidRPr="001D6E53">
        <w:rPr>
          <w:rFonts w:eastAsia="Times New Roman" w:cs="Times New Roman"/>
        </w:rPr>
        <w:t>)</w:t>
      </w:r>
      <w:r w:rsidRPr="001D6E53">
        <w:rPr>
          <w:rFonts w:eastAsia="Times New Roman" w:cs="Times New Roman"/>
          <w:vertAlign w:val="superscript"/>
        </w:rPr>
        <w:t>2</w:t>
      </w:r>
      <w:r w:rsidRPr="001D6E53">
        <w:rPr>
          <w:rFonts w:eastAsia="Times New Roman" w:cs="Times New Roman"/>
        </w:rPr>
        <w:t xml:space="preserve"> by the variance of that SNP based on MAF: 2 × MAF × (1 – MAF). This calculation of </w:t>
      </w:r>
      <w:proofErr w:type="spellStart"/>
      <w:r w:rsidRPr="001D6E53">
        <w:rPr>
          <w:rFonts w:eastAsia="Times New Roman" w:cs="Times New Roman"/>
          <w:i/>
          <w:iCs/>
        </w:rPr>
        <w:t>n</w:t>
      </w:r>
      <w:r w:rsidRPr="001D6E53">
        <w:rPr>
          <w:rFonts w:eastAsia="Times New Roman" w:cs="Times New Roman"/>
          <w:i/>
          <w:iCs/>
          <w:vertAlign w:val="subscript"/>
        </w:rPr>
        <w:t>j</w:t>
      </w:r>
      <w:proofErr w:type="spellEnd"/>
      <w:r w:rsidRPr="001D6E53">
        <w:rPr>
          <w:rFonts w:eastAsia="Times New Roman" w:cs="Times New Roman"/>
        </w:rPr>
        <w:t xml:space="preserve"> produces reasonable estimates for the effective sample size of a given SNP but is prone to errors for SNPs with low MAF. Thus, a limit is set on lower and upper MAF (</w:t>
      </w:r>
      <w:r w:rsidRPr="001D6E53">
        <w:rPr>
          <w:rFonts w:eastAsia="Times New Roman" w:cs="Times New Roman"/>
          <w:i/>
          <w:iCs/>
        </w:rPr>
        <w:t>a</w:t>
      </w:r>
      <w:r w:rsidRPr="001D6E53">
        <w:rPr>
          <w:rFonts w:eastAsia="Times New Roman" w:cs="Times New Roman"/>
        </w:rPr>
        <w:t xml:space="preserve"> = 10% and </w:t>
      </w:r>
      <w:r w:rsidRPr="001D6E53">
        <w:rPr>
          <w:rFonts w:eastAsia="Times New Roman" w:cs="Times New Roman"/>
          <w:i/>
          <w:iCs/>
        </w:rPr>
        <w:t xml:space="preserve">b </w:t>
      </w:r>
      <w:r w:rsidRPr="001D6E53">
        <w:rPr>
          <w:rFonts w:eastAsia="Times New Roman" w:cs="Times New Roman"/>
        </w:rPr>
        <w:t>= 40%), when estimating the average SNP effective sample (</w:t>
      </w:r>
      <w:r w:rsidRPr="001D6E53">
        <w:rPr>
          <w:rFonts w:eastAsia="Times New Roman" w:cs="Times New Roman"/>
          <w:i/>
          <w:iCs/>
        </w:rPr>
        <w:t>m</w:t>
      </w:r>
      <w:r w:rsidRPr="001D6E53">
        <w:rPr>
          <w:rFonts w:eastAsia="Times New Roman" w:cs="Times New Roman"/>
        </w:rPr>
        <w:t xml:space="preserve"> = number of SNPs) as the total multivariate GWAS effective sample size. Importantly, while it is possible to derive SNP-based heritability estimates (</w:t>
      </w:r>
      <m:oMath>
        <m:sSubSup>
          <m:sSubSupPr>
            <m:ctrlPr>
              <w:rPr>
                <w:rFonts w:ascii="Cambria Math" w:eastAsia="Times New Roman" w:hAnsi="Cambria Math" w:cs="Times New Roman"/>
                <w:bCs/>
                <w:i/>
                <w:iCs/>
              </w:rPr>
            </m:ctrlPr>
          </m:sSubSupPr>
          <m:e>
            <m:r>
              <w:rPr>
                <w:rFonts w:ascii="Cambria Math" w:eastAsia="Times New Roman" w:hAnsi="Cambria Math" w:cs="Times New Roman"/>
              </w:rPr>
              <m:t>h</m:t>
            </m:r>
          </m:e>
          <m:sub>
            <m:r>
              <w:rPr>
                <w:rFonts w:ascii="Cambria Math" w:eastAsia="Times New Roman" w:hAnsi="Cambria Math" w:cs="Times New Roman"/>
              </w:rPr>
              <m:t>g</m:t>
            </m:r>
          </m:sub>
          <m:sup>
            <m:r>
              <w:rPr>
                <w:rFonts w:ascii="Cambria Math" w:eastAsia="Times New Roman" w:hAnsi="Cambria Math" w:cs="Times New Roman"/>
              </w:rPr>
              <m:t>2</m:t>
            </m:r>
          </m:sup>
        </m:sSubSup>
      </m:oMath>
      <w:r w:rsidRPr="001D6E53">
        <w:rPr>
          <w:rFonts w:eastAsia="Times New Roman" w:cs="Times New Roman"/>
        </w:rPr>
        <w:t xml:space="preserve">) from </w:t>
      </w:r>
      <m:oMath>
        <m:acc>
          <m:accPr>
            <m:ctrlPr>
              <w:rPr>
                <w:rFonts w:ascii="Cambria Math" w:eastAsia="Times New Roman" w:hAnsi="Cambria Math" w:cs="Times New Roman"/>
                <w:i/>
                <w:iCs/>
                <w:vertAlign w:val="subscript"/>
              </w:rPr>
            </m:ctrlPr>
          </m:accPr>
          <m:e>
            <m:r>
              <w:rPr>
                <w:rFonts w:ascii="Cambria Math" w:eastAsia="Times New Roman" w:hAnsi="Cambria Math" w:cs="Times New Roman"/>
                <w:vertAlign w:val="subscript"/>
              </w:rPr>
              <m:t>N</m:t>
            </m:r>
          </m:e>
        </m:acc>
      </m:oMath>
      <w:r w:rsidRPr="001D6E53">
        <w:rPr>
          <w:rFonts w:eastAsia="Times New Roman" w:cs="Times New Roman"/>
        </w:rPr>
        <w:t xml:space="preserve">, Mallard et al. caution the degree to which these estimates may be interpreted as </w:t>
      </w:r>
      <w:proofErr w:type="spellStart"/>
      <w:r w:rsidRPr="001D6E53">
        <w:rPr>
          <w:rFonts w:eastAsia="Times New Roman" w:cs="Times New Roman"/>
        </w:rPr>
        <w:t>heritabilities</w:t>
      </w:r>
      <w:proofErr w:type="spellEnd"/>
      <w:r w:rsidRPr="001D6E53">
        <w:rPr>
          <w:rFonts w:eastAsia="Times New Roman" w:cs="Times New Roman"/>
        </w:rPr>
        <w:t xml:space="preserve"> as there is no information about phenotypic variance of the latent genetic factors modeled in GenomicSEM. Thus, </w:t>
      </w:r>
      <m:oMath>
        <m:sSubSup>
          <m:sSubSupPr>
            <m:ctrlPr>
              <w:rPr>
                <w:rFonts w:ascii="Cambria Math" w:eastAsia="Times New Roman" w:hAnsi="Cambria Math" w:cs="Times New Roman"/>
                <w:bCs/>
                <w:i/>
                <w:iCs/>
              </w:rPr>
            </m:ctrlPr>
          </m:sSubSupPr>
          <m:e>
            <m:r>
              <w:rPr>
                <w:rFonts w:ascii="Cambria Math" w:eastAsia="Times New Roman" w:hAnsi="Cambria Math" w:cs="Times New Roman"/>
              </w:rPr>
              <m:t>h</m:t>
            </m:r>
          </m:e>
          <m:sub>
            <m:r>
              <w:rPr>
                <w:rFonts w:ascii="Cambria Math" w:eastAsia="Times New Roman" w:hAnsi="Cambria Math" w:cs="Times New Roman"/>
              </w:rPr>
              <m:t>g</m:t>
            </m:r>
          </m:sub>
          <m:sup>
            <m:r>
              <w:rPr>
                <w:rFonts w:ascii="Cambria Math" w:eastAsia="Times New Roman" w:hAnsi="Cambria Math" w:cs="Times New Roman"/>
              </w:rPr>
              <m:t>2</m:t>
            </m:r>
          </m:sup>
        </m:sSubSup>
      </m:oMath>
      <w:r w:rsidRPr="001D6E53">
        <w:rPr>
          <w:rFonts w:eastAsia="Times New Roman" w:cs="Times New Roman"/>
          <w:bCs/>
          <w:iCs/>
        </w:rPr>
        <w:t xml:space="preserve"> of latent genetic factors is more accurately referred to as genetic variance and </w:t>
      </w:r>
      <w:r w:rsidR="00E53D77" w:rsidRPr="001D6E53">
        <w:rPr>
          <w:rFonts w:eastAsia="Times New Roman" w:cs="Times New Roman"/>
          <w:bCs/>
          <w:iCs/>
        </w:rPr>
        <w:t>was</w:t>
      </w:r>
      <w:r w:rsidRPr="001D6E53">
        <w:rPr>
          <w:rFonts w:eastAsia="Times New Roman" w:cs="Times New Roman"/>
          <w:bCs/>
          <w:iCs/>
        </w:rPr>
        <w:t xml:space="preserve"> denoted by </w:t>
      </w:r>
      <w:r w:rsidRPr="001D6E53">
        <w:rPr>
          <w:rFonts w:eastAsia="Times New Roman" w:cs="Times New Roman"/>
          <w:i/>
        </w:rPr>
        <w:t>ζ</w:t>
      </w:r>
      <w:r w:rsidRPr="001D6E53">
        <w:rPr>
          <w:rFonts w:eastAsia="Times New Roman" w:cs="Times New Roman"/>
          <w:i/>
          <w:vertAlign w:val="subscript"/>
        </w:rPr>
        <w:t>g</w:t>
      </w:r>
      <w:r w:rsidRPr="001D6E53">
        <w:rPr>
          <w:rFonts w:eastAsia="Times New Roman" w:cs="Times New Roman"/>
          <w:bCs/>
          <w:iCs/>
        </w:rPr>
        <w:t xml:space="preserve"> to differentiate between these two indices. </w:t>
      </w:r>
    </w:p>
    <w:p w14:paraId="447545A0" w14:textId="2063CEBE" w:rsidR="003F22CC" w:rsidRPr="001D6E53" w:rsidRDefault="003F22CC" w:rsidP="001D6E53">
      <w:pPr>
        <w:spacing w:after="240"/>
        <w:ind w:firstLine="720"/>
        <w:jc w:val="both"/>
        <w:rPr>
          <w:rFonts w:eastAsia="Times New Roman" w:cs="Times New Roman"/>
        </w:rPr>
      </w:pPr>
      <w:proofErr w:type="gramStart"/>
      <w:r w:rsidRPr="001D6E53">
        <w:rPr>
          <w:rFonts w:eastAsia="Times New Roman" w:cs="Times New Roman"/>
        </w:rPr>
        <w:t>In order to</w:t>
      </w:r>
      <w:proofErr w:type="gramEnd"/>
      <w:r w:rsidRPr="001D6E53">
        <w:rPr>
          <w:rFonts w:eastAsia="Times New Roman" w:cs="Times New Roman"/>
        </w:rPr>
        <w:t xml:space="preserve"> assess the extent to which individual SNP effects on each of the indicator phenotypes </w:t>
      </w:r>
      <w:r w:rsidR="00B05475" w:rsidRPr="001D6E53">
        <w:rPr>
          <w:rFonts w:eastAsia="Times New Roman" w:cs="Times New Roman"/>
        </w:rPr>
        <w:t xml:space="preserve">was </w:t>
      </w:r>
      <w:r w:rsidRPr="001D6E53">
        <w:rPr>
          <w:rFonts w:eastAsia="Times New Roman" w:cs="Times New Roman"/>
        </w:rPr>
        <w:t xml:space="preserve">not fully mediated by the single latent factor (i.e., common pathway model), follow-up multivariate GWAS models were conducted to calculate </w:t>
      </w:r>
      <w:r w:rsidRPr="001D6E53">
        <w:rPr>
          <w:rFonts w:eastAsia="Times New Roman" w:cs="Times New Roman"/>
          <w:i/>
          <w:iCs/>
        </w:rPr>
        <w:t>Q</w:t>
      </w:r>
      <w:r w:rsidRPr="001D6E53">
        <w:rPr>
          <w:rFonts w:eastAsia="Times New Roman" w:cs="Times New Roman"/>
          <w:vertAlign w:val="subscript"/>
        </w:rPr>
        <w:t xml:space="preserve">SNP </w:t>
      </w:r>
      <w:r w:rsidRPr="001D6E53">
        <w:rPr>
          <w:rFonts w:eastAsia="Times New Roman" w:cs="Times New Roman"/>
        </w:rPr>
        <w:t xml:space="preserve">tests of heterogeneity. In these secondary models, individual SNP effects are specified such that the influence of each SNP operates through both common and independent pathways (i.e., indicator-specific effects). Nested </w:t>
      </w:r>
      <w:r w:rsidRPr="001D6E53">
        <w:rPr>
          <w:rFonts w:eastAsia="Times New Roman" w:cs="Times New Roman"/>
          <w:i/>
        </w:rPr>
        <w:lastRenderedPageBreak/>
        <w:t>χ</w:t>
      </w:r>
      <w:r w:rsidRPr="001D6E53">
        <w:rPr>
          <w:rFonts w:eastAsia="Times New Roman" w:cs="Times New Roman"/>
          <w:bCs/>
          <w:vertAlign w:val="superscript"/>
        </w:rPr>
        <w:t>2</w:t>
      </w:r>
      <w:r w:rsidRPr="001D6E53">
        <w:rPr>
          <w:rFonts w:eastAsia="Times New Roman" w:cs="Times New Roman"/>
          <w:bCs/>
        </w:rPr>
        <w:t xml:space="preserve"> difference tests are then conducted comparing the common pathway versus common pathway plus independent pathways to calculate </w:t>
      </w:r>
      <w:r w:rsidRPr="001D6E53">
        <w:rPr>
          <w:rFonts w:eastAsia="Times New Roman" w:cs="Times New Roman"/>
          <w:i/>
          <w:iCs/>
        </w:rPr>
        <w:t>Q</w:t>
      </w:r>
      <w:r w:rsidRPr="001D6E53">
        <w:rPr>
          <w:rFonts w:eastAsia="Times New Roman" w:cs="Times New Roman"/>
          <w:vertAlign w:val="subscript"/>
        </w:rPr>
        <w:t xml:space="preserve">SNP </w:t>
      </w:r>
      <w:r w:rsidRPr="001D6E53">
        <w:rPr>
          <w:rFonts w:eastAsia="Times New Roman" w:cs="Times New Roman"/>
        </w:rPr>
        <w:t xml:space="preserve">statistics and associated genome-wide </w:t>
      </w:r>
      <w:r w:rsidRPr="001D6E53">
        <w:rPr>
          <w:rFonts w:eastAsia="Times New Roman" w:cs="Times New Roman"/>
          <w:i/>
          <w:iCs/>
        </w:rPr>
        <w:t>P</w:t>
      </w:r>
      <w:r w:rsidRPr="001D6E53">
        <w:rPr>
          <w:rFonts w:eastAsia="Times New Roman" w:cs="Times New Roman"/>
          <w:i/>
          <w:iCs/>
        </w:rPr>
        <w:softHyphen/>
      </w:r>
      <w:r w:rsidRPr="001D6E53">
        <w:rPr>
          <w:rFonts w:eastAsia="Times New Roman" w:cs="Times New Roman"/>
          <w:i/>
          <w:iCs/>
        </w:rPr>
        <w:softHyphen/>
      </w:r>
      <w:r w:rsidRPr="001D6E53">
        <w:rPr>
          <w:rFonts w:eastAsia="Times New Roman" w:cs="Times New Roman"/>
        </w:rPr>
        <w:t xml:space="preserve">-values for each SNP. In this context, a genome-wide significant (GWS; </w:t>
      </w:r>
      <w:r w:rsidRPr="001D6E53">
        <w:rPr>
          <w:rFonts w:eastAsia="Times New Roman" w:cs="Times New Roman"/>
          <w:i/>
          <w:iCs/>
        </w:rPr>
        <w:t xml:space="preserve">P </w:t>
      </w:r>
      <w:r w:rsidRPr="001D6E53">
        <w:rPr>
          <w:rFonts w:eastAsia="Times New Roman" w:cs="Times New Roman"/>
        </w:rPr>
        <w:t>&lt; 5 × 10</w:t>
      </w:r>
      <w:r w:rsidRPr="001D6E53">
        <w:rPr>
          <w:rFonts w:eastAsia="Times New Roman" w:cs="Times New Roman"/>
          <w:vertAlign w:val="superscript"/>
        </w:rPr>
        <w:t>-8</w:t>
      </w:r>
      <w:r w:rsidRPr="001D6E53">
        <w:rPr>
          <w:rFonts w:eastAsia="Times New Roman" w:cs="Times New Roman"/>
        </w:rPr>
        <w:t xml:space="preserve">) </w:t>
      </w:r>
      <w:r w:rsidRPr="001D6E53">
        <w:rPr>
          <w:rFonts w:eastAsia="Times New Roman" w:cs="Times New Roman"/>
          <w:i/>
          <w:iCs/>
        </w:rPr>
        <w:t>Q</w:t>
      </w:r>
      <w:r w:rsidRPr="001D6E53">
        <w:rPr>
          <w:rFonts w:eastAsia="Times New Roman" w:cs="Times New Roman"/>
          <w:vertAlign w:val="subscript"/>
        </w:rPr>
        <w:t xml:space="preserve">SNP </w:t>
      </w:r>
      <w:r w:rsidRPr="001D6E53">
        <w:rPr>
          <w:rFonts w:eastAsia="Times New Roman" w:cs="Times New Roman"/>
        </w:rPr>
        <w:t>statistic suggests that the independent pathway model (i.e., influence of SNP effects on genetic indicators and latent factor) is a better fit to the data for that SNP than the fully mediated latent factor specification</w:t>
      </w:r>
      <w:r w:rsidR="00E53D77" w:rsidRPr="001D6E53">
        <w:rPr>
          <w:rFonts w:eastAsia="Times New Roman" w:cs="Times New Roman"/>
        </w:rPr>
        <w:t xml:space="preserve"> (Grotzinger et al., 2019)</w:t>
      </w:r>
      <w:r w:rsidRPr="001D6E53">
        <w:rPr>
          <w:rFonts w:eastAsia="Times New Roman" w:cs="Times New Roman"/>
        </w:rPr>
        <w:t xml:space="preserve">. Following multivariate GWAS, downstream </w:t>
      </w:r>
      <w:r w:rsidR="00E53D77" w:rsidRPr="001D6E53">
        <w:rPr>
          <w:rFonts w:eastAsia="Times New Roman" w:cs="Times New Roman"/>
        </w:rPr>
        <w:t xml:space="preserve">genetic correlation </w:t>
      </w:r>
      <w:r w:rsidRPr="001D6E53">
        <w:rPr>
          <w:rFonts w:eastAsia="Times New Roman" w:cs="Times New Roman"/>
        </w:rPr>
        <w:t>analyses focus</w:t>
      </w:r>
      <w:r w:rsidR="00E53D77" w:rsidRPr="001D6E53">
        <w:rPr>
          <w:rFonts w:eastAsia="Times New Roman" w:cs="Times New Roman"/>
        </w:rPr>
        <w:t>ed</w:t>
      </w:r>
      <w:r w:rsidRPr="001D6E53">
        <w:rPr>
          <w:rFonts w:eastAsia="Times New Roman" w:cs="Times New Roman"/>
        </w:rPr>
        <w:t xml:space="preserve"> on utilizing SNP associations with these latent genetic factors to differentiate between genetic risk for </w:t>
      </w:r>
      <w:proofErr w:type="gramStart"/>
      <w:r w:rsidRPr="001D6E53">
        <w:rPr>
          <w:rFonts w:eastAsia="Times New Roman" w:cs="Times New Roman"/>
        </w:rPr>
        <w:t>dual-systems</w:t>
      </w:r>
      <w:proofErr w:type="gramEnd"/>
      <w:r w:rsidR="00E53D77" w:rsidRPr="001D6E53">
        <w:rPr>
          <w:rFonts w:eastAsia="Times New Roman" w:cs="Times New Roman"/>
        </w:rPr>
        <w:t xml:space="preserve"> constructs across neuroimaging phenotypes</w:t>
      </w:r>
      <w:r w:rsidRPr="001D6E53">
        <w:rPr>
          <w:rFonts w:eastAsia="Times New Roman" w:cs="Times New Roman"/>
        </w:rPr>
        <w:t xml:space="preserve">. Thus, SNPs with GWS </w:t>
      </w:r>
      <w:r w:rsidRPr="001D6E53">
        <w:rPr>
          <w:rFonts w:eastAsia="Times New Roman" w:cs="Times New Roman"/>
          <w:i/>
          <w:iCs/>
        </w:rPr>
        <w:t>Q</w:t>
      </w:r>
      <w:r w:rsidRPr="001D6E53">
        <w:rPr>
          <w:rFonts w:eastAsia="Times New Roman" w:cs="Times New Roman"/>
          <w:vertAlign w:val="subscript"/>
        </w:rPr>
        <w:t xml:space="preserve">SNP </w:t>
      </w:r>
      <w:r w:rsidRPr="001D6E53">
        <w:rPr>
          <w:rFonts w:eastAsia="Times New Roman" w:cs="Times New Roman"/>
        </w:rPr>
        <w:t>statistics in each model were removed from model-derived GWAS summary statistics for dual-systems latent factors to reduce heterogeneity in SNP effects on these latent genetic factors prior to downstream</w:t>
      </w:r>
      <w:r w:rsidR="00E53D77" w:rsidRPr="001D6E53">
        <w:rPr>
          <w:rFonts w:eastAsia="Times New Roman" w:cs="Times New Roman"/>
        </w:rPr>
        <w:t xml:space="preserve"> genetic correlation</w:t>
      </w:r>
      <w:r w:rsidRPr="001D6E53">
        <w:rPr>
          <w:rFonts w:eastAsia="Times New Roman" w:cs="Times New Roman"/>
        </w:rPr>
        <w:t xml:space="preserve"> analyses. </w:t>
      </w:r>
    </w:p>
    <w:p w14:paraId="2B11E466" w14:textId="530AAA8F" w:rsidR="00A14E13" w:rsidRPr="001D6E53" w:rsidRDefault="001F41BE" w:rsidP="001D6E53">
      <w:pPr>
        <w:spacing w:after="240"/>
        <w:ind w:firstLine="720"/>
        <w:jc w:val="both"/>
        <w:rPr>
          <w:rFonts w:eastAsia="Times New Roman" w:cs="Times New Roman"/>
          <w:bCs/>
        </w:rPr>
      </w:pPr>
      <w:r w:rsidRPr="001D6E53">
        <w:rPr>
          <w:rFonts w:eastAsia="Times New Roman" w:cs="Times New Roman"/>
          <w:bCs/>
        </w:rPr>
        <w:t xml:space="preserve">FUMA (version 1.3.7; Watanabe, </w:t>
      </w:r>
      <w:proofErr w:type="spellStart"/>
      <w:r w:rsidRPr="001D6E53">
        <w:rPr>
          <w:rFonts w:eastAsia="Times New Roman" w:cs="Times New Roman"/>
          <w:bCs/>
        </w:rPr>
        <w:t>Taskesen</w:t>
      </w:r>
      <w:proofErr w:type="spellEnd"/>
      <w:r w:rsidRPr="001D6E53">
        <w:rPr>
          <w:rFonts w:eastAsia="Times New Roman" w:cs="Times New Roman"/>
          <w:bCs/>
        </w:rPr>
        <w:t xml:space="preserve">, van </w:t>
      </w:r>
      <w:proofErr w:type="spellStart"/>
      <w:r w:rsidRPr="001D6E53">
        <w:rPr>
          <w:rFonts w:eastAsia="Times New Roman" w:cs="Times New Roman"/>
          <w:bCs/>
        </w:rPr>
        <w:t>Bochoven</w:t>
      </w:r>
      <w:proofErr w:type="spellEnd"/>
      <w:r w:rsidRPr="001D6E53">
        <w:rPr>
          <w:rFonts w:eastAsia="Times New Roman" w:cs="Times New Roman"/>
          <w:bCs/>
        </w:rPr>
        <w:t xml:space="preserve">, &amp; </w:t>
      </w:r>
      <w:proofErr w:type="spellStart"/>
      <w:r w:rsidRPr="001D6E53">
        <w:rPr>
          <w:rFonts w:eastAsia="Times New Roman" w:cs="Times New Roman"/>
          <w:bCs/>
        </w:rPr>
        <w:t>Posthuma</w:t>
      </w:r>
      <w:proofErr w:type="spellEnd"/>
      <w:r w:rsidRPr="001D6E53">
        <w:rPr>
          <w:rFonts w:eastAsia="Times New Roman" w:cs="Times New Roman"/>
          <w:bCs/>
        </w:rPr>
        <w:t>, 2017) was used to define independent GWS SNPs and genomic loci</w:t>
      </w:r>
      <w:r w:rsidR="00A45CBF" w:rsidRPr="001D6E53">
        <w:rPr>
          <w:rFonts w:eastAsia="Times New Roman" w:cs="Times New Roman"/>
          <w:bCs/>
        </w:rPr>
        <w:t xml:space="preserve">. </w:t>
      </w:r>
      <w:r w:rsidR="00A14E13" w:rsidRPr="001D6E53">
        <w:rPr>
          <w:rFonts w:eastAsia="Times New Roman" w:cs="Times New Roman"/>
          <w:bCs/>
        </w:rPr>
        <w:t xml:space="preserve">Independent GWS SNPs and genomic loci were defined as having an LD </w:t>
      </w:r>
      <w:r w:rsidR="00A14E13" w:rsidRPr="001D6E53">
        <w:rPr>
          <w:rFonts w:eastAsia="Times New Roman" w:cs="Times New Roman"/>
          <w:bCs/>
          <w:i/>
        </w:rPr>
        <w:t>r</w:t>
      </w:r>
      <w:r w:rsidR="00A14E13" w:rsidRPr="001D6E53">
        <w:rPr>
          <w:rFonts w:eastAsia="Times New Roman" w:cs="Times New Roman"/>
          <w:bCs/>
          <w:vertAlign w:val="superscript"/>
        </w:rPr>
        <w:t>2</w:t>
      </w:r>
      <w:r w:rsidR="00A14E13" w:rsidRPr="001D6E53">
        <w:rPr>
          <w:rFonts w:eastAsia="Times New Roman" w:cs="Times New Roman"/>
          <w:bCs/>
        </w:rPr>
        <w:t xml:space="preserve"> &lt; .6 with other GWS SNPs and by a second clumping of independent GWS SNPs by LD </w:t>
      </w:r>
      <w:r w:rsidR="00A14E13" w:rsidRPr="001D6E53">
        <w:rPr>
          <w:rFonts w:eastAsia="Times New Roman" w:cs="Times New Roman"/>
          <w:bCs/>
          <w:i/>
        </w:rPr>
        <w:t>r</w:t>
      </w:r>
      <w:r w:rsidR="00A14E13" w:rsidRPr="001D6E53">
        <w:rPr>
          <w:rFonts w:eastAsia="Times New Roman" w:cs="Times New Roman"/>
          <w:bCs/>
          <w:vertAlign w:val="superscript"/>
        </w:rPr>
        <w:t>2</w:t>
      </w:r>
      <w:r w:rsidR="00A14E13" w:rsidRPr="001D6E53">
        <w:rPr>
          <w:rFonts w:eastAsia="Times New Roman" w:cs="Times New Roman"/>
          <w:bCs/>
        </w:rPr>
        <w:t xml:space="preserve"> &lt; .1 </w:t>
      </w:r>
      <w:r w:rsidR="00A14E13" w:rsidRPr="001D6E53">
        <w:rPr>
          <w:rFonts w:eastAsia="Times New Roman" w:cs="Times New Roman"/>
        </w:rPr>
        <w:t>in a 500-kilobase window</w:t>
      </w:r>
      <w:r w:rsidR="00A14E13" w:rsidRPr="001D6E53">
        <w:rPr>
          <w:rFonts w:eastAsia="Times New Roman" w:cs="Times New Roman"/>
          <w:bCs/>
        </w:rPr>
        <w:t>, respectively</w:t>
      </w:r>
      <w:r w:rsidR="00E53D77" w:rsidRPr="001D6E53">
        <w:rPr>
          <w:rFonts w:eastAsia="Times New Roman" w:cs="Times New Roman"/>
          <w:bCs/>
        </w:rPr>
        <w:t>.</w:t>
      </w:r>
      <w:r w:rsidR="00A14E13" w:rsidRPr="001D6E53">
        <w:rPr>
          <w:rFonts w:eastAsia="Times New Roman" w:cs="Times New Roman"/>
          <w:bCs/>
        </w:rPr>
        <w:t xml:space="preserve"> </w:t>
      </w:r>
    </w:p>
    <w:p w14:paraId="3A3C9D7B" w14:textId="77777777" w:rsidR="00926B7F" w:rsidRPr="004E46E3" w:rsidRDefault="00926B7F" w:rsidP="004E46E3">
      <w:pPr>
        <w:spacing w:after="240"/>
        <w:jc w:val="both"/>
        <w:rPr>
          <w:rFonts w:eastAsia="Times New Roman" w:cs="Times New Roman"/>
          <w:b/>
          <w:bCs/>
          <w:i/>
          <w:iCs/>
        </w:rPr>
      </w:pPr>
      <w:r w:rsidRPr="004E46E3">
        <w:rPr>
          <w:rFonts w:eastAsia="Times New Roman" w:cs="Times New Roman"/>
          <w:b/>
          <w:bCs/>
          <w:i/>
          <w:iCs/>
        </w:rPr>
        <w:t>Sensitivity Analyses</w:t>
      </w:r>
    </w:p>
    <w:p w14:paraId="42724143" w14:textId="70C71898" w:rsidR="00926B7F" w:rsidRPr="001D6E53" w:rsidRDefault="00926B7F" w:rsidP="004E46E3">
      <w:pPr>
        <w:spacing w:after="240"/>
        <w:ind w:firstLine="720"/>
        <w:jc w:val="both"/>
        <w:rPr>
          <w:rFonts w:cs="Times New Roman"/>
        </w:rPr>
      </w:pPr>
      <w:r w:rsidRPr="001D6E53">
        <w:rPr>
          <w:rFonts w:eastAsia="Times New Roman" w:cs="Times New Roman"/>
        </w:rPr>
        <w:t xml:space="preserve">Relevant to the inclusion of TCI novelty seeking as an indicator of our lack of self-control factor is to note mixed evidence and debate in the literature </w:t>
      </w:r>
      <w:r w:rsidRPr="001D6E53">
        <w:rPr>
          <w:rFonts w:cs="Times New Roman"/>
        </w:rPr>
        <w:t>as to whether TCI novelty seeking is more analogous to sensation seeking or to measures of lack of self-control (</w:t>
      </w:r>
      <w:r w:rsidRPr="001D6E53">
        <w:rPr>
          <w:rFonts w:eastAsia="Times New Roman" w:cs="Times New Roman"/>
          <w:bCs/>
        </w:rPr>
        <w:t xml:space="preserve">Evren et al., 2012; Fischer, G. Smith, &amp; Cyders, 2008; </w:t>
      </w:r>
      <w:r w:rsidRPr="001D6E53">
        <w:rPr>
          <w:rFonts w:cs="Times New Roman"/>
        </w:rPr>
        <w:t>Gutiérrez et al., 200</w:t>
      </w:r>
      <w:r w:rsidR="00B63AFF">
        <w:rPr>
          <w:rFonts w:cs="Times New Roman"/>
        </w:rPr>
        <w:t>1</w:t>
      </w:r>
      <w:r w:rsidRPr="001D6E53">
        <w:rPr>
          <w:rFonts w:cs="Times New Roman"/>
        </w:rPr>
        <w:t xml:space="preserve">; </w:t>
      </w:r>
      <w:r w:rsidRPr="001D6E53">
        <w:rPr>
          <w:rFonts w:eastAsia="Times New Roman" w:cs="Times New Roman"/>
          <w:bCs/>
        </w:rPr>
        <w:t>Herbst, Zonderman, McCrae, &amp; Costa, et al., 2000; Jaksic et al., 2015; Stautz &amp; Cooper, 2013; Vonmoos et al., 2013).</w:t>
      </w:r>
      <w:r w:rsidRPr="001D6E53">
        <w:rPr>
          <w:rFonts w:cs="Times New Roman"/>
        </w:rPr>
        <w:t xml:space="preserve"> This discrepancy is largely rooted in the constituent TCI novelty seeking subscales (NS1-4) exhibiting attributes </w:t>
      </w:r>
      <w:proofErr w:type="gramStart"/>
      <w:r w:rsidRPr="001D6E53">
        <w:rPr>
          <w:rFonts w:cs="Times New Roman"/>
        </w:rPr>
        <w:t>similar to</w:t>
      </w:r>
      <w:proofErr w:type="gramEnd"/>
      <w:r w:rsidRPr="001D6E53">
        <w:rPr>
          <w:rFonts w:cs="Times New Roman"/>
        </w:rPr>
        <w:t xml:space="preserve"> </w:t>
      </w:r>
      <w:r w:rsidRPr="001D6E53">
        <w:rPr>
          <w:rFonts w:cs="Times New Roman"/>
          <w:i/>
          <w:iCs/>
        </w:rPr>
        <w:t xml:space="preserve">both </w:t>
      </w:r>
      <w:r w:rsidRPr="001D6E53">
        <w:rPr>
          <w:rFonts w:cs="Times New Roman"/>
        </w:rPr>
        <w:t>sensation seeking (e.g., NS1: exploratory excitability, “Try new things for fun/ thrills even if most people think it’s a waste of time.” [+]) and lack of self-control (e.g., NS2: impulsiveness, “I like to think about things for a long time before I make a decision.” [-]; NS3: extravagance, “I am much more reserved and controlled than most people.” [-]; NS4: disorderly, “I like to be very organized and set up rules for people whenever I can.” [-]). These differences are evident from prior exploratory factor analysis work examining the TCI (e.g., Gutiérrez et al., 200</w:t>
      </w:r>
      <w:r w:rsidR="00B63AFF">
        <w:rPr>
          <w:rFonts w:cs="Times New Roman"/>
        </w:rPr>
        <w:t>1</w:t>
      </w:r>
      <w:r w:rsidRPr="001D6E53">
        <w:rPr>
          <w:rFonts w:cs="Times New Roman"/>
        </w:rPr>
        <w:t>; Herbst et al., 2000).</w:t>
      </w:r>
    </w:p>
    <w:p w14:paraId="343E8F6B" w14:textId="77777777" w:rsidR="00926B7F" w:rsidRPr="001D6E53" w:rsidRDefault="00926B7F" w:rsidP="004E46E3">
      <w:pPr>
        <w:autoSpaceDE w:val="0"/>
        <w:autoSpaceDN w:val="0"/>
        <w:adjustRightInd w:val="0"/>
        <w:ind w:firstLine="720"/>
        <w:jc w:val="both"/>
        <w:rPr>
          <w:rFonts w:cs="Times New Roman"/>
        </w:rPr>
      </w:pPr>
      <w:r w:rsidRPr="001D6E53">
        <w:rPr>
          <w:rFonts w:cs="Times New Roman"/>
        </w:rPr>
        <w:t>Given this uncertainty and to further examine support for inclusion of TCI novelty seeking as an indicator of lack of self-control, additional sensitivity models were conducted:</w:t>
      </w:r>
    </w:p>
    <w:p w14:paraId="5F10BACF" w14:textId="77777777" w:rsidR="00926B7F" w:rsidRPr="001D6E53" w:rsidRDefault="00926B7F" w:rsidP="004E46E3">
      <w:pPr>
        <w:autoSpaceDE w:val="0"/>
        <w:autoSpaceDN w:val="0"/>
        <w:adjustRightInd w:val="0"/>
        <w:jc w:val="both"/>
        <w:rPr>
          <w:rFonts w:cs="Times New Roman"/>
        </w:rPr>
      </w:pPr>
    </w:p>
    <w:p w14:paraId="1FDB8738" w14:textId="77777777" w:rsidR="00926B7F" w:rsidRPr="001D6E53" w:rsidRDefault="00926B7F" w:rsidP="004E46E3">
      <w:pPr>
        <w:autoSpaceDE w:val="0"/>
        <w:autoSpaceDN w:val="0"/>
        <w:adjustRightInd w:val="0"/>
        <w:jc w:val="both"/>
        <w:rPr>
          <w:rFonts w:cs="Times New Roman"/>
        </w:rPr>
      </w:pPr>
      <w:r w:rsidRPr="001D6E53">
        <w:rPr>
          <w:rFonts w:cs="Times New Roman"/>
        </w:rPr>
        <w:t>(1) a model with TCI novelty seeking as an indicator of sensation seeking rather than lack of self-control</w:t>
      </w:r>
    </w:p>
    <w:p w14:paraId="43DF3806" w14:textId="77777777" w:rsidR="00926B7F" w:rsidRPr="001D6E53" w:rsidRDefault="00926B7F" w:rsidP="004E46E3">
      <w:pPr>
        <w:autoSpaceDE w:val="0"/>
        <w:autoSpaceDN w:val="0"/>
        <w:adjustRightInd w:val="0"/>
        <w:jc w:val="both"/>
        <w:rPr>
          <w:rFonts w:cs="Times New Roman"/>
        </w:rPr>
      </w:pPr>
      <w:r w:rsidRPr="001D6E53">
        <w:rPr>
          <w:rFonts w:cs="Times New Roman"/>
        </w:rPr>
        <w:t>(2) a model including a cross loading for TCI novelty seeking on both the lack of self-control factor and the sensation seeking factor</w:t>
      </w:r>
    </w:p>
    <w:p w14:paraId="65751F5C" w14:textId="53564BA3" w:rsidR="00926B7F" w:rsidRDefault="00926B7F">
      <w:pPr>
        <w:autoSpaceDE w:val="0"/>
        <w:autoSpaceDN w:val="0"/>
        <w:adjustRightInd w:val="0"/>
        <w:jc w:val="both"/>
        <w:rPr>
          <w:rFonts w:cs="Times New Roman"/>
        </w:rPr>
      </w:pPr>
      <w:r w:rsidRPr="001D6E53">
        <w:rPr>
          <w:rFonts w:cs="Times New Roman"/>
        </w:rPr>
        <w:t xml:space="preserve">(3) </w:t>
      </w:r>
      <w:r w:rsidR="00D91015" w:rsidRPr="00D91015">
        <w:rPr>
          <w:rFonts w:cs="Times New Roman"/>
        </w:rPr>
        <w:t>a model excluding TCI novelty seeking as an indicator of lack of self-control conducted for both our sensation seeking – lack of self-control model (A) and our urgency – lack of self-control model (B).</w:t>
      </w:r>
    </w:p>
    <w:p w14:paraId="0EE58D06" w14:textId="77777777" w:rsidR="00F17685" w:rsidRDefault="00F17685">
      <w:pPr>
        <w:autoSpaceDE w:val="0"/>
        <w:autoSpaceDN w:val="0"/>
        <w:adjustRightInd w:val="0"/>
        <w:jc w:val="both"/>
        <w:rPr>
          <w:rFonts w:cs="Times New Roman"/>
        </w:rPr>
      </w:pPr>
    </w:p>
    <w:p w14:paraId="144530E6" w14:textId="72E48EC1" w:rsidR="00F17685" w:rsidRPr="001D6E53" w:rsidRDefault="00F17685" w:rsidP="004E46E3">
      <w:pPr>
        <w:autoSpaceDE w:val="0"/>
        <w:autoSpaceDN w:val="0"/>
        <w:adjustRightInd w:val="0"/>
        <w:jc w:val="both"/>
        <w:rPr>
          <w:rFonts w:cs="Times New Roman"/>
        </w:rPr>
      </w:pPr>
      <w:r w:rsidRPr="00F17685">
        <w:rPr>
          <w:rFonts w:cs="Times New Roman"/>
        </w:rPr>
        <w:t>Because these sensitivity models are not nested within our original model, model comparisons were done descriptively (i.e., comparing overall model fit statistics and factor loadings).</w:t>
      </w:r>
    </w:p>
    <w:p w14:paraId="5940FCD0" w14:textId="77777777" w:rsidR="00926B7F" w:rsidRPr="001D6E53" w:rsidRDefault="00926B7F" w:rsidP="004E46E3">
      <w:pPr>
        <w:autoSpaceDE w:val="0"/>
        <w:autoSpaceDN w:val="0"/>
        <w:adjustRightInd w:val="0"/>
        <w:jc w:val="both"/>
        <w:rPr>
          <w:rFonts w:cs="Times New Roman"/>
        </w:rPr>
      </w:pPr>
    </w:p>
    <w:p w14:paraId="2D2FA316" w14:textId="4A03A6D7" w:rsidR="00926B7F" w:rsidRPr="001D6E53" w:rsidRDefault="00926B7F" w:rsidP="00926B7F">
      <w:pPr>
        <w:autoSpaceDE w:val="0"/>
        <w:autoSpaceDN w:val="0"/>
        <w:adjustRightInd w:val="0"/>
        <w:jc w:val="both"/>
        <w:rPr>
          <w:rFonts w:cs="Times New Roman"/>
        </w:rPr>
      </w:pPr>
      <w:r w:rsidRPr="001D6E53">
        <w:rPr>
          <w:rFonts w:cs="Times New Roman"/>
        </w:rPr>
        <w:lastRenderedPageBreak/>
        <w:t>Additionally, summary statistics from a multivariate GWAS of the lack of self-control factor excluding TCI novelty seeking (Model 3: a single factor including only two indicators; UPPS-P lack of premeditation and BIS-11 total scores, similar to that evaluated by Gustavson et al. 2020) with factor loadings constrained to equality for model identification purposes, were analyzed across neuroimaging phenotype GWAS to examine the extent to which results changed based on the exclusion of TCI novelty seeking.</w:t>
      </w:r>
    </w:p>
    <w:p w14:paraId="17904F92" w14:textId="77777777" w:rsidR="00926B7F" w:rsidRPr="001D6E53" w:rsidRDefault="00926B7F" w:rsidP="00926B7F">
      <w:pPr>
        <w:autoSpaceDE w:val="0"/>
        <w:autoSpaceDN w:val="0"/>
        <w:adjustRightInd w:val="0"/>
        <w:jc w:val="both"/>
        <w:rPr>
          <w:rFonts w:cs="Times New Roman"/>
        </w:rPr>
      </w:pPr>
    </w:p>
    <w:p w14:paraId="16495FF2" w14:textId="77777777" w:rsidR="00926B7F" w:rsidRPr="001D6E53" w:rsidRDefault="00926B7F" w:rsidP="00926B7F">
      <w:pPr>
        <w:autoSpaceDE w:val="0"/>
        <w:autoSpaceDN w:val="0"/>
        <w:adjustRightInd w:val="0"/>
        <w:jc w:val="both"/>
        <w:rPr>
          <w:rFonts w:cs="Times New Roman"/>
          <w:b/>
          <w:bCs/>
        </w:rPr>
      </w:pPr>
      <w:r w:rsidRPr="001D6E53">
        <w:rPr>
          <w:rFonts w:cs="Times New Roman"/>
        </w:rPr>
        <w:tab/>
      </w:r>
      <w:r w:rsidRPr="001D6E53">
        <w:rPr>
          <w:rFonts w:cs="Times New Roman"/>
          <w:b/>
          <w:bCs/>
        </w:rPr>
        <w:t>Results of Sensitivity Genomic Factor Model Analyses.</w:t>
      </w:r>
    </w:p>
    <w:p w14:paraId="17F27A78" w14:textId="77777777" w:rsidR="00926B7F" w:rsidRPr="001D6E53" w:rsidRDefault="00926B7F" w:rsidP="00926B7F">
      <w:pPr>
        <w:autoSpaceDE w:val="0"/>
        <w:autoSpaceDN w:val="0"/>
        <w:adjustRightInd w:val="0"/>
        <w:jc w:val="both"/>
        <w:rPr>
          <w:rFonts w:cs="Times New Roman"/>
          <w:b/>
          <w:bCs/>
        </w:rPr>
      </w:pPr>
    </w:p>
    <w:p w14:paraId="5BB8AE55" w14:textId="77777777" w:rsidR="00D91015" w:rsidRPr="00D91015" w:rsidRDefault="00D91015" w:rsidP="004E46E3">
      <w:pPr>
        <w:autoSpaceDE w:val="0"/>
        <w:autoSpaceDN w:val="0"/>
        <w:adjustRightInd w:val="0"/>
        <w:ind w:firstLine="720"/>
        <w:jc w:val="both"/>
        <w:rPr>
          <w:rFonts w:cs="Times New Roman"/>
        </w:rPr>
      </w:pPr>
      <w:r w:rsidRPr="00D91015">
        <w:rPr>
          <w:rFonts w:cs="Times New Roman"/>
        </w:rPr>
        <w:t>Model 1: The dual-systems model including TCI novelty seeking as an indicator of sensation seeking rather than lack of self-control provided good fit to the data (</w:t>
      </w:r>
      <w:r w:rsidRPr="00D91015">
        <w:rPr>
          <w:rFonts w:cs="Times New Roman"/>
          <w:i/>
        </w:rPr>
        <w:t>χ</w:t>
      </w:r>
      <w:r w:rsidRPr="00D91015">
        <w:rPr>
          <w:rFonts w:cs="Times New Roman"/>
          <w:vertAlign w:val="superscript"/>
        </w:rPr>
        <w:t>2</w:t>
      </w:r>
      <w:r w:rsidRPr="00D91015">
        <w:rPr>
          <w:rFonts w:cs="Times New Roman"/>
        </w:rPr>
        <w:t xml:space="preserve">=9.9, </w:t>
      </w:r>
      <w:r w:rsidRPr="00D91015">
        <w:rPr>
          <w:rFonts w:cs="Times New Roman"/>
          <w:i/>
          <w:iCs/>
        </w:rPr>
        <w:t>df</w:t>
      </w:r>
      <w:r w:rsidRPr="00D91015">
        <w:rPr>
          <w:rFonts w:cs="Times New Roman"/>
        </w:rPr>
        <w:t xml:space="preserve">=9, </w:t>
      </w:r>
      <w:r w:rsidRPr="00D91015">
        <w:rPr>
          <w:rFonts w:cs="Times New Roman"/>
          <w:i/>
          <w:iCs/>
        </w:rPr>
        <w:t>P</w:t>
      </w:r>
      <w:r w:rsidRPr="00D91015">
        <w:rPr>
          <w:rFonts w:cs="Times New Roman"/>
        </w:rPr>
        <w:t xml:space="preserve">=.36, AIC=33.9, CFI=1.00, SRMR=.09) very similar to our original model (TCI novelty seeking on lack of self-control: </w:t>
      </w:r>
      <w:r w:rsidRPr="00D91015">
        <w:rPr>
          <w:rFonts w:cs="Times New Roman"/>
          <w:i/>
        </w:rPr>
        <w:t>χ</w:t>
      </w:r>
      <w:r w:rsidRPr="00D91015">
        <w:rPr>
          <w:rFonts w:cs="Times New Roman"/>
          <w:vertAlign w:val="superscript"/>
        </w:rPr>
        <w:t>2</w:t>
      </w:r>
      <w:r w:rsidRPr="00D91015">
        <w:rPr>
          <w:rFonts w:cs="Times New Roman"/>
        </w:rPr>
        <w:t xml:space="preserve">=10.7, </w:t>
      </w:r>
      <w:r w:rsidRPr="00D91015">
        <w:rPr>
          <w:rFonts w:cs="Times New Roman"/>
          <w:i/>
          <w:iCs/>
        </w:rPr>
        <w:t>df</w:t>
      </w:r>
      <w:r w:rsidRPr="00D91015">
        <w:rPr>
          <w:rFonts w:cs="Times New Roman"/>
        </w:rPr>
        <w:t xml:space="preserve">=8, </w:t>
      </w:r>
      <w:r w:rsidRPr="00D91015">
        <w:rPr>
          <w:rFonts w:cs="Times New Roman"/>
          <w:i/>
          <w:iCs/>
        </w:rPr>
        <w:t>P</w:t>
      </w:r>
      <w:r w:rsidRPr="00D91015">
        <w:rPr>
          <w:rFonts w:cs="Times New Roman"/>
        </w:rPr>
        <w:t xml:space="preserve">=.22, AIC=36.7, CFI=1.00, SRMR=.09). Moreover, the loading for TCI novelty seeking on sensation seeking is much lower (.32, </w:t>
      </w:r>
      <w:r w:rsidRPr="00D91015">
        <w:rPr>
          <w:rFonts w:cs="Times New Roman"/>
          <w:i/>
          <w:iCs/>
        </w:rPr>
        <w:t>P</w:t>
      </w:r>
      <w:r w:rsidRPr="00D91015">
        <w:rPr>
          <w:rFonts w:cs="Times New Roman"/>
        </w:rPr>
        <w:t xml:space="preserve"> = 1.30 × 10</w:t>
      </w:r>
      <w:r w:rsidRPr="00D91015">
        <w:rPr>
          <w:rFonts w:cs="Times New Roman"/>
          <w:vertAlign w:val="superscript"/>
        </w:rPr>
        <w:t>-7</w:t>
      </w:r>
      <w:r w:rsidRPr="00D91015">
        <w:rPr>
          <w:rFonts w:cs="Times New Roman"/>
        </w:rPr>
        <w:t xml:space="preserve">) than the loading for TCI novelty seeking on lack of self-control in our original model (.51, </w:t>
      </w:r>
      <w:r w:rsidRPr="00D91015">
        <w:rPr>
          <w:rFonts w:cs="Times New Roman"/>
          <w:i/>
          <w:iCs/>
        </w:rPr>
        <w:t>P</w:t>
      </w:r>
      <w:r w:rsidRPr="00D91015">
        <w:rPr>
          <w:rFonts w:cs="Times New Roman"/>
        </w:rPr>
        <w:t xml:space="preserve"> = 7.22 × 10</w:t>
      </w:r>
      <w:r w:rsidRPr="00D91015">
        <w:rPr>
          <w:rFonts w:cs="Times New Roman"/>
          <w:vertAlign w:val="superscript"/>
        </w:rPr>
        <w:t>-5</w:t>
      </w:r>
      <w:r w:rsidRPr="00D91015">
        <w:rPr>
          <w:rFonts w:cs="Times New Roman"/>
        </w:rPr>
        <w:t>). Additionally, when examining a single factor model of sensation seeking with the addition of TCI novelty seeking as an indicator, despite good fit to the data (</w:t>
      </w:r>
      <w:r w:rsidRPr="00D91015">
        <w:rPr>
          <w:rFonts w:cs="Times New Roman"/>
          <w:i/>
        </w:rPr>
        <w:t>χ</w:t>
      </w:r>
      <w:r w:rsidRPr="00D91015">
        <w:rPr>
          <w:rFonts w:cs="Times New Roman"/>
          <w:vertAlign w:val="superscript"/>
        </w:rPr>
        <w:t>2</w:t>
      </w:r>
      <w:r w:rsidRPr="00D91015">
        <w:rPr>
          <w:rFonts w:cs="Times New Roman"/>
        </w:rPr>
        <w:t xml:space="preserve">=1.7, </w:t>
      </w:r>
      <w:r w:rsidRPr="00D91015">
        <w:rPr>
          <w:rFonts w:cs="Times New Roman"/>
          <w:i/>
          <w:iCs/>
        </w:rPr>
        <w:t>df</w:t>
      </w:r>
      <w:r w:rsidRPr="00D91015">
        <w:rPr>
          <w:rFonts w:cs="Times New Roman"/>
        </w:rPr>
        <w:t xml:space="preserve">=2, </w:t>
      </w:r>
      <w:r w:rsidRPr="00D91015">
        <w:rPr>
          <w:rFonts w:cs="Times New Roman"/>
          <w:i/>
          <w:iCs/>
        </w:rPr>
        <w:t>P</w:t>
      </w:r>
      <w:r w:rsidRPr="00D91015">
        <w:rPr>
          <w:rFonts w:cs="Times New Roman"/>
        </w:rPr>
        <w:t xml:space="preserve">=.43, AIC=17.7, CFI=1.00, SRMR=.05; Supplementary Table 5), factor loadings suggest that this trait (.31) is considerably distinct from our other specified indicator traits (.82 – 1). </w:t>
      </w:r>
    </w:p>
    <w:p w14:paraId="5A74E347" w14:textId="77777777" w:rsidR="00926B7F" w:rsidRPr="001D6E53" w:rsidRDefault="00926B7F" w:rsidP="004E46E3">
      <w:pPr>
        <w:autoSpaceDE w:val="0"/>
        <w:autoSpaceDN w:val="0"/>
        <w:adjustRightInd w:val="0"/>
        <w:jc w:val="both"/>
        <w:rPr>
          <w:rFonts w:cs="Times New Roman"/>
        </w:rPr>
      </w:pPr>
    </w:p>
    <w:p w14:paraId="4DEBEC7A" w14:textId="77777777" w:rsidR="0078439D" w:rsidRPr="0078439D" w:rsidRDefault="0078439D" w:rsidP="004E46E3">
      <w:pPr>
        <w:autoSpaceDE w:val="0"/>
        <w:autoSpaceDN w:val="0"/>
        <w:adjustRightInd w:val="0"/>
        <w:ind w:firstLine="720"/>
        <w:jc w:val="both"/>
        <w:rPr>
          <w:rFonts w:cs="Times New Roman"/>
        </w:rPr>
      </w:pPr>
      <w:r w:rsidRPr="0078439D">
        <w:rPr>
          <w:rFonts w:cs="Times New Roman"/>
        </w:rPr>
        <w:t xml:space="preserve">Model 2: The dual-systems model including TCI novelty seeking as an indicator of both sensation seeking and lack of self-control (i.e., cross-factor loadings) provided good fit to the data as well (χ2=6.9, df=7, P=.44, AIC=33.9, CFI=1.00, SRMR=.09). However, again in Model 2, loadings for TCI novelty seeking were substantially lower, and non-significant, for both lack of self-control (.27, P = .29) and sensation seeking (.18, P = .22), though notably still larger for lack of self-control. </w:t>
      </w:r>
    </w:p>
    <w:p w14:paraId="6EDBE75F" w14:textId="77777777" w:rsidR="0078439D" w:rsidRPr="0078439D" w:rsidRDefault="0078439D" w:rsidP="0078439D">
      <w:pPr>
        <w:autoSpaceDE w:val="0"/>
        <w:autoSpaceDN w:val="0"/>
        <w:adjustRightInd w:val="0"/>
        <w:jc w:val="both"/>
        <w:rPr>
          <w:rFonts w:cs="Times New Roman"/>
        </w:rPr>
      </w:pPr>
    </w:p>
    <w:p w14:paraId="21A94DB6" w14:textId="05482CAA" w:rsidR="00926B7F" w:rsidRDefault="0078439D" w:rsidP="0078439D">
      <w:pPr>
        <w:autoSpaceDE w:val="0"/>
        <w:autoSpaceDN w:val="0"/>
        <w:adjustRightInd w:val="0"/>
        <w:ind w:firstLine="720"/>
        <w:jc w:val="both"/>
        <w:rPr>
          <w:rFonts w:cs="Times New Roman"/>
        </w:rPr>
      </w:pPr>
      <w:r w:rsidRPr="0078439D">
        <w:rPr>
          <w:rFonts w:cs="Times New Roman"/>
        </w:rPr>
        <w:t>Model 3A-B: The sensation seeking – lack of self-control dual-systems model excluding TCI novelty seeking as an indicator of lack of self-control (equal loadings for BIS-11 total scores and UPPS-P lack of premeditation) resulted in good fit to the data (χ2=6.3, df=3, P=.28, AIC=26.3, CFI=1.00, SRMR=.05). Similarly, excluding TCI novelty seeking from our urgency – lack of self-control dual-systems model, but retaining cross-factor within-measure residual covariances between UPPS-P negative and positive urgency and lack of premeditation resulted in good fit to the data (χ2=3.3, df=3, P=.35, AIC=27.3, CFI=1.00, SRMR=.05).</w:t>
      </w:r>
    </w:p>
    <w:p w14:paraId="46FAFC2A" w14:textId="77777777" w:rsidR="00926B7F" w:rsidRPr="001D6E53" w:rsidRDefault="00926B7F" w:rsidP="004E46E3">
      <w:pPr>
        <w:autoSpaceDE w:val="0"/>
        <w:autoSpaceDN w:val="0"/>
        <w:adjustRightInd w:val="0"/>
        <w:jc w:val="both"/>
        <w:rPr>
          <w:rFonts w:cs="Times New Roman"/>
        </w:rPr>
      </w:pPr>
    </w:p>
    <w:p w14:paraId="548AB747" w14:textId="67CA27DE" w:rsidR="0078439D" w:rsidRDefault="0078439D" w:rsidP="004E46E3">
      <w:pPr>
        <w:autoSpaceDE w:val="0"/>
        <w:autoSpaceDN w:val="0"/>
        <w:adjustRightInd w:val="0"/>
        <w:ind w:firstLine="720"/>
        <w:jc w:val="both"/>
      </w:pPr>
      <w:r>
        <w:t>Full output for sensitivity analyses models 1-3 are now also included in Supplementary Tables 3-4 as well as output for the single factor model of sensation seeking with inclusion of TCI novelty seeking as an indicator (Supplementary Table 5).</w:t>
      </w:r>
    </w:p>
    <w:p w14:paraId="55EF031D" w14:textId="77777777" w:rsidR="00926B7F" w:rsidRPr="001D6E53" w:rsidRDefault="00926B7F" w:rsidP="004E46E3">
      <w:pPr>
        <w:autoSpaceDE w:val="0"/>
        <w:autoSpaceDN w:val="0"/>
        <w:adjustRightInd w:val="0"/>
        <w:jc w:val="both"/>
        <w:rPr>
          <w:rFonts w:cs="Times New Roman"/>
        </w:rPr>
      </w:pPr>
    </w:p>
    <w:p w14:paraId="4D5743FB" w14:textId="05D7AB8D" w:rsidR="00926B7F" w:rsidRPr="001D6E53" w:rsidRDefault="00926B7F" w:rsidP="004E46E3">
      <w:pPr>
        <w:autoSpaceDE w:val="0"/>
        <w:autoSpaceDN w:val="0"/>
        <w:adjustRightInd w:val="0"/>
        <w:ind w:firstLine="720"/>
        <w:jc w:val="both"/>
        <w:rPr>
          <w:rFonts w:cs="Times New Roman"/>
          <w:color w:val="FF0000"/>
        </w:rPr>
      </w:pPr>
      <w:r w:rsidRPr="001D6E53">
        <w:rPr>
          <w:rFonts w:cs="Times New Roman"/>
        </w:rPr>
        <w:t xml:space="preserve">Collectively, the results of these </w:t>
      </w:r>
      <w:r w:rsidR="00F65B98">
        <w:rPr>
          <w:rFonts w:cs="Times New Roman"/>
        </w:rPr>
        <w:t>sensitivity</w:t>
      </w:r>
      <w:r w:rsidRPr="001D6E53">
        <w:rPr>
          <w:rFonts w:cs="Times New Roman"/>
        </w:rPr>
        <w:t xml:space="preserve"> analyses suggest that genetic influences associated with the TCI novelty seeking scale likely </w:t>
      </w:r>
      <w:r w:rsidR="009C500F">
        <w:rPr>
          <w:rFonts w:cs="Times New Roman"/>
        </w:rPr>
        <w:t>overlap with</w:t>
      </w:r>
      <w:r w:rsidRPr="001D6E53">
        <w:rPr>
          <w:rFonts w:cs="Times New Roman"/>
        </w:rPr>
        <w:t xml:space="preserve"> sensation seeking </w:t>
      </w:r>
      <w:r w:rsidRPr="001D6E53">
        <w:rPr>
          <w:rFonts w:cs="Times New Roman"/>
          <w:i/>
          <w:iCs/>
        </w:rPr>
        <w:t xml:space="preserve">and </w:t>
      </w:r>
      <w:r w:rsidRPr="001D6E53">
        <w:rPr>
          <w:rFonts w:cs="Times New Roman"/>
        </w:rPr>
        <w:t xml:space="preserve">lack of self-control. This observation is consistent with previous phenotypic literature suggesting that different subscales tap into each of these constructs. It is important to note as well that other GWAS examining associations among IPTs have drawn attention to the fact that phenotypic and genetic correlations between impulsive subscales can exhibit substantial variability (Sanchez-Roige et al., </w:t>
      </w:r>
      <w:r w:rsidRPr="001D6E53">
        <w:rPr>
          <w:rFonts w:cs="Times New Roman"/>
        </w:rPr>
        <w:lastRenderedPageBreak/>
        <w:t>2019). This underscores the need to evaluate different models of IPTs and reckon their genetic and neurobiological underpinnings with phenotypic observations and theory.</w:t>
      </w:r>
    </w:p>
    <w:p w14:paraId="27D7C2DC" w14:textId="77777777" w:rsidR="00926B7F" w:rsidRPr="001D6E53" w:rsidRDefault="00926B7F" w:rsidP="00926B7F">
      <w:pPr>
        <w:autoSpaceDE w:val="0"/>
        <w:autoSpaceDN w:val="0"/>
        <w:adjustRightInd w:val="0"/>
        <w:jc w:val="both"/>
        <w:rPr>
          <w:rFonts w:cs="Times New Roman"/>
          <w:color w:val="FF0000"/>
        </w:rPr>
      </w:pPr>
    </w:p>
    <w:p w14:paraId="1B5B4120" w14:textId="77777777" w:rsidR="00926B7F" w:rsidRPr="001D6E53" w:rsidRDefault="00926B7F" w:rsidP="00926B7F">
      <w:pPr>
        <w:autoSpaceDE w:val="0"/>
        <w:autoSpaceDN w:val="0"/>
        <w:adjustRightInd w:val="0"/>
        <w:jc w:val="both"/>
        <w:rPr>
          <w:rFonts w:cs="Times New Roman"/>
          <w:b/>
          <w:bCs/>
        </w:rPr>
      </w:pPr>
      <w:r w:rsidRPr="001D6E53">
        <w:rPr>
          <w:rFonts w:cs="Times New Roman"/>
        </w:rPr>
        <w:tab/>
      </w:r>
      <w:r w:rsidRPr="001D6E53">
        <w:rPr>
          <w:rFonts w:cs="Times New Roman"/>
          <w:b/>
          <w:bCs/>
        </w:rPr>
        <w:t>Results of Sensitivity Multivariate GWAS Analyses.</w:t>
      </w:r>
    </w:p>
    <w:p w14:paraId="16DE1BE1" w14:textId="77777777" w:rsidR="00926B7F" w:rsidRPr="004E46E3" w:rsidRDefault="00926B7F" w:rsidP="004E46E3">
      <w:pPr>
        <w:autoSpaceDE w:val="0"/>
        <w:autoSpaceDN w:val="0"/>
        <w:adjustRightInd w:val="0"/>
        <w:jc w:val="both"/>
        <w:rPr>
          <w:rFonts w:cs="Times New Roman"/>
          <w:color w:val="FF0000"/>
        </w:rPr>
      </w:pPr>
    </w:p>
    <w:p w14:paraId="61E04381" w14:textId="1CFA4CF2" w:rsidR="00926B7F" w:rsidRPr="001D6E53" w:rsidRDefault="00926B7F" w:rsidP="004E46E3">
      <w:pPr>
        <w:autoSpaceDE w:val="0"/>
        <w:autoSpaceDN w:val="0"/>
        <w:adjustRightInd w:val="0"/>
        <w:ind w:firstLine="720"/>
        <w:jc w:val="both"/>
        <w:rPr>
          <w:rFonts w:cs="Times New Roman"/>
        </w:rPr>
      </w:pPr>
      <w:r w:rsidRPr="001D6E53">
        <w:rPr>
          <w:rFonts w:cs="Times New Roman"/>
        </w:rPr>
        <w:t xml:space="preserve">A sensitivity multivariate GWAS of the lack of self-control factor excluding TCI novelty seeking </w:t>
      </w:r>
      <w:r w:rsidR="0078439D">
        <w:rPr>
          <w:rFonts w:cs="Times New Roman"/>
        </w:rPr>
        <w:t xml:space="preserve">(Supplementary Table 5) </w:t>
      </w:r>
      <w:r w:rsidRPr="001D6E53">
        <w:rPr>
          <w:rFonts w:cs="Times New Roman"/>
        </w:rPr>
        <w:t xml:space="preserve">was conducted and used to conduct a sensitivity analysis of neuroimaging genetic correlation models. Results from these sensitivity GWAS and genetic correlation analyses were compared results to findings using the lack of self-control multivariate GWAS including TCI novelty seeking. </w:t>
      </w:r>
    </w:p>
    <w:p w14:paraId="738A919D" w14:textId="77777777" w:rsidR="00926B7F" w:rsidRPr="001D6E53" w:rsidRDefault="00926B7F" w:rsidP="004E46E3">
      <w:pPr>
        <w:autoSpaceDE w:val="0"/>
        <w:autoSpaceDN w:val="0"/>
        <w:adjustRightInd w:val="0"/>
        <w:jc w:val="both"/>
        <w:rPr>
          <w:rFonts w:cs="Times New Roman"/>
        </w:rPr>
      </w:pPr>
    </w:p>
    <w:p w14:paraId="26012780" w14:textId="77777777" w:rsidR="00926B7F" w:rsidRPr="001D6E53" w:rsidRDefault="00926B7F" w:rsidP="004E46E3">
      <w:pPr>
        <w:autoSpaceDE w:val="0"/>
        <w:autoSpaceDN w:val="0"/>
        <w:adjustRightInd w:val="0"/>
        <w:ind w:firstLine="720"/>
        <w:jc w:val="both"/>
        <w:rPr>
          <w:rFonts w:cs="Times New Roman"/>
        </w:rPr>
      </w:pPr>
      <w:r w:rsidRPr="001D6E53">
        <w:rPr>
          <w:rFonts w:cs="Times New Roman"/>
        </w:rPr>
        <w:t xml:space="preserve">Univariate LDSC results for the lack of self-control factor excluding TCI novelty seeking suggested decreases in mean </w:t>
      </w:r>
      <w:r w:rsidRPr="001D6E53">
        <w:rPr>
          <w:rFonts w:cs="Times New Roman"/>
          <w:i/>
        </w:rPr>
        <w:t>χ</w:t>
      </w:r>
      <w:r w:rsidRPr="001D6E53">
        <w:rPr>
          <w:rFonts w:cs="Times New Roman"/>
          <w:bCs/>
          <w:vertAlign w:val="superscript"/>
        </w:rPr>
        <w:t>2</w:t>
      </w:r>
      <w:r w:rsidRPr="001D6E53">
        <w:rPr>
          <w:rFonts w:cs="Times New Roman"/>
          <w:bCs/>
        </w:rPr>
        <w:t xml:space="preserve"> and </w:t>
      </w:r>
      <w:r w:rsidRPr="001D6E53">
        <w:rPr>
          <w:rFonts w:cs="Times New Roman"/>
          <w:i/>
          <w:lang w:val="el-GR"/>
        </w:rPr>
        <w:t>λ</w:t>
      </w:r>
      <w:r w:rsidRPr="001D6E53">
        <w:rPr>
          <w:rFonts w:cs="Times New Roman"/>
          <w:bCs/>
          <w:vertAlign w:val="subscript"/>
        </w:rPr>
        <w:t>GC</w:t>
      </w:r>
      <w:r w:rsidRPr="001D6E53">
        <w:rPr>
          <w:rFonts w:cs="Times New Roman"/>
          <w:bCs/>
        </w:rPr>
        <w:t xml:space="preserve"> as measures of polygenicity (1.02 vs. 1.03; 1.02 vs. 1.16), a slight increase in LDSC intercept estimate (0.998, </w:t>
      </w:r>
      <w:r w:rsidRPr="001D6E53">
        <w:rPr>
          <w:rFonts w:cs="Times New Roman"/>
          <w:bCs/>
          <w:i/>
          <w:iCs/>
        </w:rPr>
        <w:t>SE</w:t>
      </w:r>
      <w:r w:rsidRPr="001D6E53">
        <w:rPr>
          <w:rFonts w:cs="Times New Roman"/>
          <w:bCs/>
        </w:rPr>
        <w:t xml:space="preserve"> = 0.007 vs. 0.987, </w:t>
      </w:r>
      <w:r w:rsidRPr="001D6E53">
        <w:rPr>
          <w:rFonts w:cs="Times New Roman"/>
          <w:bCs/>
          <w:i/>
          <w:iCs/>
        </w:rPr>
        <w:t>SE</w:t>
      </w:r>
      <w:r w:rsidRPr="001D6E53">
        <w:rPr>
          <w:rFonts w:cs="Times New Roman"/>
          <w:bCs/>
        </w:rPr>
        <w:t xml:space="preserve"> = 0.009), and a more substantial reduction in the estimated genetic variance (</w:t>
      </w:r>
      <w:r w:rsidRPr="001D6E53">
        <w:rPr>
          <w:rFonts w:cs="Times New Roman"/>
          <w:i/>
        </w:rPr>
        <w:t>ζ</w:t>
      </w:r>
      <w:r w:rsidRPr="001D6E53">
        <w:rPr>
          <w:rFonts w:cs="Times New Roman"/>
          <w:i/>
          <w:vertAlign w:val="subscript"/>
        </w:rPr>
        <w:t>g</w:t>
      </w:r>
      <w:r w:rsidRPr="001D6E53">
        <w:rPr>
          <w:rFonts w:cs="Times New Roman"/>
        </w:rPr>
        <w:t xml:space="preserve">=0.046, </w:t>
      </w:r>
      <w:r w:rsidRPr="001D6E53">
        <w:rPr>
          <w:rFonts w:cs="Times New Roman"/>
          <w:i/>
        </w:rPr>
        <w:t>SE</w:t>
      </w:r>
      <w:r w:rsidRPr="001D6E53">
        <w:rPr>
          <w:rFonts w:cs="Times New Roman"/>
        </w:rPr>
        <w:t xml:space="preserve">=0.017 vs. </w:t>
      </w:r>
      <w:r w:rsidRPr="001D6E53">
        <w:rPr>
          <w:rFonts w:cs="Times New Roman"/>
          <w:i/>
        </w:rPr>
        <w:t>ζ</w:t>
      </w:r>
      <w:r w:rsidRPr="001D6E53">
        <w:rPr>
          <w:rFonts w:cs="Times New Roman"/>
          <w:i/>
          <w:vertAlign w:val="subscript"/>
        </w:rPr>
        <w:t>g</w:t>
      </w:r>
      <w:r w:rsidRPr="001D6E53">
        <w:rPr>
          <w:rFonts w:cs="Times New Roman"/>
        </w:rPr>
        <w:t xml:space="preserve">=0.072, </w:t>
      </w:r>
      <w:r w:rsidRPr="001D6E53">
        <w:rPr>
          <w:rFonts w:cs="Times New Roman"/>
          <w:i/>
        </w:rPr>
        <w:t>SE</w:t>
      </w:r>
      <w:r w:rsidRPr="001D6E53">
        <w:rPr>
          <w:rFonts w:cs="Times New Roman"/>
        </w:rPr>
        <w:t xml:space="preserve">=0.019), in aggregate suggesting these GWAS are similarly underpowered and that excluding TCI novelty seeking results in further reduction of power. </w:t>
      </w:r>
    </w:p>
    <w:p w14:paraId="15552FE5" w14:textId="77777777" w:rsidR="00926B7F" w:rsidRPr="001D6E53" w:rsidRDefault="00926B7F" w:rsidP="00926B7F">
      <w:pPr>
        <w:autoSpaceDE w:val="0"/>
        <w:autoSpaceDN w:val="0"/>
        <w:adjustRightInd w:val="0"/>
        <w:jc w:val="both"/>
        <w:rPr>
          <w:rFonts w:cs="Times New Roman"/>
        </w:rPr>
      </w:pPr>
    </w:p>
    <w:p w14:paraId="001B283B" w14:textId="77777777" w:rsidR="00926B7F" w:rsidRPr="001D6E53" w:rsidRDefault="00926B7F" w:rsidP="00926B7F">
      <w:pPr>
        <w:autoSpaceDE w:val="0"/>
        <w:autoSpaceDN w:val="0"/>
        <w:adjustRightInd w:val="0"/>
        <w:jc w:val="both"/>
        <w:rPr>
          <w:rFonts w:cs="Times New Roman"/>
          <w:b/>
          <w:bCs/>
        </w:rPr>
      </w:pPr>
      <w:r w:rsidRPr="001D6E53">
        <w:rPr>
          <w:rFonts w:cs="Times New Roman"/>
        </w:rPr>
        <w:tab/>
      </w:r>
      <w:r w:rsidRPr="001D6E53">
        <w:rPr>
          <w:rFonts w:cs="Times New Roman"/>
          <w:b/>
          <w:bCs/>
        </w:rPr>
        <w:t>Results of Sensitivity Neuroimaging Genetic Correlation Analyses.</w:t>
      </w:r>
    </w:p>
    <w:p w14:paraId="2CE31037" w14:textId="77777777" w:rsidR="00926B7F" w:rsidRPr="001D6E53" w:rsidRDefault="00926B7F" w:rsidP="004E46E3">
      <w:pPr>
        <w:autoSpaceDE w:val="0"/>
        <w:autoSpaceDN w:val="0"/>
        <w:adjustRightInd w:val="0"/>
        <w:jc w:val="both"/>
        <w:rPr>
          <w:rFonts w:cs="Times New Roman"/>
        </w:rPr>
      </w:pPr>
    </w:p>
    <w:p w14:paraId="2ADA4206" w14:textId="0A358DCB" w:rsidR="00926B7F" w:rsidRPr="001D6E53" w:rsidRDefault="00926B7F" w:rsidP="004E46E3">
      <w:pPr>
        <w:autoSpaceDE w:val="0"/>
        <w:autoSpaceDN w:val="0"/>
        <w:adjustRightInd w:val="0"/>
        <w:ind w:firstLine="720"/>
        <w:jc w:val="both"/>
        <w:rPr>
          <w:rFonts w:cs="Times New Roman"/>
        </w:rPr>
      </w:pPr>
      <w:r w:rsidRPr="001D6E53">
        <w:rPr>
          <w:rFonts w:cs="Times New Roman"/>
        </w:rPr>
        <w:t xml:space="preserve">Results of genetic correlation analyses between neuroimaging phenotypes and the lack of self-control GWAS without TCI novelty seeking suggested overall negligible differences in terms of magnitudes of correlations, number of significant correlations, and direction of effect for significant correlations. For instance, across all neuroimaging phenotypes, </w:t>
      </w:r>
      <w:r w:rsidRPr="001D6E53">
        <w:rPr>
          <w:rFonts w:cs="Times New Roman"/>
          <w:i/>
        </w:rPr>
        <w:t>χ</w:t>
      </w:r>
      <w:r w:rsidRPr="001D6E53">
        <w:rPr>
          <w:rFonts w:cs="Times New Roman"/>
          <w:bCs/>
          <w:vertAlign w:val="superscript"/>
        </w:rPr>
        <w:t>2</w:t>
      </w:r>
      <w:r w:rsidRPr="001D6E53">
        <w:rPr>
          <w:rFonts w:cs="Times New Roman"/>
          <w:bCs/>
        </w:rPr>
        <w:t xml:space="preserve"> tests used to evaluate the null hypothesis that each pair of genetic correlations (lack of self-control vs. lack of self-control without TCI novelty seeking) could be constrained to equality (Demange et al., 2021) resulted in no significant </w:t>
      </w:r>
      <w:r w:rsidRPr="001D6E53">
        <w:rPr>
          <w:rFonts w:cs="Times New Roman"/>
          <w:i/>
        </w:rPr>
        <w:t>χ</w:t>
      </w:r>
      <w:r w:rsidRPr="001D6E53">
        <w:rPr>
          <w:rFonts w:cs="Times New Roman"/>
          <w:bCs/>
          <w:vertAlign w:val="superscript"/>
        </w:rPr>
        <w:t>2</w:t>
      </w:r>
      <w:r w:rsidRPr="001D6E53">
        <w:rPr>
          <w:rFonts w:cs="Times New Roman"/>
          <w:bCs/>
        </w:rPr>
        <w:t xml:space="preserve"> differences suggesting the magnitudes of correlations with neuroimaging phenotypes could be constrained to equality. This is also reflected in the average absolute differences in the magnitude of correlation point estimates for the 21 FDR-significant associations with cortical thickness phenotypes (0.047). Of these 21 FDR-significant correlations, 12 remained significant using the lack of self-control summary statistics without TCI novelty seeking and all associations continued to reflect negative genetic correlations between lack of self-control and cortical thickness. There were no new FDR-significant genetic correlations observed using the lack of self-control GWAS without TCI novelty seeking.</w:t>
      </w:r>
      <w:r w:rsidRPr="001D6E53">
        <w:rPr>
          <w:rFonts w:cs="Times New Roman"/>
        </w:rPr>
        <w:t xml:space="preserve"> Output from these models </w:t>
      </w:r>
      <w:proofErr w:type="gramStart"/>
      <w:r w:rsidRPr="001D6E53">
        <w:rPr>
          <w:rFonts w:cs="Times New Roman"/>
        </w:rPr>
        <w:t>are</w:t>
      </w:r>
      <w:proofErr w:type="gramEnd"/>
      <w:r w:rsidRPr="001D6E53">
        <w:rPr>
          <w:rFonts w:cs="Times New Roman"/>
        </w:rPr>
        <w:t xml:space="preserve"> presented in Supplementary Table 14. </w:t>
      </w:r>
    </w:p>
    <w:p w14:paraId="5A819A06" w14:textId="77777777" w:rsidR="00A73DED" w:rsidRPr="00A45CBF" w:rsidRDefault="00A73DED" w:rsidP="00DF6969">
      <w:pPr>
        <w:spacing w:after="240"/>
        <w:rPr>
          <w:rFonts w:eastAsia="Times New Roman" w:cs="Times New Roman"/>
        </w:rPr>
      </w:pPr>
    </w:p>
    <w:p w14:paraId="7814518E" w14:textId="3E89A2A8" w:rsidR="00DF6969" w:rsidRDefault="00DF6969" w:rsidP="00DF6969">
      <w:pPr>
        <w:spacing w:after="240"/>
        <w:rPr>
          <w:rFonts w:eastAsia="Times New Roman" w:cs="Times New Roman"/>
        </w:rPr>
      </w:pPr>
    </w:p>
    <w:p w14:paraId="4131DA6D" w14:textId="309567CF" w:rsidR="00DF6969" w:rsidRDefault="00DF6969" w:rsidP="00DF6969">
      <w:pPr>
        <w:spacing w:after="240"/>
        <w:rPr>
          <w:rFonts w:eastAsia="Times New Roman" w:cs="Times New Roman"/>
        </w:rPr>
      </w:pPr>
    </w:p>
    <w:p w14:paraId="288463A6" w14:textId="77777777" w:rsidR="0078439D" w:rsidRDefault="0078439D" w:rsidP="00DF6969">
      <w:pPr>
        <w:spacing w:after="240"/>
        <w:rPr>
          <w:rFonts w:eastAsia="Times New Roman" w:cs="Times New Roman"/>
        </w:rPr>
      </w:pPr>
    </w:p>
    <w:p w14:paraId="78A2CA2F" w14:textId="77777777" w:rsidR="0078439D" w:rsidRDefault="0078439D" w:rsidP="00DF6969">
      <w:pPr>
        <w:spacing w:after="240"/>
        <w:rPr>
          <w:rFonts w:eastAsia="Times New Roman" w:cs="Times New Roman"/>
        </w:rPr>
      </w:pPr>
    </w:p>
    <w:p w14:paraId="7C8F3A0E" w14:textId="77777777" w:rsidR="00DF6969" w:rsidRDefault="00DF6969" w:rsidP="00DF6969">
      <w:pPr>
        <w:spacing w:line="480" w:lineRule="auto"/>
        <w:rPr>
          <w:rFonts w:eastAsia="Times New Roman" w:cs="Times New Roman"/>
        </w:rPr>
      </w:pPr>
    </w:p>
    <w:p w14:paraId="70CD254C" w14:textId="3E05B8CC" w:rsidR="00DF6969" w:rsidRDefault="00DF6969" w:rsidP="00DF6969">
      <w:pPr>
        <w:spacing w:line="480" w:lineRule="auto"/>
        <w:rPr>
          <w:b/>
          <w:bCs/>
        </w:rPr>
      </w:pPr>
      <w:r>
        <w:rPr>
          <w:b/>
          <w:bCs/>
        </w:rPr>
        <w:lastRenderedPageBreak/>
        <w:t>References</w:t>
      </w:r>
    </w:p>
    <w:p w14:paraId="40835367" w14:textId="68D329D7" w:rsidR="00DF6969" w:rsidRPr="00DF6969" w:rsidRDefault="00DF6969" w:rsidP="00DF6969">
      <w:pPr>
        <w:pStyle w:val="Bibliography"/>
        <w:spacing w:after="120"/>
        <w:ind w:left="720" w:hanging="720"/>
        <w:rPr>
          <w:rFonts w:cs="Times New Roman"/>
        </w:rPr>
      </w:pPr>
      <w:r w:rsidRPr="00DF6969">
        <w:rPr>
          <w:rFonts w:cs="Times New Roman"/>
        </w:rPr>
        <w:t xml:space="preserve">Bulik-Sullivan, B., Finucane, H. K., Anttila, V., Gusev, A., Day, F. R., Loh, P. R., </w:t>
      </w:r>
      <w:r w:rsidR="006951A7">
        <w:rPr>
          <w:rFonts w:cs="Times New Roman"/>
        </w:rPr>
        <w:t xml:space="preserve">… </w:t>
      </w:r>
      <w:r w:rsidRPr="00DF6969">
        <w:rPr>
          <w:rFonts w:cs="Times New Roman"/>
        </w:rPr>
        <w:t xml:space="preserve">Neale, B. M. (2015). An atlas of genetic correlations across human diseases and traits. </w:t>
      </w:r>
      <w:r w:rsidRPr="00DF6969">
        <w:rPr>
          <w:rFonts w:cs="Times New Roman"/>
          <w:i/>
          <w:iCs/>
        </w:rPr>
        <w:t>Nature Genetics</w:t>
      </w:r>
      <w:r w:rsidRPr="00DF6969">
        <w:rPr>
          <w:rFonts w:cs="Times New Roman"/>
        </w:rPr>
        <w:t xml:space="preserve">, </w:t>
      </w:r>
      <w:r w:rsidRPr="00DF6969">
        <w:rPr>
          <w:rFonts w:cs="Times New Roman"/>
          <w:i/>
          <w:iCs/>
        </w:rPr>
        <w:t>47</w:t>
      </w:r>
      <w:r w:rsidRPr="00DF6969">
        <w:rPr>
          <w:rFonts w:cs="Times New Roman"/>
        </w:rPr>
        <w:t>(11), 1236–1241. https://doi.org/10.1038/ng.3406</w:t>
      </w:r>
    </w:p>
    <w:p w14:paraId="0923643C" w14:textId="07F90064" w:rsidR="00DF6969" w:rsidRPr="00DF6969" w:rsidRDefault="00DF6969" w:rsidP="00DF6969">
      <w:pPr>
        <w:pStyle w:val="Bibliography"/>
        <w:spacing w:after="120"/>
        <w:ind w:left="720" w:hanging="720"/>
        <w:rPr>
          <w:rFonts w:cs="Times New Roman"/>
        </w:rPr>
      </w:pPr>
      <w:r w:rsidRPr="00DF6969">
        <w:rPr>
          <w:rFonts w:cs="Times New Roman"/>
        </w:rPr>
        <w:t xml:space="preserve">Bulik-Sullivan, B., Loh, P. R., Finucane, H. K., </w:t>
      </w:r>
      <w:proofErr w:type="spellStart"/>
      <w:r w:rsidRPr="00DF6969">
        <w:rPr>
          <w:rFonts w:cs="Times New Roman"/>
        </w:rPr>
        <w:t>Ripke</w:t>
      </w:r>
      <w:proofErr w:type="spellEnd"/>
      <w:r w:rsidRPr="00DF6969">
        <w:rPr>
          <w:rFonts w:cs="Times New Roman"/>
        </w:rPr>
        <w:t xml:space="preserve">, S., Yang, J., Patterson, N., … O’Donovan, M. C. (2015). LD score regression distinguishes confounding from polygenicity in genome-wide association studies. </w:t>
      </w:r>
      <w:r w:rsidRPr="00DF6969">
        <w:rPr>
          <w:rFonts w:cs="Times New Roman"/>
          <w:i/>
          <w:iCs/>
        </w:rPr>
        <w:t>Nature Genetics</w:t>
      </w:r>
      <w:r w:rsidRPr="00DF6969">
        <w:rPr>
          <w:rFonts w:cs="Times New Roman"/>
        </w:rPr>
        <w:t xml:space="preserve">, </w:t>
      </w:r>
      <w:r w:rsidRPr="00DF6969">
        <w:rPr>
          <w:rFonts w:cs="Times New Roman"/>
          <w:i/>
          <w:iCs/>
        </w:rPr>
        <w:t>47</w:t>
      </w:r>
      <w:r w:rsidRPr="00DF6969">
        <w:rPr>
          <w:rFonts w:cs="Times New Roman"/>
        </w:rPr>
        <w:t xml:space="preserve">(3), 291–295. </w:t>
      </w:r>
      <w:hyperlink r:id="rId8" w:history="1">
        <w:r w:rsidRPr="00DF6969">
          <w:rPr>
            <w:rStyle w:val="Hyperlink"/>
            <w:rFonts w:cs="Times New Roman"/>
            <w:color w:val="auto"/>
            <w:u w:val="none"/>
          </w:rPr>
          <w:t>https://doi.org/10.1038/ng.3211</w:t>
        </w:r>
      </w:hyperlink>
    </w:p>
    <w:p w14:paraId="2DC8F64A" w14:textId="08E910F1" w:rsidR="00DF6969" w:rsidRPr="00DF6969" w:rsidRDefault="00DF6969" w:rsidP="00DF6969">
      <w:pPr>
        <w:pStyle w:val="Bibliography"/>
        <w:spacing w:after="120"/>
        <w:ind w:left="720" w:hanging="720"/>
        <w:rPr>
          <w:rFonts w:cs="Times New Roman"/>
        </w:rPr>
      </w:pPr>
      <w:proofErr w:type="spellStart"/>
      <w:r w:rsidRPr="00DF6969">
        <w:rPr>
          <w:rFonts w:cs="Times New Roman"/>
        </w:rPr>
        <w:t>Bycroft</w:t>
      </w:r>
      <w:proofErr w:type="spellEnd"/>
      <w:r w:rsidRPr="00DF6969">
        <w:rPr>
          <w:rFonts w:cs="Times New Roman"/>
        </w:rPr>
        <w:t xml:space="preserve">, C., Freeman, C., </w:t>
      </w:r>
      <w:proofErr w:type="spellStart"/>
      <w:r w:rsidRPr="00DF6969">
        <w:rPr>
          <w:rFonts w:cs="Times New Roman"/>
        </w:rPr>
        <w:t>Petkova</w:t>
      </w:r>
      <w:proofErr w:type="spellEnd"/>
      <w:r w:rsidRPr="00DF6969">
        <w:rPr>
          <w:rFonts w:cs="Times New Roman"/>
        </w:rPr>
        <w:t xml:space="preserve">, D., Band, G., Elliott, L. T., Sharp, K., </w:t>
      </w:r>
      <w:r w:rsidR="006951A7">
        <w:rPr>
          <w:rFonts w:cs="Times New Roman"/>
        </w:rPr>
        <w:t xml:space="preserve">… </w:t>
      </w:r>
      <w:proofErr w:type="spellStart"/>
      <w:r w:rsidRPr="00DF6969">
        <w:rPr>
          <w:rFonts w:cs="Times New Roman"/>
        </w:rPr>
        <w:t>Marchini</w:t>
      </w:r>
      <w:proofErr w:type="spellEnd"/>
      <w:r w:rsidRPr="00DF6969">
        <w:rPr>
          <w:rFonts w:cs="Times New Roman"/>
        </w:rPr>
        <w:t xml:space="preserve">, J. (2018). The UK Biobank resource with deep phenotyping and genomic data. </w:t>
      </w:r>
      <w:r w:rsidRPr="00DF6969">
        <w:rPr>
          <w:rFonts w:cs="Times New Roman"/>
          <w:i/>
          <w:iCs/>
        </w:rPr>
        <w:t>Nature</w:t>
      </w:r>
      <w:r w:rsidRPr="00DF6969">
        <w:rPr>
          <w:rFonts w:cs="Times New Roman"/>
        </w:rPr>
        <w:t xml:space="preserve">, </w:t>
      </w:r>
      <w:r w:rsidRPr="00DF6969">
        <w:rPr>
          <w:rFonts w:cs="Times New Roman"/>
          <w:i/>
          <w:iCs/>
        </w:rPr>
        <w:t>562</w:t>
      </w:r>
      <w:r w:rsidRPr="00DF6969">
        <w:rPr>
          <w:rFonts w:cs="Times New Roman"/>
        </w:rPr>
        <w:t xml:space="preserve">(7726), 203–209. </w:t>
      </w:r>
      <w:hyperlink r:id="rId9" w:history="1">
        <w:r w:rsidRPr="00DF6969">
          <w:rPr>
            <w:rStyle w:val="Hyperlink"/>
            <w:rFonts w:cs="Times New Roman"/>
            <w:color w:val="auto"/>
            <w:u w:val="none"/>
          </w:rPr>
          <w:t>https://doi.org/10.1038/s41586-018-0579-z</w:t>
        </w:r>
      </w:hyperlink>
    </w:p>
    <w:p w14:paraId="119D39F8" w14:textId="77777777" w:rsidR="00DF6969" w:rsidRPr="00DF6969" w:rsidRDefault="00DF6969" w:rsidP="00DF6969">
      <w:pPr>
        <w:spacing w:after="120"/>
        <w:ind w:left="720" w:hanging="720"/>
        <w:rPr>
          <w:rFonts w:cs="Times New Roman"/>
        </w:rPr>
      </w:pPr>
      <w:r w:rsidRPr="00DF6969">
        <w:rPr>
          <w:rFonts w:cs="Times New Roman"/>
        </w:rPr>
        <w:t>Cloninger C. R., Przybeck T. R., Svrakic D. M., Wetzel R. D. (1994) </w:t>
      </w:r>
      <w:r w:rsidRPr="00DF6969">
        <w:rPr>
          <w:rFonts w:cs="Times New Roman"/>
          <w:i/>
          <w:iCs/>
        </w:rPr>
        <w:t>The Temperament and Character Inventory (TCI): A guide to its development and use</w:t>
      </w:r>
      <w:r w:rsidRPr="00DF6969">
        <w:rPr>
          <w:rFonts w:cs="Times New Roman"/>
        </w:rPr>
        <w:t>. St. Louis, MO: Center for Psychobiology of Personality.</w:t>
      </w:r>
    </w:p>
    <w:p w14:paraId="57C5A4B3" w14:textId="0F2CA3DF" w:rsidR="00DF6969" w:rsidRDefault="00DF6969" w:rsidP="00DF6969">
      <w:pPr>
        <w:pStyle w:val="Bibliography"/>
        <w:spacing w:after="120"/>
        <w:ind w:left="720" w:hanging="720"/>
        <w:rPr>
          <w:rFonts w:cs="Times New Roman"/>
        </w:rPr>
      </w:pPr>
      <w:r w:rsidRPr="00DF6969">
        <w:rPr>
          <w:rFonts w:cs="Times New Roman"/>
        </w:rPr>
        <w:t xml:space="preserve">Cyders, M. A., Littlefield, A. K., Coffey, S., &amp; Karyadi, K. A. (2014). Examination of a short English version of the UPPS-P Impulsive Behavior Scale. </w:t>
      </w:r>
      <w:r w:rsidRPr="00DF6969">
        <w:rPr>
          <w:rFonts w:cs="Times New Roman"/>
          <w:i/>
          <w:iCs/>
        </w:rPr>
        <w:t>Addictive Behaviors</w:t>
      </w:r>
      <w:r w:rsidRPr="00DF6969">
        <w:rPr>
          <w:rFonts w:cs="Times New Roman"/>
        </w:rPr>
        <w:t xml:space="preserve">, </w:t>
      </w:r>
      <w:r w:rsidRPr="00DF6969">
        <w:rPr>
          <w:rFonts w:cs="Times New Roman"/>
          <w:i/>
          <w:iCs/>
        </w:rPr>
        <w:t>39</w:t>
      </w:r>
      <w:r w:rsidRPr="00DF6969">
        <w:rPr>
          <w:rFonts w:cs="Times New Roman"/>
        </w:rPr>
        <w:t xml:space="preserve">(9), 1372–1376. </w:t>
      </w:r>
      <w:r w:rsidR="006951A7">
        <w:rPr>
          <w:rFonts w:cs="Times New Roman"/>
        </w:rPr>
        <w:t>https://doi.org/10.1016/j.addbeh.2014.02.013</w:t>
      </w:r>
    </w:p>
    <w:p w14:paraId="291061D7" w14:textId="3E9750EB" w:rsidR="006951A7" w:rsidRPr="006951A7" w:rsidRDefault="006951A7" w:rsidP="006951A7">
      <w:pPr>
        <w:pStyle w:val="Bibliography"/>
        <w:spacing w:after="120"/>
        <w:ind w:left="720" w:hanging="720"/>
        <w:rPr>
          <w:rFonts w:cs="Times New Roman"/>
        </w:rPr>
      </w:pPr>
      <w:r w:rsidRPr="00E62B33">
        <w:rPr>
          <w:rFonts w:cs="Times New Roman"/>
        </w:rPr>
        <w:t xml:space="preserve">Cyders, M. A., &amp; Smith, G. T. (2007). Mood-based rash action and its components: Positive and negative urgency. </w:t>
      </w:r>
      <w:r w:rsidRPr="00E62B33">
        <w:rPr>
          <w:rFonts w:cs="Times New Roman"/>
          <w:i/>
          <w:iCs/>
        </w:rPr>
        <w:t>Personality and Individual Differences</w:t>
      </w:r>
      <w:r w:rsidRPr="00E62B33">
        <w:rPr>
          <w:rFonts w:cs="Times New Roman"/>
        </w:rPr>
        <w:t xml:space="preserve">, </w:t>
      </w:r>
      <w:r w:rsidRPr="00E62B33">
        <w:rPr>
          <w:rFonts w:cs="Times New Roman"/>
          <w:i/>
          <w:iCs/>
        </w:rPr>
        <w:t>43</w:t>
      </w:r>
      <w:r w:rsidRPr="00E62B33">
        <w:rPr>
          <w:rFonts w:cs="Times New Roman"/>
        </w:rPr>
        <w:t>(4), 839–850. https://doi.org/10.1016/j.paid.2007.02.008</w:t>
      </w:r>
    </w:p>
    <w:p w14:paraId="14F6BE21" w14:textId="3A1A8787" w:rsidR="00B63AFF" w:rsidRPr="00B63AFF" w:rsidRDefault="00B63AFF" w:rsidP="00B63AFF">
      <w:pPr>
        <w:spacing w:after="120"/>
        <w:ind w:left="720" w:hanging="720"/>
      </w:pPr>
      <w:r w:rsidRPr="005B4BCA">
        <w:t>Demange, P. A., Malanchini, M., Mallard, T. T., Biroli, P., Cox, S. R., Grotzinger, A. D … Nivard, M. G. (2021). Investigating the genetic architecture of noncognitive skills using GWAS-by-subtraction. </w:t>
      </w:r>
      <w:r w:rsidRPr="005B4BCA">
        <w:rPr>
          <w:i/>
          <w:iCs/>
        </w:rPr>
        <w:t xml:space="preserve">Nature </w:t>
      </w:r>
      <w:r>
        <w:rPr>
          <w:i/>
          <w:iCs/>
        </w:rPr>
        <w:t>G</w:t>
      </w:r>
      <w:r w:rsidRPr="005B4BCA">
        <w:rPr>
          <w:i/>
          <w:iCs/>
        </w:rPr>
        <w:t>enetics</w:t>
      </w:r>
      <w:r w:rsidRPr="005B4BCA">
        <w:t>, </w:t>
      </w:r>
      <w:r w:rsidRPr="005B4BCA">
        <w:rPr>
          <w:i/>
          <w:iCs/>
        </w:rPr>
        <w:t>53</w:t>
      </w:r>
      <w:r w:rsidRPr="005B4BCA">
        <w:t>(1), 35–44. https://doi.org/10.1038/s41588-020-00754-2</w:t>
      </w:r>
    </w:p>
    <w:p w14:paraId="544C5D6A" w14:textId="06415F6E" w:rsidR="00DF6969" w:rsidRPr="00DF6969" w:rsidRDefault="00DF6969" w:rsidP="00DF6969">
      <w:pPr>
        <w:spacing w:after="120"/>
        <w:ind w:left="720" w:hanging="720"/>
        <w:rPr>
          <w:rFonts w:cs="Times New Roman"/>
        </w:rPr>
      </w:pPr>
      <w:r w:rsidRPr="00DF6969">
        <w:rPr>
          <w:rFonts w:cs="Times New Roman"/>
        </w:rPr>
        <w:t xml:space="preserve">Desikan, R. S., Ségonne, F., Fischl, B., Quinn, B. T., Dickerson, B. C., Blacker, D., </w:t>
      </w:r>
      <w:r w:rsidR="006951A7">
        <w:rPr>
          <w:rFonts w:cs="Times New Roman"/>
        </w:rPr>
        <w:t xml:space="preserve">… </w:t>
      </w:r>
      <w:r w:rsidRPr="00DF6969">
        <w:rPr>
          <w:rFonts w:cs="Times New Roman"/>
        </w:rPr>
        <w:t>Killiany, R. J. (2006). An automated labeling system for subdividing the human cerebral cortex on MRI scans into gyral based regions of interest. </w:t>
      </w:r>
      <w:r w:rsidRPr="00DF6969">
        <w:rPr>
          <w:rFonts w:cs="Times New Roman"/>
          <w:i/>
          <w:iCs/>
        </w:rPr>
        <w:t>NeuroImage</w:t>
      </w:r>
      <w:r w:rsidRPr="00DF6969">
        <w:rPr>
          <w:rFonts w:cs="Times New Roman"/>
        </w:rPr>
        <w:t>, </w:t>
      </w:r>
      <w:r w:rsidRPr="00DF6969">
        <w:rPr>
          <w:rFonts w:cs="Times New Roman"/>
          <w:i/>
          <w:iCs/>
        </w:rPr>
        <w:t>31</w:t>
      </w:r>
      <w:r w:rsidRPr="00DF6969">
        <w:rPr>
          <w:rFonts w:cs="Times New Roman"/>
        </w:rPr>
        <w:t>(3), 968–980. https://doi.org/10.1016/j.neuroimage.2006.01.021</w:t>
      </w:r>
    </w:p>
    <w:p w14:paraId="0FDA0C0F" w14:textId="08D32930" w:rsidR="006951A7" w:rsidRPr="006951A7" w:rsidRDefault="006951A7" w:rsidP="006951A7">
      <w:pPr>
        <w:spacing w:after="120"/>
        <w:ind w:left="720" w:hanging="720"/>
      </w:pPr>
      <w:r w:rsidRPr="00DF5EEF">
        <w:t>Evren, C., Durkaya, M., Evren, B., Dalbudak, E., &amp; Cetin, R. (2012). Relationship of relapse with impulsivity, novelty seeking and craving in male alcohol-dependent inpatients. </w:t>
      </w:r>
      <w:r w:rsidRPr="00DF5EEF">
        <w:rPr>
          <w:i/>
          <w:iCs/>
        </w:rPr>
        <w:t>Drug and Alcohol Review</w:t>
      </w:r>
      <w:r w:rsidRPr="00DF5EEF">
        <w:t>, </w:t>
      </w:r>
      <w:r w:rsidRPr="00DF5EEF">
        <w:rPr>
          <w:i/>
          <w:iCs/>
        </w:rPr>
        <w:t>31</w:t>
      </w:r>
      <w:r w:rsidRPr="00DF5EEF">
        <w:t>(1), 81–90. https://doi.org/10.1111/j.1465-3362.2011.00303.x</w:t>
      </w:r>
    </w:p>
    <w:p w14:paraId="56A8536E" w14:textId="0EBE952B" w:rsidR="00B63AFF" w:rsidRPr="00B63AFF" w:rsidRDefault="00B63AFF" w:rsidP="00B63AFF">
      <w:pPr>
        <w:spacing w:after="120"/>
        <w:ind w:left="720" w:hanging="720"/>
      </w:pPr>
      <w:r w:rsidRPr="00DF5EEF">
        <w:t>Fischer, S., Smith, G. T., &amp; Cyders, M. A. (2008). Another look at impulsivity: A meta-analytic review comparing specific dispositions to rash action in their relationship to bulimic symptoms. </w:t>
      </w:r>
      <w:r w:rsidRPr="00DF5EEF">
        <w:rPr>
          <w:i/>
          <w:iCs/>
        </w:rPr>
        <w:t>Clinical Psychology Review</w:t>
      </w:r>
      <w:r w:rsidRPr="00DF5EEF">
        <w:t>, </w:t>
      </w:r>
      <w:r w:rsidRPr="00DF5EEF">
        <w:rPr>
          <w:i/>
          <w:iCs/>
        </w:rPr>
        <w:t>28</w:t>
      </w:r>
      <w:r w:rsidRPr="00DF5EEF">
        <w:t>(8), 1413–1425. https://doi.org/10.1016/j.cpr.2008.09.001</w:t>
      </w:r>
    </w:p>
    <w:p w14:paraId="10A8850D" w14:textId="161C4C50" w:rsidR="00DF6969" w:rsidRPr="00DF6969" w:rsidRDefault="00DF6969" w:rsidP="00DF6969">
      <w:pPr>
        <w:spacing w:after="120"/>
        <w:ind w:left="720" w:hanging="720"/>
        <w:rPr>
          <w:rFonts w:cs="Times New Roman"/>
        </w:rPr>
      </w:pPr>
      <w:r w:rsidRPr="00DF6969">
        <w:rPr>
          <w:rFonts w:cs="Times New Roman"/>
        </w:rPr>
        <w:t xml:space="preserve">Fuchsberger, C., </w:t>
      </w:r>
      <w:proofErr w:type="spellStart"/>
      <w:r w:rsidRPr="00DF6969">
        <w:rPr>
          <w:rFonts w:cs="Times New Roman"/>
        </w:rPr>
        <w:t>Abecasis</w:t>
      </w:r>
      <w:proofErr w:type="spellEnd"/>
      <w:r w:rsidRPr="00DF6969">
        <w:rPr>
          <w:rFonts w:cs="Times New Roman"/>
        </w:rPr>
        <w:t>, G. R., &amp; Hinds, D. A. (2015). minimac2: faster genotype imputation. </w:t>
      </w:r>
      <w:r w:rsidRPr="00DF6969">
        <w:rPr>
          <w:rFonts w:cs="Times New Roman"/>
          <w:i/>
          <w:iCs/>
        </w:rPr>
        <w:t>Bioinformatics</w:t>
      </w:r>
      <w:r w:rsidRPr="00DF6969">
        <w:rPr>
          <w:rFonts w:cs="Times New Roman"/>
        </w:rPr>
        <w:t>, </w:t>
      </w:r>
      <w:r w:rsidRPr="00DF6969">
        <w:rPr>
          <w:rFonts w:cs="Times New Roman"/>
          <w:i/>
          <w:iCs/>
        </w:rPr>
        <w:t>31</w:t>
      </w:r>
      <w:r w:rsidRPr="00DF6969">
        <w:rPr>
          <w:rFonts w:cs="Times New Roman"/>
        </w:rPr>
        <w:t>(5), 782–784. https://doi.org/10.1093/bioinformatics/btu704</w:t>
      </w:r>
    </w:p>
    <w:p w14:paraId="2C04F986" w14:textId="16BBE934" w:rsidR="00DF6969" w:rsidRPr="00DF6969" w:rsidRDefault="00DF6969" w:rsidP="00DF6969">
      <w:pPr>
        <w:spacing w:after="120"/>
        <w:ind w:left="720" w:hanging="720"/>
        <w:rPr>
          <w:rFonts w:cs="Times New Roman"/>
        </w:rPr>
      </w:pPr>
      <w:r w:rsidRPr="00DF6969">
        <w:rPr>
          <w:rFonts w:cs="Times New Roman"/>
        </w:rPr>
        <w:t>Grasby, K. L., Jahanshad, N., Painter, J. N., Colodro-Conde, L., Bralten, J., Hibar, D. P., … Enhancing NeuroImaging Genetics through Meta-Analysis Consortium (ENIGMA)—</w:t>
      </w:r>
      <w:r w:rsidRPr="00DF6969">
        <w:rPr>
          <w:rFonts w:cs="Times New Roman"/>
        </w:rPr>
        <w:lastRenderedPageBreak/>
        <w:t>Genetics working group (2020). The genetic architecture of the human cerebral cortex. </w:t>
      </w:r>
      <w:r w:rsidRPr="00DF6969">
        <w:rPr>
          <w:rFonts w:cs="Times New Roman"/>
          <w:i/>
          <w:iCs/>
        </w:rPr>
        <w:t>Science, 367</w:t>
      </w:r>
      <w:r w:rsidRPr="00DF6969">
        <w:rPr>
          <w:rFonts w:cs="Times New Roman"/>
        </w:rPr>
        <w:t>(6484), eaay6690. https://doi.org/10.1126/science.aay6690</w:t>
      </w:r>
    </w:p>
    <w:p w14:paraId="55E54D30" w14:textId="03682765" w:rsidR="00DF6969" w:rsidRPr="00DF6969" w:rsidRDefault="00DF6969" w:rsidP="00DF6969">
      <w:pPr>
        <w:pStyle w:val="Bibliography"/>
        <w:spacing w:after="120"/>
        <w:ind w:left="720" w:hanging="720"/>
        <w:rPr>
          <w:rFonts w:cs="Times New Roman"/>
        </w:rPr>
      </w:pPr>
      <w:r w:rsidRPr="00DF6969">
        <w:rPr>
          <w:rFonts w:cs="Times New Roman"/>
        </w:rPr>
        <w:t xml:space="preserve">Grotzinger, A. D., Rhemtulla, M., de Vlaming, R., Ritchie, S. J., Mallard, T. T., Hill, W. D., </w:t>
      </w:r>
      <w:r w:rsidR="006951A7">
        <w:rPr>
          <w:rFonts w:cs="Times New Roman"/>
        </w:rPr>
        <w:t xml:space="preserve">… </w:t>
      </w:r>
      <w:r w:rsidRPr="00DF6969">
        <w:rPr>
          <w:rFonts w:cs="Times New Roman"/>
        </w:rPr>
        <w:t xml:space="preserve">Tucker-Drob, E. M. (2019). Genomic structural equation modelling provides insights into the multivariate genetic architecture of complex traits. </w:t>
      </w:r>
      <w:r w:rsidRPr="00DF6969">
        <w:rPr>
          <w:rFonts w:cs="Times New Roman"/>
          <w:i/>
          <w:iCs/>
        </w:rPr>
        <w:t>Nature Human Behaviour</w:t>
      </w:r>
      <w:r w:rsidRPr="00DF6969">
        <w:rPr>
          <w:rFonts w:cs="Times New Roman"/>
        </w:rPr>
        <w:t xml:space="preserve">, </w:t>
      </w:r>
      <w:r w:rsidRPr="00DF6969">
        <w:rPr>
          <w:rFonts w:cs="Times New Roman"/>
          <w:i/>
          <w:iCs/>
        </w:rPr>
        <w:t>3</w:t>
      </w:r>
      <w:r w:rsidRPr="00DF6969">
        <w:rPr>
          <w:rFonts w:cs="Times New Roman"/>
        </w:rPr>
        <w:t>(5), 513–525. https://doi.org/10.1038/s41562-019-0566-x</w:t>
      </w:r>
    </w:p>
    <w:p w14:paraId="39E8E5C2" w14:textId="393E47BA" w:rsidR="00B63AFF" w:rsidRPr="00B63AFF" w:rsidRDefault="00B63AFF" w:rsidP="00B63AFF">
      <w:pPr>
        <w:spacing w:after="120"/>
        <w:ind w:left="720" w:hanging="720"/>
      </w:pPr>
      <w:r w:rsidRPr="00DF5EEF">
        <w:t>Gustavson, D. E., Friedman, N. P., Fontanillas, P., Elson, S. L., 23andMe Research Team, Palmer, A. A., &amp; Sanchez-Roige, S. (2020). The latent genetic structure of impulsivity and its relation to internalizing psychopathology. </w:t>
      </w:r>
      <w:r w:rsidRPr="00DF5EEF">
        <w:rPr>
          <w:i/>
          <w:iCs/>
        </w:rPr>
        <w:t>Psychological Science</w:t>
      </w:r>
      <w:r w:rsidRPr="00DF5EEF">
        <w:t>, </w:t>
      </w:r>
      <w:r w:rsidRPr="00DF5EEF">
        <w:rPr>
          <w:i/>
          <w:iCs/>
        </w:rPr>
        <w:t>31</w:t>
      </w:r>
      <w:r w:rsidRPr="00DF5EEF">
        <w:t>(8), 1025–1035. https://doi.org/10.1177/0956797620938160</w:t>
      </w:r>
    </w:p>
    <w:p w14:paraId="78D941EA" w14:textId="12BB639B" w:rsidR="00B63AFF" w:rsidRDefault="00B63AFF" w:rsidP="00DF6969">
      <w:pPr>
        <w:spacing w:after="120"/>
        <w:ind w:left="720" w:hanging="720"/>
        <w:rPr>
          <w:rFonts w:eastAsia="Times New Roman" w:cs="Times New Roman"/>
          <w:shd w:val="clear" w:color="auto" w:fill="FFFFFF"/>
        </w:rPr>
      </w:pPr>
      <w:r w:rsidRPr="00B63AFF">
        <w:rPr>
          <w:rFonts w:eastAsia="Times New Roman" w:cs="Times New Roman"/>
          <w:shd w:val="clear" w:color="auto" w:fill="FFFFFF"/>
        </w:rPr>
        <w:t xml:space="preserve">Gutiérrez, F., Torrens, M., </w:t>
      </w:r>
      <w:proofErr w:type="spellStart"/>
      <w:r w:rsidRPr="00B63AFF">
        <w:rPr>
          <w:rFonts w:eastAsia="Times New Roman" w:cs="Times New Roman"/>
          <w:shd w:val="clear" w:color="auto" w:fill="FFFFFF"/>
        </w:rPr>
        <w:t>Boget</w:t>
      </w:r>
      <w:proofErr w:type="spellEnd"/>
      <w:r w:rsidRPr="00B63AFF">
        <w:rPr>
          <w:rFonts w:eastAsia="Times New Roman" w:cs="Times New Roman"/>
          <w:shd w:val="clear" w:color="auto" w:fill="FFFFFF"/>
        </w:rPr>
        <w:t xml:space="preserve">, T., Martín-Santos, R., </w:t>
      </w:r>
      <w:proofErr w:type="spellStart"/>
      <w:r w:rsidRPr="00B63AFF">
        <w:rPr>
          <w:rFonts w:eastAsia="Times New Roman" w:cs="Times New Roman"/>
          <w:shd w:val="clear" w:color="auto" w:fill="FFFFFF"/>
        </w:rPr>
        <w:t>Sangorrín</w:t>
      </w:r>
      <w:proofErr w:type="spellEnd"/>
      <w:r w:rsidRPr="00B63AFF">
        <w:rPr>
          <w:rFonts w:eastAsia="Times New Roman" w:cs="Times New Roman"/>
          <w:shd w:val="clear" w:color="auto" w:fill="FFFFFF"/>
        </w:rPr>
        <w:t xml:space="preserve">, J., Pérez, G., &amp; </w:t>
      </w:r>
      <w:proofErr w:type="spellStart"/>
      <w:r w:rsidRPr="00B63AFF">
        <w:rPr>
          <w:rFonts w:eastAsia="Times New Roman" w:cs="Times New Roman"/>
          <w:shd w:val="clear" w:color="auto" w:fill="FFFFFF"/>
        </w:rPr>
        <w:t>Salamero</w:t>
      </w:r>
      <w:proofErr w:type="spellEnd"/>
      <w:r w:rsidRPr="00B63AFF">
        <w:rPr>
          <w:rFonts w:eastAsia="Times New Roman" w:cs="Times New Roman"/>
          <w:shd w:val="clear" w:color="auto" w:fill="FFFFFF"/>
        </w:rPr>
        <w:t>, M. (2001). Psychometric properties of the Temperament and Character Inventory (TCI) questionnaire in a Spanish psychiatric population. </w:t>
      </w:r>
      <w:r w:rsidRPr="00B63AFF">
        <w:rPr>
          <w:rFonts w:eastAsia="Times New Roman" w:cs="Times New Roman"/>
          <w:i/>
          <w:iCs/>
          <w:shd w:val="clear" w:color="auto" w:fill="FFFFFF"/>
        </w:rPr>
        <w:t xml:space="preserve">Acta </w:t>
      </w:r>
      <w:proofErr w:type="spellStart"/>
      <w:r>
        <w:rPr>
          <w:rFonts w:eastAsia="Times New Roman" w:cs="Times New Roman"/>
          <w:i/>
          <w:iCs/>
          <w:shd w:val="clear" w:color="auto" w:fill="FFFFFF"/>
        </w:rPr>
        <w:t>P</w:t>
      </w:r>
      <w:r w:rsidRPr="00B63AFF">
        <w:rPr>
          <w:rFonts w:eastAsia="Times New Roman" w:cs="Times New Roman"/>
          <w:i/>
          <w:iCs/>
          <w:shd w:val="clear" w:color="auto" w:fill="FFFFFF"/>
        </w:rPr>
        <w:t>sychiatrica</w:t>
      </w:r>
      <w:proofErr w:type="spellEnd"/>
      <w:r w:rsidRPr="00B63AFF">
        <w:rPr>
          <w:rFonts w:eastAsia="Times New Roman" w:cs="Times New Roman"/>
          <w:i/>
          <w:iCs/>
          <w:shd w:val="clear" w:color="auto" w:fill="FFFFFF"/>
        </w:rPr>
        <w:t xml:space="preserve"> Scandinavica</w:t>
      </w:r>
      <w:r w:rsidRPr="00B63AFF">
        <w:rPr>
          <w:rFonts w:eastAsia="Times New Roman" w:cs="Times New Roman"/>
          <w:shd w:val="clear" w:color="auto" w:fill="FFFFFF"/>
        </w:rPr>
        <w:t>, </w:t>
      </w:r>
      <w:r w:rsidRPr="00B63AFF">
        <w:rPr>
          <w:rFonts w:eastAsia="Times New Roman" w:cs="Times New Roman"/>
          <w:i/>
          <w:iCs/>
          <w:shd w:val="clear" w:color="auto" w:fill="FFFFFF"/>
        </w:rPr>
        <w:t>103</w:t>
      </w:r>
      <w:r w:rsidRPr="00B63AFF">
        <w:rPr>
          <w:rFonts w:eastAsia="Times New Roman" w:cs="Times New Roman"/>
          <w:shd w:val="clear" w:color="auto" w:fill="FFFFFF"/>
        </w:rPr>
        <w:t>(2), 143–147. https://doi.org/10.1034/j.1600-0447.2001.00183.x</w:t>
      </w:r>
    </w:p>
    <w:p w14:paraId="506C9142" w14:textId="42705DF9" w:rsidR="00B63AFF" w:rsidRPr="00B63AFF" w:rsidRDefault="00B63AFF" w:rsidP="00B63AFF">
      <w:pPr>
        <w:spacing w:after="120"/>
        <w:ind w:left="720" w:hanging="720"/>
      </w:pPr>
      <w:r w:rsidRPr="005B4BCA">
        <w:t>Herbst, J. H., Zonderman, A. B., McCrae, R. R., &amp; Costa, P. T., Jr (2000). Do the dimensions of the temperament and character inventory map a simple genetic architecture? Evidence from molecular genetics and factor analysis. </w:t>
      </w:r>
      <w:r w:rsidRPr="005B4BCA">
        <w:rPr>
          <w:i/>
          <w:iCs/>
        </w:rPr>
        <w:t xml:space="preserve">The American </w:t>
      </w:r>
      <w:r>
        <w:rPr>
          <w:i/>
          <w:iCs/>
        </w:rPr>
        <w:t>J</w:t>
      </w:r>
      <w:r w:rsidRPr="005B4BCA">
        <w:rPr>
          <w:i/>
          <w:iCs/>
        </w:rPr>
        <w:t xml:space="preserve">ournal of </w:t>
      </w:r>
      <w:r>
        <w:rPr>
          <w:i/>
          <w:iCs/>
        </w:rPr>
        <w:t>P</w:t>
      </w:r>
      <w:r w:rsidRPr="005B4BCA">
        <w:rPr>
          <w:i/>
          <w:iCs/>
        </w:rPr>
        <w:t>sychiatry</w:t>
      </w:r>
      <w:r w:rsidRPr="005B4BCA">
        <w:t>, </w:t>
      </w:r>
      <w:r w:rsidRPr="005B4BCA">
        <w:rPr>
          <w:i/>
          <w:iCs/>
        </w:rPr>
        <w:t>157</w:t>
      </w:r>
      <w:r w:rsidRPr="005B4BCA">
        <w:t>(8), 1285–1290. https://doi.org/10.1176/appi.ajp.157.8.1285</w:t>
      </w:r>
    </w:p>
    <w:p w14:paraId="58CF1D87" w14:textId="73098CD4" w:rsidR="00DF6969" w:rsidRPr="00DF6969" w:rsidRDefault="00DF6969" w:rsidP="00DF6969">
      <w:pPr>
        <w:spacing w:after="120"/>
        <w:ind w:left="720" w:hanging="720"/>
        <w:rPr>
          <w:rFonts w:eastAsia="Times New Roman" w:cs="Times New Roman"/>
          <w:shd w:val="clear" w:color="auto" w:fill="FFFFFF"/>
        </w:rPr>
      </w:pPr>
      <w:r w:rsidRPr="00DF6969">
        <w:rPr>
          <w:rFonts w:eastAsia="Times New Roman" w:cs="Times New Roman"/>
          <w:shd w:val="clear" w:color="auto" w:fill="FFFFFF"/>
        </w:rPr>
        <w:t xml:space="preserve">Howie, B., Fuchsberger, C., Stephens, M., </w:t>
      </w:r>
      <w:proofErr w:type="spellStart"/>
      <w:r w:rsidRPr="00DF6969">
        <w:rPr>
          <w:rFonts w:eastAsia="Times New Roman" w:cs="Times New Roman"/>
          <w:shd w:val="clear" w:color="auto" w:fill="FFFFFF"/>
        </w:rPr>
        <w:t>Marchini</w:t>
      </w:r>
      <w:proofErr w:type="spellEnd"/>
      <w:r w:rsidRPr="00DF6969">
        <w:rPr>
          <w:rFonts w:eastAsia="Times New Roman" w:cs="Times New Roman"/>
          <w:shd w:val="clear" w:color="auto" w:fill="FFFFFF"/>
        </w:rPr>
        <w:t xml:space="preserve">, J., &amp; </w:t>
      </w:r>
      <w:proofErr w:type="spellStart"/>
      <w:r w:rsidRPr="00DF6969">
        <w:rPr>
          <w:rFonts w:eastAsia="Times New Roman" w:cs="Times New Roman"/>
          <w:shd w:val="clear" w:color="auto" w:fill="FFFFFF"/>
        </w:rPr>
        <w:t>Abecasis</w:t>
      </w:r>
      <w:proofErr w:type="spellEnd"/>
      <w:r w:rsidRPr="00DF6969">
        <w:rPr>
          <w:rFonts w:eastAsia="Times New Roman" w:cs="Times New Roman"/>
          <w:shd w:val="clear" w:color="auto" w:fill="FFFFFF"/>
        </w:rPr>
        <w:t>, G. R. (2012). Fast and accurate genotype imputation in genome-wide association studies through pre-phasing. </w:t>
      </w:r>
      <w:r w:rsidRPr="00DF6969">
        <w:rPr>
          <w:rFonts w:eastAsia="Times New Roman" w:cs="Times New Roman"/>
          <w:i/>
          <w:iCs/>
          <w:shd w:val="clear" w:color="auto" w:fill="FFFFFF"/>
        </w:rPr>
        <w:t>Nature Genetics</w:t>
      </w:r>
      <w:r w:rsidRPr="00DF6969">
        <w:rPr>
          <w:rFonts w:eastAsia="Times New Roman" w:cs="Times New Roman"/>
          <w:shd w:val="clear" w:color="auto" w:fill="FFFFFF"/>
        </w:rPr>
        <w:t>, </w:t>
      </w:r>
      <w:r w:rsidRPr="00DF6969">
        <w:rPr>
          <w:rFonts w:eastAsia="Times New Roman" w:cs="Times New Roman"/>
          <w:i/>
          <w:iCs/>
          <w:shd w:val="clear" w:color="auto" w:fill="FFFFFF"/>
        </w:rPr>
        <w:t>44</w:t>
      </w:r>
      <w:r w:rsidRPr="00DF6969">
        <w:rPr>
          <w:rFonts w:eastAsia="Times New Roman" w:cs="Times New Roman"/>
          <w:shd w:val="clear" w:color="auto" w:fill="FFFFFF"/>
        </w:rPr>
        <w:t xml:space="preserve">(8), 955–959. </w:t>
      </w:r>
      <w:hyperlink r:id="rId10" w:history="1">
        <w:r w:rsidRPr="00DF6969">
          <w:rPr>
            <w:rStyle w:val="Hyperlink"/>
            <w:rFonts w:eastAsia="Times New Roman" w:cs="Times New Roman"/>
            <w:color w:val="auto"/>
            <w:u w:val="none"/>
            <w:shd w:val="clear" w:color="auto" w:fill="FFFFFF"/>
          </w:rPr>
          <w:t>https://doi.org/10.1038/ng.2354</w:t>
        </w:r>
      </w:hyperlink>
    </w:p>
    <w:p w14:paraId="1CAC9DE2" w14:textId="32D22B12" w:rsidR="00DF6969" w:rsidRPr="00DF6969" w:rsidRDefault="00DF6969" w:rsidP="00DF6969">
      <w:pPr>
        <w:spacing w:after="120"/>
        <w:ind w:left="720" w:hanging="720"/>
        <w:rPr>
          <w:rFonts w:cs="Times New Roman"/>
        </w:rPr>
      </w:pPr>
      <w:r w:rsidRPr="00DF6969">
        <w:rPr>
          <w:rFonts w:cs="Times New Roman"/>
        </w:rPr>
        <w:t xml:space="preserve">Huang, J., Howie, B., McCarthy, S., </w:t>
      </w:r>
      <w:proofErr w:type="spellStart"/>
      <w:r w:rsidRPr="00DF6969">
        <w:rPr>
          <w:rFonts w:cs="Times New Roman"/>
        </w:rPr>
        <w:t>Memari</w:t>
      </w:r>
      <w:proofErr w:type="spellEnd"/>
      <w:r w:rsidRPr="00DF6969">
        <w:rPr>
          <w:rFonts w:cs="Times New Roman"/>
        </w:rPr>
        <w:t xml:space="preserve">, Y., Walter, K., Min, J. L., </w:t>
      </w:r>
      <w:r w:rsidR="006951A7">
        <w:rPr>
          <w:rFonts w:cs="Times New Roman"/>
        </w:rPr>
        <w:t xml:space="preserve">… </w:t>
      </w:r>
      <w:proofErr w:type="spellStart"/>
      <w:r w:rsidRPr="00DF6969">
        <w:rPr>
          <w:rFonts w:cs="Times New Roman"/>
        </w:rPr>
        <w:t>Soranzo</w:t>
      </w:r>
      <w:proofErr w:type="spellEnd"/>
      <w:r w:rsidRPr="00DF6969">
        <w:rPr>
          <w:rFonts w:cs="Times New Roman"/>
        </w:rPr>
        <w:t>, N. (2015). Improved imputation of low-frequency and rare variants using the UK10K haplotype reference panel. </w:t>
      </w:r>
      <w:r w:rsidRPr="00DF6969">
        <w:rPr>
          <w:rFonts w:cs="Times New Roman"/>
          <w:i/>
          <w:iCs/>
        </w:rPr>
        <w:t>Nature Communications</w:t>
      </w:r>
      <w:r w:rsidRPr="00DF6969">
        <w:rPr>
          <w:rFonts w:cs="Times New Roman"/>
        </w:rPr>
        <w:t>, </w:t>
      </w:r>
      <w:r w:rsidRPr="00DF6969">
        <w:rPr>
          <w:rFonts w:cs="Times New Roman"/>
          <w:i/>
          <w:iCs/>
        </w:rPr>
        <w:t>6</w:t>
      </w:r>
      <w:r w:rsidRPr="00DF6969">
        <w:rPr>
          <w:rFonts w:cs="Times New Roman"/>
        </w:rPr>
        <w:t>, 8111. https://doi.org/10.1038/ncomms9111</w:t>
      </w:r>
    </w:p>
    <w:p w14:paraId="71021589" w14:textId="71193283" w:rsidR="00B63AFF" w:rsidRPr="00B63AFF" w:rsidRDefault="00B63AFF" w:rsidP="00B63AFF">
      <w:pPr>
        <w:spacing w:after="120"/>
        <w:ind w:left="720" w:hanging="720"/>
      </w:pPr>
      <w:r w:rsidRPr="005B4BCA">
        <w:t xml:space="preserve">Jaksic, N., Aukst-Margetic, B., Rózsa, S., Brajkovic, L., Jovanovic, N., Vuksan-Cusa, B., </w:t>
      </w:r>
      <w:r>
        <w:t>…</w:t>
      </w:r>
      <w:r w:rsidRPr="005B4BCA">
        <w:t xml:space="preserve"> Jakovljevic, M. (2015). Psychometric properties and factor structure of the Temperament and Character Inventory-Revised (TCI-R) in a Croatian psychiatric outpatient sample. </w:t>
      </w:r>
      <w:r w:rsidRPr="005B4BCA">
        <w:rPr>
          <w:i/>
          <w:iCs/>
        </w:rPr>
        <w:t xml:space="preserve">Comprehensive </w:t>
      </w:r>
      <w:r>
        <w:rPr>
          <w:i/>
          <w:iCs/>
        </w:rPr>
        <w:t>P</w:t>
      </w:r>
      <w:r w:rsidRPr="005B4BCA">
        <w:rPr>
          <w:i/>
          <w:iCs/>
        </w:rPr>
        <w:t>sychiatry</w:t>
      </w:r>
      <w:r w:rsidRPr="005B4BCA">
        <w:t>, </w:t>
      </w:r>
      <w:r w:rsidRPr="005B4BCA">
        <w:rPr>
          <w:i/>
          <w:iCs/>
        </w:rPr>
        <w:t>57</w:t>
      </w:r>
      <w:r w:rsidRPr="005B4BCA">
        <w:t>, 177–186.</w:t>
      </w:r>
      <w:r>
        <w:t xml:space="preserve"> </w:t>
      </w:r>
      <w:r w:rsidRPr="005B4BCA">
        <w:t>https://doi.org/10.1016/j.comppsych.2014.10.016</w:t>
      </w:r>
    </w:p>
    <w:p w14:paraId="2531B8C6" w14:textId="509B4DBC" w:rsidR="00DF6969" w:rsidRPr="00DF6969" w:rsidRDefault="00DF6969" w:rsidP="00DF6969">
      <w:pPr>
        <w:spacing w:after="120"/>
        <w:ind w:left="720" w:hanging="720"/>
        <w:rPr>
          <w:rFonts w:cs="Times New Roman"/>
        </w:rPr>
      </w:pPr>
      <w:r w:rsidRPr="00DF6969">
        <w:rPr>
          <w:rFonts w:cs="Times New Roman"/>
        </w:rPr>
        <w:t>Klein, A., &amp; Tourville, J. (2012). 101 labeled brain images and a consistent human cortical labeling protocol. </w:t>
      </w:r>
      <w:r w:rsidRPr="00DF6969">
        <w:rPr>
          <w:rFonts w:cs="Times New Roman"/>
          <w:i/>
          <w:iCs/>
        </w:rPr>
        <w:t>Frontiers in Neuroscience</w:t>
      </w:r>
      <w:r w:rsidRPr="00DF6969">
        <w:rPr>
          <w:rFonts w:cs="Times New Roman"/>
        </w:rPr>
        <w:t>, </w:t>
      </w:r>
      <w:r w:rsidRPr="00DF6969">
        <w:rPr>
          <w:rFonts w:cs="Times New Roman"/>
          <w:i/>
          <w:iCs/>
        </w:rPr>
        <w:t>6</w:t>
      </w:r>
      <w:r w:rsidRPr="00DF6969">
        <w:rPr>
          <w:rFonts w:cs="Times New Roman"/>
        </w:rPr>
        <w:t>, 171. https://doi.org/10.3389/fnins.2012.00171</w:t>
      </w:r>
    </w:p>
    <w:p w14:paraId="7F8A5D51" w14:textId="77777777" w:rsidR="00DF6969" w:rsidRPr="00DF6969" w:rsidRDefault="00DF6969" w:rsidP="00DF6969">
      <w:pPr>
        <w:spacing w:after="120"/>
        <w:ind w:left="720" w:hanging="720"/>
        <w:rPr>
          <w:rFonts w:eastAsia="Calibri" w:cs="Times New Roman"/>
        </w:rPr>
      </w:pPr>
      <w:r w:rsidRPr="00DF6969">
        <w:rPr>
          <w:rFonts w:eastAsia="Calibri" w:cs="Times New Roman"/>
        </w:rPr>
        <w:t xml:space="preserve">Lee, J. J., </w:t>
      </w:r>
      <w:proofErr w:type="spellStart"/>
      <w:r w:rsidRPr="00DF6969">
        <w:rPr>
          <w:rFonts w:eastAsia="Calibri" w:cs="Times New Roman"/>
        </w:rPr>
        <w:t>McGue</w:t>
      </w:r>
      <w:proofErr w:type="spellEnd"/>
      <w:r w:rsidRPr="00DF6969">
        <w:rPr>
          <w:rFonts w:eastAsia="Calibri" w:cs="Times New Roman"/>
        </w:rPr>
        <w:t xml:space="preserve">, M., </w:t>
      </w:r>
      <w:proofErr w:type="spellStart"/>
      <w:r w:rsidRPr="00DF6969">
        <w:rPr>
          <w:rFonts w:eastAsia="Calibri" w:cs="Times New Roman"/>
        </w:rPr>
        <w:t>Iacono</w:t>
      </w:r>
      <w:proofErr w:type="spellEnd"/>
      <w:r w:rsidRPr="00DF6969">
        <w:rPr>
          <w:rFonts w:eastAsia="Calibri" w:cs="Times New Roman"/>
        </w:rPr>
        <w:t>, W. G., &amp; Chow, C. C. (2018). The accuracy of LD Score regression as an estimator of confounding and genetic correlations in genome-wide association studies. </w:t>
      </w:r>
      <w:r w:rsidRPr="00DF6969">
        <w:rPr>
          <w:rFonts w:eastAsia="Calibri" w:cs="Times New Roman"/>
          <w:i/>
          <w:iCs/>
        </w:rPr>
        <w:t>Genetic Epidemiology</w:t>
      </w:r>
      <w:r w:rsidRPr="00DF6969">
        <w:rPr>
          <w:rFonts w:eastAsia="Calibri" w:cs="Times New Roman"/>
        </w:rPr>
        <w:t>, </w:t>
      </w:r>
      <w:r w:rsidRPr="00DF6969">
        <w:rPr>
          <w:rFonts w:eastAsia="Calibri" w:cs="Times New Roman"/>
          <w:i/>
          <w:iCs/>
        </w:rPr>
        <w:t>42</w:t>
      </w:r>
      <w:r w:rsidRPr="00DF6969">
        <w:rPr>
          <w:rFonts w:eastAsia="Calibri" w:cs="Times New Roman"/>
        </w:rPr>
        <w:t xml:space="preserve">(8), 783–795. </w:t>
      </w:r>
      <w:hyperlink r:id="rId11" w:history="1">
        <w:r w:rsidRPr="00DF6969">
          <w:rPr>
            <w:rStyle w:val="Hyperlink"/>
            <w:rFonts w:eastAsia="Calibri" w:cs="Times New Roman"/>
            <w:color w:val="auto"/>
            <w:u w:val="none"/>
          </w:rPr>
          <w:t>https://doi.org/10.1002/gepi.22161</w:t>
        </w:r>
      </w:hyperlink>
    </w:p>
    <w:p w14:paraId="7A2AE103" w14:textId="77777777" w:rsidR="00DF6969" w:rsidRPr="00DF6969" w:rsidRDefault="00DF6969" w:rsidP="00DF6969">
      <w:pPr>
        <w:spacing w:after="120"/>
        <w:ind w:left="720" w:hanging="720"/>
        <w:rPr>
          <w:rFonts w:eastAsia="Calibri" w:cs="Times New Roman"/>
        </w:rPr>
      </w:pPr>
      <w:r w:rsidRPr="00DF6969">
        <w:rPr>
          <w:rFonts w:eastAsia="Calibri" w:cs="Times New Roman"/>
        </w:rPr>
        <w:t xml:space="preserve">Li, H., </w:t>
      </w:r>
      <w:proofErr w:type="spellStart"/>
      <w:r w:rsidRPr="00DF6969">
        <w:rPr>
          <w:rFonts w:eastAsia="Calibri" w:cs="Times New Roman"/>
        </w:rPr>
        <w:t>Handsaker</w:t>
      </w:r>
      <w:proofErr w:type="spellEnd"/>
      <w:r w:rsidRPr="00DF6969">
        <w:rPr>
          <w:rFonts w:eastAsia="Calibri" w:cs="Times New Roman"/>
        </w:rPr>
        <w:t xml:space="preserve">, B., </w:t>
      </w:r>
      <w:proofErr w:type="spellStart"/>
      <w:r w:rsidRPr="00DF6969">
        <w:rPr>
          <w:rFonts w:eastAsia="Calibri" w:cs="Times New Roman"/>
        </w:rPr>
        <w:t>Wysoker</w:t>
      </w:r>
      <w:proofErr w:type="spellEnd"/>
      <w:r w:rsidRPr="00DF6969">
        <w:rPr>
          <w:rFonts w:eastAsia="Calibri" w:cs="Times New Roman"/>
        </w:rPr>
        <w:t xml:space="preserve">, A., Fennell, T., </w:t>
      </w:r>
      <w:proofErr w:type="spellStart"/>
      <w:r w:rsidRPr="00DF6969">
        <w:rPr>
          <w:rFonts w:eastAsia="Calibri" w:cs="Times New Roman"/>
        </w:rPr>
        <w:t>Ruan</w:t>
      </w:r>
      <w:proofErr w:type="spellEnd"/>
      <w:r w:rsidRPr="00DF6969">
        <w:rPr>
          <w:rFonts w:eastAsia="Calibri" w:cs="Times New Roman"/>
        </w:rPr>
        <w:t xml:space="preserve">, J., Homer, N., … 1000 Genome Project Data Processing Subgroup. (2009). The Sequence Alignment/Map format and </w:t>
      </w:r>
      <w:proofErr w:type="spellStart"/>
      <w:r w:rsidRPr="00DF6969">
        <w:rPr>
          <w:rFonts w:eastAsia="Calibri" w:cs="Times New Roman"/>
        </w:rPr>
        <w:t>SAMtools</w:t>
      </w:r>
      <w:proofErr w:type="spellEnd"/>
      <w:r w:rsidRPr="00DF6969">
        <w:rPr>
          <w:rFonts w:eastAsia="Calibri" w:cs="Times New Roman"/>
        </w:rPr>
        <w:t xml:space="preserve">. </w:t>
      </w:r>
      <w:r w:rsidRPr="00DF6969">
        <w:rPr>
          <w:rFonts w:eastAsia="Calibri" w:cs="Times New Roman"/>
          <w:i/>
          <w:iCs/>
        </w:rPr>
        <w:t>Bioinformatics</w:t>
      </w:r>
      <w:r w:rsidRPr="00DF6969">
        <w:rPr>
          <w:rFonts w:eastAsia="Calibri" w:cs="Times New Roman"/>
        </w:rPr>
        <w:t xml:space="preserve">, </w:t>
      </w:r>
      <w:r w:rsidRPr="00DF6969">
        <w:rPr>
          <w:rFonts w:eastAsia="Calibri" w:cs="Times New Roman"/>
          <w:i/>
          <w:iCs/>
        </w:rPr>
        <w:t>25</w:t>
      </w:r>
      <w:r w:rsidRPr="00DF6969">
        <w:rPr>
          <w:rFonts w:eastAsia="Calibri" w:cs="Times New Roman"/>
        </w:rPr>
        <w:t>(16), 2078–2079. https://doi.org/10.1093/bioinformatics/btp352</w:t>
      </w:r>
    </w:p>
    <w:p w14:paraId="5A072234" w14:textId="43CB1C2B" w:rsidR="00DF6969" w:rsidRPr="00DF6969" w:rsidRDefault="00DF6969" w:rsidP="00DF6969">
      <w:pPr>
        <w:pStyle w:val="Bibliography"/>
        <w:spacing w:after="120"/>
        <w:ind w:left="720" w:hanging="720"/>
        <w:rPr>
          <w:rFonts w:eastAsia="Calibri" w:cs="Times New Roman"/>
        </w:rPr>
      </w:pPr>
      <w:r w:rsidRPr="00DF6969">
        <w:rPr>
          <w:rFonts w:eastAsia="Calibri" w:cs="Times New Roman"/>
        </w:rPr>
        <w:t xml:space="preserve">Linnér, R. K., Biroli, P., Kong, E., Meddens, S., Wedow, R., Fontana, M. A., … Beauchamp, J. P. (2019). Genome-wide association analyses of risk tolerance and risky behaviors in </w:t>
      </w:r>
      <w:r w:rsidRPr="00DF6969">
        <w:rPr>
          <w:rFonts w:eastAsia="Calibri" w:cs="Times New Roman"/>
        </w:rPr>
        <w:lastRenderedPageBreak/>
        <w:t>over 1 million individuals identify hundreds of loci and shared genetic influences. </w:t>
      </w:r>
      <w:r w:rsidRPr="00DF6969">
        <w:rPr>
          <w:rFonts w:eastAsia="Calibri" w:cs="Times New Roman"/>
          <w:i/>
          <w:iCs/>
        </w:rPr>
        <w:t>Nature Genetics</w:t>
      </w:r>
      <w:r w:rsidRPr="00DF6969">
        <w:rPr>
          <w:rFonts w:eastAsia="Calibri" w:cs="Times New Roman"/>
        </w:rPr>
        <w:t>, </w:t>
      </w:r>
      <w:r w:rsidRPr="00DF6969">
        <w:rPr>
          <w:rFonts w:eastAsia="Calibri" w:cs="Times New Roman"/>
          <w:i/>
          <w:iCs/>
        </w:rPr>
        <w:t>51</w:t>
      </w:r>
      <w:r w:rsidRPr="00DF6969">
        <w:rPr>
          <w:rFonts w:eastAsia="Calibri" w:cs="Times New Roman"/>
        </w:rPr>
        <w:t>(2), 245–257. https://doi.org/10.1038/s41588-018-0309-3</w:t>
      </w:r>
    </w:p>
    <w:p w14:paraId="5EB8174E" w14:textId="500F8BF9" w:rsidR="00DF6969" w:rsidRPr="00DF6969" w:rsidRDefault="00DF6969" w:rsidP="00DF6969">
      <w:pPr>
        <w:spacing w:after="120"/>
        <w:ind w:left="720" w:hanging="720"/>
        <w:rPr>
          <w:rFonts w:cs="Times New Roman"/>
        </w:rPr>
      </w:pPr>
      <w:r w:rsidRPr="00DF6969">
        <w:rPr>
          <w:rFonts w:cs="Times New Roman"/>
        </w:rPr>
        <w:t xml:space="preserve">Mallard, T. T., Linnér, R. K., Grotzinger, A. D., Sanchez-Roige, S., Seidlitz, J., Okbay, A., </w:t>
      </w:r>
      <w:r w:rsidR="006951A7">
        <w:rPr>
          <w:rFonts w:cs="Times New Roman"/>
        </w:rPr>
        <w:t xml:space="preserve">… </w:t>
      </w:r>
      <w:r w:rsidRPr="00DF6969">
        <w:rPr>
          <w:rFonts w:cs="Times New Roman"/>
        </w:rPr>
        <w:t>Harden, K. P. (2022). Multivariate GWAS of psychiatric disorders and their cardinal symptoms reveal two dimensions of cross-cutting genetic liabilities. </w:t>
      </w:r>
      <w:r w:rsidRPr="00DF6969">
        <w:rPr>
          <w:rFonts w:cs="Times New Roman"/>
          <w:i/>
          <w:iCs/>
        </w:rPr>
        <w:t>Cell Genomics</w:t>
      </w:r>
      <w:r w:rsidRPr="00DF6969">
        <w:rPr>
          <w:rFonts w:cs="Times New Roman"/>
        </w:rPr>
        <w:t>, </w:t>
      </w:r>
      <w:r w:rsidRPr="00DF6969">
        <w:rPr>
          <w:rFonts w:cs="Times New Roman"/>
          <w:i/>
          <w:iCs/>
        </w:rPr>
        <w:t>2</w:t>
      </w:r>
      <w:r w:rsidRPr="00DF6969">
        <w:rPr>
          <w:rFonts w:cs="Times New Roman"/>
        </w:rPr>
        <w:t xml:space="preserve">(6), 100140. </w:t>
      </w:r>
      <w:hyperlink r:id="rId12" w:tgtFrame="_blank" w:tooltip="Persistent link using digital object identifier" w:history="1">
        <w:r w:rsidRPr="00DF6969">
          <w:rPr>
            <w:rStyle w:val="Hyperlink"/>
            <w:rFonts w:cs="Times New Roman"/>
            <w:color w:val="auto"/>
            <w:u w:val="none"/>
          </w:rPr>
          <w:t>https://doi.org/10.1016/j.xgen.2022.100140</w:t>
        </w:r>
      </w:hyperlink>
    </w:p>
    <w:p w14:paraId="5762F32F" w14:textId="7F79AB77" w:rsidR="00DF6969" w:rsidRPr="00DF6969" w:rsidRDefault="00DF6969" w:rsidP="00DF6969">
      <w:pPr>
        <w:spacing w:after="120"/>
        <w:ind w:left="720" w:hanging="720"/>
        <w:rPr>
          <w:rFonts w:eastAsia="SimSun" w:cs="Times New Roman"/>
        </w:rPr>
      </w:pPr>
      <w:r w:rsidRPr="00DF6969">
        <w:rPr>
          <w:rFonts w:eastAsia="SimSun" w:cs="Times New Roman"/>
        </w:rPr>
        <w:t xml:space="preserve">McCarthy, S., Das, S., Kretzschmar, W., </w:t>
      </w:r>
      <w:proofErr w:type="spellStart"/>
      <w:r w:rsidRPr="00DF6969">
        <w:rPr>
          <w:rFonts w:eastAsia="SimSun" w:cs="Times New Roman"/>
        </w:rPr>
        <w:t>Delaneau</w:t>
      </w:r>
      <w:proofErr w:type="spellEnd"/>
      <w:r w:rsidRPr="00DF6969">
        <w:rPr>
          <w:rFonts w:eastAsia="SimSun" w:cs="Times New Roman"/>
        </w:rPr>
        <w:t xml:space="preserve">, O., Wood, A. R., </w:t>
      </w:r>
      <w:proofErr w:type="spellStart"/>
      <w:r w:rsidRPr="00DF6969">
        <w:rPr>
          <w:rFonts w:eastAsia="SimSun" w:cs="Times New Roman"/>
        </w:rPr>
        <w:t>Teumer</w:t>
      </w:r>
      <w:proofErr w:type="spellEnd"/>
      <w:r w:rsidRPr="00DF6969">
        <w:rPr>
          <w:rFonts w:eastAsia="SimSun" w:cs="Times New Roman"/>
        </w:rPr>
        <w:t>, A., … Haplotype Reference Consortium (2016). A reference panel of 64,976 haplotypes for genotype imputation. </w:t>
      </w:r>
      <w:r w:rsidRPr="00DF6969">
        <w:rPr>
          <w:rFonts w:eastAsia="SimSun" w:cs="Times New Roman"/>
          <w:i/>
          <w:iCs/>
        </w:rPr>
        <w:t>Nature Genetics</w:t>
      </w:r>
      <w:r w:rsidRPr="00DF6969">
        <w:rPr>
          <w:rFonts w:eastAsia="SimSun" w:cs="Times New Roman"/>
        </w:rPr>
        <w:t>, </w:t>
      </w:r>
      <w:r w:rsidRPr="00DF6969">
        <w:rPr>
          <w:rFonts w:eastAsia="SimSun" w:cs="Times New Roman"/>
          <w:i/>
          <w:iCs/>
        </w:rPr>
        <w:t>48</w:t>
      </w:r>
      <w:r w:rsidRPr="00DF6969">
        <w:rPr>
          <w:rFonts w:eastAsia="SimSun" w:cs="Times New Roman"/>
        </w:rPr>
        <w:t>(10), 1279–1283. https://doi.org/10.1038/ng.3643</w:t>
      </w:r>
    </w:p>
    <w:p w14:paraId="0A1848D7" w14:textId="55D3687E" w:rsidR="00DF6969" w:rsidRPr="00DF6969" w:rsidRDefault="00DF6969" w:rsidP="00DF6969">
      <w:pPr>
        <w:spacing w:after="120"/>
        <w:ind w:left="720" w:hanging="720"/>
        <w:rPr>
          <w:rFonts w:cs="Times New Roman"/>
        </w:rPr>
      </w:pPr>
      <w:proofErr w:type="spellStart"/>
      <w:r w:rsidRPr="00DF6969">
        <w:rPr>
          <w:rFonts w:cs="Times New Roman"/>
        </w:rPr>
        <w:t>Miettunen</w:t>
      </w:r>
      <w:proofErr w:type="spellEnd"/>
      <w:r w:rsidRPr="00DF6969">
        <w:rPr>
          <w:rFonts w:cs="Times New Roman"/>
        </w:rPr>
        <w:t xml:space="preserve">, J., </w:t>
      </w:r>
      <w:proofErr w:type="spellStart"/>
      <w:r w:rsidRPr="00DF6969">
        <w:rPr>
          <w:rFonts w:cs="Times New Roman"/>
        </w:rPr>
        <w:t>Kantojärvi</w:t>
      </w:r>
      <w:proofErr w:type="spellEnd"/>
      <w:r w:rsidRPr="00DF6969">
        <w:rPr>
          <w:rFonts w:cs="Times New Roman"/>
        </w:rPr>
        <w:t xml:space="preserve">, L., Ekelund, J., </w:t>
      </w:r>
      <w:proofErr w:type="spellStart"/>
      <w:r w:rsidRPr="00DF6969">
        <w:rPr>
          <w:rFonts w:cs="Times New Roman"/>
        </w:rPr>
        <w:t>Veijola</w:t>
      </w:r>
      <w:proofErr w:type="spellEnd"/>
      <w:r w:rsidRPr="00DF6969">
        <w:rPr>
          <w:rFonts w:cs="Times New Roman"/>
        </w:rPr>
        <w:t xml:space="preserve">, J., Karvonen, J.T., </w:t>
      </w:r>
      <w:proofErr w:type="spellStart"/>
      <w:r w:rsidRPr="00DF6969">
        <w:rPr>
          <w:rFonts w:cs="Times New Roman"/>
        </w:rPr>
        <w:t>Peltonen</w:t>
      </w:r>
      <w:proofErr w:type="spellEnd"/>
      <w:r w:rsidRPr="00DF6969">
        <w:rPr>
          <w:rFonts w:cs="Times New Roman"/>
        </w:rPr>
        <w:t xml:space="preserve">, L., </w:t>
      </w:r>
      <w:r w:rsidR="006951A7">
        <w:rPr>
          <w:rFonts w:cs="Times New Roman"/>
        </w:rPr>
        <w:t xml:space="preserve">… </w:t>
      </w:r>
      <w:proofErr w:type="spellStart"/>
      <w:r w:rsidRPr="00DF6969">
        <w:rPr>
          <w:rFonts w:cs="Times New Roman"/>
        </w:rPr>
        <w:t>Joukamaa</w:t>
      </w:r>
      <w:proofErr w:type="spellEnd"/>
      <w:r w:rsidRPr="00DF6969">
        <w:rPr>
          <w:rFonts w:cs="Times New Roman"/>
        </w:rPr>
        <w:t xml:space="preserve">, M. (2004). A large population cohort provides normative data for investigation of temperament. </w:t>
      </w:r>
      <w:r w:rsidRPr="00DF6969">
        <w:rPr>
          <w:rFonts w:cs="Times New Roman"/>
          <w:i/>
          <w:iCs/>
        </w:rPr>
        <w:t xml:space="preserve">Acta </w:t>
      </w:r>
      <w:proofErr w:type="spellStart"/>
      <w:r w:rsidRPr="00DF6969">
        <w:rPr>
          <w:rFonts w:cs="Times New Roman"/>
          <w:i/>
          <w:iCs/>
        </w:rPr>
        <w:t>Psychiatrica</w:t>
      </w:r>
      <w:proofErr w:type="spellEnd"/>
      <w:r w:rsidRPr="00DF6969">
        <w:rPr>
          <w:rFonts w:cs="Times New Roman"/>
          <w:i/>
          <w:iCs/>
        </w:rPr>
        <w:t xml:space="preserve"> Scandinavica, 110</w:t>
      </w:r>
      <w:r w:rsidRPr="00DF6969">
        <w:rPr>
          <w:rFonts w:cs="Times New Roman"/>
        </w:rPr>
        <w:t>, 150–157. https://doi.org/10.1111/j.1600-0047.2004.00344.x</w:t>
      </w:r>
    </w:p>
    <w:p w14:paraId="60AF0FC2" w14:textId="77777777" w:rsidR="00DF6969" w:rsidRPr="00DF6969" w:rsidRDefault="00DF6969" w:rsidP="00DF6969">
      <w:pPr>
        <w:pStyle w:val="Bibliography"/>
        <w:spacing w:after="120"/>
        <w:ind w:left="720" w:hanging="720"/>
        <w:rPr>
          <w:rFonts w:cs="Times New Roman"/>
        </w:rPr>
      </w:pPr>
      <w:r w:rsidRPr="00DF6969">
        <w:rPr>
          <w:rFonts w:cs="Times New Roman"/>
        </w:rPr>
        <w:t xml:space="preserve">Patton, J., Stanford, M., &amp; S. Barratt, E. (1995). Factor structure of the Barratt Impulsiveness Scale. </w:t>
      </w:r>
      <w:r w:rsidRPr="00DF6969">
        <w:rPr>
          <w:rFonts w:cs="Times New Roman"/>
          <w:i/>
          <w:iCs/>
        </w:rPr>
        <w:t>Journal of Clinical Psychology</w:t>
      </w:r>
      <w:r w:rsidRPr="00DF6969">
        <w:rPr>
          <w:rFonts w:cs="Times New Roman"/>
        </w:rPr>
        <w:t xml:space="preserve">, </w:t>
      </w:r>
      <w:r w:rsidRPr="00DF6969">
        <w:rPr>
          <w:rFonts w:cs="Times New Roman"/>
          <w:i/>
          <w:iCs/>
        </w:rPr>
        <w:t>51</w:t>
      </w:r>
      <w:r w:rsidRPr="00DF6969">
        <w:rPr>
          <w:rFonts w:cs="Times New Roman"/>
        </w:rPr>
        <w:t>, 768–774. https://doi.org/10.1002/1097-4679(199511)51:63.0.CO;2-1</w:t>
      </w:r>
    </w:p>
    <w:p w14:paraId="36FC7366" w14:textId="77777777" w:rsidR="00DF6969" w:rsidRPr="00DF6969" w:rsidRDefault="00DF6969" w:rsidP="00DF6969">
      <w:pPr>
        <w:spacing w:after="120"/>
        <w:ind w:left="720" w:hanging="720"/>
        <w:rPr>
          <w:rFonts w:cs="Times New Roman"/>
        </w:rPr>
      </w:pPr>
      <w:proofErr w:type="spellStart"/>
      <w:r w:rsidRPr="00DF6969">
        <w:rPr>
          <w:rFonts w:cs="Times New Roman"/>
        </w:rPr>
        <w:t>Rosseel</w:t>
      </w:r>
      <w:proofErr w:type="spellEnd"/>
      <w:r w:rsidRPr="00DF6969">
        <w:rPr>
          <w:rFonts w:cs="Times New Roman"/>
        </w:rPr>
        <w:t xml:space="preserve">, Y. (2012). </w:t>
      </w:r>
      <w:proofErr w:type="spellStart"/>
      <w:r w:rsidRPr="00DF6969">
        <w:rPr>
          <w:rFonts w:cs="Times New Roman"/>
        </w:rPr>
        <w:t>lavaan</w:t>
      </w:r>
      <w:proofErr w:type="spellEnd"/>
      <w:r w:rsidRPr="00DF6969">
        <w:rPr>
          <w:rFonts w:cs="Times New Roman"/>
        </w:rPr>
        <w:t>: An R package for structural equation modeling. </w:t>
      </w:r>
      <w:r w:rsidRPr="00DF6969">
        <w:rPr>
          <w:rFonts w:cs="Times New Roman"/>
          <w:i/>
          <w:iCs/>
        </w:rPr>
        <w:t>Journal of Statistical Software</w:t>
      </w:r>
      <w:r w:rsidRPr="00DF6969">
        <w:rPr>
          <w:rFonts w:cs="Times New Roman"/>
        </w:rPr>
        <w:t>, </w:t>
      </w:r>
      <w:r w:rsidRPr="00DF6969">
        <w:rPr>
          <w:rFonts w:cs="Times New Roman"/>
          <w:i/>
          <w:iCs/>
        </w:rPr>
        <w:t>48</w:t>
      </w:r>
      <w:r w:rsidRPr="00DF6969">
        <w:rPr>
          <w:rFonts w:cs="Times New Roman"/>
        </w:rPr>
        <w:t>, 1-36. https://doi.org/10.18637/jss.v048.i02</w:t>
      </w:r>
    </w:p>
    <w:p w14:paraId="0DE3D571" w14:textId="7C461120" w:rsidR="00DF6969" w:rsidRDefault="00DF6969" w:rsidP="00DF6969">
      <w:pPr>
        <w:spacing w:after="120"/>
        <w:ind w:left="720" w:hanging="720"/>
        <w:rPr>
          <w:rFonts w:cs="Times New Roman"/>
        </w:rPr>
      </w:pPr>
      <w:proofErr w:type="spellStart"/>
      <w:r w:rsidRPr="00DF6969">
        <w:rPr>
          <w:rFonts w:cs="Times New Roman"/>
        </w:rPr>
        <w:t>Rüeger</w:t>
      </w:r>
      <w:proofErr w:type="spellEnd"/>
      <w:r w:rsidRPr="00DF6969">
        <w:rPr>
          <w:rFonts w:cs="Times New Roman"/>
        </w:rPr>
        <w:t xml:space="preserve">, S., McDaid, A., &amp; </w:t>
      </w:r>
      <w:proofErr w:type="spellStart"/>
      <w:r w:rsidRPr="00DF6969">
        <w:rPr>
          <w:rFonts w:cs="Times New Roman"/>
        </w:rPr>
        <w:t>Kutalik</w:t>
      </w:r>
      <w:proofErr w:type="spellEnd"/>
      <w:r w:rsidRPr="00DF6969">
        <w:rPr>
          <w:rFonts w:cs="Times New Roman"/>
        </w:rPr>
        <w:t>, Z. (2018). Evaluation and application of summary statistic imputation to discover new height-associated loci. </w:t>
      </w:r>
      <w:proofErr w:type="spellStart"/>
      <w:r w:rsidRPr="00DF6969">
        <w:rPr>
          <w:rFonts w:cs="Times New Roman"/>
          <w:i/>
          <w:iCs/>
        </w:rPr>
        <w:t>PLoS</w:t>
      </w:r>
      <w:proofErr w:type="spellEnd"/>
      <w:r w:rsidRPr="00DF6969">
        <w:rPr>
          <w:rFonts w:cs="Times New Roman"/>
          <w:i/>
          <w:iCs/>
        </w:rPr>
        <w:t xml:space="preserve"> Genetics</w:t>
      </w:r>
      <w:r w:rsidRPr="00DF6969">
        <w:rPr>
          <w:rFonts w:cs="Times New Roman"/>
        </w:rPr>
        <w:t>, </w:t>
      </w:r>
      <w:r w:rsidRPr="00DF6969">
        <w:rPr>
          <w:rFonts w:cs="Times New Roman"/>
          <w:i/>
          <w:iCs/>
        </w:rPr>
        <w:t>14</w:t>
      </w:r>
      <w:r w:rsidRPr="00DF6969">
        <w:rPr>
          <w:rFonts w:cs="Times New Roman"/>
        </w:rPr>
        <w:t xml:space="preserve">(5), e1007371. </w:t>
      </w:r>
      <w:r w:rsidR="006951A7">
        <w:rPr>
          <w:rFonts w:cs="Times New Roman"/>
        </w:rPr>
        <w:t>https://doi.org/10.1371/journal.pgen.1007371</w:t>
      </w:r>
    </w:p>
    <w:p w14:paraId="7B428725" w14:textId="0772AC50" w:rsidR="006951A7" w:rsidRPr="00DF6969" w:rsidRDefault="006951A7" w:rsidP="00DF6969">
      <w:pPr>
        <w:spacing w:after="120"/>
        <w:ind w:left="720" w:hanging="720"/>
        <w:rPr>
          <w:rFonts w:cs="Times New Roman"/>
        </w:rPr>
      </w:pPr>
      <w:proofErr w:type="spellStart"/>
      <w:r w:rsidRPr="006951A7">
        <w:rPr>
          <w:rFonts w:cs="Times New Roman"/>
        </w:rPr>
        <w:t>Sabeti</w:t>
      </w:r>
      <w:proofErr w:type="spellEnd"/>
      <w:r w:rsidRPr="006951A7">
        <w:rPr>
          <w:rFonts w:cs="Times New Roman"/>
        </w:rPr>
        <w:t xml:space="preserve">, P. C., </w:t>
      </w:r>
      <w:proofErr w:type="spellStart"/>
      <w:r w:rsidRPr="006951A7">
        <w:rPr>
          <w:rFonts w:cs="Times New Roman"/>
        </w:rPr>
        <w:t>Varilly</w:t>
      </w:r>
      <w:proofErr w:type="spellEnd"/>
      <w:r w:rsidRPr="006951A7">
        <w:rPr>
          <w:rFonts w:cs="Times New Roman"/>
        </w:rPr>
        <w:t xml:space="preserve">, P., Fry, B., </w:t>
      </w:r>
      <w:proofErr w:type="spellStart"/>
      <w:r w:rsidRPr="006951A7">
        <w:rPr>
          <w:rFonts w:cs="Times New Roman"/>
        </w:rPr>
        <w:t>Lohmueller</w:t>
      </w:r>
      <w:proofErr w:type="spellEnd"/>
      <w:r w:rsidRPr="006951A7">
        <w:rPr>
          <w:rFonts w:cs="Times New Roman"/>
        </w:rPr>
        <w:t xml:space="preserve">, J., Hostetter, E., </w:t>
      </w:r>
      <w:proofErr w:type="spellStart"/>
      <w:r w:rsidRPr="006951A7">
        <w:rPr>
          <w:rFonts w:cs="Times New Roman"/>
        </w:rPr>
        <w:t>Cotsapas</w:t>
      </w:r>
      <w:proofErr w:type="spellEnd"/>
      <w:r w:rsidRPr="006951A7">
        <w:rPr>
          <w:rFonts w:cs="Times New Roman"/>
        </w:rPr>
        <w:t>, C., ... &amp; Wellcome Trust Kennedy Karen 67 Jamieson Ruth 64 Stewart John 64. (2007). Genome-wide detection and characterization of positive selection in human populations. </w:t>
      </w:r>
      <w:r w:rsidRPr="006951A7">
        <w:rPr>
          <w:rFonts w:cs="Times New Roman"/>
          <w:i/>
          <w:iCs/>
        </w:rPr>
        <w:t>Nature</w:t>
      </w:r>
      <w:r w:rsidRPr="006951A7">
        <w:rPr>
          <w:rFonts w:cs="Times New Roman"/>
        </w:rPr>
        <w:t>, </w:t>
      </w:r>
      <w:r w:rsidRPr="006951A7">
        <w:rPr>
          <w:rFonts w:cs="Times New Roman"/>
          <w:i/>
          <w:iCs/>
        </w:rPr>
        <w:t>449</w:t>
      </w:r>
      <w:r w:rsidRPr="006951A7">
        <w:rPr>
          <w:rFonts w:cs="Times New Roman"/>
        </w:rPr>
        <w:t>(7164), 913-918.</w:t>
      </w:r>
    </w:p>
    <w:p w14:paraId="78800B2B" w14:textId="77777777" w:rsidR="00DF6969" w:rsidRPr="00DF6969" w:rsidRDefault="00DF6969" w:rsidP="00DF6969">
      <w:pPr>
        <w:pStyle w:val="Bibliography"/>
        <w:spacing w:after="120"/>
        <w:ind w:left="720" w:hanging="720"/>
        <w:rPr>
          <w:rFonts w:cs="Times New Roman"/>
        </w:rPr>
      </w:pPr>
      <w:r w:rsidRPr="00DF6969">
        <w:rPr>
          <w:rFonts w:cs="Times New Roman"/>
        </w:rPr>
        <w:t xml:space="preserve">Sanchez-Roige, S., Fontanillas, P., Elson, S. L., Gray, J. C., De Wit, H., MacKillop, J., &amp; Palmer, A. A. (2019). Genome-wide association studies of impulsive personality traits (BIS-11 and UPPS-P) and drug experimentation in up to 22,861 adult research participants identify loci in the CACNA1I and CADM2 genes. </w:t>
      </w:r>
      <w:r w:rsidRPr="00DF6969">
        <w:rPr>
          <w:rFonts w:cs="Times New Roman"/>
          <w:i/>
          <w:iCs/>
        </w:rPr>
        <w:t>Journal of Neuroscience</w:t>
      </w:r>
      <w:r w:rsidRPr="00DF6969">
        <w:rPr>
          <w:rFonts w:cs="Times New Roman"/>
        </w:rPr>
        <w:t xml:space="preserve">, </w:t>
      </w:r>
      <w:r w:rsidRPr="00DF6969">
        <w:rPr>
          <w:rFonts w:cs="Times New Roman"/>
          <w:i/>
          <w:iCs/>
        </w:rPr>
        <w:t>39</w:t>
      </w:r>
      <w:r w:rsidRPr="00DF6969">
        <w:rPr>
          <w:rFonts w:cs="Times New Roman"/>
        </w:rPr>
        <w:t>(13), 2562–2572. https://doi.org/10.1523/JNEUROSCI.2662-18.2019</w:t>
      </w:r>
    </w:p>
    <w:p w14:paraId="63395686" w14:textId="2A5C9599" w:rsidR="00DF6969" w:rsidRPr="00DF6969" w:rsidRDefault="00DF6969" w:rsidP="00DF6969">
      <w:pPr>
        <w:spacing w:after="120"/>
        <w:ind w:left="720" w:hanging="720"/>
        <w:rPr>
          <w:rFonts w:cs="Times New Roman"/>
        </w:rPr>
      </w:pPr>
      <w:r w:rsidRPr="00DF6969">
        <w:rPr>
          <w:rFonts w:cs="Times New Roman"/>
        </w:rPr>
        <w:t>Satizabal, C. L., Adams, H., Hibar, D. P., White, C. C., Knol, M. J., Stein, J. L., Scholz, M., … Ikram, M. A. (2019). Genetic architecture of subcortical brain structures in 38,851 individuals. </w:t>
      </w:r>
      <w:r w:rsidRPr="00DF6969">
        <w:rPr>
          <w:rFonts w:cs="Times New Roman"/>
          <w:i/>
          <w:iCs/>
        </w:rPr>
        <w:t>Nature Genetics</w:t>
      </w:r>
      <w:r w:rsidRPr="00DF6969">
        <w:rPr>
          <w:rFonts w:cs="Times New Roman"/>
        </w:rPr>
        <w:t>, </w:t>
      </w:r>
      <w:r w:rsidRPr="00DF6969">
        <w:rPr>
          <w:rFonts w:cs="Times New Roman"/>
          <w:i/>
          <w:iCs/>
        </w:rPr>
        <w:t>51</w:t>
      </w:r>
      <w:r w:rsidRPr="00DF6969">
        <w:rPr>
          <w:rFonts w:cs="Times New Roman"/>
        </w:rPr>
        <w:t>(11), 1624–1636. https://doi.org/10.1038/s41588-019-0511-y</w:t>
      </w:r>
    </w:p>
    <w:p w14:paraId="29B92DB8" w14:textId="3CE3D0AB" w:rsidR="00DF6969" w:rsidRPr="00DF6969" w:rsidRDefault="00DF6969" w:rsidP="00DF6969">
      <w:pPr>
        <w:pStyle w:val="Bibliography"/>
        <w:spacing w:after="120"/>
        <w:ind w:left="720" w:hanging="720"/>
        <w:rPr>
          <w:rFonts w:cs="Times New Roman"/>
        </w:rPr>
      </w:pPr>
      <w:r w:rsidRPr="00DF6969">
        <w:rPr>
          <w:rFonts w:cs="Times New Roman"/>
        </w:rPr>
        <w:t xml:space="preserve">Service, S. K., Verweij, K. J. H., Lahti, J., Congdon, E., Ekelund, J., Hintsanen, M., … Freimer, N. B. (2012). A genome-wide meta-analysis of association studies of Cloninger’s Temperament Scales. </w:t>
      </w:r>
      <w:r w:rsidRPr="00DF6969">
        <w:rPr>
          <w:rFonts w:cs="Times New Roman"/>
          <w:i/>
          <w:iCs/>
        </w:rPr>
        <w:t>Translational Psychiatry</w:t>
      </w:r>
      <w:r w:rsidRPr="00DF6969">
        <w:rPr>
          <w:rFonts w:cs="Times New Roman"/>
        </w:rPr>
        <w:t xml:space="preserve">, </w:t>
      </w:r>
      <w:r w:rsidRPr="00DF6969">
        <w:rPr>
          <w:rFonts w:cs="Times New Roman"/>
          <w:i/>
          <w:iCs/>
        </w:rPr>
        <w:t>2</w:t>
      </w:r>
      <w:r w:rsidRPr="00DF6969">
        <w:rPr>
          <w:rFonts w:cs="Times New Roman"/>
        </w:rPr>
        <w:t>, 1–9. https://doi.org/10.1038/tp.2012.37</w:t>
      </w:r>
    </w:p>
    <w:p w14:paraId="401BB9EB" w14:textId="77777777" w:rsidR="00DF6969" w:rsidRPr="00DF6969" w:rsidRDefault="00DF6969" w:rsidP="00DF6969">
      <w:pPr>
        <w:spacing w:after="120"/>
        <w:ind w:left="720" w:hanging="720"/>
        <w:rPr>
          <w:rFonts w:cs="Times New Roman"/>
        </w:rPr>
      </w:pPr>
      <w:r w:rsidRPr="00DF6969">
        <w:rPr>
          <w:rFonts w:cs="Times New Roman"/>
        </w:rPr>
        <w:t>Smith, S. M., Douaud, G., Chen, W., Hanayik, T., Alfaro-Almagro, F., Sharp, K., &amp; Elliott, L. T. (2021). An expanded set of genome-wide association studies of brain imaging phenotypes in UK Biobank. </w:t>
      </w:r>
      <w:r w:rsidRPr="00DF6969">
        <w:rPr>
          <w:rFonts w:cs="Times New Roman"/>
          <w:i/>
          <w:iCs/>
        </w:rPr>
        <w:t>Nature Neuroscience</w:t>
      </w:r>
      <w:r w:rsidRPr="00DF6969">
        <w:rPr>
          <w:rFonts w:cs="Times New Roman"/>
        </w:rPr>
        <w:t>, </w:t>
      </w:r>
      <w:r w:rsidRPr="00DF6969">
        <w:rPr>
          <w:rFonts w:cs="Times New Roman"/>
          <w:i/>
          <w:iCs/>
        </w:rPr>
        <w:t>24</w:t>
      </w:r>
      <w:r w:rsidRPr="00DF6969">
        <w:rPr>
          <w:rFonts w:cs="Times New Roman"/>
        </w:rPr>
        <w:t>(5), 737–745. https://doi.org/10.1038/s41593-021-00826-4</w:t>
      </w:r>
    </w:p>
    <w:p w14:paraId="3CCFF3EB" w14:textId="386A72D4" w:rsidR="00B63AFF" w:rsidRPr="00B63AFF" w:rsidRDefault="00B63AFF" w:rsidP="00B63AFF">
      <w:pPr>
        <w:spacing w:after="120"/>
        <w:ind w:left="720" w:hanging="720"/>
      </w:pPr>
      <w:r w:rsidRPr="00DF5EEF">
        <w:lastRenderedPageBreak/>
        <w:t>Stautz, K., &amp; Cooper, A. (2013). Impulsivity-related personality traits and adolescent alcohol use: A meta-analytic review. </w:t>
      </w:r>
      <w:r w:rsidRPr="00DF5EEF">
        <w:rPr>
          <w:i/>
          <w:iCs/>
        </w:rPr>
        <w:t>Clinical Psychology Review</w:t>
      </w:r>
      <w:r w:rsidRPr="00DF5EEF">
        <w:t>, </w:t>
      </w:r>
      <w:r w:rsidRPr="00DF5EEF">
        <w:rPr>
          <w:i/>
          <w:iCs/>
        </w:rPr>
        <w:t>33</w:t>
      </w:r>
      <w:r w:rsidRPr="00DF5EEF">
        <w:t>(4), 574-592.</w:t>
      </w:r>
    </w:p>
    <w:p w14:paraId="02B8508E" w14:textId="55FBED6B" w:rsidR="00DF6969" w:rsidRPr="00DF6969" w:rsidRDefault="00DF6969" w:rsidP="00DF6969">
      <w:pPr>
        <w:spacing w:after="120"/>
        <w:ind w:left="720" w:hanging="720"/>
        <w:rPr>
          <w:rFonts w:eastAsia="SimSun" w:cs="Times New Roman"/>
        </w:rPr>
      </w:pPr>
      <w:r w:rsidRPr="00DF6969">
        <w:rPr>
          <w:rFonts w:eastAsia="SimSun" w:cs="Times New Roman"/>
        </w:rPr>
        <w:t>The 1000 Genomes Project Consortium</w:t>
      </w:r>
      <w:r w:rsidR="006951A7">
        <w:rPr>
          <w:rFonts w:eastAsia="SimSun" w:cs="Times New Roman"/>
        </w:rPr>
        <w:t xml:space="preserve">. </w:t>
      </w:r>
      <w:r w:rsidRPr="00DF6969">
        <w:rPr>
          <w:rFonts w:eastAsia="SimSun" w:cs="Times New Roman"/>
        </w:rPr>
        <w:t>(2010). A map of human genome variation from population-scale sequencing. </w:t>
      </w:r>
      <w:r w:rsidRPr="00DF6969">
        <w:rPr>
          <w:rFonts w:eastAsia="SimSun" w:cs="Times New Roman"/>
          <w:i/>
          <w:iCs/>
        </w:rPr>
        <w:t>Nature</w:t>
      </w:r>
      <w:r w:rsidRPr="00DF6969">
        <w:rPr>
          <w:rFonts w:eastAsia="SimSun" w:cs="Times New Roman"/>
        </w:rPr>
        <w:t>, </w:t>
      </w:r>
      <w:r w:rsidRPr="00DF6969">
        <w:rPr>
          <w:rFonts w:eastAsia="SimSun" w:cs="Times New Roman"/>
          <w:i/>
          <w:iCs/>
        </w:rPr>
        <w:t>467</w:t>
      </w:r>
      <w:r w:rsidRPr="00DF6969">
        <w:rPr>
          <w:rFonts w:eastAsia="SimSun" w:cs="Times New Roman"/>
        </w:rPr>
        <w:t>(7319), 1061–1073. https://doi.org/10.1038/nature09534</w:t>
      </w:r>
    </w:p>
    <w:p w14:paraId="73F70570" w14:textId="77777777" w:rsidR="00DF6969" w:rsidRPr="00DF6969" w:rsidRDefault="00DF6969" w:rsidP="00DF6969">
      <w:pPr>
        <w:pStyle w:val="Bibliography"/>
        <w:spacing w:after="120"/>
        <w:ind w:left="720" w:hanging="720"/>
        <w:rPr>
          <w:rFonts w:cs="Times New Roman"/>
        </w:rPr>
      </w:pPr>
      <w:r w:rsidRPr="00DF6969">
        <w:rPr>
          <w:rFonts w:cs="Times New Roman"/>
        </w:rPr>
        <w:t xml:space="preserve">The 1000 Genomes Project Consortium. (2015). A global reference for human genetic variation. </w:t>
      </w:r>
      <w:r w:rsidRPr="00DF6969">
        <w:rPr>
          <w:rFonts w:cs="Times New Roman"/>
          <w:i/>
          <w:iCs/>
        </w:rPr>
        <w:t>Nature</w:t>
      </w:r>
      <w:r w:rsidRPr="00DF6969">
        <w:rPr>
          <w:rFonts w:cs="Times New Roman"/>
        </w:rPr>
        <w:t xml:space="preserve">, </w:t>
      </w:r>
      <w:r w:rsidRPr="00DF6969">
        <w:rPr>
          <w:rFonts w:cs="Times New Roman"/>
          <w:i/>
          <w:iCs/>
        </w:rPr>
        <w:t>526</w:t>
      </w:r>
      <w:r w:rsidRPr="00DF6969">
        <w:rPr>
          <w:rFonts w:cs="Times New Roman"/>
        </w:rPr>
        <w:t>(7571), 68–74. https://doi.org/10.1038/nature15393</w:t>
      </w:r>
    </w:p>
    <w:p w14:paraId="6698A02F" w14:textId="37B382C4" w:rsidR="00DF6969" w:rsidRPr="00DF6969" w:rsidRDefault="00DF6969" w:rsidP="00DF6969">
      <w:pPr>
        <w:spacing w:after="120"/>
        <w:ind w:left="720" w:hanging="720"/>
        <w:rPr>
          <w:rFonts w:cs="Times New Roman"/>
        </w:rPr>
      </w:pPr>
      <w:r w:rsidRPr="00DF6969">
        <w:rPr>
          <w:rFonts w:cs="Times New Roman"/>
        </w:rPr>
        <w:t>The International HapMap 3 Consortium</w:t>
      </w:r>
      <w:r w:rsidR="006951A7">
        <w:rPr>
          <w:rFonts w:cs="Times New Roman"/>
        </w:rPr>
        <w:t xml:space="preserve">. </w:t>
      </w:r>
      <w:r w:rsidRPr="00DF6969">
        <w:rPr>
          <w:rFonts w:cs="Times New Roman"/>
        </w:rPr>
        <w:t>(2010). Integrating common and rare genetic variation in diverse human populations. </w:t>
      </w:r>
      <w:r w:rsidRPr="00DF6969">
        <w:rPr>
          <w:rFonts w:cs="Times New Roman"/>
          <w:i/>
          <w:iCs/>
        </w:rPr>
        <w:t>Nature</w:t>
      </w:r>
      <w:r w:rsidRPr="00DF6969">
        <w:rPr>
          <w:rFonts w:cs="Times New Roman"/>
        </w:rPr>
        <w:t>, </w:t>
      </w:r>
      <w:r w:rsidRPr="00DF6969">
        <w:rPr>
          <w:rFonts w:cs="Times New Roman"/>
          <w:i/>
          <w:iCs/>
        </w:rPr>
        <w:t>467</w:t>
      </w:r>
      <w:r w:rsidRPr="00DF6969">
        <w:rPr>
          <w:rFonts w:cs="Times New Roman"/>
        </w:rPr>
        <w:t xml:space="preserve">(7311), 52–58. </w:t>
      </w:r>
      <w:hyperlink r:id="rId13" w:history="1">
        <w:r w:rsidRPr="00DF6969">
          <w:rPr>
            <w:rStyle w:val="Hyperlink"/>
            <w:rFonts w:cs="Times New Roman"/>
            <w:color w:val="auto"/>
            <w:u w:val="none"/>
          </w:rPr>
          <w:t>https://doi.org/10.1038/nature09298</w:t>
        </w:r>
      </w:hyperlink>
    </w:p>
    <w:p w14:paraId="08461DA5" w14:textId="44ED3FAD" w:rsidR="00DF6969" w:rsidRPr="00DF6969" w:rsidRDefault="00DF6969" w:rsidP="00DF6969">
      <w:pPr>
        <w:spacing w:after="120"/>
        <w:ind w:left="720" w:hanging="720"/>
        <w:rPr>
          <w:rFonts w:cs="Times New Roman"/>
        </w:rPr>
      </w:pPr>
      <w:r w:rsidRPr="00DF6969">
        <w:rPr>
          <w:rFonts w:cs="Times New Roman"/>
        </w:rPr>
        <w:t>The UK10K Consortium</w:t>
      </w:r>
      <w:r w:rsidR="006951A7">
        <w:rPr>
          <w:rFonts w:cs="Times New Roman"/>
        </w:rPr>
        <w:t xml:space="preserve">. </w:t>
      </w:r>
      <w:r w:rsidRPr="00DF6969">
        <w:rPr>
          <w:rFonts w:cs="Times New Roman"/>
        </w:rPr>
        <w:t>(2015). The UK10K project identifies rare variants in health and disease. </w:t>
      </w:r>
      <w:r w:rsidRPr="00DF6969">
        <w:rPr>
          <w:rFonts w:cs="Times New Roman"/>
          <w:i/>
          <w:iCs/>
        </w:rPr>
        <w:t>Nature</w:t>
      </w:r>
      <w:r w:rsidRPr="00DF6969">
        <w:rPr>
          <w:rFonts w:cs="Times New Roman"/>
        </w:rPr>
        <w:t>, </w:t>
      </w:r>
      <w:r w:rsidRPr="00DF6969">
        <w:rPr>
          <w:rFonts w:cs="Times New Roman"/>
          <w:i/>
          <w:iCs/>
        </w:rPr>
        <w:t>526</w:t>
      </w:r>
      <w:r w:rsidRPr="00DF6969">
        <w:rPr>
          <w:rFonts w:cs="Times New Roman"/>
        </w:rPr>
        <w:t xml:space="preserve">(7571), 82–90. </w:t>
      </w:r>
      <w:hyperlink r:id="rId14" w:history="1">
        <w:r w:rsidRPr="00DF6969">
          <w:rPr>
            <w:rStyle w:val="Hyperlink"/>
            <w:rFonts w:cs="Times New Roman"/>
            <w:color w:val="auto"/>
            <w:u w:val="none"/>
          </w:rPr>
          <w:t>https://doi.org/10.1038/nature14962</w:t>
        </w:r>
      </w:hyperlink>
    </w:p>
    <w:p w14:paraId="46B09F6F" w14:textId="571D3FF4" w:rsidR="00B63AFF" w:rsidRPr="00B63AFF" w:rsidRDefault="00B63AFF" w:rsidP="00B63AFF">
      <w:pPr>
        <w:spacing w:after="120"/>
        <w:ind w:left="720" w:hanging="720"/>
        <w:rPr>
          <w:rFonts w:eastAsia="Times New Roman"/>
          <w:shd w:val="clear" w:color="auto" w:fill="FFFFFF"/>
        </w:rPr>
      </w:pPr>
      <w:r w:rsidRPr="00DF5EEF">
        <w:rPr>
          <w:rFonts w:eastAsia="Times New Roman"/>
          <w:shd w:val="clear" w:color="auto" w:fill="FFFFFF"/>
        </w:rPr>
        <w:t>Vonmoos, M., Hulka, L. M., Preller, K. H., Jenni, D., Schulz, C., Baumgartner, M. R., &amp; Quednow, B. B. (2013). Differences in self-reported and behavioral measures of impulsivity in recreational and dependent cocaine users. </w:t>
      </w:r>
      <w:r w:rsidRPr="00DF5EEF">
        <w:rPr>
          <w:rFonts w:eastAsia="Times New Roman"/>
          <w:i/>
          <w:iCs/>
          <w:shd w:val="clear" w:color="auto" w:fill="FFFFFF"/>
        </w:rPr>
        <w:t>Drug and Alcohol Dependence</w:t>
      </w:r>
      <w:r w:rsidRPr="00DF5EEF">
        <w:rPr>
          <w:rFonts w:eastAsia="Times New Roman"/>
          <w:shd w:val="clear" w:color="auto" w:fill="FFFFFF"/>
        </w:rPr>
        <w:t>, </w:t>
      </w:r>
      <w:r w:rsidRPr="00DF5EEF">
        <w:rPr>
          <w:rFonts w:eastAsia="Times New Roman"/>
          <w:i/>
          <w:iCs/>
          <w:shd w:val="clear" w:color="auto" w:fill="FFFFFF"/>
        </w:rPr>
        <w:t>133</w:t>
      </w:r>
      <w:r w:rsidRPr="00DF5EEF">
        <w:rPr>
          <w:rFonts w:eastAsia="Times New Roman"/>
          <w:shd w:val="clear" w:color="auto" w:fill="FFFFFF"/>
        </w:rPr>
        <w:t>(1), 61–70. https://doi.org/10.1016/j.drugalcdep.2013.05.032</w:t>
      </w:r>
    </w:p>
    <w:p w14:paraId="04EBEC02" w14:textId="1F0CBCB8" w:rsidR="00DF6969" w:rsidRPr="00DF6969" w:rsidRDefault="00DF6969" w:rsidP="00DF6969">
      <w:pPr>
        <w:spacing w:after="120"/>
        <w:ind w:left="720" w:hanging="720"/>
        <w:rPr>
          <w:rFonts w:cs="Times New Roman"/>
        </w:rPr>
      </w:pPr>
      <w:r w:rsidRPr="00DF6969">
        <w:rPr>
          <w:rFonts w:cs="Times New Roman"/>
        </w:rPr>
        <w:t xml:space="preserve">Watanabe, K., </w:t>
      </w:r>
      <w:proofErr w:type="spellStart"/>
      <w:r w:rsidRPr="00DF6969">
        <w:rPr>
          <w:rFonts w:cs="Times New Roman"/>
        </w:rPr>
        <w:t>Taskesen</w:t>
      </w:r>
      <w:proofErr w:type="spellEnd"/>
      <w:r w:rsidRPr="00DF6969">
        <w:rPr>
          <w:rFonts w:cs="Times New Roman"/>
        </w:rPr>
        <w:t xml:space="preserve">, E., van </w:t>
      </w:r>
      <w:proofErr w:type="spellStart"/>
      <w:r w:rsidRPr="00DF6969">
        <w:rPr>
          <w:rFonts w:cs="Times New Roman"/>
        </w:rPr>
        <w:t>Bochoven</w:t>
      </w:r>
      <w:proofErr w:type="spellEnd"/>
      <w:r w:rsidRPr="00DF6969">
        <w:rPr>
          <w:rFonts w:cs="Times New Roman"/>
        </w:rPr>
        <w:t xml:space="preserve">, A., &amp; </w:t>
      </w:r>
      <w:proofErr w:type="spellStart"/>
      <w:r w:rsidRPr="00DF6969">
        <w:rPr>
          <w:rFonts w:cs="Times New Roman"/>
        </w:rPr>
        <w:t>Posthuma</w:t>
      </w:r>
      <w:proofErr w:type="spellEnd"/>
      <w:r w:rsidRPr="00DF6969">
        <w:rPr>
          <w:rFonts w:cs="Times New Roman"/>
        </w:rPr>
        <w:t>, D. (2017). Functional mapping and annotation of genetic associations with FUMA. </w:t>
      </w:r>
      <w:r w:rsidRPr="00DF6969">
        <w:rPr>
          <w:rFonts w:cs="Times New Roman"/>
          <w:i/>
          <w:iCs/>
        </w:rPr>
        <w:t>Nature Communications</w:t>
      </w:r>
      <w:r w:rsidRPr="00DF6969">
        <w:rPr>
          <w:rFonts w:cs="Times New Roman"/>
        </w:rPr>
        <w:t>, </w:t>
      </w:r>
      <w:r w:rsidRPr="00DF6969">
        <w:rPr>
          <w:rFonts w:cs="Times New Roman"/>
          <w:i/>
          <w:iCs/>
        </w:rPr>
        <w:t>8</w:t>
      </w:r>
      <w:r w:rsidRPr="00DF6969">
        <w:rPr>
          <w:rFonts w:cs="Times New Roman"/>
        </w:rPr>
        <w:t xml:space="preserve">(1), 1826. </w:t>
      </w:r>
      <w:hyperlink r:id="rId15" w:history="1">
        <w:r w:rsidRPr="00DF6969">
          <w:rPr>
            <w:rStyle w:val="Hyperlink"/>
            <w:rFonts w:cs="Times New Roman"/>
            <w:color w:val="auto"/>
            <w:u w:val="none"/>
          </w:rPr>
          <w:t>https://doi.org/10.1038/s41467-017-01261-5</w:t>
        </w:r>
      </w:hyperlink>
    </w:p>
    <w:p w14:paraId="69C9AA84" w14:textId="77777777" w:rsidR="00DF6969" w:rsidRPr="00DF6969" w:rsidRDefault="00DF6969" w:rsidP="00DF6969">
      <w:pPr>
        <w:spacing w:after="120"/>
        <w:ind w:left="720" w:hanging="720"/>
        <w:rPr>
          <w:rFonts w:cs="Times New Roman"/>
        </w:rPr>
      </w:pPr>
      <w:r w:rsidRPr="00DF6969">
        <w:rPr>
          <w:rFonts w:cs="Times New Roman"/>
        </w:rPr>
        <w:t xml:space="preserve">Willer, C. J., Li, Y., &amp; </w:t>
      </w:r>
      <w:proofErr w:type="spellStart"/>
      <w:r w:rsidRPr="00DF6969">
        <w:rPr>
          <w:rFonts w:cs="Times New Roman"/>
        </w:rPr>
        <w:t>Abecasis</w:t>
      </w:r>
      <w:proofErr w:type="spellEnd"/>
      <w:r w:rsidRPr="00DF6969">
        <w:rPr>
          <w:rFonts w:cs="Times New Roman"/>
        </w:rPr>
        <w:t xml:space="preserve">, G. R. (2010). METAL: fast and efficient meta-analysis of </w:t>
      </w:r>
      <w:proofErr w:type="spellStart"/>
      <w:r w:rsidRPr="00DF6969">
        <w:rPr>
          <w:rFonts w:cs="Times New Roman"/>
        </w:rPr>
        <w:t>genomewide</w:t>
      </w:r>
      <w:proofErr w:type="spellEnd"/>
      <w:r w:rsidRPr="00DF6969">
        <w:rPr>
          <w:rFonts w:cs="Times New Roman"/>
        </w:rPr>
        <w:t xml:space="preserve"> association scans. </w:t>
      </w:r>
      <w:r w:rsidRPr="00DF6969">
        <w:rPr>
          <w:rFonts w:cs="Times New Roman"/>
          <w:i/>
          <w:iCs/>
        </w:rPr>
        <w:t>Bioinformatics</w:t>
      </w:r>
      <w:r w:rsidRPr="00DF6969">
        <w:rPr>
          <w:rFonts w:cs="Times New Roman"/>
        </w:rPr>
        <w:t>, </w:t>
      </w:r>
      <w:r w:rsidRPr="00DF6969">
        <w:rPr>
          <w:rFonts w:cs="Times New Roman"/>
          <w:i/>
          <w:iCs/>
        </w:rPr>
        <w:t>26</w:t>
      </w:r>
      <w:r w:rsidRPr="00DF6969">
        <w:rPr>
          <w:rFonts w:cs="Times New Roman"/>
        </w:rPr>
        <w:t>(17), 2190–2191. https://doi.org/10.1093/bioinformatics/btq340</w:t>
      </w:r>
    </w:p>
    <w:p w14:paraId="789F8715" w14:textId="77777777" w:rsidR="00DF6969" w:rsidRPr="00DF6969" w:rsidRDefault="00DF6969" w:rsidP="00DF6969">
      <w:pPr>
        <w:spacing w:after="120"/>
        <w:ind w:left="720" w:hanging="720"/>
        <w:rPr>
          <w:rFonts w:cs="Times New Roman"/>
        </w:rPr>
      </w:pPr>
      <w:proofErr w:type="spellStart"/>
      <w:r w:rsidRPr="00DF6969">
        <w:rPr>
          <w:rFonts w:cs="Times New Roman"/>
        </w:rPr>
        <w:t>Yarkoni</w:t>
      </w:r>
      <w:proofErr w:type="spellEnd"/>
      <w:r w:rsidRPr="00DF6969">
        <w:rPr>
          <w:rFonts w:cs="Times New Roman"/>
        </w:rPr>
        <w:t>, T., &amp; Westfall, J. (2017). Choosing prediction over explanation in psychology: Lessons from machine learning. </w:t>
      </w:r>
      <w:r w:rsidRPr="00DF6969">
        <w:rPr>
          <w:rFonts w:cs="Times New Roman"/>
          <w:i/>
          <w:iCs/>
        </w:rPr>
        <w:t>Perspectives on Psychological Science</w:t>
      </w:r>
      <w:r w:rsidRPr="00DF6969">
        <w:rPr>
          <w:rFonts w:cs="Times New Roman"/>
        </w:rPr>
        <w:t>, </w:t>
      </w:r>
      <w:r w:rsidRPr="00DF6969">
        <w:rPr>
          <w:rFonts w:cs="Times New Roman"/>
          <w:i/>
          <w:iCs/>
        </w:rPr>
        <w:t>12</w:t>
      </w:r>
      <w:r w:rsidRPr="00DF6969">
        <w:rPr>
          <w:rFonts w:cs="Times New Roman"/>
        </w:rPr>
        <w:t>(6), 1100–1122. https://doi.org/10.1177/1745691617693393</w:t>
      </w:r>
    </w:p>
    <w:p w14:paraId="1FBEABAF" w14:textId="77777777" w:rsidR="00DF6969" w:rsidRPr="008D2977" w:rsidRDefault="00DF6969" w:rsidP="00DF6969">
      <w:pPr>
        <w:spacing w:after="240"/>
        <w:rPr>
          <w:rFonts w:eastAsia="Times New Roman" w:cs="Times New Roman"/>
        </w:rPr>
      </w:pPr>
    </w:p>
    <w:sectPr w:rsidR="00DF6969" w:rsidRPr="008D2977" w:rsidSect="00DF6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F2"/>
    <w:rsid w:val="00023BB3"/>
    <w:rsid w:val="00075CBD"/>
    <w:rsid w:val="000846B0"/>
    <w:rsid w:val="000B7439"/>
    <w:rsid w:val="000F10DB"/>
    <w:rsid w:val="00121DCC"/>
    <w:rsid w:val="00142F4B"/>
    <w:rsid w:val="001531D6"/>
    <w:rsid w:val="001D3442"/>
    <w:rsid w:val="001D6E53"/>
    <w:rsid w:val="001F41BE"/>
    <w:rsid w:val="002061C9"/>
    <w:rsid w:val="00213D0D"/>
    <w:rsid w:val="002761E7"/>
    <w:rsid w:val="00287077"/>
    <w:rsid w:val="002A769E"/>
    <w:rsid w:val="002F4039"/>
    <w:rsid w:val="002F6CD1"/>
    <w:rsid w:val="00342C74"/>
    <w:rsid w:val="00375ED6"/>
    <w:rsid w:val="003B0DE6"/>
    <w:rsid w:val="003F22CC"/>
    <w:rsid w:val="004E46E3"/>
    <w:rsid w:val="004F0DE9"/>
    <w:rsid w:val="005C1444"/>
    <w:rsid w:val="006951A7"/>
    <w:rsid w:val="006C162A"/>
    <w:rsid w:val="0078439D"/>
    <w:rsid w:val="008523A4"/>
    <w:rsid w:val="008D2977"/>
    <w:rsid w:val="00900F8F"/>
    <w:rsid w:val="00926B7F"/>
    <w:rsid w:val="009444F2"/>
    <w:rsid w:val="0096505B"/>
    <w:rsid w:val="009C500F"/>
    <w:rsid w:val="00A11FA5"/>
    <w:rsid w:val="00A14E13"/>
    <w:rsid w:val="00A4557F"/>
    <w:rsid w:val="00A45CBF"/>
    <w:rsid w:val="00A51453"/>
    <w:rsid w:val="00A65EBD"/>
    <w:rsid w:val="00A73DED"/>
    <w:rsid w:val="00A93621"/>
    <w:rsid w:val="00AF6402"/>
    <w:rsid w:val="00B05475"/>
    <w:rsid w:val="00B32389"/>
    <w:rsid w:val="00B63AFF"/>
    <w:rsid w:val="00BB0972"/>
    <w:rsid w:val="00BC3D3C"/>
    <w:rsid w:val="00BD1E9A"/>
    <w:rsid w:val="00BE1ABD"/>
    <w:rsid w:val="00C00F6A"/>
    <w:rsid w:val="00C53FF1"/>
    <w:rsid w:val="00C97A1A"/>
    <w:rsid w:val="00D064B3"/>
    <w:rsid w:val="00D14B31"/>
    <w:rsid w:val="00D679A9"/>
    <w:rsid w:val="00D91015"/>
    <w:rsid w:val="00DF6969"/>
    <w:rsid w:val="00DF6BBF"/>
    <w:rsid w:val="00E53D77"/>
    <w:rsid w:val="00EF5BE3"/>
    <w:rsid w:val="00F002D4"/>
    <w:rsid w:val="00F17685"/>
    <w:rsid w:val="00F23801"/>
    <w:rsid w:val="00F27032"/>
    <w:rsid w:val="00F3292F"/>
    <w:rsid w:val="00F6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1A70"/>
  <w15:chartTrackingRefBased/>
  <w15:docId w15:val="{172D7281-6C4A-EB4B-ADBF-7A99FD69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7077"/>
    <w:rPr>
      <w:sz w:val="16"/>
      <w:szCs w:val="16"/>
    </w:rPr>
  </w:style>
  <w:style w:type="paragraph" w:styleId="CommentText">
    <w:name w:val="annotation text"/>
    <w:basedOn w:val="Normal"/>
    <w:link w:val="CommentTextChar"/>
    <w:uiPriority w:val="99"/>
    <w:unhideWhenUsed/>
    <w:rsid w:val="00287077"/>
    <w:rPr>
      <w:sz w:val="20"/>
      <w:szCs w:val="20"/>
    </w:rPr>
  </w:style>
  <w:style w:type="character" w:customStyle="1" w:styleId="CommentTextChar">
    <w:name w:val="Comment Text Char"/>
    <w:basedOn w:val="DefaultParagraphFont"/>
    <w:link w:val="CommentText"/>
    <w:uiPriority w:val="99"/>
    <w:rsid w:val="00287077"/>
    <w:rPr>
      <w:sz w:val="20"/>
      <w:szCs w:val="20"/>
    </w:rPr>
  </w:style>
  <w:style w:type="paragraph" w:styleId="CommentSubject">
    <w:name w:val="annotation subject"/>
    <w:basedOn w:val="CommentText"/>
    <w:next w:val="CommentText"/>
    <w:link w:val="CommentSubjectChar"/>
    <w:uiPriority w:val="99"/>
    <w:semiHidden/>
    <w:unhideWhenUsed/>
    <w:rsid w:val="00287077"/>
    <w:rPr>
      <w:b/>
      <w:bCs/>
    </w:rPr>
  </w:style>
  <w:style w:type="character" w:customStyle="1" w:styleId="CommentSubjectChar">
    <w:name w:val="Comment Subject Char"/>
    <w:basedOn w:val="CommentTextChar"/>
    <w:link w:val="CommentSubject"/>
    <w:uiPriority w:val="99"/>
    <w:semiHidden/>
    <w:rsid w:val="00287077"/>
    <w:rPr>
      <w:b/>
      <w:bCs/>
      <w:sz w:val="20"/>
      <w:szCs w:val="20"/>
    </w:rPr>
  </w:style>
  <w:style w:type="character" w:styleId="Hyperlink">
    <w:name w:val="Hyperlink"/>
    <w:basedOn w:val="DefaultParagraphFont"/>
    <w:uiPriority w:val="99"/>
    <w:unhideWhenUsed/>
    <w:rsid w:val="00121DCC"/>
    <w:rPr>
      <w:color w:val="0563C1" w:themeColor="hyperlink"/>
      <w:u w:val="single"/>
    </w:rPr>
  </w:style>
  <w:style w:type="character" w:styleId="UnresolvedMention">
    <w:name w:val="Unresolved Mention"/>
    <w:basedOn w:val="DefaultParagraphFont"/>
    <w:uiPriority w:val="99"/>
    <w:semiHidden/>
    <w:unhideWhenUsed/>
    <w:rsid w:val="00121DCC"/>
    <w:rPr>
      <w:color w:val="605E5C"/>
      <w:shd w:val="clear" w:color="auto" w:fill="E1DFDD"/>
    </w:rPr>
  </w:style>
  <w:style w:type="paragraph" w:styleId="Bibliography">
    <w:name w:val="Bibliography"/>
    <w:basedOn w:val="Normal"/>
    <w:next w:val="Normal"/>
    <w:uiPriority w:val="37"/>
    <w:unhideWhenUsed/>
    <w:rsid w:val="00DF6969"/>
  </w:style>
  <w:style w:type="paragraph" w:styleId="Revision">
    <w:name w:val="Revision"/>
    <w:hidden/>
    <w:uiPriority w:val="99"/>
    <w:semiHidden/>
    <w:rsid w:val="002A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2090">
      <w:bodyDiv w:val="1"/>
      <w:marLeft w:val="0"/>
      <w:marRight w:val="0"/>
      <w:marTop w:val="0"/>
      <w:marBottom w:val="0"/>
      <w:divBdr>
        <w:top w:val="none" w:sz="0" w:space="0" w:color="auto"/>
        <w:left w:val="none" w:sz="0" w:space="0" w:color="auto"/>
        <w:bottom w:val="none" w:sz="0" w:space="0" w:color="auto"/>
        <w:right w:val="none" w:sz="0" w:space="0" w:color="auto"/>
      </w:divBdr>
    </w:div>
    <w:div w:id="21023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g.3211" TargetMode="External"/><Relationship Id="rId13" Type="http://schemas.openxmlformats.org/officeDocument/2006/relationships/hyperlink" Target="https://doi.org/10.1038/nature09298" TargetMode="External"/><Relationship Id="rId3" Type="http://schemas.openxmlformats.org/officeDocument/2006/relationships/webSettings" Target="webSettings.xml"/><Relationship Id="rId7" Type="http://schemas.openxmlformats.org/officeDocument/2006/relationships/hyperlink" Target="http://enigma.ini.usc.edu/" TargetMode="External"/><Relationship Id="rId12" Type="http://schemas.openxmlformats.org/officeDocument/2006/relationships/hyperlink" Target="https://doi.org/10.1016/j.xgen.2022.10014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igma.ini.usc.edu/" TargetMode="External"/><Relationship Id="rId11" Type="http://schemas.openxmlformats.org/officeDocument/2006/relationships/hyperlink" Target="https://doi.org/10.1002/gepi.22161" TargetMode="External"/><Relationship Id="rId5" Type="http://schemas.openxmlformats.org/officeDocument/2006/relationships/hyperlink" Target="https://open.win.ox.ac.uk/ukbiobank/big40/" TargetMode="External"/><Relationship Id="rId15" Type="http://schemas.openxmlformats.org/officeDocument/2006/relationships/hyperlink" Target="https://doi.org/10.1038/s41467-017-01261-5" TargetMode="External"/><Relationship Id="rId10" Type="http://schemas.openxmlformats.org/officeDocument/2006/relationships/hyperlink" Target="https://doi.org/10.1038/ng.2354" TargetMode="External"/><Relationship Id="rId4" Type="http://schemas.openxmlformats.org/officeDocument/2006/relationships/hyperlink" Target="https://thessgac.com/" TargetMode="External"/><Relationship Id="rId9" Type="http://schemas.openxmlformats.org/officeDocument/2006/relationships/hyperlink" Target="https://doi.org/10.1038/s41586-018-0579-z" TargetMode="External"/><Relationship Id="rId14" Type="http://schemas.openxmlformats.org/officeDocument/2006/relationships/hyperlink" Target="https://doi.org/10.1038/nature14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6408</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Alex</dc:creator>
  <cp:keywords/>
  <dc:description/>
  <cp:lastModifiedBy>Miller, Alex</cp:lastModifiedBy>
  <cp:revision>3</cp:revision>
  <dcterms:created xsi:type="dcterms:W3CDTF">2023-08-16T21:39:00Z</dcterms:created>
  <dcterms:modified xsi:type="dcterms:W3CDTF">2023-08-16T21:40:00Z</dcterms:modified>
</cp:coreProperties>
</file>