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1D139" w14:textId="1555CEF9" w:rsidR="00F42189" w:rsidRDefault="00F42189" w:rsidP="00F42189">
      <w:pPr>
        <w:jc w:val="center"/>
      </w:pPr>
      <w:r>
        <w:t>Appendix</w:t>
      </w:r>
    </w:p>
    <w:p w14:paraId="17F1DBBC" w14:textId="34877465" w:rsidR="006240C3" w:rsidRDefault="006240C3" w:rsidP="00F42189">
      <w:pPr>
        <w:jc w:val="center"/>
      </w:pPr>
    </w:p>
    <w:p w14:paraId="4B8909E7" w14:textId="41428F8E" w:rsidR="006240C3" w:rsidRDefault="006240C3" w:rsidP="00F42189">
      <w:pPr>
        <w:jc w:val="center"/>
      </w:pPr>
      <w:r>
        <w:t>Table 1 – Counties with Primary Care Coverage over Specific Years</w:t>
      </w:r>
    </w:p>
    <w:p w14:paraId="318A1B52" w14:textId="1A46DF60" w:rsidR="006240C3" w:rsidRDefault="006240C3" w:rsidP="00F42189">
      <w:pPr>
        <w:jc w:val="center"/>
      </w:pPr>
    </w:p>
    <w:p w14:paraId="2BF41D66" w14:textId="0206F770" w:rsidR="008B59F9" w:rsidRDefault="006240C3" w:rsidP="006240C3">
      <w:r w:rsidRPr="006240C3">
        <w:t>Blekinge (2009 - 2016), Dalarna (2005 - 2013), Värmland (2005 - 2015), Kalmar Län (2007 - 2016), Sörmland (1992 - 2017), Uppsala Län (2005 - 2015), Västernorrland (2008 - 2015)  Norrbotten Län (2001 - 2014), Gävleborg (2010 - 2017), Gotland (2011 – 2018), Halland (2007 -  2014),  Jönköpings Län (2008 - 2014), Kronoberg (2006 - 2016), Skåne (1989 - 2018), Västerbotten (1992- 2018), Östergötland (1990 - 2014), Stockholms Län (2003 - 2016), and Västra Götaland (2000 - 2013).</w:t>
      </w:r>
    </w:p>
    <w:p w14:paraId="604F2209" w14:textId="77777777" w:rsidR="008B59F9" w:rsidRDefault="008B59F9">
      <w:r>
        <w:br w:type="page"/>
      </w:r>
    </w:p>
    <w:p w14:paraId="2B5F1462" w14:textId="77777777" w:rsidR="008B59F9" w:rsidRDefault="008B59F9" w:rsidP="008B59F9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</w:rPr>
      </w:pPr>
      <w:r>
        <w:lastRenderedPageBreak/>
        <w:t>Table 2</w:t>
      </w:r>
      <w:r w:rsidRPr="008B59F9">
        <w:rPr>
          <w:rFonts w:ascii="Calibri Light" w:hAnsi="Calibri Light" w:cs="Calibri Light"/>
        </w:rPr>
        <w:t xml:space="preserve"> </w:t>
      </w:r>
    </w:p>
    <w:p w14:paraId="14111F2A" w14:textId="275CBA2D" w:rsidR="008B59F9" w:rsidRDefault="008B59F9" w:rsidP="008B59F9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Calculation of the Familial Genetic Risk Score (FGRS)</w:t>
      </w:r>
    </w:p>
    <w:p w14:paraId="7400A90F" w14:textId="593CD842" w:rsidR="008B59F9" w:rsidRDefault="008B59F9" w:rsidP="008B59F9">
      <w:pPr>
        <w:jc w:val="center"/>
      </w:pPr>
      <w:r>
        <w:rPr>
          <w:noProof/>
        </w:rPr>
        <w:drawing>
          <wp:inline distT="0" distB="0" distL="0" distR="0" wp14:anchorId="0E4138E4" wp14:editId="4AA09332">
            <wp:extent cx="5943600" cy="650938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509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B59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189"/>
    <w:rsid w:val="006240C3"/>
    <w:rsid w:val="008B59F9"/>
    <w:rsid w:val="00F42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643E7"/>
  <w15:chartTrackingRefBased/>
  <w15:docId w15:val="{6E904704-C266-42BA-9E20-102A4E63B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Kendler</dc:creator>
  <cp:keywords/>
  <dc:description/>
  <cp:lastModifiedBy>Kenneth Kendler</cp:lastModifiedBy>
  <cp:revision>2</cp:revision>
  <dcterms:created xsi:type="dcterms:W3CDTF">2023-10-17T13:28:00Z</dcterms:created>
  <dcterms:modified xsi:type="dcterms:W3CDTF">2023-10-17T14:23:00Z</dcterms:modified>
</cp:coreProperties>
</file>