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default" w:ascii="Times New Roman" w:hAnsi="Times New Roman" w:cs="Times New Roman"/>
          <w:i w:val="0"/>
          <w:sz w:val="32"/>
          <w:szCs w:val="32"/>
          <w:lang w:val="en-US" w:eastAsia="zh-CN"/>
        </w:rPr>
      </w:pPr>
      <w:r>
        <w:rPr>
          <w:rFonts w:ascii="Times New Roman" w:hAnsi="Times New Roman" w:cs="Times New Roman"/>
          <w:i w:val="0"/>
          <w:sz w:val="32"/>
          <w:szCs w:val="32"/>
        </w:rPr>
        <w:t xml:space="preserve">Online supplement </w:t>
      </w:r>
      <w:r>
        <w:rPr>
          <w:rFonts w:hint="eastAsia" w:ascii="Times New Roman" w:hAnsi="Times New Roman" w:cs="Times New Roman"/>
          <w:i w:val="0"/>
          <w:sz w:val="32"/>
          <w:szCs w:val="32"/>
          <w:lang w:val="en-US" w:eastAsia="zh-CN"/>
        </w:rPr>
        <w:t>1 Dataset details</w:t>
      </w:r>
    </w:p>
    <w:p>
      <w:pPr>
        <w:spacing w:line="360" w:lineRule="auto"/>
        <w:ind w:firstLine="420"/>
        <w:jc w:val="left"/>
        <w:rPr>
          <w:rFonts w:ascii="Times New Roman" w:hAnsi="Times New Roman" w:eastAsia="等线" w:cs="Times New Roman"/>
          <w:sz w:val="24"/>
        </w:rPr>
      </w:pPr>
      <w:r>
        <w:rPr>
          <w:rFonts w:ascii="Times New Roman" w:hAnsi="Times New Roman" w:eastAsia="等线" w:cs="Times New Roman"/>
          <w:sz w:val="24"/>
        </w:rPr>
        <w:t>The ABIDE dataset is a large-scale open-access neuroimaging dataset for ASD, which currently includes resting-state fMRI data from 1495 individuals collected at 17 data acquisition centers. It contains a wealth of demographic, behavioral, and imaging data from ASD patients, providing valuable resources for the study of this highly heterogeneous disorder</w:t>
      </w:r>
      <w:r>
        <w:rPr>
          <w:rFonts w:hint="eastAsia" w:ascii="Times New Roman" w:hAnsi="Times New Roman" w:eastAsia="等线" w:cs="Times New Roman"/>
          <w:sz w:val="24"/>
        </w:rPr>
        <w:t>, and is being widely used in ASD-related studies</w:t>
      </w:r>
      <w:r>
        <w:rPr>
          <w:rFonts w:ascii="Times New Roman" w:hAnsi="Times New Roman" w:eastAsia="等线" w:cs="Times New Roman"/>
          <w:sz w:val="24"/>
        </w:rPr>
        <w:t xml:space="preserve">. All the data analyzed in this study were sourced from the ABIDE dataset. We aimed to identify subtle changes in brain FC in ASD populations using a large dataset to achieve greater statistical power. The dataset includes 659 datasets from patients with ASD and 836 datasets from TD individuals. Each dataset includes one or more resting-state fMRI scan of the individual, a volumetric MPRAGE image, and multiple autism-related behavioral questionnaire scores (such as those on the Social Responsiveness Scale developed by </w:t>
      </w:r>
      <w:r>
        <w:rPr>
          <w:rFonts w:ascii="Times New Roman" w:hAnsi="Times New Roman" w:eastAsia="等线" w:cs="Times New Roman"/>
          <w:color w:val="4874CB" w:themeColor="accent1"/>
          <w:sz w:val="24"/>
          <w14:textFill>
            <w14:solidFill>
              <w14:schemeClr w14:val="accent1"/>
            </w14:solidFill>
          </w14:textFill>
        </w:rPr>
        <w:fldChar w:fldCharType="begin"/>
      </w:r>
      <w:r>
        <w:rPr>
          <w:rFonts w:ascii="Times New Roman" w:hAnsi="Times New Roman" w:eastAsia="等线" w:cs="Times New Roman"/>
          <w:color w:val="4874CB" w:themeColor="accent1"/>
          <w:sz w:val="24"/>
          <w14:textFill>
            <w14:solidFill>
              <w14:schemeClr w14:val="accent1"/>
            </w14:solidFill>
          </w14:textFill>
        </w:rPr>
        <w:instrText xml:space="preserve"> ADDIN ZOTERO_ITEM CSL_CITATION {"citationID":"uqn0ffuu","properties":{"formattedCitation":"(Constantino et al., 2003)","plainCitation":"(Constantino et al., 2003)","noteIndex":0},"citationItems":[{"id":732,"uris":["http://zotero.org/users/10500540/items/7HDP65QM"],"itemData":{"id":732,"type":"article-journal","abstract":"Studies of the broader autism phenotype, and of subtle changes in autism symptoms over time, have been compromised by a lack of established quantitative assessment tools. The Social Responsiveness Scale (SRS—formerly known as the Social Reciprocity Scale) is a new instrument that can be completed by parents and/or teachers in 15–20 minutes. We compared the SRS with the Autism Diagnostic Interview-Revised (ADI-R) in 61 child psychiatric patients. Correlations between SRS scores and ADI-R algorithm scores for DSM-IV criterion sets were on the order of 0.7. SRS scores were unrelated to I.Q. and exhibited inter-rater reliability on the order of 0.8. The SRS is a valid quantitative measure of autistic traits, feasible for use in clinical settings and for large-scale research studies of autism spectrum conditions.","container-title":"Journal of Autism and Developmental Disorders","DOI":"10.1023/A:1025014929212","ISSN":"1573-3432","issue":"4","journalAbbreviation":"J Autism Dev Disord","language":"en","page":"427-433","source":"Springer Link","title":"Validation of a Brief Quantitative Measure of Autistic Traits: Comparison of the Social Responsiveness Scale with the Autism Diagnostic Interview-Revised","title-short":"Validation of a Brief Quantitative Measure of Autistic Traits","volume":"33","author":[{"family":"Constantino","given":"John N."},{"family":"Davis","given":"Sandra A."},{"family":"Todd","given":"Richard D."},{"family":"Schindler","given":"Matthew K."},{"family":"Gross","given":"Maggie M."},{"family":"Brophy","given":"Susan L."},{"family":"Metzger","given":"Lisa M."},{"family":"Shoushtari","given":"Christiana S."},{"family":"Splinter","given":"Reagan"},{"family":"Reich","given":"Wendy"}],"issued":{"date-parts":[["2003",8,1]]}}}],"schema":"https://github.com/citation-style-language/schema/raw/master/csl-citation.json"} </w:instrText>
      </w:r>
      <w:r>
        <w:rPr>
          <w:rFonts w:ascii="Times New Roman" w:hAnsi="Times New Roman" w:eastAsia="等线" w:cs="Times New Roman"/>
          <w:color w:val="4874CB" w:themeColor="accent1"/>
          <w:sz w:val="24"/>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(Constantino et al., 2003)</w:t>
      </w:r>
      <w:r>
        <w:rPr>
          <w:rFonts w:ascii="Times New Roman" w:hAnsi="Times New Roman" w:eastAsia="等线" w:cs="Times New Roman"/>
          <w:color w:val="4874CB" w:themeColor="accent1"/>
          <w:sz w:val="24"/>
          <w14:textFill>
            <w14:solidFill>
              <w14:schemeClr w14:val="accent1"/>
            </w14:solidFill>
          </w14:textFill>
        </w:rPr>
        <w:fldChar w:fldCharType="end"/>
      </w:r>
      <w:r>
        <w:rPr>
          <w:rFonts w:ascii="Times New Roman" w:hAnsi="Times New Roman" w:eastAsia="等线" w:cs="Times New Roman"/>
          <w:sz w:val="24"/>
        </w:rPr>
        <w:t>, which measures social function, and the Vineland Adaptive Behavior Scales developed by</w:t>
      </w:r>
      <w:r>
        <w:rPr>
          <w:rFonts w:ascii="Times New Roman" w:hAnsi="Times New Roman" w:eastAsia="等线" w:cs="Times New Roman"/>
          <w:color w:val="4874CB" w:themeColor="accent1"/>
          <w:sz w:val="24"/>
          <w14:textFill>
            <w14:solidFill>
              <w14:schemeClr w14:val="accent1"/>
            </w14:solidFill>
          </w14:textFill>
        </w:rPr>
        <w:t xml:space="preserve"> </w:t>
      </w:r>
      <w:r>
        <w:rPr>
          <w:rFonts w:ascii="Times New Roman" w:hAnsi="Times New Roman" w:eastAsia="等线" w:cs="Times New Roman"/>
          <w:color w:val="4874CB" w:themeColor="accent1"/>
          <w:sz w:val="24"/>
          <w14:textFill>
            <w14:solidFill>
              <w14:schemeClr w14:val="accent1"/>
            </w14:solidFill>
          </w14:textFill>
        </w:rPr>
        <w:fldChar w:fldCharType="begin"/>
      </w:r>
      <w:r>
        <w:rPr>
          <w:rFonts w:ascii="Times New Roman" w:hAnsi="Times New Roman" w:eastAsia="等线" w:cs="Times New Roman"/>
          <w:color w:val="4874CB" w:themeColor="accent1"/>
          <w:sz w:val="24"/>
          <w14:textFill>
            <w14:solidFill>
              <w14:schemeClr w14:val="accent1"/>
            </w14:solidFill>
          </w14:textFill>
        </w:rPr>
        <w:instrText xml:space="preserve"> ADDIN ZOTERO_ITEM CSL_CITATION {"citationID":"J2niTFyl","properties":{"formattedCitation":"(Sparrow &amp; Cicchetti, 1989)","plainCitation":"(Sparrow &amp; Cicchetti, 1989)","noteIndex":0},"citationItems":[{"id":733,"uris":["http://zotero.org/users/10500540/items/PF6MSPGM"],"itemData":{"id":733,"type":"chapter","abstract":"Vineland Adaptive Behavior Scales represent a revision of the Vineland Social Maturity Scale, which, over the last sixty years, has made major contributions to our knowledge of adaptive behavior assessment and our understanding of mental retardation  characteristics of adaptive behavior / construction of the Vineland Adaptive Behavior Scales / validity assessments of the Vineland Adaptive Behavior Scales / administration / scoring / interpretation / case examples / uses of the Vineland Adaptive Behavior Scales (PsycINFO Database Record (c) 2016 APA, all rights reserved)","container-title":"Major psychological assessment instruments, Vol. 2.","event-place":"Needham Heights, MA, US","ISBN":"978-0-205-08457-9","page":"199-231","publisher":"Allyn &amp; Bacon","publisher-place":"Needham Heights, MA, US","source":"APA PsycNet","title":"The Vineland Adaptive Behavior Scales","author":[{"family":"Sparrow","given":"Sara S."},{"family":"Cicchetti","given":"Domenic V."}],"issued":{"date-parts":[["1989"]]}}}],"schema":"https://github.com/citation-style-language/schema/raw/master/csl-citation.json"} </w:instrText>
      </w:r>
      <w:r>
        <w:rPr>
          <w:rFonts w:ascii="Times New Roman" w:hAnsi="Times New Roman" w:eastAsia="等线" w:cs="Times New Roman"/>
          <w:color w:val="4874CB" w:themeColor="accent1"/>
          <w:sz w:val="24"/>
          <w14:textFill>
            <w14:solidFill>
              <w14:schemeClr w14:val="accent1"/>
            </w14:solidFill>
          </w14:textFill>
        </w:rPr>
        <w:fldChar w:fldCharType="separate"/>
      </w:r>
      <w:r>
        <w:rPr>
          <w:rFonts w:ascii="Times New Roman" w:hAnsi="Times New Roman" w:cs="Times New Roman"/>
          <w:color w:val="4874CB" w:themeColor="accent1"/>
          <w:sz w:val="24"/>
          <w14:textFill>
            <w14:solidFill>
              <w14:schemeClr w14:val="accent1"/>
            </w14:solidFill>
          </w14:textFill>
        </w:rPr>
        <w:t>(Sparrow &amp; Cicchetti, 1989)</w:t>
      </w:r>
      <w:r>
        <w:rPr>
          <w:rFonts w:ascii="Times New Roman" w:hAnsi="Times New Roman" w:eastAsia="等线" w:cs="Times New Roman"/>
          <w:color w:val="4874CB" w:themeColor="accent1"/>
          <w:sz w:val="24"/>
          <w14:textFill>
            <w14:solidFill>
              <w14:schemeClr w14:val="accent1"/>
            </w14:solidFill>
          </w14:textFill>
        </w:rPr>
        <w:fldChar w:fldCharType="end"/>
      </w:r>
      <w:r>
        <w:rPr>
          <w:rFonts w:ascii="Times New Roman" w:hAnsi="Times New Roman" w:eastAsia="等线" w:cs="Times New Roman"/>
          <w:sz w:val="24"/>
        </w:rPr>
        <w:t>, which measures daily function). More information about the specific behavioral measures used can be found on the ABIDE website</w:t>
      </w:r>
      <w:r>
        <w:rPr>
          <w:rFonts w:hint="eastAsia" w:ascii="Times New Roman" w:hAnsi="Times New Roman" w:eastAsia="等线" w:cs="Times New Roman"/>
          <w:sz w:val="24"/>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 HYPERLINK "https://fcon_1000.projects.nitrc.org/indi/abide/" </w:instrText>
      </w:r>
      <w:r>
        <w:rPr>
          <w:rFonts w:ascii="宋体" w:hAnsi="宋体" w:eastAsia="宋体" w:cs="宋体"/>
          <w:sz w:val="24"/>
          <w:szCs w:val="24"/>
        </w:rPr>
        <w:fldChar w:fldCharType="separate"/>
      </w:r>
      <w:r>
        <w:rPr>
          <w:rStyle w:val="5"/>
          <w:rFonts w:ascii="宋体" w:hAnsi="宋体" w:eastAsia="宋体" w:cs="宋体"/>
          <w:sz w:val="24"/>
          <w:szCs w:val="24"/>
        </w:rPr>
        <w:t>ABIDE (nitrc.org)</w:t>
      </w:r>
      <w:r>
        <w:rPr>
          <w:rFonts w:ascii="宋体" w:hAnsi="宋体" w:eastAsia="宋体" w:cs="宋体"/>
          <w:sz w:val="24"/>
          <w:szCs w:val="24"/>
        </w:rPr>
        <w:fldChar w:fldCharType="end"/>
      </w:r>
      <w:r>
        <w:rPr>
          <w:rFonts w:hint="eastAsia" w:ascii="Times New Roman" w:hAnsi="Times New Roman" w:eastAsia="等线" w:cs="Times New Roman"/>
          <w:sz w:val="24"/>
          <w:lang w:val="en-US" w:eastAsia="zh-CN"/>
        </w:rPr>
        <w:t>)</w:t>
      </w:r>
      <w:r>
        <w:rPr>
          <w:rFonts w:ascii="Times New Roman" w:hAnsi="Times New Roman" w:eastAsia="等线" w:cs="Times New Roman"/>
          <w:sz w:val="24"/>
        </w:rPr>
        <w:t>. All data were completely anonymous and analyzed according to procedures approved by the Institutional Review Board at the University of Utah. All images were obtained with informed consent according to procedures established by the human subjects research committees at each participating institution. MPRAGE image data were not used in this study. To eliminate confounding effects of irrelevant variables and to address the consistent asymmetry due to handedness and lack of available data to estimate normative data in ASD, we excluded left-handed participants and those with poor scan quality. After exclusion, the sample size was 642 for the TD group and 576 for the ASD group.</w:t>
      </w:r>
    </w:p>
    <w:p>
      <w:pPr>
        <w:spacing w:line="360" w:lineRule="auto"/>
        <w:ind w:firstLine="420"/>
        <w:jc w:val="left"/>
        <w:rPr>
          <w:rFonts w:ascii="Times New Roman" w:hAnsi="Times New Roman" w:eastAsia="等线" w:cs="Times New Roman"/>
          <w:sz w:val="24"/>
        </w:rPr>
      </w:pPr>
      <w:r>
        <w:rPr>
          <w:rFonts w:ascii="Times New Roman" w:hAnsi="Times New Roman" w:eastAsia="等线" w:cs="Times New Roman"/>
          <w:sz w:val="24"/>
        </w:rPr>
        <w:t xml:space="preserve">Data points from age groups with fewer than five TD group participants were excluded from further analysis, as the standard deviation in these age groups was essentially zero (and therefore, </w:t>
      </w:r>
      <w:r>
        <w:rPr>
          <w:rFonts w:hint="eastAsia" w:ascii="Times New Roman" w:hAnsi="Times New Roman" w:eastAsia="等线" w:cs="Times New Roman"/>
          <w:sz w:val="24"/>
        </w:rPr>
        <w:t>W-scores</w:t>
      </w:r>
      <w:r>
        <w:rPr>
          <w:rFonts w:ascii="Times New Roman" w:hAnsi="Times New Roman" w:eastAsia="等线" w:cs="Times New Roman"/>
          <w:sz w:val="24"/>
        </w:rPr>
        <w:t xml:space="preserve"> could not be calculated</w:t>
      </w:r>
      <w:r>
        <w:rPr>
          <w:rFonts w:hint="eastAsia" w:ascii="Times New Roman" w:hAnsi="Times New Roman" w:eastAsia="等线" w:cs="Times New Roman"/>
          <w:sz w:val="24"/>
        </w:rPr>
        <w:t>. W-scores</w:t>
      </w:r>
      <w:r>
        <w:rPr>
          <w:rFonts w:ascii="Times New Roman" w:hAnsi="Times New Roman" w:eastAsia="等线" w:cs="Times New Roman"/>
          <w:sz w:val="24"/>
        </w:rPr>
        <w:t xml:space="preserve"> </w:t>
      </w:r>
      <w:r>
        <w:rPr>
          <w:rFonts w:hint="eastAsia" w:ascii="Times New Roman" w:hAnsi="Times New Roman" w:eastAsia="等线" w:cs="Times New Roman"/>
          <w:sz w:val="24"/>
        </w:rPr>
        <w:t xml:space="preserve">represent the extent to which an individual's FC values of different </w:t>
      </w:r>
      <w:r>
        <w:rPr>
          <w:rFonts w:ascii="Times New Roman" w:hAnsi="Times New Roman" w:eastAsia="等线" w:cs="Times New Roman"/>
          <w:sz w:val="24"/>
        </w:rPr>
        <w:t>brain functional network</w:t>
      </w:r>
      <w:r>
        <w:rPr>
          <w:rFonts w:hint="eastAsia" w:ascii="Times New Roman" w:hAnsi="Times New Roman" w:eastAsia="等线" w:cs="Times New Roman"/>
          <w:sz w:val="24"/>
        </w:rPr>
        <w:t>s deviate from normative values. And it will be further introduced</w:t>
      </w:r>
      <w:r>
        <w:rPr>
          <w:rFonts w:ascii="Times New Roman" w:hAnsi="Times New Roman" w:eastAsia="等线" w:cs="Times New Roman"/>
          <w:sz w:val="24"/>
        </w:rPr>
        <w:t xml:space="preserve"> in the following text</w:t>
      </w:r>
      <w:r>
        <w:rPr>
          <w:rFonts w:hint="eastAsia" w:ascii="Times New Roman" w:hAnsi="Times New Roman" w:eastAsia="等线" w:cs="Times New Roman"/>
          <w:sz w:val="24"/>
        </w:rPr>
        <w:t>.</w:t>
      </w:r>
      <w:r>
        <w:rPr>
          <w:rFonts w:ascii="Times New Roman" w:hAnsi="Times New Roman" w:eastAsia="等线" w:cs="Times New Roman"/>
          <w:sz w:val="24"/>
        </w:rPr>
        <w:t xml:space="preserve">). Hence, we excluded individuals without resting-state fMRI data and those over 40 years of age and under 5 years of age when calculating the </w:t>
      </w:r>
      <w:r>
        <w:rPr>
          <w:rFonts w:hint="eastAsia" w:ascii="Times New Roman" w:hAnsi="Times New Roman" w:eastAsia="等线" w:cs="Times New Roman"/>
          <w:sz w:val="24"/>
        </w:rPr>
        <w:t>W-scores</w:t>
      </w:r>
      <w:r>
        <w:rPr>
          <w:rFonts w:ascii="Times New Roman" w:hAnsi="Times New Roman" w:eastAsia="等线" w:cs="Times New Roman"/>
          <w:sz w:val="24"/>
        </w:rPr>
        <w:t>. Moreover, we further eliminated participants aged between 30 and 40 years in the subsequent age-group classification when observing the outlier rate and correlation.</w:t>
      </w:r>
    </w:p>
    <w:p>
      <w:pPr>
        <w:spacing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jk3Mjc0ODkzYzUwZTA2ODA4MDk2YWQ3MGRlMjkifQ=="/>
  </w:docVars>
  <w:rsids>
    <w:rsidRoot w:val="1A997DD4"/>
    <w:rsid w:val="1A997DD4"/>
    <w:rsid w:val="48D04F3E"/>
    <w:rsid w:val="4D931689"/>
    <w:rsid w:val="536C1D08"/>
    <w:rsid w:val="5DB0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2024-01-06T05:23:00Z</dcterms:created>
  <dc:creator>生生</dc:creator>
  <cp:lastModifiedBy>生生</cp:lastModifiedBy>
  <dcterms:modified xsi:type="dcterms:W3CDTF">2024-01-06T06:57:27Z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F4FF717F378A48C4BCD65E18BBC16099_11</vt:lpwstr>
  </property>
</Properties>
</file>