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ascii="Times New Roman" w:hAnsi="Times New Roman" w:cs="Times New Roman"/>
          <w:i w:val="0"/>
          <w:sz w:val="32"/>
          <w:szCs w:val="32"/>
        </w:rPr>
      </w:pPr>
      <w:r>
        <w:rPr>
          <w:rFonts w:ascii="Times New Roman" w:hAnsi="Times New Roman" w:cs="Times New Roman"/>
          <w:i w:val="0"/>
          <w:sz w:val="32"/>
          <w:szCs w:val="32"/>
        </w:rPr>
        <w:t xml:space="preserve">Online supplement </w:t>
      </w:r>
      <w:r>
        <w:rPr>
          <w:rFonts w:hint="eastAsia" w:ascii="Times New Roman" w:hAnsi="Times New Roman" w:cs="Times New Roman"/>
          <w:i w:val="0"/>
          <w:sz w:val="32"/>
          <w:szCs w:val="32"/>
          <w:lang w:val="en-US" w:eastAsia="zh-CN"/>
        </w:rPr>
        <w:t>2 Preprocessing</w:t>
      </w:r>
      <w:r>
        <w:rPr>
          <w:rFonts w:ascii="Times New Roman" w:hAnsi="Times New Roman" w:cs="Times New Roman"/>
          <w:i w:val="0"/>
          <w:sz w:val="32"/>
          <w:szCs w:val="32"/>
        </w:rPr>
        <w:t xml:space="preserve"> </w:t>
      </w:r>
    </w:p>
    <w:p>
      <w:pPr>
        <w:widowControl/>
        <w:spacing w:line="480" w:lineRule="auto"/>
        <w:jc w:val="left"/>
        <w:rPr>
          <w:rFonts w:ascii="Times New Roman" w:hAnsi="Times New Roman" w:eastAsia="AdvOTfbba3ace . B" w:cs="Times New Roman"/>
          <w:b/>
          <w:bCs/>
          <w:kern w:val="0"/>
          <w:sz w:val="24"/>
          <w:lang w:bidi="ar"/>
        </w:rPr>
      </w:pPr>
    </w:p>
    <w:p>
      <w:pPr>
        <w:widowControl/>
        <w:spacing w:line="360" w:lineRule="auto"/>
        <w:jc w:val="left"/>
        <w:rPr>
          <w:rFonts w:ascii="Times New Roman" w:hAnsi="Times New Roman" w:eastAsia="AdvOTfbba3ace . B" w:cs="Times New Roman"/>
          <w:b/>
          <w:bCs/>
          <w:kern w:val="0"/>
          <w:sz w:val="24"/>
          <w:lang w:bidi="ar"/>
        </w:rPr>
      </w:pPr>
      <w:bookmarkStart w:id="3" w:name="_GoBack"/>
      <w:r>
        <w:rPr>
          <w:rFonts w:ascii="Times New Roman" w:hAnsi="Times New Roman" w:eastAsia="AdvOTfbba3ace . B" w:cs="Times New Roman"/>
          <w:b/>
          <w:bCs/>
          <w:kern w:val="0"/>
          <w:sz w:val="24"/>
          <w:lang w:bidi="ar"/>
        </w:rPr>
        <w:t>Preprocessing of functional MRI data</w:t>
      </w:r>
    </w:p>
    <w:p>
      <w:pPr>
        <w:spacing w:line="360" w:lineRule="auto"/>
        <w:ind w:firstLine="420"/>
        <w:jc w:val="left"/>
        <w:rPr>
          <w:rFonts w:ascii="Times New Roman" w:hAnsi="Times New Roman" w:eastAsia="等线" w:cs="Times New Roman"/>
          <w:sz w:val="24"/>
        </w:rPr>
      </w:pPr>
      <w:r>
        <w:rPr>
          <w:rFonts w:ascii="Times New Roman" w:hAnsi="Times New Roman" w:eastAsia="等线" w:cs="Times New Roman"/>
          <w:sz w:val="24"/>
        </w:rPr>
        <w:t>Data preprocessing was performed using DPABI V5.1 (</w:t>
      </w:r>
      <w:r>
        <w:rPr>
          <w:rFonts w:ascii="Times New Roman" w:hAnsi="Times New Roman" w:eastAsia="等线" w:cs="Times New Roman"/>
          <w:sz w:val="24"/>
        </w:rPr>
        <w:fldChar w:fldCharType="begin"/>
      </w:r>
      <w:r>
        <w:rPr>
          <w:rFonts w:ascii="Times New Roman" w:hAnsi="Times New Roman" w:eastAsia="等线" w:cs="Times New Roman"/>
          <w:sz w:val="24"/>
        </w:rPr>
        <w:instrText xml:space="preserve"> HYPERLINK "http://rfmri.org/dpabi" </w:instrText>
      </w:r>
      <w:r>
        <w:rPr>
          <w:rFonts w:ascii="Times New Roman" w:hAnsi="Times New Roman" w:eastAsia="等线" w:cs="Times New Roman"/>
          <w:sz w:val="24"/>
        </w:rPr>
        <w:fldChar w:fldCharType="separate"/>
      </w:r>
      <w:r>
        <w:rPr>
          <w:rStyle w:val="5"/>
          <w:rFonts w:ascii="Times New Roman" w:hAnsi="Times New Roman" w:eastAsia="等线" w:cs="Times New Roman"/>
          <w:sz w:val="24"/>
        </w:rPr>
        <w:t>Dpabi.org</w:t>
      </w:r>
      <w:r>
        <w:rPr>
          <w:rFonts w:ascii="Times New Roman" w:hAnsi="Times New Roman" w:eastAsia="等线" w:cs="Times New Roman"/>
          <w:sz w:val="24"/>
        </w:rPr>
        <w:fldChar w:fldCharType="end"/>
      </w:r>
      <w:r>
        <w:rPr>
          <w:rFonts w:ascii="Times New Roman" w:hAnsi="Times New Roman" w:eastAsia="等线" w:cs="Times New Roman"/>
          <w:sz w:val="24"/>
        </w:rPr>
        <w:t>) and SPM12 (</w:t>
      </w:r>
      <w:r>
        <w:rPr>
          <w:rFonts w:ascii="Times New Roman" w:hAnsi="Times New Roman" w:eastAsia="等线" w:cs="Times New Roman"/>
          <w:sz w:val="24"/>
        </w:rPr>
        <w:fldChar w:fldCharType="begin"/>
      </w:r>
      <w:r>
        <w:rPr>
          <w:rFonts w:ascii="Times New Roman" w:hAnsi="Times New Roman" w:eastAsia="等线" w:cs="Times New Roman"/>
          <w:sz w:val="24"/>
        </w:rPr>
        <w:instrText xml:space="preserve"> HYPERLINK "http://www.fil.ion.ucl.ac.uk/spm/software/spm12/" </w:instrText>
      </w:r>
      <w:r>
        <w:rPr>
          <w:rFonts w:ascii="Times New Roman" w:hAnsi="Times New Roman" w:eastAsia="等线" w:cs="Times New Roman"/>
          <w:sz w:val="24"/>
        </w:rPr>
        <w:fldChar w:fldCharType="separate"/>
      </w:r>
      <w:r>
        <w:rPr>
          <w:rStyle w:val="5"/>
          <w:rFonts w:ascii="Times New Roman" w:hAnsi="Times New Roman" w:eastAsia="等线" w:cs="Times New Roman"/>
          <w:sz w:val="24"/>
        </w:rPr>
        <w:t>SPM12.ucl</w:t>
      </w:r>
      <w:r>
        <w:rPr>
          <w:rFonts w:ascii="Times New Roman" w:hAnsi="Times New Roman" w:eastAsia="等线" w:cs="Times New Roman"/>
          <w:sz w:val="24"/>
        </w:rPr>
        <w:fldChar w:fldCharType="end"/>
      </w:r>
      <w:r>
        <w:rPr>
          <w:rFonts w:ascii="Times New Roman" w:hAnsi="Times New Roman" w:eastAsia="等线" w:cs="Times New Roman"/>
          <w:sz w:val="24"/>
        </w:rPr>
        <w:t>). The preprocessing steps included 1) discarding the first 10 time points; 2) slice-timing correction; 3) head-motion correction; 4) spatial normalization to the unified segmented anatomical image using forward deformation fields and resampling to 3×3×3 mm</w:t>
      </w:r>
      <w:r>
        <w:rPr>
          <w:rFonts w:ascii="Times New Roman" w:hAnsi="Times New Roman" w:eastAsia="等线" w:cs="Times New Roman"/>
          <w:sz w:val="24"/>
          <w:vertAlign w:val="superscript"/>
        </w:rPr>
        <w:t>3</w:t>
      </w:r>
      <w:r>
        <w:rPr>
          <w:rFonts w:ascii="Times New Roman" w:hAnsi="Times New Roman" w:eastAsia="等线" w:cs="Times New Roman"/>
          <w:sz w:val="24"/>
        </w:rPr>
        <w:t>; 5) spatial smoothing with a 3D isotropic Gaussian kernel with a full width at half maximum of 6 mm; 6) linear trend removal; 7) nuisance covariate regression, including head-motion covariates using the Friston 24-parameter model as well as signals from white matter and cerebrospinal fluid; and 8) bandpass filtering of the data with a frequency range of 0.01-0.08 Hz.</w:t>
      </w:r>
    </w:p>
    <w:p>
      <w:pPr>
        <w:spacing w:line="360" w:lineRule="auto"/>
        <w:ind w:firstLine="420"/>
        <w:jc w:val="left"/>
        <w:rPr>
          <w:rFonts w:ascii="Times New Roman" w:hAnsi="Times New Roman" w:eastAsia="等线" w:cs="Times New Roman"/>
          <w:sz w:val="24"/>
        </w:rPr>
      </w:pPr>
    </w:p>
    <w:p>
      <w:pPr>
        <w:widowControl/>
        <w:spacing w:line="360" w:lineRule="auto"/>
        <w:jc w:val="left"/>
        <w:rPr>
          <w:rFonts w:ascii="Times New Roman" w:hAnsi="Times New Roman" w:eastAsia="AdvOTfbba3ace . B" w:cs="Times New Roman"/>
          <w:b/>
          <w:bCs/>
          <w:kern w:val="0"/>
          <w:sz w:val="24"/>
          <w:lang w:bidi="ar"/>
        </w:rPr>
      </w:pPr>
      <w:r>
        <w:rPr>
          <w:rFonts w:ascii="Times New Roman" w:hAnsi="Times New Roman" w:eastAsia="AdvOTfbba3ace . B" w:cs="Times New Roman"/>
          <w:b/>
          <w:bCs/>
          <w:kern w:val="0"/>
          <w:sz w:val="24"/>
          <w:lang w:bidi="ar"/>
        </w:rPr>
        <w:t xml:space="preserve">Constructing </w:t>
      </w:r>
      <w:r>
        <w:rPr>
          <w:rFonts w:ascii="Times New Roman" w:hAnsi="Times New Roman" w:eastAsia="宋体" w:cs="Times New Roman"/>
          <w:b/>
          <w:bCs/>
          <w:kern w:val="0"/>
          <w:sz w:val="24"/>
          <w:lang w:bidi="ar"/>
        </w:rPr>
        <w:t>FC</w:t>
      </w:r>
      <w:r>
        <w:rPr>
          <w:rFonts w:ascii="Times New Roman" w:hAnsi="Times New Roman" w:eastAsia="AdvOTfbba3ace . B" w:cs="Times New Roman"/>
          <w:b/>
          <w:bCs/>
          <w:kern w:val="0"/>
          <w:sz w:val="24"/>
          <w:lang w:bidi="ar"/>
        </w:rPr>
        <w:t xml:space="preserve"> matrices</w:t>
      </w:r>
    </w:p>
    <w:p>
      <w:pPr>
        <w:spacing w:line="360" w:lineRule="auto"/>
        <w:ind w:firstLine="420"/>
        <w:jc w:val="left"/>
        <w:rPr>
          <w:rFonts w:ascii="Times New Roman" w:hAnsi="Times New Roman" w:eastAsia="等线" w:cs="Times New Roman"/>
          <w:sz w:val="24"/>
        </w:rPr>
      </w:pPr>
      <w:r>
        <w:rPr>
          <w:rFonts w:ascii="Times New Roman" w:hAnsi="Times New Roman" w:eastAsia="等线" w:cs="Times New Roman"/>
          <w:sz w:val="24"/>
        </w:rPr>
        <w:t xml:space="preserve">All FC measurements were calculated using the Gretna toolbox </w:t>
      </w:r>
      <w:r>
        <w:rPr>
          <w:rFonts w:ascii="Times New Roman" w:hAnsi="Times New Roman" w:eastAsia="等线" w:cs="Times New Roman"/>
          <w:color w:val="4874CB" w:themeColor="accent1"/>
          <w:sz w:val="24"/>
          <w14:textFill>
            <w14:solidFill>
              <w14:schemeClr w14:val="accent1"/>
            </w14:solidFill>
          </w14:textFill>
        </w:rPr>
        <w:fldChar w:fldCharType="begin"/>
      </w:r>
      <w:r>
        <w:rPr>
          <w:rFonts w:ascii="Times New Roman" w:hAnsi="Times New Roman" w:eastAsia="等线" w:cs="Times New Roman"/>
          <w:color w:val="4874CB" w:themeColor="accent1"/>
          <w:sz w:val="24"/>
          <w14:textFill>
            <w14:solidFill>
              <w14:schemeClr w14:val="accent1"/>
            </w14:solidFill>
          </w14:textFill>
        </w:rPr>
        <w:instrText xml:space="preserve"> ADDIN ZOTERO_ITEM CSL_CITATION {"citationID":"wMqUSUNu","properties":{"formattedCitation":"(J. Wang et al., 2015)","plainCitation":"(J. Wang et al., 2015)","noteIndex":0},"citationItems":[{"id":491,"uris":["http://zotero.org/users/10500540/items/N2RL8RDJ"],"itemData":{"id":491,"type":"article-journal","abstract":"Recent studies have suggested that the brain’s structural and functional networks (i.e., connectomics) can be constructed by various imaging technologies (e.g., EEG/MEG; structural, diffusion and functional MRI) and further characterized by graph theory. Given the huge complexity of network construction, analysis and statistics, toolboxes incorporating these functions are largely lacking. Here, we developed the GRaph thEoreTical Network Analysis (GRETNA) toolbox for imaging connectomics. The GRETNA contains several key features as follows: (i) an open-source, Matlab-based, cross-platform (Windows and UNIX OS) package with a graphical user interface (GUI); (ii) allowing topological analyses of global and local network properties with parallel computing ability, independent of imaging modality and species; (iii) providing flexible manipulations in several key steps during network construction and analysis, which include network node definition, network connectivity processing, network type selection and choice of thresholding procedure; (iv) allowing statistical comparisons of global, nodal and connectional network metrics and assessments of relationship between these network metrics and clinical or behavioral variables of interest; and (v) including functionality in image preprocessing and network construction based on resting-state functional MRI (R-fMRI) data. After applying the GRETNA to a publicly released R-fMRI dataset of 54 healthy young adults, we demonstrated that human brain functional networks exhibit efficient small-world, assortative, hierarchical and modular organizations and possess highly connected hubs and that these findings are robust against different analytical strategies. With these efforts, we anticipate that GRETNA will accelerate imaging connectomics in an easy, quick and flexible manner. GRETNA is freely available on the NITRC website.1","container-title":"Frontiers in Human Neuroscience","ISSN":"1662-5161","source":"Frontiers","title":"GRETNA: a graph theoretical network analysis toolbox for imaging connectomics","title-short":"GRETNA","URL":"https://www.frontiersin.org/articles/10.3389/fnhum.2015.00386","volume":"9","author":[{"family":"Wang","given":"Jinhui"},{"family":"Wang","given":"Xindi"},{"family":"Xia","given":"Mingrui"},{"family":"Liao","given":"Xuhong"},{"family":"Evans","given":"Alan"},{"family":"He","given":"Yong"}],"accessed":{"date-parts":[["2023",3,11]]},"issued":{"date-parts":[["2015"]]}}}],"schema":"https://github.com/citation-style-language/schema/raw/master/csl-citation.json"} </w:instrText>
      </w:r>
      <w:r>
        <w:rPr>
          <w:rFonts w:ascii="Times New Roman" w:hAnsi="Times New Roman" w:eastAsia="等线" w:cs="Times New Roman"/>
          <w:color w:val="4874CB" w:themeColor="accent1"/>
          <w:sz w:val="24"/>
          <w14:textFill>
            <w14:solidFill>
              <w14:schemeClr w14:val="accent1"/>
            </w14:solidFill>
          </w14:textFill>
        </w:rPr>
        <w:fldChar w:fldCharType="separate"/>
      </w:r>
      <w:r>
        <w:rPr>
          <w:rFonts w:ascii="Times New Roman" w:hAnsi="Times New Roman" w:cs="Times New Roman"/>
          <w:color w:val="4874CB" w:themeColor="accent1"/>
          <w:sz w:val="24"/>
          <w14:textFill>
            <w14:solidFill>
              <w14:schemeClr w14:val="accent1"/>
            </w14:solidFill>
          </w14:textFill>
        </w:rPr>
        <w:t>(J. Wang et al., 2015)</w:t>
      </w:r>
      <w:r>
        <w:rPr>
          <w:rFonts w:ascii="Times New Roman" w:hAnsi="Times New Roman" w:eastAsia="等线" w:cs="Times New Roman"/>
          <w:color w:val="4874CB" w:themeColor="accent1"/>
          <w:sz w:val="24"/>
          <w14:textFill>
            <w14:solidFill>
              <w14:schemeClr w14:val="accent1"/>
            </w14:solidFill>
          </w14:textFill>
        </w:rPr>
        <w:fldChar w:fldCharType="end"/>
      </w:r>
      <w:r>
        <w:rPr>
          <w:rFonts w:ascii="Times New Roman" w:hAnsi="Times New Roman" w:eastAsia="等线" w:cs="Times New Roman"/>
          <w:sz w:val="24"/>
        </w:rPr>
        <w:t>.</w:t>
      </w:r>
      <w:r>
        <w:rPr>
          <w:rFonts w:hint="eastAsia" w:ascii="Times New Roman" w:hAnsi="Times New Roman" w:eastAsia="等线" w:cs="Times New Roman"/>
          <w:sz w:val="24"/>
          <w:lang w:val="en-US" w:eastAsia="zh-CN"/>
        </w:rPr>
        <w:t xml:space="preserve"> </w:t>
      </w:r>
      <w:r>
        <w:rPr>
          <w:rFonts w:ascii="Times New Roman" w:hAnsi="Times New Roman" w:eastAsia="等线" w:cs="Times New Roman"/>
          <w:sz w:val="24"/>
        </w:rPr>
        <w:t xml:space="preserve">Based on previous studies on network construction methods </w:t>
      </w:r>
      <w:r>
        <w:rPr>
          <w:rFonts w:ascii="Times New Roman" w:hAnsi="Times New Roman" w:eastAsia="等线" w:cs="Times New Roman"/>
          <w:color w:val="4874CB" w:themeColor="accent1"/>
          <w:sz w:val="24"/>
          <w14:textFill>
            <w14:solidFill>
              <w14:schemeClr w14:val="accent1"/>
            </w14:solidFill>
          </w14:textFill>
        </w:rPr>
        <w:fldChar w:fldCharType="begin"/>
      </w:r>
      <w:r>
        <w:rPr>
          <w:rFonts w:ascii="Times New Roman" w:hAnsi="Times New Roman" w:eastAsia="等线" w:cs="Times New Roman"/>
          <w:color w:val="4874CB" w:themeColor="accent1"/>
          <w:sz w:val="24"/>
          <w14:textFill>
            <w14:solidFill>
              <w14:schemeClr w14:val="accent1"/>
            </w14:solidFill>
          </w14:textFill>
        </w:rPr>
        <w:instrText xml:space="preserve"> ADDIN ZOTERO_ITEM CSL_CITATION {"citationID":"nCjFcnGY","properties":{"formattedCitation":"(J. Zhang et al., 2011; Z. Zhang, Telesford, Giusti, Lim, &amp; Bassett, 2016)","plainCitation":"(J. Zhang et al., 2011; Z. Zhang, Telesford, Giusti, Lim, &amp; Bassett, 2016)","noteIndex":0},"citationItems":[{"id":664,"uris":["http://zotero.org/users/10500540/items/VKD8XCM5"],"itemData":{"id":664,"type":"article-journal","container-title":"Biological Psychiatry","DOI":"10.1016/j.biopsych.2011.05.018","ISSN":"00063223","issue":"4","journalAbbreviation":"Biological Psychiatry","language":"en","page":"334-342","source":"DOI.org (Crossref)","title":"Disrupted Brain Connectivity Networks in Drug-Naive, First-Episode Major Depressive Disorder","volume":"70","author":[{"family":"Zhang","given":"Junran"},{"family":"Wang","given":"Jinhui"},{"family":"Wu","given":"Qizhu"},{"family":"Kuang","given":"Weihong"},{"family":"Huang","given":"Xiaoqi"},{"family":"He","given":"Yong"},{"family":"Gong","given":"Qiyong"}],"issued":{"date-parts":[["2011",8]]}}},{"id":496,"uris":["http://zotero.org/users/10500540/items/UXP849CF"],"itemData":{"id":496,"type":"article-journal","abstract":"Wavelet methods are widely used to decompose fMRI, EEG, or MEG signals into time series representing neurophysiological activity in fixed frequency bands. Using these time series, one can estimate frequency-band specific functional connectivity between sensors or regions of interest, and thereby construct functional brain networks that can be examined from a graph theoretic perspective. Despite their common use, however, practical guidelines for the choice of wavelet method, filter, and length have remained largely undelineated. Here, we explicitly explore the effects of wavelet method (MODWT vs. DWT), wavelet filter (Daubechies Extremal Phase, Daubechies Least Asymmetric, and Coiflet families), and wavelet length (2 to 24)—each essential parameters in wavelet-based methods—on the estimated values of graph metrics and in their sensitivity to alterations in psychiatric disease. We observe that the MODWT method produces less variable estimates than the DWT method. We also observe that the length of the wavelet filter chosen has a greater impact on the estimated values of graph metrics than the type of wavelet chosen. Furthermore, wavelet length impacts the sensitivity of the method to detect differences between health and disease and tunes classification accuracy. Collectively, our results suggest that the choice of wavelet method and length significantly alters the reliability and sensitivity of these methods in estimating values of metrics drawn from graph theory. They furthermore demonstrate the importance of reporting the choices utilized in neuroimaging studies and support the utility of exploring wavelet parameters to maximize classification accuracy in the development of biomarkers of psychiatric disease and neurological disorders.","container-title":"PLOS ONE","DOI":"10.1371/journal.pone.0157243","ISSN":"1932-6203","issue":"6","journalAbbreviation":"PLOS ONE","language":"en","note":"publisher: Public Library of Science","page":"e0157243","source":"PLoS Journals","title":"Choosing Wavelet Methods, Filters, and Lengths for Functional Brain Network Construction","volume":"11","author":[{"family":"Zhang","given":"Zitong"},{"family":"Telesford","given":"Qawi K."},{"family":"Giusti","given":"Chad"},{"family":"Lim","given":"Kelvin O."},{"family":"Bassett","given":"Danielle S."}],"issued":{"date-parts":[["2016",6,29]]}}}],"schema":"https://github.com/citation-style-language/schema/raw/master/csl-citation.json"} </w:instrText>
      </w:r>
      <w:r>
        <w:rPr>
          <w:rFonts w:ascii="Times New Roman" w:hAnsi="Times New Roman" w:eastAsia="等线" w:cs="Times New Roman"/>
          <w:color w:val="4874CB" w:themeColor="accent1"/>
          <w:sz w:val="24"/>
          <w14:textFill>
            <w14:solidFill>
              <w14:schemeClr w14:val="accent1"/>
            </w14:solidFill>
          </w14:textFill>
        </w:rPr>
        <w:fldChar w:fldCharType="separate"/>
      </w:r>
      <w:r>
        <w:rPr>
          <w:rFonts w:ascii="Times New Roman" w:hAnsi="Times New Roman" w:cs="Times New Roman"/>
          <w:color w:val="4874CB" w:themeColor="accent1"/>
          <w:sz w:val="24"/>
          <w14:textFill>
            <w14:solidFill>
              <w14:schemeClr w14:val="accent1"/>
            </w14:solidFill>
          </w14:textFill>
        </w:rPr>
        <w:t>(J. Zhang et al., 2011; Z. Zhang, Telesford, Giusti, Lim, &amp; Bassett, 2016)</w:t>
      </w:r>
      <w:r>
        <w:rPr>
          <w:rFonts w:ascii="Times New Roman" w:hAnsi="Times New Roman" w:eastAsia="等线" w:cs="Times New Roman"/>
          <w:color w:val="4874CB" w:themeColor="accent1"/>
          <w:sz w:val="24"/>
          <w14:textFill>
            <w14:solidFill>
              <w14:schemeClr w14:val="accent1"/>
            </w14:solidFill>
          </w14:textFill>
        </w:rPr>
        <w:fldChar w:fldCharType="end"/>
      </w:r>
      <w:r>
        <w:rPr>
          <w:rFonts w:ascii="Times New Roman" w:hAnsi="Times New Roman" w:eastAsia="等线" w:cs="Times New Roman"/>
          <w:sz w:val="24"/>
        </w:rPr>
        <w:t xml:space="preserve">, we applied a functional template called "Dosenbach160" </w:t>
      </w:r>
      <w:r>
        <w:rPr>
          <w:rFonts w:ascii="Times New Roman" w:hAnsi="Times New Roman" w:eastAsia="等线" w:cs="Times New Roman"/>
          <w:color w:val="4874CB" w:themeColor="accent1"/>
          <w:sz w:val="24"/>
          <w14:textFill>
            <w14:solidFill>
              <w14:schemeClr w14:val="accent1"/>
            </w14:solidFill>
          </w14:textFill>
        </w:rPr>
        <w:fldChar w:fldCharType="begin"/>
      </w:r>
      <w:r>
        <w:rPr>
          <w:rFonts w:ascii="Times New Roman" w:hAnsi="Times New Roman" w:eastAsia="等线" w:cs="Times New Roman"/>
          <w:color w:val="4874CB" w:themeColor="accent1"/>
          <w:sz w:val="24"/>
          <w14:textFill>
            <w14:solidFill>
              <w14:schemeClr w14:val="accent1"/>
            </w14:solidFill>
          </w14:textFill>
        </w:rPr>
        <w:instrText xml:space="preserve"> ADDIN ZOTERO_ITEM CSL_CITATION {"citationID":"zIMFyxdk","properties":{"formattedCitation":"(Dosenbach et al., 2010)","plainCitation":"(Dosenbach et al., 2010)","noteIndex":0},"citationItems":[{"id":487,"uris":["http://zotero.org/users/10500540/items/EVYJ69J3"],"itemData":{"id":487,"type":"article-journal","abstract":"Group functional connectivity magnetic resonance imaging (fcMRI) studies have documented reliable changes in human functional brain maturity over development. Here we show that support vector machine-based multivariate pattern analysis extracts sufficient information from fcMRI data to make accurate predictions about individuals’ brain maturity across development. The use of only 5 minutes of resting-state fcMRI data from 238 scans of typically developing volunteers (ages 7 to 30 years) allowed prediction of individual brain maturity as a functional connectivity maturation index. The resultant functional maturation curve accounted for 55% of the sample variance and followed a nonlinear asymptotic growth curve shape. The greatest relative contribution to predicting individual brain maturity was made by the weakening of short-range functional connections between the adult brain’s major functional networks.","container-title":"Science","DOI":"10.1126/science.1194144","issue":"5997","note":"publisher: American Association for the Advancement of Science","page":"1358-1361","source":"science.org (Atypon)","title":"Prediction of Individual Brain Maturity Using fMRI","volume":"329","author":[{"family":"Dosenbach","given":"Nico U. F."},{"family":"Nardos","given":"Binyam"},{"family":"Cohen","given":"Alexander L."},{"family":"Fair","given":"Damien A."},{"family":"Power","given":"Jonathan D."},{"family":"Church","given":"Jessica A."},{"family":"Nelson","given":"Steven M."},{"family":"Wig","given":"Gagan S."},{"family":"Vogel","given":"Alecia C."},{"family":"Lessov-Schlaggar","given":"Christina N."},{"family":"Barnes","given":"Kelly Anne"},{"family":"Dubis","given":"Joseph W."},{"family":"Feczko","given":"Eric"},{"family":"Coalson","given":"Rebecca S."},{"family":"Pruett","given":"John R."},{"family":"Barch","given":"Deanna M."},{"family":"Petersen","given":"Steven E."},{"family":"Schlaggar","given":"Bradley L."}],"issued":{"date-parts":[["2010",9,10]]}}}],"schema":"https://github.com/citation-style-language/schema/raw/master/csl-citation.json"} </w:instrText>
      </w:r>
      <w:r>
        <w:rPr>
          <w:rFonts w:ascii="Times New Roman" w:hAnsi="Times New Roman" w:eastAsia="等线" w:cs="Times New Roman"/>
          <w:color w:val="4874CB" w:themeColor="accent1"/>
          <w:sz w:val="24"/>
          <w14:textFill>
            <w14:solidFill>
              <w14:schemeClr w14:val="accent1"/>
            </w14:solidFill>
          </w14:textFill>
        </w:rPr>
        <w:fldChar w:fldCharType="separate"/>
      </w:r>
      <w:r>
        <w:rPr>
          <w:rFonts w:ascii="Times New Roman" w:hAnsi="Times New Roman" w:cs="Times New Roman"/>
          <w:color w:val="4874CB" w:themeColor="accent1"/>
          <w:sz w:val="24"/>
          <w14:textFill>
            <w14:solidFill>
              <w14:schemeClr w14:val="accent1"/>
            </w14:solidFill>
          </w14:textFill>
        </w:rPr>
        <w:t>(Dosenbach et al., 2010)</w:t>
      </w:r>
      <w:r>
        <w:rPr>
          <w:rFonts w:ascii="Times New Roman" w:hAnsi="Times New Roman" w:eastAsia="等线" w:cs="Times New Roman"/>
          <w:color w:val="4874CB" w:themeColor="accent1"/>
          <w:sz w:val="24"/>
          <w14:textFill>
            <w14:solidFill>
              <w14:schemeClr w14:val="accent1"/>
            </w14:solidFill>
          </w14:textFill>
        </w:rPr>
        <w:fldChar w:fldCharType="end"/>
      </w:r>
      <w:r>
        <w:rPr>
          <w:rFonts w:ascii="Times New Roman" w:hAnsi="Times New Roman" w:eastAsia="等线" w:cs="Times New Roman"/>
          <w:sz w:val="24"/>
        </w:rPr>
        <w:t>, which provides 160 functionally isolated regions of interest (ROIs) covering most of the cortical and cerebellar regions of the brain. We used the CONN toolbox (</w:t>
      </w:r>
      <w:r>
        <w:rPr>
          <w:rFonts w:ascii="Times New Roman" w:hAnsi="Times New Roman" w:eastAsia="等线" w:cs="Times New Roman"/>
          <w:sz w:val="24"/>
        </w:rPr>
        <w:fldChar w:fldCharType="begin"/>
      </w:r>
      <w:r>
        <w:rPr>
          <w:rFonts w:ascii="Times New Roman" w:hAnsi="Times New Roman" w:eastAsia="等线" w:cs="Times New Roman"/>
          <w:sz w:val="24"/>
        </w:rPr>
        <w:instrText xml:space="preserve"> HYPERLINK "https://www.nitrc.org/projects/conn/" </w:instrText>
      </w:r>
      <w:r>
        <w:rPr>
          <w:rFonts w:ascii="Times New Roman" w:hAnsi="Times New Roman" w:eastAsia="等线" w:cs="Times New Roman"/>
          <w:sz w:val="24"/>
        </w:rPr>
        <w:fldChar w:fldCharType="separate"/>
      </w:r>
      <w:r>
        <w:rPr>
          <w:rStyle w:val="5"/>
          <w:rFonts w:ascii="Times New Roman" w:hAnsi="Times New Roman" w:eastAsia="等线" w:cs="Times New Roman"/>
          <w:sz w:val="24"/>
        </w:rPr>
        <w:t>CONN.org</w:t>
      </w:r>
      <w:r>
        <w:rPr>
          <w:rFonts w:ascii="Times New Roman" w:hAnsi="Times New Roman" w:eastAsia="等线" w:cs="Times New Roman"/>
          <w:sz w:val="24"/>
        </w:rPr>
        <w:fldChar w:fldCharType="end"/>
      </w:r>
      <w:r>
        <w:rPr>
          <w:rFonts w:ascii="Times New Roman" w:hAnsi="Times New Roman" w:eastAsia="等线" w:cs="Times New Roman"/>
          <w:sz w:val="24"/>
        </w:rPr>
        <w:t>) to compute the whole-brain networks for each participant. Specifically, BOLD signals were extracted from each ROI, and pairwise correlations between each pair of ROIs were computed to obtain the 160×160 FC matrix for each participant.</w:t>
      </w:r>
    </w:p>
    <w:p>
      <w:pPr>
        <w:spacing w:line="360" w:lineRule="auto"/>
        <w:ind w:firstLine="420"/>
        <w:jc w:val="left"/>
        <w:rPr>
          <w:rFonts w:ascii="Times New Roman" w:hAnsi="Times New Roman" w:eastAsia="等线" w:cs="Times New Roman"/>
          <w:sz w:val="24"/>
        </w:rPr>
      </w:pPr>
    </w:p>
    <w:p>
      <w:pPr>
        <w:spacing w:line="360" w:lineRule="auto"/>
        <w:rPr>
          <w:rFonts w:ascii="Times New Roman" w:hAnsi="Times New Roman" w:eastAsia="等线" w:cs="Times New Roman"/>
          <w:b/>
          <w:bCs/>
          <w:sz w:val="24"/>
        </w:rPr>
      </w:pPr>
      <w:bookmarkStart w:id="0" w:name="_Hlk147847003"/>
      <w:bookmarkStart w:id="1" w:name="_Hlk147846357"/>
      <w:r>
        <w:rPr>
          <w:rFonts w:ascii="Times New Roman" w:hAnsi="Times New Roman" w:eastAsia="等线" w:cs="Times New Roman"/>
          <w:b/>
          <w:bCs/>
          <w:sz w:val="24"/>
        </w:rPr>
        <w:t>Multisite effect correction</w:t>
      </w:r>
    </w:p>
    <w:bookmarkEnd w:id="0"/>
    <w:p>
      <w:pPr>
        <w:spacing w:line="360" w:lineRule="auto"/>
        <w:ind w:firstLine="420"/>
        <w:jc w:val="left"/>
        <w:rPr>
          <w:rFonts w:ascii="Times New Roman" w:hAnsi="Times New Roman" w:eastAsia="等线" w:cs="Times New Roman"/>
          <w:sz w:val="24"/>
        </w:rPr>
      </w:pPr>
      <w:r>
        <w:rPr>
          <w:rFonts w:ascii="Times New Roman" w:hAnsi="Times New Roman" w:eastAsia="等线" w:cs="Times New Roman"/>
          <w:sz w:val="24"/>
        </w:rPr>
        <w:t>Site effects on the modular coefficient were removed using the ComBat function available in MATLAB (</w:t>
      </w:r>
      <w:r>
        <w:rPr>
          <w:rFonts w:ascii="Times New Roman" w:hAnsi="Times New Roman" w:eastAsia="等线" w:cs="Times New Roman"/>
          <w:sz w:val="24"/>
        </w:rPr>
        <w:fldChar w:fldCharType="begin"/>
      </w:r>
      <w:r>
        <w:rPr>
          <w:rFonts w:ascii="Times New Roman" w:hAnsi="Times New Roman" w:eastAsia="等线" w:cs="Times New Roman"/>
          <w:sz w:val="24"/>
        </w:rPr>
        <w:instrText xml:space="preserve"> HYPERLINK "https://github.com/Jfortin1/ComBatHarmonization" </w:instrText>
      </w:r>
      <w:r>
        <w:rPr>
          <w:rFonts w:ascii="Times New Roman" w:hAnsi="Times New Roman" w:eastAsia="等线" w:cs="Times New Roman"/>
          <w:sz w:val="24"/>
        </w:rPr>
        <w:fldChar w:fldCharType="separate"/>
      </w:r>
      <w:r>
        <w:rPr>
          <w:rStyle w:val="5"/>
          <w:rFonts w:ascii="Times New Roman" w:hAnsi="Times New Roman" w:eastAsia="等线" w:cs="Times New Roman"/>
          <w:sz w:val="24"/>
        </w:rPr>
        <w:t>ComBatHarmonization.com</w:t>
      </w:r>
      <w:r>
        <w:rPr>
          <w:rFonts w:ascii="Times New Roman" w:hAnsi="Times New Roman" w:eastAsia="等线" w:cs="Times New Roman"/>
          <w:sz w:val="24"/>
        </w:rPr>
        <w:fldChar w:fldCharType="end"/>
      </w:r>
      <w:r>
        <w:rPr>
          <w:rFonts w:ascii="Times New Roman" w:hAnsi="Times New Roman" w:eastAsia="等线" w:cs="Times New Roman"/>
          <w:sz w:val="24"/>
        </w:rPr>
        <w:t xml:space="preserve">) to account for site, collection time, and data acquisition parameter variability across each of the data collection sites in the ABIDE data. This approach has been shown to effectively account for scanner-related variance in multisite resting-state fMRI datasets </w:t>
      </w:r>
      <w:r>
        <w:rPr>
          <w:rFonts w:ascii="Times New Roman" w:hAnsi="Times New Roman" w:eastAsia="等线" w:cs="Times New Roman"/>
          <w:color w:val="4874CB" w:themeColor="accent1"/>
          <w:sz w:val="24"/>
          <w:lang w:bidi="ar"/>
          <w14:textFill>
            <w14:solidFill>
              <w14:schemeClr w14:val="accent1"/>
            </w14:solidFill>
          </w14:textFill>
        </w:rPr>
        <w:fldChar w:fldCharType="begin"/>
      </w:r>
      <w:r>
        <w:rPr>
          <w:rFonts w:ascii="Times New Roman" w:hAnsi="Times New Roman" w:eastAsia="等线" w:cs="Times New Roman"/>
          <w:color w:val="4874CB" w:themeColor="accent1"/>
          <w:sz w:val="24"/>
          <w:lang w:bidi="ar"/>
          <w14:textFill>
            <w14:solidFill>
              <w14:schemeClr w14:val="accent1"/>
            </w14:solidFill>
          </w14:textFill>
        </w:rPr>
        <w:instrText xml:space="preserve"> ADDIN ZOTERO_ITEM CSL_CITATION {"citationID":"fkMYl9wn","properties":{"formattedCitation":"(De Rosa et al., 2023; Maltbie, Yousefi, Zhang, Kashyap, &amp; Keilholz, 2022; Yamashita et al., 2019)","plainCitation":"(De Rosa et al., 2023; Maltbie, Yousefi, Zhang, Kashyap, &amp; Keilholz, 2022; Yamashita et al., 2019)","noteIndex":0},"citationItems":[{"id":1055,"uris":["http://zotero.org/users/10500540/items/ZTQ2GGTT"],"itemData":{"id":1055,"type":"article-journal","abstract":"The Italian Neuroimaging Network Initiative (INNI) is an expanding repository of brain MRI data from multiple sclerosis (MS) patients recruited at four Italian MRI research sites. We describe the raw data quality of resting-state functional MRI (RS-fMRI) time-series in INNI and the inter-site variability in functional connectivity (FC) features after unified automated data preprocessing. MRI datasets from 489 MS patients and 246 healthy control (HC) subjects were retrieved from the INNI database. Raw data quality metrics included temporal signal-to-noise ratio (tSNR), spatial smoothness (FWHM), framewise displacement (FD), and differential variation in signals (DVARS). Automated preprocessing integrated white-matter lesion segmentation (SAMSEG) into a standard fMRI pipeline (fMRIPrep). FC features were calculated on pre-processed data and harmonized between sites (Combat) prior to assessing general MS-related alterations. Across centers (both groups), median tSNR and FWHM ranged from 47 to 84 and from 2.0 to 2.5, and median FD and DVARS ranged from 0.08 to 0.24 and from 1.06 to 1.22. After preprocessing, only global FC-related features were significantly correlated with FD or DVARS. Across large-scale networks, age/sex/FD-adjusted and harmonized FC features exhibited both inter-site and site-specific inter-group effects. Significant general reductions were obtained for somatomotor and limbic networks in MS patients (vs. HC). The implemented procedures provide technical information on raw data quality and outcome of fully automated preprocessing that might serve as reference in future RS-fMRI studies within INNI. The unified pipeline introduced little bias across sites and appears suitable for multisite FC analyses on harmonized network estimates.","container-title":"Journal of Neurology","DOI":"10.1007/s00415-022-11479-z","ISSN":"0340-5354, 1432-1459","issue":"2","journalAbbreviation":"J Neurol","language":"en","page":"1047-1066","source":"DOI.org (Crossref)","title":"Resting-state functional MRI in multicenter studies on multiple sclerosis: a report on raw data quality and functional connectivity features from the Italian Neuroimaging Network Initiative","title-short":"Resting-state functional MRI in multicenter studies on multiple sclerosis","volume":"270","author":[{"family":"De Rosa","given":"Alessandro Pasquale"},{"family":"Esposito","given":"Fabrizio"},{"family":"Valsasina","given":"Paola"},{"family":"Ambrosio","given":"Alessandro","non-dropping-particle":"d’"},{"family":"Bisecco","given":"Alvino"},{"family":"Rocca","given":"Maria A."},{"family":"Tommasin","given":"Silvia"},{"family":"Marzi","given":"Chiara"},{"family":"De Stefano","given":"Nicola"},{"family":"Battaglini","given":"Marco"},{"family":"Pantano","given":"Patrizia"},{"family":"Cirillo","given":"Mario"},{"family":"Tedeschi","given":"Gioacchino"},{"family":"Filippi","given":"Massimo"},{"family":"Gallo","given":"Antonio"},{"literal":"the INNI Network"},{"family":"Altieri","given":"Manuela"},{"family":"Borgo","given":"Riccardo"},{"family":"Capuano","given":"Rocco"},{"family":"Storelli","given":"Loredana"},{"family":"Pagani","given":"Elisabetta"},{"family":"Sibilia","given":"Mauro"},{"family":"Piervincenzi","given":"Claudia"},{"family":"Ruggieri","given":"Serena"},{"family":"Petsas","given":"Nikolaos"},{"family":"Cortese","given":"Rosa"},{"family":"Stromillo","given":"Maria Laura"}],"issued":{"date-parts":[["2023",2]]}}},{"id":1057,"uris":["http://zotero.org/users/10500540/items/PY449P5C"],"itemData":{"id":1057,"type":"article-journal","abstract":"Resting-state functional MRI (fMRI) exhibits time-varying patterns of functional connectivity. Several different analysis approaches have been developed for examining these resting-state dynamics including sliding window connectivity (SWC), phase synchrony (PS), co-activation pattern (CAP), and quasi-periodic patterns (QPP). Each of these approaches can be used to generate patterns of activity or inter-areal coordination which vary across time. The individual frames can then be clustered to produce temporal groupings commonly referred to as “brain states.” Several recent publications have investigated brain state alterations in clinical populations, typically using a single method for quantifying frame-wise functional connectivity. This study directly compares the results of k-means clustering in conjunction with three of these resting-state dynamics methods (SWC, CAP, and PS) and quantiﬁes the brain state dynamics across several metrics using high resolution data from the human connectome project. Additionally, these three dynamics methods are compared by examining how the brain state characterizations vary during the repeated sequences of brain states identiﬁed by a fourth dynamic analysis method, QPP. The results indicate that the SWC, PS, and CAP methods differ in the clusters and trajectories they produce. A clear illustration of these differences is given by how each one results in a very different clustering proﬁle for the 24s sequences explicitly identiﬁed by the QPP algorithm. PS clustering is sensitive to QPPs with the mid-point of most QPP sequences grouped into the same single cluster. CAPs are also highly sensitive to QPPs, separating each phase of the QPP sequences into different sets of clusters. SWC (60s window) is less sensitive to QPPs. While the QPPs are slightly more likely to occur during speciﬁc SWC clusters, the SWC clustering does not vary during the 24s QPP sequences, the goal of this work is to improve both the practical and theoretical understanding of different resting-state dynamics methods, thereby enabling investigators to better conceptualize and implement these tools for characterizing functional brain networks.","container-title":"Frontiers in Neural Circuits","DOI":"10.3389/fncir.2022.681544","ISSN":"1662-5110","journalAbbreviation":"Front. Neural Circuits","language":"en","page":"681544","source":"DOI.org (Crossref)","title":"Comparison of Resting-State Functional MRI Methods for Characterizing Brain Dynamics","volume":"16","author":[{"family":"Maltbie","given":"Eric"},{"family":"Yousefi","given":"Behnaz"},{"family":"Zhang","given":"Xiaodi"},{"family":"Kashyap","given":"Amrit"},{"family":"Keilholz","given":"Shella"}],"issued":{"date-parts":[["2022",4,4]]}}},{"id":1053,"uris":["http://zotero.org/users/10500540/items/N53DUDRK"],"itemData":{"id":1053,"type":"article-journal","abstract":"When collecting large amounts of neuroimaging data associated with psychiatric disorders, images must be acquired from multiple sites because of the limited capacity of a single site. However, site differences represent a barrier when acquiring multisite neuroimaging data.","container-title":"PLOS Biology","DOI":"10.1371/journal.pbio.3000042","ISSN":"1545-7885","issue":"4","journalAbbreviation":"PLoS Biol","language":"en","page":"e3000042","source":"DOI.org (Crossref)","title":"Harmonization of resting-state functional MRI data across multiple imaging sites via the separation of site differences into sampling bias and measurement bias","volume":"17","author":[{"family":"Yamashita","given":"Ayumu"},{"family":"Yahata","given":"Noriaki"},{"family":"Itahashi","given":"Takashi"},{"family":"Lisi","given":"Giuseppe"},{"family":"Yamada","given":"Takashi"},{"family":"Ichikawa","given":"Naho"},{"family":"Takamura","given":"Masahiro"},{"family":"Yoshihara","given":"Yujiro"},{"family":"Kunimatsu","given":"Akira"},{"family":"Okada","given":"Naohiro"},{"family":"Yamagata","given":"Hirotaka"},{"family":"Matsuo","given":"Koji"},{"family":"Hashimoto","given":"Ryuichiro"},{"family":"Okada","given":"Go"},{"family":"Sakai","given":"Yuki"},{"family":"Morimoto","given":"Jun"},{"family":"Narumoto","given":"Jin"},{"family":"Shimada","given":"Yasuhiro"},{"family":"Kasai","given":"Kiyoto"},{"family":"Kato","given":"Nobumasa"},{"family":"Takahashi","given":"Hidehiko"},{"family":"Okamoto","given":"Yasumasa"},{"family":"Tanaka","given":"Saori C."},{"family":"Kawato","given":"Mitsuo"},{"family":"Yamashita","given":"Okito"},{"family":"Imamizu","given":"Hiroshi"}],"editor":[{"family":"Macleod","given":"Malcolm R."}],"issued":{"date-parts":[["2019",4,18]]}}}],"schema":"https://github.com/citation-style-language/schema/raw/master/csl-citation.json"} </w:instrText>
      </w:r>
      <w:r>
        <w:rPr>
          <w:rFonts w:ascii="Times New Roman" w:hAnsi="Times New Roman" w:eastAsia="等线" w:cs="Times New Roman"/>
          <w:color w:val="4874CB" w:themeColor="accent1"/>
          <w:sz w:val="24"/>
          <w:lang w:bidi="ar"/>
          <w14:textFill>
            <w14:solidFill>
              <w14:schemeClr w14:val="accent1"/>
            </w14:solidFill>
          </w14:textFill>
        </w:rPr>
        <w:fldChar w:fldCharType="separate"/>
      </w:r>
      <w:r>
        <w:rPr>
          <w:rFonts w:ascii="Times New Roman" w:hAnsi="Times New Roman" w:cs="Times New Roman"/>
          <w:color w:val="4874CB" w:themeColor="accent1"/>
          <w:sz w:val="24"/>
          <w14:textFill>
            <w14:solidFill>
              <w14:schemeClr w14:val="accent1"/>
            </w14:solidFill>
          </w14:textFill>
        </w:rPr>
        <w:t>(De Rosa et al., 2023; Maltbie, Yousefi, Zhang, Kashyap, &amp; Keilholz, 2022; Yamashita et al., 2019)</w:t>
      </w:r>
      <w:r>
        <w:rPr>
          <w:rFonts w:ascii="Times New Roman" w:hAnsi="Times New Roman" w:eastAsia="等线" w:cs="Times New Roman"/>
          <w:color w:val="4874CB" w:themeColor="accent1"/>
          <w:sz w:val="24"/>
          <w:lang w:bidi="ar"/>
          <w14:textFill>
            <w14:solidFill>
              <w14:schemeClr w14:val="accent1"/>
            </w14:solidFill>
          </w14:textFill>
        </w:rPr>
        <w:fldChar w:fldCharType="end"/>
      </w:r>
      <w:r>
        <w:rPr>
          <w:rFonts w:ascii="Times New Roman" w:hAnsi="Times New Roman" w:eastAsia="等线" w:cs="Times New Roman"/>
          <w:sz w:val="24"/>
        </w:rPr>
        <w:t>. With the ComBat function, the diagnosis was treated as the biological variable of interest, and a parametric prior method was used in the empirical Bayes procedure.</w:t>
      </w:r>
      <w:r>
        <w:rPr>
          <w:rFonts w:hint="eastAsia" w:ascii="Times New Roman" w:hAnsi="Times New Roman" w:eastAsia="等线" w:cs="Times New Roman"/>
          <w:sz w:val="24"/>
          <w:lang w:val="en-US" w:eastAsia="zh-CN"/>
        </w:rPr>
        <w:t xml:space="preserve"> </w:t>
      </w:r>
      <w:bookmarkEnd w:id="1"/>
    </w:p>
    <w:p>
      <w:pPr>
        <w:spacing w:line="360" w:lineRule="auto"/>
        <w:ind w:firstLine="420" w:firstLineChars="0"/>
        <w:rPr>
          <w:rFonts w:hint="eastAsia" w:ascii="Times New Roman" w:hAnsi="Times New Roman" w:eastAsia="宋体" w:cs="Times New Roman"/>
          <w:sz w:val="24"/>
        </w:rPr>
      </w:pPr>
      <w:r>
        <w:rPr>
          <w:rFonts w:ascii="Times New Roman" w:hAnsi="Times New Roman" w:eastAsia="等线" w:cs="Times New Roman"/>
          <w:sz w:val="24"/>
        </w:rPr>
        <w:t xml:space="preserve">As for </w:t>
      </w:r>
      <w:r>
        <w:rPr>
          <w:rFonts w:hint="eastAsia" w:ascii="Times New Roman" w:hAnsi="Times New Roman" w:eastAsia="等线" w:cs="Times New Roman"/>
          <w:sz w:val="24"/>
          <w:lang w:val="en-US" w:eastAsia="zh-CN"/>
        </w:rPr>
        <w:t xml:space="preserve">why </w:t>
      </w:r>
      <w:r>
        <w:rPr>
          <w:rFonts w:ascii="Times New Roman" w:hAnsi="Times New Roman" w:eastAsia="等线" w:cs="Times New Roman"/>
          <w:sz w:val="24"/>
        </w:rPr>
        <w:t>this procedure is necessary, s</w:t>
      </w:r>
      <w:r>
        <w:rPr>
          <w:rFonts w:hint="eastAsia" w:ascii="Times New Roman" w:hAnsi="Times New Roman" w:eastAsia="等线" w:cs="Times New Roman"/>
          <w:sz w:val="24"/>
        </w:rPr>
        <w:t>ome studies have demonstrated that employing a hierarchical Bayesian regression model during normative modeling allows for the co</w:t>
      </w:r>
      <w:r>
        <w:rPr>
          <w:rFonts w:hint="eastAsia" w:ascii="Times New Roman" w:hAnsi="Times New Roman" w:eastAsia="宋体" w:cs="Times New Roman"/>
          <w:sz w:val="24"/>
        </w:rPr>
        <w:t xml:space="preserve">nsideration of variability and correlations across different levels (e.g., sites, individuals, observations) </w:t>
      </w:r>
      <w:r>
        <w:rPr>
          <w:rFonts w:ascii="Times New Roman" w:hAnsi="Times New Roman" w:eastAsia="宋体" w:cs="Times New Roman"/>
          <w:color w:val="4874CB" w:themeColor="accent1"/>
          <w:sz w:val="24"/>
          <w14:textFill>
            <w14:solidFill>
              <w14:schemeClr w14:val="accent1"/>
            </w14:solidFill>
          </w14:textFill>
        </w:rPr>
        <w:fldChar w:fldCharType="begin"/>
      </w:r>
      <w:r>
        <w:rPr>
          <w:rFonts w:ascii="Times New Roman" w:hAnsi="Times New Roman" w:eastAsia="宋体" w:cs="Times New Roman"/>
          <w:color w:val="4874CB" w:themeColor="accent1"/>
          <w:sz w:val="24"/>
          <w14:textFill>
            <w14:solidFill>
              <w14:schemeClr w14:val="accent1"/>
            </w14:solidFill>
          </w14:textFill>
        </w:rPr>
        <w:instrText xml:space="preserve"> ADDIN ZOTERO_ITEM CSL_CITATION {"citationID":"o2h7QRBt","properties":{"formattedCitation":"(Bayer et al., 2021)","plainCitation":"(Bayer et al., 2021)","noteIndex":0},"citationItems":[{"id":1047,"uris":["http://zotero.org/users/10500540/items/CWZYB5RW"],"itemData":{"id":1047,"type":"article-journal","abstract":"The potential of normative modeling to make individualized predictions from neuroimaging data has enabled inferences that go beyond the case-control approach. However, site effects are often confounded with variables of interest in a complex manner and can bias estimates of normative models, which has impeded the application of normative models to large multi-site neuroimaging data sets. In this study, we suggest accommodating for these site effects by including them as random effects in a hierarchical Bayesian model. We compared the performance of a linear and a non-linear hierarchical Bayesian model in modeling the effect of age on cortical thickness. We used data of 570 healthy individuals from the ABIDE (autism brain imaging data exchange) data set in our experiments. In addition, we used data from individuals with autism to test whether our models are able to retain clinically useful information while removing site effects. We compared the proposed single stage hierarchical Bayesian method to several harmonization techniques commonly used to deal with additive and multiplicative site effects using a two stage regression, including regressing out site and harmonizing for site with ComBat, both with and without explicitly preserving variance related to age and sex as biological variation of interest. In addition, we made predictions from raw data, in which site has not been accommodated for. The proposed hierarchical Bayesian method showed the best predictive performance according to multiple metrics. Beyond that, the resulting z-scores showed little to no residual site effects, yet still retained clinically useful information. In contrast, performance was particularly poor for the regression model and the ComBat model in which age and sex were not explicitly modeled. In all two stage harmonization models, predictions were poorly scaled, suffering from a loss of more than 90 % of the original variance. Our results show the value of hierarchical Bayesian regression methods for accommodating site variation in neuroimaging data, which provides an alternative to harmonization techniques. While the approach we propose may have broad utility, our approach is particularly well suited to normative modelling where the primary interest is in accurate modelling of inter-subject variation and statistical quantiﬁcation of deviations from a reference model.","language":"en","source":"Zotero","title":"Accommodating site variation in neuroimaging data using normative and hierarchical Bayesian models","author":[{"family":"Bayer","given":"Johanna M M"},{"family":"Dinga","given":"Richard"},{"family":"Kia","given":"Seyed Mostafa"},{"family":"Kottaram","given":"Akhil R"},{"family":"Wolfers","given":"Thomas"},{"family":"Lv","given":"Jinglei"},{"family":"Zalesky","given":"Andrew"},{"family":"Schmaal","given":"Lianne"},{"family":"Marquand","given":"Andre"}],"issued":{"date-parts":[["2021"]]}}}],"schema":"https://github.com/citation-style-language/schema/raw/master/csl-citation.json"} </w:instrText>
      </w:r>
      <w:r>
        <w:rPr>
          <w:rFonts w:ascii="Times New Roman" w:hAnsi="Times New Roman" w:eastAsia="宋体" w:cs="Times New Roman"/>
          <w:color w:val="4874CB" w:themeColor="accent1"/>
          <w:sz w:val="24"/>
          <w14:textFill>
            <w14:solidFill>
              <w14:schemeClr w14:val="accent1"/>
            </w14:solidFill>
          </w14:textFill>
        </w:rPr>
        <w:fldChar w:fldCharType="separate"/>
      </w:r>
      <w:r>
        <w:rPr>
          <w:rFonts w:ascii="Times New Roman" w:hAnsi="Times New Roman" w:cs="Times New Roman"/>
          <w:color w:val="4874CB" w:themeColor="accent1"/>
          <w:sz w:val="24"/>
          <w14:textFill>
            <w14:solidFill>
              <w14:schemeClr w14:val="accent1"/>
            </w14:solidFill>
          </w14:textFill>
        </w:rPr>
        <w:t>(Bayer et al., 2021)</w:t>
      </w:r>
      <w:r>
        <w:rPr>
          <w:rFonts w:ascii="Times New Roman" w:hAnsi="Times New Roman" w:eastAsia="宋体" w:cs="Times New Roman"/>
          <w:color w:val="4874CB" w:themeColor="accent1"/>
          <w:sz w:val="24"/>
          <w14:textFill>
            <w14:solidFill>
              <w14:schemeClr w14:val="accent1"/>
            </w14:solidFill>
          </w14:textFill>
        </w:rPr>
        <w:fldChar w:fldCharType="end"/>
      </w:r>
      <w:r>
        <w:rPr>
          <w:rFonts w:hint="eastAsia" w:ascii="Times New Roman" w:hAnsi="Times New Roman" w:eastAsia="宋体" w:cs="Times New Roman"/>
          <w:sz w:val="24"/>
        </w:rPr>
        <w:t xml:space="preserve">. </w:t>
      </w:r>
      <w:bookmarkStart w:id="2" w:name="_Hlk147843614"/>
      <w:r>
        <w:rPr>
          <w:rFonts w:ascii="Times New Roman" w:hAnsi="Times New Roman" w:eastAsia="宋体" w:cs="Times New Roman"/>
          <w:sz w:val="24"/>
        </w:rPr>
        <w:t>In this way,</w:t>
      </w:r>
      <w:bookmarkEnd w:id="2"/>
      <w:r>
        <w:rPr>
          <w:rFonts w:ascii="Times New Roman" w:hAnsi="Times New Roman" w:eastAsia="宋体" w:cs="Times New Roman"/>
          <w:sz w:val="24"/>
        </w:rPr>
        <w:t xml:space="preserve"> </w:t>
      </w:r>
      <w:r>
        <w:rPr>
          <w:rFonts w:ascii="Times New Roman" w:hAnsi="Times New Roman" w:eastAsia="Times New Roman" w:cs="Times New Roman"/>
          <w:sz w:val="24"/>
        </w:rPr>
        <w:t>site effect could have been corrected and incorporated within the normative model itself</w:t>
      </w:r>
      <w:r>
        <w:rPr>
          <w:rFonts w:ascii="Times New Roman" w:hAnsi="Times New Roman" w:eastAsia="宋体" w:cs="Times New Roman"/>
          <w:sz w:val="24"/>
        </w:rPr>
        <w:t>.</w:t>
      </w:r>
      <w:r>
        <w:rPr>
          <w:rFonts w:hint="eastAsia" w:ascii="Times New Roman" w:hAnsi="Times New Roman" w:eastAsia="宋体" w:cs="Times New Roman"/>
          <w:sz w:val="24"/>
        </w:rPr>
        <w:t xml:space="preserve"> However, the Bayesian model utilized in our study</w:t>
      </w:r>
      <w:r>
        <w:rPr>
          <w:rFonts w:ascii="Times New Roman" w:hAnsi="Times New Roman" w:eastAsia="宋体" w:cs="Times New Roman"/>
          <w:sz w:val="24"/>
        </w:rPr>
        <w:t>,</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which originates from </w:t>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ADDIN ZOTERO_ITEM CSL_CITATION {"citationID":"nRiRjT4b","properties":{"formattedCitation":"(Bethlehem et al., 2020)","plainCitation":"(Bethlehem et al., 2020)","dontUpdate":true,"noteIndex":0},"citationItems":[{"id":1,"uris":["http://zotero.org/users/10500540/items/8MDPHIBJ"],"itemData":{"id":1,"type":"article-journal","abstract":"Understanding heterogeneity is an important goal on the path to precision medicine for autism spectrum disorders (ASD). We examined how cortical thickness (CT) in ASD can be parameterized as an individualized metric of atypicality relative to typically-developing (TD) age-related norms. Across a large sample (n = 870 per group) and wide age range (5-40 years), we applied normative modelling resulting in individualized whole-brain maps of age-related CT atypicality in ASD and isolating a small subgroup with highly age-atypical CT. Age-normed CT scores also highlights on-average differentiation, and associations with behavioural symptomatology that is separate from insights gleaned from traditional case-control approaches. This work showcases an individualized approach for understanding ASD heterogeneity that could potentially further prioritize work on a subset of individuals with cortical pathophysiology represented in age-related CT atypicality. Only a small subset of ASD individuals are actually highly atypical relative to age-norms. driving small on-average case-control differences.","call-number":"2","container-title":"Commun Biol","DOI":"10.1038/s42003-020-01212-9","ISSN":"2399-3642 (ELECTRONIC) 2399-3642 (LINKING)","issue":"1","note":"number: 1\nPMCID: PMC7474067","page":"486","source":"6.268","title":"A normative modelling approach reveals age-atypical cortical thickness in a subgroup of males with autism spectrum disorder","volume":"3","author":[{"family":"Bethlehem","given":"R. A. I."},{"family":"Seidlitz","given":"J."},{"family":"Romero-Garcia","given":"R."},{"family":"Trakoshis","given":"S."},{"family":"Dumas","given":"G."},{"family":"Lombardo","given":"M. V."}],"issued":{"date-parts":[["2020",9,4]]}}}],"schema":"https://github.com/citation-style-language/schema/raw/master/csl-citation.json"} </w:instrText>
      </w:r>
      <w:r>
        <w:rPr>
          <w:rFonts w:ascii="Times New Roman" w:hAnsi="Times New Roman" w:eastAsia="宋体" w:cs="Times New Roman"/>
          <w:sz w:val="24"/>
        </w:rPr>
        <w:fldChar w:fldCharType="separate"/>
      </w:r>
      <w:r>
        <w:rPr>
          <w:rFonts w:ascii="Times New Roman" w:hAnsi="Times New Roman" w:cs="Times New Roman"/>
          <w:color w:val="4874CB" w:themeColor="accent1"/>
          <w:sz w:val="24"/>
          <w14:textFill>
            <w14:solidFill>
              <w14:schemeClr w14:val="accent1"/>
            </w14:solidFill>
          </w14:textFill>
        </w:rPr>
        <w:t>Bethlehem et al.,</w:t>
      </w:r>
      <w:r>
        <w:rPr>
          <w:rFonts w:ascii="Times New Roman" w:hAnsi="Times New Roman" w:eastAsia="宋体" w:cs="Times New Roman"/>
          <w:sz w:val="24"/>
        </w:rPr>
        <w:fldChar w:fldCharType="end"/>
      </w:r>
      <w:r>
        <w:rPr>
          <w:rFonts w:ascii="Times New Roman" w:hAnsi="Times New Roman" w:cs="Times New Roman"/>
          <w:color w:val="4874CB" w:themeColor="accent1"/>
          <w:sz w:val="24"/>
          <w14:textFill>
            <w14:solidFill>
              <w14:schemeClr w14:val="accent1"/>
            </w14:solidFill>
          </w14:textFill>
        </w:rPr>
        <w:t xml:space="preserve"> </w:t>
      </w:r>
      <w:r>
        <w:rPr>
          <w:rFonts w:hint="eastAsia" w:ascii="Times New Roman" w:hAnsi="Times New Roman" w:eastAsia="宋体" w:cs="Times New Roman"/>
          <w:sz w:val="24"/>
        </w:rPr>
        <w:t>only addresses variability at the individual level</w:t>
      </w:r>
      <w:r>
        <w:rPr>
          <w:rFonts w:ascii="Times New Roman" w:hAnsi="Times New Roman" w:eastAsia="宋体" w:cs="Times New Roman"/>
          <w:sz w:val="24"/>
        </w:rPr>
        <w:t xml:space="preserve">, thus requires </w:t>
      </w:r>
      <w:r>
        <w:rPr>
          <w:rFonts w:ascii="Times New Roman" w:hAnsi="Times New Roman" w:eastAsia="Times New Roman" w:cs="Times New Roman"/>
          <w:sz w:val="24"/>
        </w:rPr>
        <w:t xml:space="preserve">the ComBat </w:t>
      </w:r>
      <w:r>
        <w:rPr>
          <w:rFonts w:ascii="Times New Roman" w:hAnsi="Times New Roman" w:eastAsia="等线" w:cs="Times New Roman"/>
          <w:sz w:val="24"/>
        </w:rPr>
        <w:t>pipeline</w:t>
      </w:r>
      <w:r>
        <w:rPr>
          <w:rFonts w:hint="eastAsia" w:ascii="Times New Roman" w:hAnsi="Times New Roman" w:eastAsia="宋体" w:cs="Times New Roman"/>
          <w:sz w:val="24"/>
        </w:rPr>
        <w:t xml:space="preserve">. </w:t>
      </w:r>
      <w:r>
        <w:rPr>
          <w:rFonts w:ascii="Times New Roman" w:hAnsi="Times New Roman" w:eastAsia="宋体" w:cs="Times New Roman"/>
          <w:sz w:val="24"/>
        </w:rPr>
        <w:t>We chose this model due to its</w:t>
      </w:r>
      <w:r>
        <w:rPr>
          <w:rFonts w:hint="eastAsia" w:ascii="Times New Roman" w:hAnsi="Times New Roman" w:eastAsia="宋体" w:cs="Times New Roman"/>
          <w:sz w:val="24"/>
        </w:rPr>
        <w:t xml:space="preserve"> advantages in terms of computational efficiency, automatic parameter learning, and the mitigation of issues related to local optima and overfitting.</w:t>
      </w:r>
    </w:p>
    <w:p>
      <w:pPr>
        <w:spacing w:line="360" w:lineRule="auto"/>
        <w:rPr>
          <w:rFonts w:hint="eastAsia" w:ascii="Times New Roman" w:hAnsi="Times New Roman" w:eastAsia="宋体" w:cs="Times New Roman"/>
          <w:sz w:val="24"/>
        </w:rPr>
      </w:pPr>
    </w:p>
    <w:bookmarkEnd w:i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dvOTfbba3ace . 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Mjk3Mjc0ODkzYzUwZTA2ODA4MDk2YWQ3MGRlMjkifQ=="/>
  </w:docVars>
  <w:rsids>
    <w:rsidRoot w:val="4F3D5183"/>
    <w:rsid w:val="0A5D3B7D"/>
    <w:rsid w:val="1AEE3118"/>
    <w:rsid w:val="20C80705"/>
    <w:rsid w:val="28CA642A"/>
    <w:rsid w:val="4F3D5183"/>
    <w:rsid w:val="76E00193"/>
    <w:rsid w:val="7CA07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spacing w:before="240" w:after="60"/>
      <w:outlineLvl w:val="1"/>
    </w:pPr>
    <w:rPr>
      <w:rFonts w:ascii="Arial" w:hAnsi="Arial" w:cs="Arial"/>
      <w:b/>
      <w:bCs/>
      <w:i/>
      <w:i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117</Words>
  <Characters>706</Characters>
  <Lines>0</Lines>
  <Paragraphs>0</Paragraphs>
  <TotalTime>0</TotalTime>
  <ScaleCrop>false</ScaleCrop>
  <LinksUpToDate>false</LinksUpToDate>
  <CharactersWithSpaces>822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2024-01-06T05:37:00Z</dcterms:created>
  <dc:creator>生生</dc:creator>
  <cp:lastModifiedBy>生生</cp:lastModifiedBy>
  <dcterms:modified xsi:type="dcterms:W3CDTF">2024-01-06T06:57:16Z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2B7726877DD048A1815BF9B023052ABB_11</vt:lpwstr>
  </property>
</Properties>
</file>