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B094" w14:textId="2F570C6D" w:rsidR="00441C35" w:rsidRDefault="00441C35" w:rsidP="00B23D9F">
      <w:pPr>
        <w:rPr>
          <w:rFonts w:ascii="Calibri Light" w:hAnsi="Calibri Light" w:cs="Calibri Light"/>
          <w:lang w:val="en-US"/>
        </w:rPr>
      </w:pPr>
    </w:p>
    <w:p w14:paraId="67C732C1" w14:textId="2BB96433" w:rsidR="00A123EB" w:rsidRDefault="00A123EB" w:rsidP="00A123EB">
      <w:pPr>
        <w:jc w:val="center"/>
        <w:rPr>
          <w:rFonts w:ascii="Calibri Light" w:hAnsi="Calibri Light" w:cs="Calibri Light"/>
          <w:lang w:val="en-US"/>
        </w:rPr>
      </w:pPr>
      <w:r>
        <w:rPr>
          <w:rFonts w:ascii="Calibri Light" w:hAnsi="Calibri Light" w:cs="Calibri Light"/>
          <w:lang w:val="en-US"/>
        </w:rPr>
        <w:t xml:space="preserve">Appendix </w:t>
      </w:r>
    </w:p>
    <w:p w14:paraId="3B08F256" w14:textId="77777777" w:rsidR="006D628A" w:rsidRDefault="006D628A" w:rsidP="00A123EB">
      <w:pPr>
        <w:jc w:val="center"/>
        <w:rPr>
          <w:rFonts w:ascii="Calibri Light" w:hAnsi="Calibri Light" w:cs="Calibri Light"/>
          <w:b/>
          <w:lang w:val="en-US"/>
        </w:rPr>
      </w:pPr>
      <w:r>
        <w:rPr>
          <w:rFonts w:ascii="Calibri Light" w:hAnsi="Calibri Light" w:cs="Calibri Light"/>
          <w:b/>
          <w:lang w:val="en-US"/>
        </w:rPr>
        <w:t xml:space="preserve">Table 1 </w:t>
      </w:r>
    </w:p>
    <w:p w14:paraId="7CBE6B5F" w14:textId="13F0E282" w:rsidR="006D628A" w:rsidRPr="00D82346" w:rsidRDefault="00A123EB" w:rsidP="00A123EB">
      <w:pPr>
        <w:jc w:val="center"/>
        <w:rPr>
          <w:rFonts w:ascii="Calibri Light" w:hAnsi="Calibri Light" w:cs="Calibri Light"/>
          <w:b/>
          <w:lang w:val="en-US"/>
        </w:rPr>
      </w:pPr>
      <w:r>
        <w:rPr>
          <w:rFonts w:ascii="Calibri Light" w:hAnsi="Calibri Light" w:cs="Calibri Light"/>
          <w:b/>
          <w:lang w:val="en-US"/>
        </w:rPr>
        <w:t>Description</w:t>
      </w:r>
      <w:r w:rsidRPr="00185F70">
        <w:rPr>
          <w:rFonts w:ascii="Calibri Light" w:hAnsi="Calibri Light" w:cs="Calibri Light"/>
          <w:b/>
          <w:lang w:val="en-US"/>
        </w:rPr>
        <w:t xml:space="preserve"> of Registers</w:t>
      </w:r>
    </w:p>
    <w:p w14:paraId="0BABF31A" w14:textId="77777777" w:rsidR="00A123EB" w:rsidRPr="0083015C" w:rsidRDefault="00A123EB" w:rsidP="00A123EB">
      <w:pPr>
        <w:spacing w:after="0" w:line="240" w:lineRule="auto"/>
        <w:rPr>
          <w:rFonts w:ascii="Segoe UI" w:hAnsi="Segoe UI" w:cs="Segoe UI"/>
          <w:color w:val="212121"/>
          <w:shd w:val="clear" w:color="auto" w:fill="FFFFFF"/>
          <w:lang w:val="en-US"/>
        </w:rPr>
      </w:pPr>
      <w:r w:rsidRPr="007C61E8">
        <w:rPr>
          <w:rFonts w:ascii="Segoe UI" w:hAnsi="Segoe UI" w:cs="Segoe UI"/>
          <w:i/>
          <w:color w:val="212121"/>
          <w:shd w:val="clear" w:color="auto" w:fill="FFFFFF"/>
          <w:lang w:val="en-US"/>
        </w:rPr>
        <w:t>National Patient Register</w:t>
      </w:r>
    </w:p>
    <w:p w14:paraId="5E99DF78" w14:textId="77777777" w:rsidR="00A123EB" w:rsidRPr="009C62E3" w:rsidRDefault="00A123EB" w:rsidP="009C62E3">
      <w:pPr>
        <w:spacing w:line="240" w:lineRule="auto"/>
        <w:ind w:firstLine="720"/>
        <w:contextualSpacing/>
        <w:rPr>
          <w:rFonts w:ascii="Calibri Light" w:hAnsi="Calibri Light"/>
          <w:lang w:val="en-US"/>
        </w:rPr>
      </w:pPr>
      <w:r w:rsidRPr="009C62E3">
        <w:rPr>
          <w:rFonts w:ascii="Calibri Light" w:hAnsi="Calibri Light"/>
          <w:lang w:val="en-US"/>
        </w:rPr>
        <w:t xml:space="preserve">In the 1960's the National Board of Health and Welfare started to collect information regarding in-patients at public hospitals, the National Patient Register (NPR). Initially it contained information about all patients treated in psychiatric care and approximately 16 percent of patients in somatic care. The register at that time covered six of the 26 county councils in Sweden. In 1984, the Ministry of Health and Welfare together with the Federation of County Councils decided a mandatory participation for all county councils. From 1987, NPR includes all in-patient care in Sweden. Since 2001, the register also covers outpatient doctor visits including day surgery and psychiatric care from both private and public caregivers. For more information, see </w:t>
      </w:r>
      <w:proofErr w:type="gramStart"/>
      <w:r w:rsidRPr="009C62E3">
        <w:rPr>
          <w:rFonts w:ascii="Calibri Light" w:hAnsi="Calibri Light"/>
          <w:lang w:val="en-US"/>
        </w:rPr>
        <w:t>https://www.socialstyrelsen.se/en/statistics-and-data/registers/register-information/the-national-patient-register/</w:t>
      </w:r>
      <w:proofErr w:type="gramEnd"/>
    </w:p>
    <w:p w14:paraId="501EF32E" w14:textId="77777777" w:rsidR="00A123EB" w:rsidRDefault="00A123EB" w:rsidP="00A123EB">
      <w:pPr>
        <w:spacing w:after="0" w:line="240" w:lineRule="auto"/>
        <w:rPr>
          <w:rFonts w:ascii="Segoe UI" w:hAnsi="Segoe UI" w:cs="Segoe UI"/>
          <w:color w:val="212121"/>
          <w:shd w:val="clear" w:color="auto" w:fill="FFFFFF"/>
          <w:lang w:val="en-US"/>
        </w:rPr>
      </w:pPr>
    </w:p>
    <w:p w14:paraId="4E641DD3" w14:textId="77777777" w:rsidR="00A123EB" w:rsidRPr="007C61E8" w:rsidRDefault="00A123EB" w:rsidP="00A123EB">
      <w:pPr>
        <w:spacing w:after="0" w:line="240" w:lineRule="auto"/>
        <w:rPr>
          <w:rFonts w:ascii="Segoe UI" w:hAnsi="Segoe UI" w:cs="Segoe UI"/>
          <w:i/>
          <w:color w:val="212121"/>
          <w:shd w:val="clear" w:color="auto" w:fill="FFFFFF"/>
          <w:lang w:val="en-US"/>
        </w:rPr>
      </w:pPr>
      <w:r w:rsidRPr="007C61E8">
        <w:rPr>
          <w:rFonts w:ascii="Segoe UI" w:hAnsi="Segoe UI" w:cs="Segoe UI"/>
          <w:i/>
          <w:color w:val="212121"/>
          <w:shd w:val="clear" w:color="auto" w:fill="FFFFFF"/>
          <w:lang w:val="en-US"/>
        </w:rPr>
        <w:t xml:space="preserve">Primary Care </w:t>
      </w:r>
      <w:r>
        <w:rPr>
          <w:rFonts w:ascii="Segoe UI" w:hAnsi="Segoe UI" w:cs="Segoe UI"/>
          <w:i/>
          <w:color w:val="212121"/>
          <w:shd w:val="clear" w:color="auto" w:fill="FFFFFF"/>
          <w:lang w:val="en-US"/>
        </w:rPr>
        <w:t>Data</w:t>
      </w:r>
    </w:p>
    <w:p w14:paraId="71D919FD" w14:textId="357CBA2C" w:rsidR="00A123EB" w:rsidRDefault="00A123EB" w:rsidP="009C62E3">
      <w:pPr>
        <w:spacing w:line="240" w:lineRule="auto"/>
        <w:ind w:firstLine="720"/>
        <w:contextualSpacing/>
        <w:rPr>
          <w:rFonts w:ascii="Calibri Light" w:hAnsi="Calibri Light"/>
          <w:lang w:val="en-US"/>
        </w:rPr>
      </w:pPr>
      <w:r w:rsidRPr="009C62E3">
        <w:rPr>
          <w:rFonts w:ascii="Calibri Light" w:hAnsi="Calibri Light"/>
          <w:lang w:val="en-US"/>
        </w:rPr>
        <w:t xml:space="preserve">We also used information from Primary Care. This is a research dataset including individual-level information on clinical diagnoses from primary health care centers. In the end of the follow-up period the registers </w:t>
      </w:r>
      <w:proofErr w:type="gramStart"/>
      <w:r w:rsidRPr="009C62E3">
        <w:rPr>
          <w:rFonts w:ascii="Calibri Light" w:hAnsi="Calibri Light"/>
          <w:lang w:val="en-US"/>
        </w:rPr>
        <w:t>covers</w:t>
      </w:r>
      <w:proofErr w:type="gramEnd"/>
      <w:r w:rsidRPr="009C62E3">
        <w:rPr>
          <w:rFonts w:ascii="Calibri Light" w:hAnsi="Calibri Light"/>
          <w:lang w:val="en-US"/>
        </w:rPr>
        <w:t xml:space="preserve"> almost 100% of the population. </w:t>
      </w:r>
      <w:r w:rsidR="006D628A">
        <w:rPr>
          <w:rFonts w:ascii="Calibri Light" w:hAnsi="Calibri Light"/>
          <w:lang w:val="en-US"/>
        </w:rPr>
        <w:t xml:space="preserve">Figure 1 </w:t>
      </w:r>
      <w:r w:rsidRPr="009C62E3">
        <w:rPr>
          <w:rFonts w:ascii="Calibri Light" w:hAnsi="Calibri Light"/>
          <w:lang w:val="en-US"/>
        </w:rPr>
        <w:t xml:space="preserve">below show the </w:t>
      </w:r>
      <w:bookmarkStart w:id="0" w:name="_Hlk145310103"/>
      <w:r w:rsidRPr="009C62E3">
        <w:rPr>
          <w:rFonts w:ascii="Calibri Light" w:hAnsi="Calibri Light"/>
          <w:lang w:val="en-US"/>
        </w:rPr>
        <w:t>percentage of the entire Swedish population that resides in counties with primary care data</w:t>
      </w:r>
      <w:bookmarkEnd w:id="0"/>
      <w:r w:rsidRPr="009C62E3">
        <w:rPr>
          <w:rFonts w:ascii="Calibri Light" w:hAnsi="Calibri Light"/>
          <w:lang w:val="en-US"/>
        </w:rPr>
        <w:t>. For more information see: Sundquist, J., Ohlsson, H., Sundquist, K., Kendler, KS. Common adult psychiatric disorders in Swedish primary care where most mental health patients are treated. BMC Psychiatry 17, 235 (2017). https://doi.org/10.1186/s12888-017-1381-4</w:t>
      </w:r>
    </w:p>
    <w:p w14:paraId="432BEB86" w14:textId="06F74056" w:rsidR="006D628A" w:rsidRDefault="006D628A" w:rsidP="009C62E3">
      <w:pPr>
        <w:spacing w:line="240" w:lineRule="auto"/>
        <w:ind w:firstLine="720"/>
        <w:contextualSpacing/>
        <w:rPr>
          <w:rFonts w:ascii="Calibri Light" w:hAnsi="Calibri Light"/>
          <w:lang w:val="en-US"/>
        </w:rPr>
      </w:pPr>
    </w:p>
    <w:p w14:paraId="566BCFC0" w14:textId="22007A58" w:rsidR="006D628A" w:rsidRDefault="006D628A" w:rsidP="006D628A">
      <w:pPr>
        <w:spacing w:line="240" w:lineRule="auto"/>
        <w:contextualSpacing/>
        <w:jc w:val="center"/>
        <w:rPr>
          <w:rFonts w:ascii="Calibri Light" w:hAnsi="Calibri Light"/>
          <w:lang w:val="en-US"/>
        </w:rPr>
      </w:pPr>
      <w:r>
        <w:rPr>
          <w:rFonts w:ascii="Calibri Light" w:hAnsi="Calibri Light"/>
          <w:lang w:val="en-US"/>
        </w:rPr>
        <w:t xml:space="preserve">Figure 1 </w:t>
      </w:r>
    </w:p>
    <w:p w14:paraId="07623A18" w14:textId="77777777" w:rsidR="006D628A" w:rsidRDefault="006D628A" w:rsidP="006D628A">
      <w:pPr>
        <w:spacing w:line="240" w:lineRule="auto"/>
        <w:contextualSpacing/>
        <w:jc w:val="center"/>
        <w:rPr>
          <w:rFonts w:ascii="Calibri Light" w:hAnsi="Calibri Light"/>
          <w:lang w:val="en-US"/>
        </w:rPr>
      </w:pPr>
    </w:p>
    <w:p w14:paraId="0C33BFC1" w14:textId="063B0A22" w:rsidR="006D628A" w:rsidRDefault="006D628A" w:rsidP="006D628A">
      <w:pPr>
        <w:spacing w:line="240" w:lineRule="auto"/>
        <w:contextualSpacing/>
        <w:jc w:val="center"/>
        <w:rPr>
          <w:rFonts w:ascii="Calibri Light" w:hAnsi="Calibri Light"/>
          <w:lang w:val="en-US"/>
        </w:rPr>
      </w:pPr>
      <w:r>
        <w:rPr>
          <w:rFonts w:ascii="Calibri Light" w:hAnsi="Calibri Light"/>
          <w:lang w:val="en-US"/>
        </w:rPr>
        <w:t>P</w:t>
      </w:r>
      <w:r w:rsidRPr="009C62E3">
        <w:rPr>
          <w:rFonts w:ascii="Calibri Light" w:hAnsi="Calibri Light"/>
          <w:lang w:val="en-US"/>
        </w:rPr>
        <w:t>ercentage of the entire Swedish population that resides in counties with primary care data</w:t>
      </w:r>
      <w:r>
        <w:rPr>
          <w:rFonts w:ascii="Calibri Light" w:hAnsi="Calibri Light"/>
          <w:lang w:val="en-US"/>
        </w:rPr>
        <w:t xml:space="preserve"> by </w:t>
      </w:r>
      <w:proofErr w:type="gramStart"/>
      <w:r>
        <w:rPr>
          <w:rFonts w:ascii="Calibri Light" w:hAnsi="Calibri Light"/>
          <w:lang w:val="en-US"/>
        </w:rPr>
        <w:t>Year</w:t>
      </w:r>
      <w:proofErr w:type="gramEnd"/>
    </w:p>
    <w:p w14:paraId="5F712658" w14:textId="77777777" w:rsidR="006D628A" w:rsidRPr="009C62E3" w:rsidRDefault="006D628A" w:rsidP="006D628A">
      <w:pPr>
        <w:spacing w:line="240" w:lineRule="auto"/>
        <w:contextualSpacing/>
        <w:jc w:val="center"/>
        <w:rPr>
          <w:rFonts w:ascii="Calibri Light" w:hAnsi="Calibri Light"/>
          <w:lang w:val="en-US"/>
        </w:rPr>
      </w:pPr>
    </w:p>
    <w:p w14:paraId="30C70628" w14:textId="77777777" w:rsidR="00A123EB" w:rsidRDefault="00A123EB" w:rsidP="00A123EB">
      <w:pPr>
        <w:spacing w:after="0" w:line="240" w:lineRule="auto"/>
        <w:rPr>
          <w:rFonts w:ascii="Segoe UI" w:hAnsi="Segoe UI" w:cs="Segoe UI"/>
          <w:color w:val="212121"/>
          <w:shd w:val="clear" w:color="auto" w:fill="FFFFFF"/>
          <w:lang w:val="en-US"/>
        </w:rPr>
      </w:pPr>
    </w:p>
    <w:p w14:paraId="5E440120" w14:textId="77777777" w:rsidR="00A123EB" w:rsidRDefault="00A123EB" w:rsidP="00A123EB">
      <w:pPr>
        <w:spacing w:after="0" w:line="240" w:lineRule="auto"/>
        <w:rPr>
          <w:rFonts w:ascii="Segoe UI" w:hAnsi="Segoe UI" w:cs="Segoe UI"/>
          <w:color w:val="212121"/>
          <w:shd w:val="clear" w:color="auto" w:fill="FFFFFF"/>
          <w:lang w:val="en-US"/>
        </w:rPr>
      </w:pPr>
    </w:p>
    <w:p w14:paraId="71EC053C" w14:textId="77777777" w:rsidR="00A123EB" w:rsidRDefault="00A123EB" w:rsidP="00A123EB">
      <w:pPr>
        <w:spacing w:after="0" w:line="240" w:lineRule="auto"/>
        <w:rPr>
          <w:rFonts w:ascii="Segoe UI" w:hAnsi="Segoe UI" w:cs="Segoe UI"/>
          <w:color w:val="212121"/>
          <w:shd w:val="clear" w:color="auto" w:fill="FFFFFF"/>
          <w:lang w:val="en-US"/>
        </w:rPr>
      </w:pPr>
      <w:r>
        <w:rPr>
          <w:rFonts w:ascii="Times" w:eastAsia="GulimChe" w:hAnsi="Times" w:cs="Times"/>
          <w:i/>
          <w:noProof/>
          <w:color w:val="0070C0"/>
          <w:sz w:val="24"/>
          <w:szCs w:val="24"/>
          <w:lang w:eastAsia="sv-SE"/>
        </w:rPr>
        <w:drawing>
          <wp:anchor distT="0" distB="0" distL="114300" distR="114300" simplePos="0" relativeHeight="251659264" behindDoc="0" locked="0" layoutInCell="1" allowOverlap="1" wp14:anchorId="5406809F" wp14:editId="18813579">
            <wp:simplePos x="0" y="0"/>
            <wp:positionH relativeFrom="column">
              <wp:posOffset>565833</wp:posOffset>
            </wp:positionH>
            <wp:positionV relativeFrom="paragraph">
              <wp:posOffset>37752</wp:posOffset>
            </wp:positionV>
            <wp:extent cx="3869690" cy="2326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9690" cy="2326005"/>
                    </a:xfrm>
                    <a:prstGeom prst="rect">
                      <a:avLst/>
                    </a:prstGeom>
                    <a:noFill/>
                  </pic:spPr>
                </pic:pic>
              </a:graphicData>
            </a:graphic>
          </wp:anchor>
        </w:drawing>
      </w:r>
    </w:p>
    <w:p w14:paraId="0691BC1F" w14:textId="77777777" w:rsidR="00A123EB" w:rsidRDefault="00A123EB" w:rsidP="00A123EB">
      <w:pPr>
        <w:spacing w:after="0" w:line="240" w:lineRule="auto"/>
        <w:rPr>
          <w:rFonts w:ascii="Segoe UI" w:hAnsi="Segoe UI" w:cs="Segoe UI"/>
          <w:color w:val="212121"/>
          <w:shd w:val="clear" w:color="auto" w:fill="FFFFFF"/>
          <w:lang w:val="en-US"/>
        </w:rPr>
      </w:pPr>
    </w:p>
    <w:p w14:paraId="1FEAA557" w14:textId="77777777" w:rsidR="00A123EB" w:rsidRDefault="00A123EB" w:rsidP="00A123EB">
      <w:pPr>
        <w:spacing w:after="0" w:line="240" w:lineRule="auto"/>
        <w:rPr>
          <w:rFonts w:ascii="Segoe UI" w:hAnsi="Segoe UI" w:cs="Segoe UI"/>
          <w:color w:val="212121"/>
          <w:shd w:val="clear" w:color="auto" w:fill="FFFFFF"/>
          <w:lang w:val="en-US"/>
        </w:rPr>
      </w:pPr>
    </w:p>
    <w:p w14:paraId="07D5B74D" w14:textId="77777777" w:rsidR="00A123EB" w:rsidRDefault="00A123EB" w:rsidP="00A123EB">
      <w:pPr>
        <w:spacing w:after="0" w:line="240" w:lineRule="auto"/>
        <w:rPr>
          <w:rFonts w:ascii="Segoe UI" w:hAnsi="Segoe UI" w:cs="Segoe UI"/>
          <w:color w:val="212121"/>
          <w:shd w:val="clear" w:color="auto" w:fill="FFFFFF"/>
          <w:lang w:val="en-US"/>
        </w:rPr>
      </w:pPr>
    </w:p>
    <w:p w14:paraId="2CE5BD65" w14:textId="77777777" w:rsidR="00A123EB" w:rsidRDefault="00A123EB" w:rsidP="00A123EB">
      <w:pPr>
        <w:spacing w:after="0" w:line="240" w:lineRule="auto"/>
        <w:rPr>
          <w:rFonts w:ascii="Segoe UI" w:hAnsi="Segoe UI" w:cs="Segoe UI"/>
          <w:i/>
          <w:color w:val="212121"/>
          <w:shd w:val="clear" w:color="auto" w:fill="FFFFFF"/>
          <w:lang w:val="en-US"/>
        </w:rPr>
      </w:pPr>
    </w:p>
    <w:p w14:paraId="049F9CEB" w14:textId="77777777" w:rsidR="00A123EB" w:rsidRDefault="00A123EB" w:rsidP="00A123EB">
      <w:pPr>
        <w:spacing w:after="0" w:line="240" w:lineRule="auto"/>
        <w:rPr>
          <w:rFonts w:ascii="Segoe UI" w:hAnsi="Segoe UI" w:cs="Segoe UI"/>
          <w:i/>
          <w:color w:val="212121"/>
          <w:shd w:val="clear" w:color="auto" w:fill="FFFFFF"/>
          <w:lang w:val="en-US"/>
        </w:rPr>
      </w:pPr>
    </w:p>
    <w:p w14:paraId="7A5392F3" w14:textId="77777777" w:rsidR="00A123EB" w:rsidRDefault="00A123EB" w:rsidP="00A123EB">
      <w:pPr>
        <w:spacing w:after="0" w:line="240" w:lineRule="auto"/>
        <w:rPr>
          <w:rFonts w:ascii="Segoe UI" w:hAnsi="Segoe UI" w:cs="Segoe UI"/>
          <w:i/>
          <w:color w:val="212121"/>
          <w:shd w:val="clear" w:color="auto" w:fill="FFFFFF"/>
          <w:lang w:val="en-US"/>
        </w:rPr>
      </w:pPr>
    </w:p>
    <w:p w14:paraId="73395B3A" w14:textId="77777777" w:rsidR="00A123EB" w:rsidRPr="00530806" w:rsidRDefault="00A123EB" w:rsidP="00A123EB">
      <w:pPr>
        <w:jc w:val="center"/>
        <w:rPr>
          <w:rFonts w:ascii="Calibri Light" w:hAnsi="Calibri Light" w:cs="Calibri Light"/>
          <w:lang w:val="en-US"/>
        </w:rPr>
      </w:pPr>
    </w:p>
    <w:p w14:paraId="7A6DB016" w14:textId="77777777" w:rsidR="00A123EB" w:rsidRPr="00530806" w:rsidRDefault="00A123EB" w:rsidP="00A123EB">
      <w:pPr>
        <w:jc w:val="center"/>
        <w:rPr>
          <w:rFonts w:ascii="Calibri Light" w:hAnsi="Calibri Light" w:cs="Calibri Light"/>
          <w:lang w:val="en-US"/>
        </w:rPr>
      </w:pPr>
    </w:p>
    <w:p w14:paraId="5D092B1C" w14:textId="77777777" w:rsidR="00A123EB" w:rsidRPr="00530806" w:rsidRDefault="00A123EB" w:rsidP="00A123EB">
      <w:pPr>
        <w:jc w:val="center"/>
        <w:rPr>
          <w:rFonts w:ascii="Calibri Light" w:hAnsi="Calibri Light" w:cs="Calibri Light"/>
          <w:lang w:val="en-US"/>
        </w:rPr>
      </w:pPr>
    </w:p>
    <w:p w14:paraId="43C7B966" w14:textId="77777777" w:rsidR="00A123EB" w:rsidRPr="00530806" w:rsidRDefault="00A123EB" w:rsidP="00A123EB">
      <w:pPr>
        <w:jc w:val="center"/>
        <w:rPr>
          <w:rFonts w:ascii="Calibri Light" w:hAnsi="Calibri Light" w:cs="Calibri Light"/>
          <w:lang w:val="en-US"/>
        </w:rPr>
      </w:pPr>
    </w:p>
    <w:p w14:paraId="60204AEE" w14:textId="77777777" w:rsidR="00A123EB" w:rsidRPr="00530806" w:rsidRDefault="00A123EB" w:rsidP="00A123EB">
      <w:pPr>
        <w:jc w:val="center"/>
        <w:rPr>
          <w:rFonts w:ascii="Calibri Light" w:hAnsi="Calibri Light" w:cs="Calibri Light"/>
          <w:lang w:val="en-US"/>
        </w:rPr>
      </w:pPr>
    </w:p>
    <w:p w14:paraId="5D28CAB6" w14:textId="77777777" w:rsidR="00261B88" w:rsidRPr="00530806" w:rsidRDefault="00261B88" w:rsidP="006D628A">
      <w:pPr>
        <w:jc w:val="center"/>
        <w:rPr>
          <w:rFonts w:ascii="Calibri Light" w:hAnsi="Calibri Light" w:cs="Calibri Light"/>
          <w:b/>
          <w:u w:val="single"/>
          <w:lang w:val="en-US"/>
        </w:rPr>
      </w:pPr>
    </w:p>
    <w:p w14:paraId="4F5E92A1" w14:textId="1B2E6015" w:rsidR="00A123EB" w:rsidRPr="00441C35" w:rsidRDefault="006D628A" w:rsidP="006D628A">
      <w:pPr>
        <w:jc w:val="center"/>
        <w:rPr>
          <w:rFonts w:ascii="Calibri Light" w:hAnsi="Calibri Light" w:cs="Calibri Light"/>
          <w:b/>
          <w:u w:val="single"/>
        </w:rPr>
      </w:pPr>
      <w:r>
        <w:rPr>
          <w:rFonts w:ascii="Calibri Light" w:hAnsi="Calibri Light" w:cs="Calibri Light"/>
          <w:b/>
          <w:u w:val="single"/>
        </w:rPr>
        <w:lastRenderedPageBreak/>
        <w:t xml:space="preserve">Table 2 </w:t>
      </w:r>
      <w:r w:rsidR="00A123EB" w:rsidRPr="00441C35">
        <w:rPr>
          <w:rFonts w:ascii="Calibri Light" w:hAnsi="Calibri Light" w:cs="Calibri Light"/>
          <w:b/>
          <w:u w:val="single"/>
        </w:rPr>
        <w:t>Definition of Variables</w:t>
      </w:r>
    </w:p>
    <w:tbl>
      <w:tblPr>
        <w:tblpPr w:leftFromText="180" w:rightFromText="180" w:vertAnchor="page" w:horzAnchor="margin" w:tblpY="210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4389"/>
      </w:tblGrid>
      <w:tr w:rsidR="00A123EB" w:rsidRPr="002146B6" w14:paraId="73671683" w14:textId="77777777" w:rsidTr="00E04459">
        <w:tc>
          <w:tcPr>
            <w:tcW w:w="2122" w:type="dxa"/>
            <w:shd w:val="clear" w:color="auto" w:fill="auto"/>
          </w:tcPr>
          <w:p w14:paraId="7A2C0646" w14:textId="77777777" w:rsidR="00A123EB" w:rsidRPr="002146B6" w:rsidRDefault="00A123EB" w:rsidP="00E04459">
            <w:pPr>
              <w:spacing w:after="0" w:line="240" w:lineRule="auto"/>
              <w:rPr>
                <w:rFonts w:ascii="Calibri Light" w:hAnsi="Calibri Light" w:cs="Calibri Light"/>
              </w:rPr>
            </w:pPr>
          </w:p>
        </w:tc>
        <w:tc>
          <w:tcPr>
            <w:tcW w:w="2551" w:type="dxa"/>
            <w:shd w:val="clear" w:color="auto" w:fill="auto"/>
          </w:tcPr>
          <w:p w14:paraId="05F998D4" w14:textId="77777777" w:rsidR="00A123EB" w:rsidRPr="002146B6" w:rsidRDefault="00A123EB" w:rsidP="00E04459">
            <w:pPr>
              <w:spacing w:after="0" w:line="240" w:lineRule="auto"/>
              <w:rPr>
                <w:rFonts w:ascii="Calibri Light" w:hAnsi="Calibri Light" w:cs="Calibri Light"/>
              </w:rPr>
            </w:pPr>
            <w:r w:rsidRPr="002146B6">
              <w:rPr>
                <w:rFonts w:ascii="Calibri Light" w:hAnsi="Calibri Light" w:cs="Calibri Light"/>
              </w:rPr>
              <w:t>Registers Used</w:t>
            </w:r>
          </w:p>
        </w:tc>
        <w:tc>
          <w:tcPr>
            <w:tcW w:w="4389" w:type="dxa"/>
            <w:shd w:val="clear" w:color="auto" w:fill="auto"/>
          </w:tcPr>
          <w:p w14:paraId="5368B7FC" w14:textId="77777777" w:rsidR="00A123EB" w:rsidRPr="002146B6" w:rsidRDefault="00A123EB" w:rsidP="00E04459">
            <w:pPr>
              <w:spacing w:after="0" w:line="240" w:lineRule="auto"/>
              <w:rPr>
                <w:rFonts w:ascii="Calibri Light" w:hAnsi="Calibri Light" w:cs="Calibri Light"/>
              </w:rPr>
            </w:pPr>
            <w:r w:rsidRPr="002146B6">
              <w:rPr>
                <w:rFonts w:ascii="Calibri Light" w:hAnsi="Calibri Light" w:cs="Calibri Light"/>
              </w:rPr>
              <w:t xml:space="preserve">Definition </w:t>
            </w:r>
          </w:p>
        </w:tc>
      </w:tr>
      <w:tr w:rsidR="00B23D9F" w:rsidRPr="00B23D9F" w14:paraId="73203BBC" w14:textId="77777777" w:rsidTr="00E04459">
        <w:tc>
          <w:tcPr>
            <w:tcW w:w="2122" w:type="dxa"/>
            <w:shd w:val="clear" w:color="auto" w:fill="auto"/>
          </w:tcPr>
          <w:p w14:paraId="20AE7B6A" w14:textId="4CADCB32" w:rsidR="00B23D9F" w:rsidRPr="00B23D9F" w:rsidRDefault="00B23D9F" w:rsidP="00E04459">
            <w:pPr>
              <w:spacing w:after="0" w:line="240" w:lineRule="auto"/>
              <w:rPr>
                <w:rFonts w:ascii="Calibri Light" w:hAnsi="Calibri Light" w:cs="Calibri Light"/>
                <w:sz w:val="18"/>
                <w:szCs w:val="18"/>
              </w:rPr>
            </w:pPr>
            <w:r w:rsidRPr="00B23D9F">
              <w:rPr>
                <w:rFonts w:ascii="Calibri Light" w:hAnsi="Calibri Light" w:cs="Calibri Light"/>
                <w:sz w:val="18"/>
                <w:szCs w:val="18"/>
              </w:rPr>
              <w:t>Schizotypal Personality Disorder (SPD)</w:t>
            </w:r>
          </w:p>
        </w:tc>
        <w:tc>
          <w:tcPr>
            <w:tcW w:w="2551" w:type="dxa"/>
            <w:shd w:val="clear" w:color="auto" w:fill="auto"/>
          </w:tcPr>
          <w:p w14:paraId="60C149C7" w14:textId="51879639" w:rsidR="00B23D9F" w:rsidRPr="00B23D9F" w:rsidRDefault="00B23D9F" w:rsidP="00B23D9F">
            <w:pPr>
              <w:spacing w:after="0" w:line="240" w:lineRule="auto"/>
              <w:rPr>
                <w:rFonts w:ascii="Calibri Light" w:hAnsi="Calibri Light" w:cs="Calibri Light"/>
                <w:sz w:val="18"/>
                <w:szCs w:val="18"/>
                <w:lang w:val="en-US"/>
              </w:rPr>
            </w:pPr>
            <w:r w:rsidRPr="00B23D9F">
              <w:rPr>
                <w:rFonts w:ascii="Calibri Light" w:hAnsi="Calibri Light" w:cs="Calibri Light"/>
                <w:sz w:val="18"/>
                <w:szCs w:val="18"/>
                <w:lang w:val="en-US"/>
              </w:rPr>
              <w:t xml:space="preserve">The Swedish Hospital Discharge Register (coverage </w:t>
            </w:r>
            <w:r>
              <w:rPr>
                <w:rFonts w:ascii="Calibri Light" w:hAnsi="Calibri Light" w:cs="Calibri Light"/>
                <w:sz w:val="18"/>
                <w:szCs w:val="18"/>
                <w:lang w:val="en-US"/>
              </w:rPr>
              <w:t>1997</w:t>
            </w:r>
            <w:r w:rsidRPr="00B23D9F">
              <w:rPr>
                <w:rFonts w:ascii="Calibri Light" w:hAnsi="Calibri Light" w:cs="Calibri Light"/>
                <w:sz w:val="18"/>
                <w:szCs w:val="18"/>
                <w:lang w:val="en-US"/>
              </w:rPr>
              <w:t>-2018); Outpatient Care Register (national coverage 2001-2018); Primary Care Registry (Partly coverage from 1999-2018)</w:t>
            </w:r>
          </w:p>
        </w:tc>
        <w:tc>
          <w:tcPr>
            <w:tcW w:w="4389" w:type="dxa"/>
            <w:shd w:val="clear" w:color="auto" w:fill="auto"/>
          </w:tcPr>
          <w:p w14:paraId="723840F0" w14:textId="3668F02C" w:rsidR="00B23D9F" w:rsidRPr="00B23D9F" w:rsidRDefault="00B23D9F" w:rsidP="00E04459">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ICD10: F21</w:t>
            </w:r>
          </w:p>
        </w:tc>
      </w:tr>
      <w:tr w:rsidR="00B23D9F" w:rsidRPr="00530806" w14:paraId="5E8841D2" w14:textId="77777777" w:rsidTr="00E04459">
        <w:tc>
          <w:tcPr>
            <w:tcW w:w="2122" w:type="dxa"/>
            <w:shd w:val="clear" w:color="auto" w:fill="auto"/>
          </w:tcPr>
          <w:p w14:paraId="7164C53B" w14:textId="75CDD9F7" w:rsidR="00B23D9F" w:rsidRPr="00B23D9F" w:rsidRDefault="00B23D9F" w:rsidP="00E04459">
            <w:pPr>
              <w:spacing w:after="0" w:line="240" w:lineRule="auto"/>
              <w:rPr>
                <w:rFonts w:ascii="Calibri Light" w:hAnsi="Calibri Light" w:cs="Calibri Light"/>
                <w:sz w:val="18"/>
                <w:szCs w:val="18"/>
                <w:lang w:val="en-US"/>
              </w:rPr>
            </w:pPr>
            <w:r w:rsidRPr="00B23D9F">
              <w:rPr>
                <w:rFonts w:ascii="Calibri Light" w:hAnsi="Calibri Light" w:cs="Calibri Light"/>
                <w:sz w:val="18"/>
                <w:szCs w:val="18"/>
                <w:lang w:val="en-US"/>
              </w:rPr>
              <w:t>Schizophrenia (SZ)</w:t>
            </w:r>
          </w:p>
        </w:tc>
        <w:tc>
          <w:tcPr>
            <w:tcW w:w="2551" w:type="dxa"/>
            <w:shd w:val="clear" w:color="auto" w:fill="auto"/>
          </w:tcPr>
          <w:p w14:paraId="41EF6CAF" w14:textId="01D1B7EF" w:rsidR="00B23D9F" w:rsidRPr="00B23D9F" w:rsidRDefault="00B23D9F" w:rsidP="00E04459">
            <w:pPr>
              <w:spacing w:after="0" w:line="240" w:lineRule="auto"/>
              <w:rPr>
                <w:rFonts w:ascii="Calibri Light" w:hAnsi="Calibri Light" w:cs="Calibri Light"/>
                <w:sz w:val="18"/>
                <w:szCs w:val="18"/>
                <w:lang w:val="en-US"/>
              </w:rPr>
            </w:pPr>
            <w:r w:rsidRPr="00B23D9F">
              <w:rPr>
                <w:rFonts w:ascii="Calibri Light" w:hAnsi="Calibri Light" w:cs="Calibri Light"/>
                <w:sz w:val="18"/>
                <w:szCs w:val="18"/>
                <w:lang w:val="en-US"/>
              </w:rPr>
              <w:t xml:space="preserve">The Swedish Hospital Discharge Register (coverage </w:t>
            </w:r>
            <w:r>
              <w:rPr>
                <w:rFonts w:ascii="Calibri Light" w:hAnsi="Calibri Light" w:cs="Calibri Light"/>
                <w:sz w:val="18"/>
                <w:szCs w:val="18"/>
                <w:lang w:val="en-US"/>
              </w:rPr>
              <w:t>1997</w:t>
            </w:r>
            <w:r w:rsidRPr="00B23D9F">
              <w:rPr>
                <w:rFonts w:ascii="Calibri Light" w:hAnsi="Calibri Light" w:cs="Calibri Light"/>
                <w:sz w:val="18"/>
                <w:szCs w:val="18"/>
                <w:lang w:val="en-US"/>
              </w:rPr>
              <w:t>-2018); Outpatient Care Register (national coverage 2001-2018); Primary Care Registry (Partly coverage from 1999-2018)</w:t>
            </w:r>
          </w:p>
        </w:tc>
        <w:tc>
          <w:tcPr>
            <w:tcW w:w="4389" w:type="dxa"/>
            <w:shd w:val="clear" w:color="auto" w:fill="auto"/>
          </w:tcPr>
          <w:p w14:paraId="19293FFB" w14:textId="590C8845" w:rsidR="00B23D9F" w:rsidRPr="00B23D9F" w:rsidRDefault="00B23D9F" w:rsidP="00E04459">
            <w:pPr>
              <w:spacing w:after="0" w:line="240" w:lineRule="auto"/>
              <w:rPr>
                <w:rFonts w:ascii="Calibri Light" w:hAnsi="Calibri Light" w:cs="Calibri Light"/>
                <w:sz w:val="18"/>
                <w:szCs w:val="18"/>
                <w:lang w:val="en-US"/>
              </w:rPr>
            </w:pPr>
            <w:r w:rsidRPr="00B23D9F">
              <w:rPr>
                <w:rFonts w:ascii="Calibri Light" w:hAnsi="Calibri Light" w:cs="Calibri Light"/>
                <w:sz w:val="18"/>
                <w:szCs w:val="18"/>
                <w:lang w:val="en-US"/>
              </w:rPr>
              <w:t>ICD-8: 295.1, 295.2, 2953, 295.9, 295.6; ICD-9: 295B, 295C, 295D, 295G, 295X; ICD-10: F200, F201, F202, F203, F205, F209</w:t>
            </w:r>
          </w:p>
        </w:tc>
      </w:tr>
      <w:tr w:rsidR="00A123EB" w:rsidRPr="00530806" w14:paraId="11500434" w14:textId="77777777" w:rsidTr="00E04459">
        <w:tc>
          <w:tcPr>
            <w:tcW w:w="2122" w:type="dxa"/>
            <w:shd w:val="clear" w:color="auto" w:fill="auto"/>
          </w:tcPr>
          <w:p w14:paraId="54D782DE" w14:textId="77777777" w:rsidR="00A123EB" w:rsidRPr="002146B6" w:rsidRDefault="00A123EB" w:rsidP="00E04459">
            <w:pPr>
              <w:spacing w:after="0" w:line="240" w:lineRule="auto"/>
              <w:rPr>
                <w:rFonts w:ascii="Calibri Light" w:hAnsi="Calibri Light" w:cs="Calibri Light"/>
                <w:sz w:val="18"/>
                <w:szCs w:val="18"/>
              </w:rPr>
            </w:pPr>
            <w:r w:rsidRPr="002146B6">
              <w:rPr>
                <w:rFonts w:ascii="Calibri Light" w:hAnsi="Calibri Light" w:cs="Calibri Light"/>
                <w:sz w:val="18"/>
                <w:szCs w:val="18"/>
              </w:rPr>
              <w:t>Major Depression (MD)</w:t>
            </w:r>
          </w:p>
        </w:tc>
        <w:tc>
          <w:tcPr>
            <w:tcW w:w="2551" w:type="dxa"/>
            <w:shd w:val="clear" w:color="auto" w:fill="auto"/>
          </w:tcPr>
          <w:p w14:paraId="6AC47269" w14:textId="77777777" w:rsidR="00A123EB" w:rsidRPr="00530806" w:rsidRDefault="00A123EB" w:rsidP="00E04459">
            <w:pPr>
              <w:spacing w:after="0" w:line="240" w:lineRule="auto"/>
              <w:rPr>
                <w:rFonts w:ascii="Calibri Light" w:hAnsi="Calibri Light" w:cs="Calibri Light"/>
                <w:sz w:val="18"/>
                <w:szCs w:val="18"/>
                <w:lang w:val="en-US"/>
              </w:rPr>
            </w:pPr>
            <w:r w:rsidRPr="00530806">
              <w:rPr>
                <w:rFonts w:ascii="Calibri Light" w:hAnsi="Calibri Light" w:cs="Calibri Light"/>
                <w:sz w:val="18"/>
                <w:szCs w:val="18"/>
                <w:lang w:val="en-US"/>
              </w:rPr>
              <w:t>The Swedish Hospital Discharge Register (coverage 1973-2018); Outpatient Care Register (national coverage 2001-2018); Primary Care Registry (Partly coverage from 1999-2018)</w:t>
            </w:r>
          </w:p>
        </w:tc>
        <w:tc>
          <w:tcPr>
            <w:tcW w:w="4389" w:type="dxa"/>
            <w:shd w:val="clear" w:color="auto" w:fill="auto"/>
          </w:tcPr>
          <w:p w14:paraId="0D661857" w14:textId="77777777" w:rsidR="00A123EB" w:rsidRPr="00530806" w:rsidRDefault="00A123EB" w:rsidP="00E04459">
            <w:pPr>
              <w:spacing w:after="0" w:line="240" w:lineRule="auto"/>
              <w:rPr>
                <w:rFonts w:ascii="Calibri Light" w:hAnsi="Calibri Light" w:cs="Calibri Light"/>
                <w:sz w:val="18"/>
                <w:szCs w:val="18"/>
                <w:lang w:val="en-US"/>
              </w:rPr>
            </w:pPr>
            <w:r w:rsidRPr="00530806">
              <w:rPr>
                <w:rFonts w:ascii="Calibri Light" w:hAnsi="Calibri Light" w:cs="Calibri Light"/>
                <w:sz w:val="18"/>
                <w:szCs w:val="18"/>
                <w:lang w:val="en-US"/>
              </w:rPr>
              <w:t>ICD-8: 296.2, 298.0, 300.4; ICD-9: 296.2, 296.4, 298.0, 300.4; ICD-10: F32, F33.</w:t>
            </w:r>
          </w:p>
          <w:p w14:paraId="20C06E31" w14:textId="77777777" w:rsidR="00A123EB" w:rsidRPr="00530806" w:rsidRDefault="00A123EB" w:rsidP="00E04459">
            <w:pPr>
              <w:spacing w:after="0" w:line="240" w:lineRule="auto"/>
              <w:rPr>
                <w:rFonts w:ascii="Calibri Light" w:hAnsi="Calibri Light" w:cs="Calibri Light"/>
                <w:sz w:val="18"/>
                <w:szCs w:val="18"/>
                <w:lang w:val="en-US"/>
              </w:rPr>
            </w:pPr>
          </w:p>
        </w:tc>
      </w:tr>
      <w:tr w:rsidR="00B23D9F" w:rsidRPr="00B23D9F" w14:paraId="350233F7" w14:textId="77777777" w:rsidTr="00E04459">
        <w:tc>
          <w:tcPr>
            <w:tcW w:w="2122" w:type="dxa"/>
            <w:shd w:val="clear" w:color="auto" w:fill="auto"/>
          </w:tcPr>
          <w:p w14:paraId="2A7BE8D1" w14:textId="626917F6" w:rsidR="00B23D9F" w:rsidRPr="002146B6" w:rsidRDefault="00B23D9F" w:rsidP="00B23D9F">
            <w:pPr>
              <w:spacing w:after="0" w:line="240" w:lineRule="auto"/>
              <w:rPr>
                <w:rFonts w:ascii="Calibri Light" w:hAnsi="Calibri Light" w:cs="Calibri Light"/>
                <w:sz w:val="18"/>
                <w:szCs w:val="18"/>
                <w:lang w:val="en-US"/>
              </w:rPr>
            </w:pPr>
            <w:r w:rsidRPr="006A1952">
              <w:rPr>
                <w:rFonts w:ascii="Calibri Light" w:hAnsi="Calibri Light" w:cs="Calibri Light"/>
                <w:sz w:val="18"/>
                <w:szCs w:val="18"/>
                <w:lang w:val="en-US"/>
              </w:rPr>
              <w:t>Obsessive-Compulsive Disorder [OCD]</w:t>
            </w:r>
          </w:p>
        </w:tc>
        <w:tc>
          <w:tcPr>
            <w:tcW w:w="2551" w:type="dxa"/>
            <w:shd w:val="clear" w:color="auto" w:fill="auto"/>
          </w:tcPr>
          <w:p w14:paraId="6E9F59B0" w14:textId="74C92E74" w:rsidR="00B23D9F" w:rsidRPr="002146B6" w:rsidRDefault="00B23D9F" w:rsidP="00B23D9F">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w:t>
            </w:r>
          </w:p>
        </w:tc>
        <w:tc>
          <w:tcPr>
            <w:tcW w:w="4389" w:type="dxa"/>
            <w:shd w:val="clear" w:color="auto" w:fill="auto"/>
          </w:tcPr>
          <w:p w14:paraId="7240A4E1" w14:textId="6507FC2B" w:rsidR="00B23D9F" w:rsidRPr="002146B6" w:rsidRDefault="00B23D9F" w:rsidP="00B23D9F">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 xml:space="preserve">ICD-9: </w:t>
            </w:r>
            <w:r>
              <w:rPr>
                <w:rFonts w:ascii="Calibri Light" w:hAnsi="Calibri Light" w:cs="Calibri Light"/>
                <w:sz w:val="18"/>
                <w:szCs w:val="18"/>
                <w:lang w:val="en-US"/>
              </w:rPr>
              <w:t xml:space="preserve">300D; </w:t>
            </w:r>
            <w:r w:rsidRPr="002146B6">
              <w:rPr>
                <w:rFonts w:ascii="Calibri Light" w:hAnsi="Calibri Light" w:cs="Calibri Light"/>
                <w:sz w:val="18"/>
                <w:szCs w:val="18"/>
                <w:lang w:val="en-US"/>
              </w:rPr>
              <w:t xml:space="preserve">ICD-10: </w:t>
            </w:r>
            <w:r>
              <w:rPr>
                <w:rFonts w:ascii="Calibri Light" w:hAnsi="Calibri Light" w:cs="Calibri Light"/>
                <w:sz w:val="18"/>
                <w:szCs w:val="18"/>
                <w:lang w:val="en-US"/>
              </w:rPr>
              <w:t>F42</w:t>
            </w:r>
          </w:p>
        </w:tc>
      </w:tr>
      <w:tr w:rsidR="00B23D9F" w:rsidRPr="00B23D9F" w14:paraId="4FDF6F65" w14:textId="77777777" w:rsidTr="00E04459">
        <w:tc>
          <w:tcPr>
            <w:tcW w:w="2122" w:type="dxa"/>
            <w:shd w:val="clear" w:color="auto" w:fill="auto"/>
          </w:tcPr>
          <w:p w14:paraId="43F17E52" w14:textId="556DA385" w:rsidR="00B23D9F" w:rsidRPr="002146B6" w:rsidRDefault="00B23D9F" w:rsidP="00B23D9F">
            <w:pPr>
              <w:spacing w:after="0" w:line="240" w:lineRule="auto"/>
              <w:rPr>
                <w:rFonts w:ascii="Calibri Light" w:hAnsi="Calibri Light" w:cs="Calibri Light"/>
                <w:sz w:val="18"/>
                <w:szCs w:val="18"/>
                <w:lang w:val="en-US"/>
              </w:rPr>
            </w:pPr>
            <w:r w:rsidRPr="006A1952">
              <w:rPr>
                <w:rFonts w:ascii="Calibri Light" w:hAnsi="Calibri Light" w:cs="Calibri Light"/>
                <w:sz w:val="18"/>
                <w:szCs w:val="18"/>
                <w:lang w:val="en-US"/>
              </w:rPr>
              <w:t>ADHD</w:t>
            </w:r>
          </w:p>
        </w:tc>
        <w:tc>
          <w:tcPr>
            <w:tcW w:w="2551" w:type="dxa"/>
            <w:shd w:val="clear" w:color="auto" w:fill="auto"/>
          </w:tcPr>
          <w:p w14:paraId="2287E98E" w14:textId="6A26FC75" w:rsidR="00B23D9F" w:rsidRPr="002146B6" w:rsidRDefault="00B23D9F" w:rsidP="00B23D9F">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w:t>
            </w:r>
          </w:p>
        </w:tc>
        <w:tc>
          <w:tcPr>
            <w:tcW w:w="4389" w:type="dxa"/>
            <w:shd w:val="clear" w:color="auto" w:fill="auto"/>
          </w:tcPr>
          <w:p w14:paraId="5317B74A" w14:textId="74AFF7DB" w:rsidR="00B23D9F" w:rsidRPr="002146B6" w:rsidRDefault="00B23D9F" w:rsidP="00B23D9F">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 xml:space="preserve">ICD-9: </w:t>
            </w:r>
            <w:r>
              <w:rPr>
                <w:rFonts w:ascii="Calibri Light" w:hAnsi="Calibri Light" w:cs="Calibri Light"/>
                <w:sz w:val="18"/>
                <w:szCs w:val="18"/>
                <w:lang w:val="en-US"/>
              </w:rPr>
              <w:t>314</w:t>
            </w:r>
            <w:r w:rsidRPr="002146B6">
              <w:rPr>
                <w:rFonts w:ascii="Calibri Light" w:hAnsi="Calibri Light" w:cs="Calibri Light"/>
                <w:sz w:val="18"/>
                <w:szCs w:val="18"/>
                <w:lang w:val="en-US"/>
              </w:rPr>
              <w:t xml:space="preserve">; ICD-10: </w:t>
            </w:r>
            <w:r>
              <w:rPr>
                <w:rFonts w:ascii="Calibri Light" w:hAnsi="Calibri Light" w:cs="Calibri Light"/>
                <w:sz w:val="18"/>
                <w:szCs w:val="18"/>
                <w:lang w:val="en-US"/>
              </w:rPr>
              <w:t>F90</w:t>
            </w:r>
          </w:p>
        </w:tc>
      </w:tr>
      <w:tr w:rsidR="00B23D9F" w:rsidRPr="00530806" w14:paraId="4E5F40B8" w14:textId="77777777" w:rsidTr="00E04459">
        <w:tc>
          <w:tcPr>
            <w:tcW w:w="2122" w:type="dxa"/>
            <w:shd w:val="clear" w:color="auto" w:fill="auto"/>
          </w:tcPr>
          <w:p w14:paraId="0FCDB709" w14:textId="17843029" w:rsidR="00B23D9F" w:rsidRPr="002146B6" w:rsidRDefault="00B23D9F" w:rsidP="00B23D9F">
            <w:pPr>
              <w:spacing w:after="0" w:line="240" w:lineRule="auto"/>
              <w:rPr>
                <w:rFonts w:ascii="Calibri Light" w:hAnsi="Calibri Light" w:cs="Calibri Light"/>
                <w:sz w:val="18"/>
                <w:szCs w:val="18"/>
                <w:lang w:val="en-US"/>
              </w:rPr>
            </w:pPr>
            <w:r w:rsidRPr="006A1952">
              <w:rPr>
                <w:rFonts w:ascii="Calibri Light" w:hAnsi="Calibri Light" w:cs="Calibri Light"/>
                <w:sz w:val="18"/>
                <w:szCs w:val="18"/>
                <w:lang w:val="en-US"/>
              </w:rPr>
              <w:t>Autism spectrum disorder (ASD)</w:t>
            </w:r>
          </w:p>
        </w:tc>
        <w:tc>
          <w:tcPr>
            <w:tcW w:w="2551" w:type="dxa"/>
            <w:shd w:val="clear" w:color="auto" w:fill="auto"/>
          </w:tcPr>
          <w:p w14:paraId="61F39588" w14:textId="1BEC8E4C" w:rsidR="00B23D9F" w:rsidRPr="002146B6" w:rsidRDefault="00B23D9F" w:rsidP="00B23D9F">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The Swedish Hospital Discharge Register (coverage 1973-2017); Outpatient Care Register (national coverage 2001-2017); Primary Care Registry (Partly coverage from 1999-2017)</w:t>
            </w:r>
          </w:p>
        </w:tc>
        <w:tc>
          <w:tcPr>
            <w:tcW w:w="4389" w:type="dxa"/>
            <w:shd w:val="clear" w:color="auto" w:fill="auto"/>
          </w:tcPr>
          <w:p w14:paraId="58BC6443" w14:textId="0C4CF9D4" w:rsidR="00B23D9F" w:rsidRPr="002146B6" w:rsidRDefault="00B23D9F" w:rsidP="00B23D9F">
            <w:pPr>
              <w:spacing w:after="0" w:line="240" w:lineRule="auto"/>
              <w:rPr>
                <w:rFonts w:ascii="Calibri Light" w:hAnsi="Calibri Light" w:cs="Calibri Light"/>
                <w:sz w:val="18"/>
                <w:szCs w:val="18"/>
                <w:lang w:val="en-US"/>
              </w:rPr>
            </w:pPr>
            <w:r w:rsidRPr="002146B6">
              <w:rPr>
                <w:rFonts w:ascii="Calibri Light" w:hAnsi="Calibri Light" w:cs="Calibri Light"/>
                <w:sz w:val="18"/>
                <w:szCs w:val="18"/>
                <w:lang w:val="en-US"/>
              </w:rPr>
              <w:t xml:space="preserve">ICD-9: </w:t>
            </w:r>
            <w:r>
              <w:rPr>
                <w:rFonts w:ascii="Calibri Light" w:hAnsi="Calibri Light" w:cs="Calibri Light"/>
                <w:sz w:val="18"/>
                <w:szCs w:val="18"/>
                <w:lang w:val="en-US"/>
              </w:rPr>
              <w:t>299</w:t>
            </w:r>
            <w:r w:rsidRPr="002146B6">
              <w:rPr>
                <w:rFonts w:ascii="Calibri Light" w:hAnsi="Calibri Light" w:cs="Calibri Light"/>
                <w:sz w:val="18"/>
                <w:szCs w:val="18"/>
                <w:lang w:val="en-US"/>
              </w:rPr>
              <w:t xml:space="preserve">; ICD-10: </w:t>
            </w:r>
            <w:r>
              <w:rPr>
                <w:rFonts w:ascii="Calibri Light" w:hAnsi="Calibri Light" w:cs="Calibri Light"/>
                <w:sz w:val="18"/>
                <w:szCs w:val="18"/>
                <w:lang w:val="en-US"/>
              </w:rPr>
              <w:t>F840, F841, F845, F849</w:t>
            </w:r>
          </w:p>
        </w:tc>
      </w:tr>
      <w:tr w:rsidR="001C3CC4" w:rsidRPr="00530806" w14:paraId="1087D1D5" w14:textId="622DE6AC" w:rsidTr="00E04459">
        <w:tc>
          <w:tcPr>
            <w:tcW w:w="2122" w:type="dxa"/>
            <w:shd w:val="clear" w:color="auto" w:fill="auto"/>
          </w:tcPr>
          <w:p w14:paraId="7DBABC13" w14:textId="26E5ACC2" w:rsidR="001C3CC4" w:rsidRPr="006A1952" w:rsidRDefault="001C3CC4" w:rsidP="001C3CC4">
            <w:pPr>
              <w:spacing w:after="0" w:line="240" w:lineRule="auto"/>
              <w:rPr>
                <w:rFonts w:ascii="Calibri Light" w:hAnsi="Calibri Light" w:cs="Calibri Light"/>
                <w:sz w:val="18"/>
                <w:szCs w:val="18"/>
                <w:lang w:val="en-US"/>
              </w:rPr>
            </w:pPr>
            <w:r w:rsidRPr="001C3CC4">
              <w:rPr>
                <w:rFonts w:ascii="Calibri Light" w:hAnsi="Calibri Light" w:cs="Calibri Light"/>
                <w:sz w:val="18"/>
                <w:szCs w:val="18"/>
                <w:lang w:val="en-US"/>
              </w:rPr>
              <w:t>Drug Use Disorder (DUD))</w:t>
            </w:r>
          </w:p>
        </w:tc>
        <w:tc>
          <w:tcPr>
            <w:tcW w:w="2551" w:type="dxa"/>
            <w:shd w:val="clear" w:color="auto" w:fill="auto"/>
          </w:tcPr>
          <w:p w14:paraId="7FCE1D02" w14:textId="01BF6470" w:rsidR="001C3CC4" w:rsidRPr="002146B6" w:rsidRDefault="001C3CC4" w:rsidP="001C3CC4">
            <w:pPr>
              <w:spacing w:after="0" w:line="240" w:lineRule="auto"/>
              <w:rPr>
                <w:rFonts w:ascii="Calibri Light" w:hAnsi="Calibri Light" w:cs="Calibri Light"/>
                <w:sz w:val="18"/>
                <w:szCs w:val="18"/>
                <w:lang w:val="en-US"/>
              </w:rPr>
            </w:pPr>
            <w:r w:rsidRPr="001C3CC4">
              <w:rPr>
                <w:rFonts w:ascii="Calibri Light" w:hAnsi="Calibri Light" w:cs="Calibri Light"/>
                <w:sz w:val="18"/>
                <w:szCs w:val="18"/>
                <w:lang w:val="en-US"/>
              </w:rPr>
              <w:t>The Swedish Hospital Discharge Register (coverage 1973-2018); Outpatient Care Register (national coverage 2001-2018); Primary Care Registry (Partly coverage from 1999-2018); the Swedish Drug Register (2005-2018); the Swedish Mortality Register, and the Swedish Criminal Register (1973-2018) and the Swedish Suspicion Register (1998-2018)</w:t>
            </w:r>
          </w:p>
        </w:tc>
        <w:tc>
          <w:tcPr>
            <w:tcW w:w="4389" w:type="dxa"/>
            <w:shd w:val="clear" w:color="auto" w:fill="auto"/>
          </w:tcPr>
          <w:p w14:paraId="213BDC86" w14:textId="128A6413" w:rsidR="001C3CC4" w:rsidRPr="002146B6" w:rsidRDefault="001C3CC4" w:rsidP="001C3CC4">
            <w:pPr>
              <w:spacing w:after="0" w:line="240" w:lineRule="auto"/>
              <w:rPr>
                <w:rFonts w:ascii="Calibri Light" w:hAnsi="Calibri Light" w:cs="Calibri Light"/>
                <w:sz w:val="18"/>
                <w:szCs w:val="18"/>
                <w:lang w:val="en-US"/>
              </w:rPr>
            </w:pPr>
            <w:r w:rsidRPr="001C3CC4">
              <w:rPr>
                <w:rFonts w:ascii="Calibri Light" w:hAnsi="Calibri Light" w:cs="Calibri Light"/>
                <w:sz w:val="18"/>
                <w:szCs w:val="18"/>
                <w:lang w:val="en-US"/>
              </w:rPr>
              <w:t>Drug abuse (DA) was identified in the Swedish medical and mortality registries by ICD codes (ICD8: Drug dependence (304); ICD9: Drug psychoses (292) and Drug dependence (304); ICD10: Mental and behavioral disorders due to psychoactive substance use (F10-F19), except those due to alcohol (F10) or tobacco (F17)); in the Suspicion Register by codes 3070, 5010, 5011, and 5012, that reflect crimes related to DA; and in the Crime Register by references to laws covering narcotics (law 1968:64, paragraph 1, point 6) and drug-related driving offences (law 1951:649, paragraph 4, subsection 2 and paragraph 4A, subsection 2). DA was identified in individuals (excluding those suffering from cancer) in the Prescribed Drug Register who had retrieved (in average) more than four defined daily doses a day for 12 months from either of Hypnotics and Sedatives (Anatomical Therapeutic Chemical (ATC) Classification System N05C and N05BA) or Opioids (ATC: N02A).</w:t>
            </w:r>
          </w:p>
        </w:tc>
      </w:tr>
      <w:tr w:rsidR="00B23D9F" w:rsidRPr="00530806" w14:paraId="197EF29D" w14:textId="77777777" w:rsidTr="00E04459">
        <w:tc>
          <w:tcPr>
            <w:tcW w:w="2122" w:type="dxa"/>
            <w:shd w:val="clear" w:color="auto" w:fill="auto"/>
          </w:tcPr>
          <w:p w14:paraId="73928AEC" w14:textId="77777777"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U</w:t>
            </w:r>
            <w:r w:rsidRPr="00933127">
              <w:rPr>
                <w:rFonts w:ascii="Calibri Light" w:hAnsi="Calibri Light" w:cs="Calibri Light"/>
                <w:sz w:val="18"/>
                <w:szCs w:val="18"/>
                <w:lang w:val="en-US"/>
              </w:rPr>
              <w:t>nemployment status</w:t>
            </w:r>
            <w:r>
              <w:rPr>
                <w:rFonts w:ascii="Calibri Light" w:hAnsi="Calibri Light" w:cs="Calibri Light"/>
                <w:sz w:val="18"/>
                <w:szCs w:val="18"/>
                <w:lang w:val="en-US"/>
              </w:rPr>
              <w:t xml:space="preserve"> </w:t>
            </w:r>
          </w:p>
        </w:tc>
        <w:tc>
          <w:tcPr>
            <w:tcW w:w="2551" w:type="dxa"/>
            <w:shd w:val="clear" w:color="auto" w:fill="auto"/>
          </w:tcPr>
          <w:p w14:paraId="57E87658" w14:textId="77777777" w:rsidR="00B23D9F" w:rsidRPr="002146B6" w:rsidRDefault="00B23D9F" w:rsidP="00B23D9F">
            <w:pPr>
              <w:spacing w:after="0" w:line="240" w:lineRule="auto"/>
              <w:rPr>
                <w:rFonts w:ascii="Calibri Light" w:hAnsi="Calibri Light" w:cs="Calibri Light"/>
                <w:sz w:val="18"/>
                <w:szCs w:val="18"/>
                <w:lang w:val="en-US"/>
              </w:rPr>
            </w:pPr>
            <w:r w:rsidRPr="00C72920">
              <w:rPr>
                <w:rFonts w:ascii="Calibri Light" w:hAnsi="Calibri Light" w:cs="Calibri Light"/>
                <w:sz w:val="18"/>
                <w:szCs w:val="18"/>
                <w:lang w:val="en-US"/>
              </w:rPr>
              <w:t>Longitudinal integrated database for health insurance and labour market studies (LISA)</w:t>
            </w:r>
          </w:p>
        </w:tc>
        <w:tc>
          <w:tcPr>
            <w:tcW w:w="4389" w:type="dxa"/>
            <w:shd w:val="clear" w:color="auto" w:fill="auto"/>
          </w:tcPr>
          <w:p w14:paraId="0C10FC7E" w14:textId="77777777" w:rsidR="00B23D9F" w:rsidRDefault="00B23D9F" w:rsidP="00B23D9F">
            <w:pPr>
              <w:spacing w:after="0" w:line="240" w:lineRule="auto"/>
              <w:rPr>
                <w:rFonts w:ascii="Calibri Light" w:hAnsi="Calibri Light" w:cs="Calibri Light"/>
                <w:sz w:val="18"/>
                <w:szCs w:val="18"/>
                <w:lang w:val="en-US"/>
              </w:rPr>
            </w:pPr>
            <w:r w:rsidRPr="00933127">
              <w:rPr>
                <w:rFonts w:ascii="Calibri Light" w:hAnsi="Calibri Light" w:cs="Calibri Light"/>
                <w:sz w:val="18"/>
                <w:szCs w:val="18"/>
                <w:lang w:val="en-US"/>
              </w:rPr>
              <w:t xml:space="preserve">In order to be entitled to unemployment benefits the following requirements needs to be fulfilled. The individual is: unemployed (fully or partially); able to work at least 3 hours a day and 17 hours a week; registered as </w:t>
            </w:r>
            <w:r w:rsidRPr="00933127">
              <w:rPr>
                <w:rFonts w:ascii="Calibri Light" w:hAnsi="Calibri Light" w:cs="Calibri Light"/>
                <w:sz w:val="18"/>
                <w:szCs w:val="18"/>
                <w:lang w:val="en-US"/>
              </w:rPr>
              <w:lastRenderedPageBreak/>
              <w:t>a jobseeker at the Employment Service; prepared to take the offer of suitable work or employment; actively seeking for a suitable job.</w:t>
            </w:r>
          </w:p>
          <w:p w14:paraId="02B31E2E" w14:textId="17D1B14D"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 xml:space="preserve">In our models we consider an individual as </w:t>
            </w:r>
            <w:proofErr w:type="gramStart"/>
            <w:r>
              <w:rPr>
                <w:rFonts w:ascii="Calibri Light" w:hAnsi="Calibri Light" w:cs="Calibri Light"/>
                <w:sz w:val="18"/>
                <w:szCs w:val="18"/>
                <w:lang w:val="en-US"/>
              </w:rPr>
              <w:t>unemployed  if</w:t>
            </w:r>
            <w:proofErr w:type="gramEnd"/>
            <w:r>
              <w:rPr>
                <w:rFonts w:ascii="Calibri Light" w:hAnsi="Calibri Light" w:cs="Calibri Light"/>
                <w:sz w:val="18"/>
                <w:szCs w:val="18"/>
                <w:lang w:val="en-US"/>
              </w:rPr>
              <w:t xml:space="preserve"> he/she has a registration anytime during the period 1992 and 2018 (during years they are above 20 years old)</w:t>
            </w:r>
          </w:p>
          <w:p w14:paraId="2C998B3A" w14:textId="77777777" w:rsidR="00B23D9F" w:rsidRPr="002146B6" w:rsidRDefault="00B23D9F" w:rsidP="00B23D9F">
            <w:pPr>
              <w:spacing w:after="0" w:line="240" w:lineRule="auto"/>
              <w:rPr>
                <w:rFonts w:ascii="Calibri Light" w:hAnsi="Calibri Light" w:cs="Calibri Light"/>
                <w:sz w:val="18"/>
                <w:szCs w:val="18"/>
                <w:lang w:val="en-US"/>
              </w:rPr>
            </w:pPr>
          </w:p>
        </w:tc>
      </w:tr>
      <w:tr w:rsidR="00B23D9F" w:rsidRPr="00530806" w14:paraId="7FC21C63" w14:textId="77777777" w:rsidTr="00E04459">
        <w:tc>
          <w:tcPr>
            <w:tcW w:w="2122" w:type="dxa"/>
            <w:shd w:val="clear" w:color="auto" w:fill="auto"/>
          </w:tcPr>
          <w:p w14:paraId="362E208A" w14:textId="77777777"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lastRenderedPageBreak/>
              <w:t>S</w:t>
            </w:r>
            <w:r w:rsidRPr="00933127">
              <w:rPr>
                <w:rFonts w:ascii="Calibri Light" w:hAnsi="Calibri Light" w:cs="Calibri Light"/>
                <w:sz w:val="18"/>
                <w:szCs w:val="18"/>
                <w:lang w:val="en-US"/>
              </w:rPr>
              <w:t>ocial welfare recipient</w:t>
            </w:r>
            <w:r>
              <w:rPr>
                <w:rFonts w:ascii="Calibri Light" w:hAnsi="Calibri Light" w:cs="Calibri Light"/>
                <w:sz w:val="18"/>
                <w:szCs w:val="18"/>
                <w:lang w:val="en-US"/>
              </w:rPr>
              <w:t xml:space="preserve"> </w:t>
            </w:r>
          </w:p>
        </w:tc>
        <w:tc>
          <w:tcPr>
            <w:tcW w:w="2551" w:type="dxa"/>
            <w:shd w:val="clear" w:color="auto" w:fill="auto"/>
          </w:tcPr>
          <w:p w14:paraId="22A32E1E" w14:textId="77777777" w:rsidR="00B23D9F" w:rsidRPr="002146B6" w:rsidRDefault="00B23D9F" w:rsidP="00B23D9F">
            <w:pPr>
              <w:spacing w:after="0" w:line="240" w:lineRule="auto"/>
              <w:rPr>
                <w:rFonts w:ascii="Calibri Light" w:hAnsi="Calibri Light" w:cs="Calibri Light"/>
                <w:sz w:val="18"/>
                <w:szCs w:val="18"/>
                <w:lang w:val="en-US"/>
              </w:rPr>
            </w:pPr>
            <w:r w:rsidRPr="00C72920">
              <w:rPr>
                <w:rFonts w:ascii="Calibri Light" w:hAnsi="Calibri Light" w:cs="Calibri Light"/>
                <w:sz w:val="18"/>
                <w:szCs w:val="18"/>
                <w:lang w:val="en-US"/>
              </w:rPr>
              <w:t>Longitudinal integrated database for health insurance and labour market studies (LISA)</w:t>
            </w:r>
          </w:p>
        </w:tc>
        <w:tc>
          <w:tcPr>
            <w:tcW w:w="4389" w:type="dxa"/>
            <w:shd w:val="clear" w:color="auto" w:fill="auto"/>
          </w:tcPr>
          <w:p w14:paraId="692D0286" w14:textId="1A2F9AEC" w:rsidR="00B23D9F" w:rsidRDefault="00B23D9F" w:rsidP="00B23D9F">
            <w:pPr>
              <w:spacing w:after="0" w:line="240" w:lineRule="auto"/>
              <w:rPr>
                <w:rFonts w:ascii="Calibri Light" w:hAnsi="Calibri Light" w:cs="Calibri Light"/>
                <w:sz w:val="18"/>
                <w:szCs w:val="18"/>
                <w:lang w:val="en-US"/>
              </w:rPr>
            </w:pPr>
            <w:r w:rsidRPr="00933127">
              <w:rPr>
                <w:rFonts w:ascii="Calibri Light" w:hAnsi="Calibri Light" w:cs="Calibri Light"/>
                <w:sz w:val="18"/>
                <w:szCs w:val="18"/>
                <w:lang w:val="en-US"/>
              </w:rPr>
              <w:t xml:space="preserve">Social assistance is defined as financial support under the Social Services Act. You can receive support for your upkeep and for other items that you need to have a reasonable standard of living. Examples of common situations when social assistance is given: As an income supplement to low-income families; for unemployed when other unemployment assistance is not provided or is insufficient; when sickness benefits are insufficient or not provided; to those who are bound by the children in the home and </w:t>
            </w:r>
            <w:proofErr w:type="spellStart"/>
            <w:r w:rsidRPr="00933127">
              <w:rPr>
                <w:rFonts w:ascii="Calibri Light" w:hAnsi="Calibri Light" w:cs="Calibri Light"/>
                <w:sz w:val="18"/>
                <w:szCs w:val="18"/>
                <w:lang w:val="en-US"/>
              </w:rPr>
              <w:t>can not</w:t>
            </w:r>
            <w:proofErr w:type="spellEnd"/>
            <w:r w:rsidRPr="00933127">
              <w:rPr>
                <w:rFonts w:ascii="Calibri Light" w:hAnsi="Calibri Light" w:cs="Calibri Light"/>
                <w:sz w:val="18"/>
                <w:szCs w:val="18"/>
                <w:lang w:val="en-US"/>
              </w:rPr>
              <w:t xml:space="preserve"> get childcare and therefore not can seek work. The variable is recorded at the family level, which means that all individuals in a family with social assistance will, in this report, be counted as recipients of Social </w:t>
            </w:r>
            <w:proofErr w:type="gramStart"/>
            <w:r w:rsidRPr="00933127">
              <w:rPr>
                <w:rFonts w:ascii="Calibri Light" w:hAnsi="Calibri Light" w:cs="Calibri Light"/>
                <w:sz w:val="18"/>
                <w:szCs w:val="18"/>
                <w:lang w:val="en-US"/>
              </w:rPr>
              <w:t>welfare .</w:t>
            </w:r>
            <w:proofErr w:type="gramEnd"/>
            <w:r>
              <w:rPr>
                <w:rFonts w:ascii="Calibri Light" w:hAnsi="Calibri Light" w:cs="Calibri Light"/>
                <w:sz w:val="18"/>
                <w:szCs w:val="18"/>
                <w:lang w:val="en-US"/>
              </w:rPr>
              <w:t xml:space="preserve">  </w:t>
            </w:r>
          </w:p>
          <w:p w14:paraId="21D78696" w14:textId="2B4D2E49"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 xml:space="preserve">In our models we consider an individual as </w:t>
            </w:r>
            <w:proofErr w:type="gramStart"/>
            <w:r>
              <w:rPr>
                <w:rFonts w:ascii="Calibri Light" w:hAnsi="Calibri Light" w:cs="Calibri Light"/>
                <w:sz w:val="18"/>
                <w:szCs w:val="18"/>
                <w:lang w:val="en-US"/>
              </w:rPr>
              <w:t>unemployed  if</w:t>
            </w:r>
            <w:proofErr w:type="gramEnd"/>
            <w:r>
              <w:rPr>
                <w:rFonts w:ascii="Calibri Light" w:hAnsi="Calibri Light" w:cs="Calibri Light"/>
                <w:sz w:val="18"/>
                <w:szCs w:val="18"/>
                <w:lang w:val="en-US"/>
              </w:rPr>
              <w:t xml:space="preserve"> he/she has a registration anytime during the period 1992 and 2018</w:t>
            </w:r>
          </w:p>
          <w:p w14:paraId="27443C18" w14:textId="77777777" w:rsidR="00B23D9F" w:rsidRPr="002146B6" w:rsidRDefault="00B23D9F" w:rsidP="00B23D9F">
            <w:pPr>
              <w:spacing w:after="0" w:line="240" w:lineRule="auto"/>
              <w:rPr>
                <w:rFonts w:ascii="Calibri Light" w:hAnsi="Calibri Light" w:cs="Calibri Light"/>
                <w:sz w:val="18"/>
                <w:szCs w:val="18"/>
                <w:lang w:val="en-US"/>
              </w:rPr>
            </w:pPr>
          </w:p>
        </w:tc>
      </w:tr>
      <w:tr w:rsidR="00B23D9F" w:rsidRPr="00530806" w14:paraId="24821DF7" w14:textId="77777777" w:rsidTr="00E04459">
        <w:tc>
          <w:tcPr>
            <w:tcW w:w="2122" w:type="dxa"/>
            <w:shd w:val="clear" w:color="auto" w:fill="auto"/>
          </w:tcPr>
          <w:p w14:paraId="54C80098" w14:textId="77777777"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Divorce</w:t>
            </w:r>
          </w:p>
        </w:tc>
        <w:tc>
          <w:tcPr>
            <w:tcW w:w="2551" w:type="dxa"/>
            <w:shd w:val="clear" w:color="auto" w:fill="auto"/>
          </w:tcPr>
          <w:p w14:paraId="17CBA029" w14:textId="77777777" w:rsidR="00B23D9F" w:rsidRPr="002146B6"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Register of Total Population</w:t>
            </w:r>
          </w:p>
        </w:tc>
        <w:tc>
          <w:tcPr>
            <w:tcW w:w="4389" w:type="dxa"/>
            <w:shd w:val="clear" w:color="auto" w:fill="auto"/>
          </w:tcPr>
          <w:p w14:paraId="79CC0FAB" w14:textId="7BAFB926" w:rsidR="00B23D9F" w:rsidRPr="002146B6"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Divorce is defined as the first divorce anytime in individuals who are registered as married</w:t>
            </w:r>
          </w:p>
        </w:tc>
      </w:tr>
      <w:tr w:rsidR="00B23D9F" w:rsidRPr="00530806" w14:paraId="07345D83" w14:textId="77777777" w:rsidTr="00E04459">
        <w:tc>
          <w:tcPr>
            <w:tcW w:w="2122" w:type="dxa"/>
            <w:shd w:val="clear" w:color="auto" w:fill="auto"/>
          </w:tcPr>
          <w:p w14:paraId="14BCC0EE" w14:textId="420AAFAA"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Not Married</w:t>
            </w:r>
          </w:p>
        </w:tc>
        <w:tc>
          <w:tcPr>
            <w:tcW w:w="2551" w:type="dxa"/>
            <w:shd w:val="clear" w:color="auto" w:fill="auto"/>
          </w:tcPr>
          <w:p w14:paraId="28423431" w14:textId="65CF0614"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Register of Total Population</w:t>
            </w:r>
          </w:p>
        </w:tc>
        <w:tc>
          <w:tcPr>
            <w:tcW w:w="4389" w:type="dxa"/>
            <w:shd w:val="clear" w:color="auto" w:fill="auto"/>
          </w:tcPr>
          <w:p w14:paraId="379917D7" w14:textId="226B4E6D"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 xml:space="preserve">Married is defined as the first marriage (could occur </w:t>
            </w:r>
            <w:proofErr w:type="gramStart"/>
            <w:r>
              <w:rPr>
                <w:rFonts w:ascii="Calibri Light" w:hAnsi="Calibri Light" w:cs="Calibri Light"/>
                <w:sz w:val="18"/>
                <w:szCs w:val="18"/>
                <w:lang w:val="en-US"/>
              </w:rPr>
              <w:t>anytime  during</w:t>
            </w:r>
            <w:proofErr w:type="gramEnd"/>
            <w:r>
              <w:rPr>
                <w:rFonts w:ascii="Calibri Light" w:hAnsi="Calibri Light" w:cs="Calibri Light"/>
                <w:sz w:val="18"/>
                <w:szCs w:val="18"/>
                <w:lang w:val="en-US"/>
              </w:rPr>
              <w:t xml:space="preserve"> our follow up period) </w:t>
            </w:r>
          </w:p>
        </w:tc>
      </w:tr>
      <w:tr w:rsidR="00B23D9F" w:rsidRPr="00530806" w14:paraId="1113A335" w14:textId="77777777" w:rsidTr="00E04459">
        <w:tc>
          <w:tcPr>
            <w:tcW w:w="2122" w:type="dxa"/>
            <w:shd w:val="clear" w:color="auto" w:fill="auto"/>
          </w:tcPr>
          <w:p w14:paraId="173C9DBF" w14:textId="0E291E72"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Low Education</w:t>
            </w:r>
          </w:p>
        </w:tc>
        <w:tc>
          <w:tcPr>
            <w:tcW w:w="2551" w:type="dxa"/>
            <w:shd w:val="clear" w:color="auto" w:fill="auto"/>
          </w:tcPr>
          <w:p w14:paraId="0B7C5892" w14:textId="36BB7E80" w:rsidR="00B23D9F" w:rsidRDefault="00B23D9F" w:rsidP="00B23D9F">
            <w:pPr>
              <w:spacing w:after="0" w:line="240" w:lineRule="auto"/>
              <w:rPr>
                <w:rFonts w:ascii="Calibri Light" w:hAnsi="Calibri Light" w:cs="Calibri Light"/>
                <w:sz w:val="18"/>
                <w:szCs w:val="18"/>
                <w:lang w:val="en-US"/>
              </w:rPr>
            </w:pPr>
            <w:r w:rsidRPr="00B23D9F">
              <w:rPr>
                <w:rFonts w:ascii="Calibri Light" w:hAnsi="Calibri Light" w:cs="Calibri Light"/>
                <w:sz w:val="18"/>
                <w:szCs w:val="18"/>
                <w:lang w:val="en-US"/>
              </w:rPr>
              <w:t>The longitudinal integration database for health insurance and labor market studies (LISA) from 1990-2017 and The Swedish Census from 1970.</w:t>
            </w:r>
          </w:p>
        </w:tc>
        <w:tc>
          <w:tcPr>
            <w:tcW w:w="4389" w:type="dxa"/>
            <w:shd w:val="clear" w:color="auto" w:fill="auto"/>
          </w:tcPr>
          <w:p w14:paraId="2CD365F3" w14:textId="00ACBE8F" w:rsidR="00B23D9F" w:rsidRDefault="00B23D9F" w:rsidP="00B23D9F">
            <w:pPr>
              <w:spacing w:after="0" w:line="240" w:lineRule="auto"/>
              <w:rPr>
                <w:rFonts w:ascii="Calibri Light" w:hAnsi="Calibri Light" w:cs="Calibri Light"/>
                <w:sz w:val="18"/>
                <w:szCs w:val="18"/>
                <w:lang w:val="en-US"/>
              </w:rPr>
            </w:pPr>
            <w:r w:rsidRPr="00B23D9F">
              <w:rPr>
                <w:rFonts w:ascii="Calibri Light" w:hAnsi="Calibri Light" w:cs="Calibri Light"/>
                <w:sz w:val="18"/>
                <w:szCs w:val="18"/>
                <w:lang w:val="en-US"/>
              </w:rPr>
              <w:t xml:space="preserve">Highest achieved education measured in 1-7 levels that in turn were translated into number of years of education and then standardized with mean 0 and SD 1 by gender and year of birth. </w:t>
            </w:r>
            <w:r>
              <w:rPr>
                <w:rFonts w:ascii="Calibri Light" w:hAnsi="Calibri Light" w:cs="Calibri Light"/>
                <w:sz w:val="18"/>
                <w:szCs w:val="18"/>
                <w:lang w:val="en-US"/>
              </w:rPr>
              <w:t xml:space="preserve"> In the registers the variable are as follows:</w:t>
            </w:r>
          </w:p>
          <w:p w14:paraId="44FAE5D5" w14:textId="77777777" w:rsidR="00B23D9F" w:rsidRPr="00FD26F3"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1-Pre-high school (7 years)</w:t>
            </w:r>
          </w:p>
          <w:p w14:paraId="684FEBF3" w14:textId="77777777" w:rsidR="00B23D9F" w:rsidRPr="00FD26F3"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2-</w:t>
            </w:r>
            <w:r w:rsidRPr="00FD26F3">
              <w:rPr>
                <w:rFonts w:ascii="Calibri Light" w:hAnsi="Calibri Light" w:cs="Calibri Light"/>
                <w:sz w:val="18"/>
                <w:szCs w:val="18"/>
                <w:lang w:val="en-US"/>
              </w:rPr>
              <w:t xml:space="preserve">High School </w:t>
            </w:r>
            <w:r>
              <w:rPr>
                <w:rFonts w:ascii="Calibri Light" w:hAnsi="Calibri Light" w:cs="Calibri Light"/>
                <w:sz w:val="18"/>
                <w:szCs w:val="18"/>
                <w:lang w:val="en-US"/>
              </w:rPr>
              <w:t>(</w:t>
            </w:r>
            <w:r w:rsidRPr="00FD26F3">
              <w:rPr>
                <w:rFonts w:ascii="Calibri Light" w:hAnsi="Calibri Light" w:cs="Calibri Light"/>
                <w:sz w:val="18"/>
                <w:szCs w:val="18"/>
                <w:lang w:val="en-US"/>
              </w:rPr>
              <w:t>9 years</w:t>
            </w:r>
            <w:r>
              <w:rPr>
                <w:rFonts w:ascii="Calibri Light" w:hAnsi="Calibri Light" w:cs="Calibri Light"/>
                <w:sz w:val="18"/>
                <w:szCs w:val="18"/>
                <w:lang w:val="en-US"/>
              </w:rPr>
              <w:t>)</w:t>
            </w:r>
          </w:p>
          <w:p w14:paraId="5D1BC5BB" w14:textId="77777777" w:rsidR="00B23D9F" w:rsidRPr="00FD26F3"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3-</w:t>
            </w:r>
            <w:r w:rsidRPr="00FD26F3">
              <w:rPr>
                <w:rFonts w:ascii="Calibri Light" w:hAnsi="Calibri Light" w:cs="Calibri Light"/>
                <w:sz w:val="18"/>
                <w:szCs w:val="18"/>
                <w:lang w:val="en-US"/>
              </w:rPr>
              <w:t xml:space="preserve">Upper Secondary School </w:t>
            </w:r>
            <w:r>
              <w:rPr>
                <w:rFonts w:ascii="Calibri Light" w:hAnsi="Calibri Light" w:cs="Calibri Light"/>
                <w:sz w:val="18"/>
                <w:szCs w:val="18"/>
                <w:lang w:val="en-US"/>
              </w:rPr>
              <w:t>(11 years)</w:t>
            </w:r>
          </w:p>
          <w:p w14:paraId="0D7D8BD3" w14:textId="77777777" w:rsidR="00B23D9F" w:rsidRPr="00FD26F3"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4-</w:t>
            </w:r>
            <w:r w:rsidRPr="00FD26F3">
              <w:rPr>
                <w:rFonts w:ascii="Calibri Light" w:hAnsi="Calibri Light" w:cs="Calibri Light"/>
                <w:sz w:val="18"/>
                <w:szCs w:val="18"/>
                <w:lang w:val="en-US"/>
              </w:rPr>
              <w:t xml:space="preserve">Upper Secondary School </w:t>
            </w:r>
            <w:r>
              <w:rPr>
                <w:rFonts w:ascii="Calibri Light" w:hAnsi="Calibri Light" w:cs="Calibri Light"/>
                <w:sz w:val="18"/>
                <w:szCs w:val="18"/>
                <w:lang w:val="en-US"/>
              </w:rPr>
              <w:t>(12 years)</w:t>
            </w:r>
          </w:p>
          <w:p w14:paraId="2469DEEB" w14:textId="77777777" w:rsidR="00B23D9F" w:rsidRPr="00FD26F3"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5-</w:t>
            </w:r>
            <w:r w:rsidRPr="00FD26F3">
              <w:rPr>
                <w:rFonts w:ascii="Calibri Light" w:hAnsi="Calibri Light" w:cs="Calibri Light"/>
                <w:sz w:val="18"/>
                <w:szCs w:val="18"/>
                <w:lang w:val="en-US"/>
              </w:rPr>
              <w:t xml:space="preserve">Post-secondary education </w:t>
            </w:r>
            <w:r>
              <w:rPr>
                <w:rFonts w:ascii="Calibri Light" w:hAnsi="Calibri Light" w:cs="Calibri Light"/>
                <w:sz w:val="18"/>
                <w:szCs w:val="18"/>
                <w:lang w:val="en-US"/>
              </w:rPr>
              <w:t>(14 years)</w:t>
            </w:r>
          </w:p>
          <w:p w14:paraId="0C9998DE" w14:textId="77777777" w:rsidR="00B23D9F" w:rsidRPr="00FD26F3"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6-</w:t>
            </w:r>
            <w:r w:rsidRPr="00FD26F3">
              <w:rPr>
                <w:rFonts w:ascii="Calibri Light" w:hAnsi="Calibri Light" w:cs="Calibri Light"/>
                <w:sz w:val="18"/>
                <w:szCs w:val="18"/>
                <w:lang w:val="en-US"/>
              </w:rPr>
              <w:t>Post</w:t>
            </w:r>
            <w:r>
              <w:rPr>
                <w:rFonts w:ascii="Calibri Light" w:hAnsi="Calibri Light" w:cs="Calibri Light"/>
                <w:sz w:val="18"/>
                <w:szCs w:val="18"/>
                <w:lang w:val="en-US"/>
              </w:rPr>
              <w:t>-secondary education (17 years)</w:t>
            </w:r>
          </w:p>
          <w:p w14:paraId="57D4E357" w14:textId="77777777"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 xml:space="preserve">7- </w:t>
            </w:r>
            <w:r w:rsidRPr="00FD26F3">
              <w:rPr>
                <w:rFonts w:ascii="Calibri Light" w:hAnsi="Calibri Light" w:cs="Calibri Light"/>
                <w:sz w:val="18"/>
                <w:szCs w:val="18"/>
                <w:lang w:val="en-US"/>
              </w:rPr>
              <w:t>PhD education</w:t>
            </w:r>
            <w:r>
              <w:rPr>
                <w:rFonts w:ascii="Calibri Light" w:hAnsi="Calibri Light" w:cs="Calibri Light"/>
                <w:sz w:val="18"/>
                <w:szCs w:val="18"/>
                <w:lang w:val="en-US"/>
              </w:rPr>
              <w:t xml:space="preserve"> (21 years)</w:t>
            </w:r>
          </w:p>
          <w:p w14:paraId="3C5E84A6" w14:textId="63A873AF"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We consider low education as more than 1 SD below mean</w:t>
            </w:r>
          </w:p>
        </w:tc>
      </w:tr>
      <w:tr w:rsidR="00B23D9F" w:rsidRPr="00530806" w14:paraId="13F3636D" w14:textId="77777777" w:rsidTr="00E04459">
        <w:tc>
          <w:tcPr>
            <w:tcW w:w="2122" w:type="dxa"/>
            <w:shd w:val="clear" w:color="auto" w:fill="auto"/>
          </w:tcPr>
          <w:p w14:paraId="7DE0BF35" w14:textId="035D6C05"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Low Grades</w:t>
            </w:r>
          </w:p>
        </w:tc>
        <w:tc>
          <w:tcPr>
            <w:tcW w:w="2551" w:type="dxa"/>
            <w:shd w:val="clear" w:color="auto" w:fill="auto"/>
          </w:tcPr>
          <w:p w14:paraId="321455F5" w14:textId="5F1E5839" w:rsidR="00B23D9F" w:rsidRDefault="00B23D9F" w:rsidP="00B23D9F">
            <w:pPr>
              <w:spacing w:after="0" w:line="240" w:lineRule="auto"/>
              <w:rPr>
                <w:rFonts w:ascii="Calibri Light" w:hAnsi="Calibri Light" w:cs="Calibri Light"/>
                <w:sz w:val="18"/>
                <w:szCs w:val="18"/>
                <w:lang w:val="en-US"/>
              </w:rPr>
            </w:pPr>
            <w:r w:rsidRPr="00E40230">
              <w:rPr>
                <w:rFonts w:ascii="Calibri Light" w:hAnsi="Calibri Light" w:cs="Calibri Light"/>
                <w:sz w:val="18"/>
                <w:szCs w:val="18"/>
                <w:lang w:val="en-US"/>
              </w:rPr>
              <w:t>The National School Registry</w:t>
            </w:r>
            <w:r>
              <w:rPr>
                <w:rFonts w:ascii="Calibri Light" w:hAnsi="Calibri Light" w:cs="Calibri Light"/>
                <w:sz w:val="18"/>
                <w:szCs w:val="18"/>
                <w:lang w:val="en-US"/>
              </w:rPr>
              <w:t xml:space="preserve">. </w:t>
            </w:r>
          </w:p>
        </w:tc>
        <w:tc>
          <w:tcPr>
            <w:tcW w:w="4389" w:type="dxa"/>
            <w:shd w:val="clear" w:color="auto" w:fill="auto"/>
          </w:tcPr>
          <w:p w14:paraId="2637ED2C" w14:textId="77777777"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C</w:t>
            </w:r>
            <w:r w:rsidRPr="00E40230">
              <w:rPr>
                <w:rFonts w:ascii="Calibri Light" w:hAnsi="Calibri Light" w:cs="Calibri Light"/>
                <w:sz w:val="18"/>
                <w:szCs w:val="18"/>
                <w:lang w:val="en-US"/>
              </w:rPr>
              <w:t xml:space="preserve">ontains educational achievement (a grade point average) for all students at the end of </w:t>
            </w:r>
            <w:r>
              <w:rPr>
                <w:rFonts w:ascii="Calibri Light" w:hAnsi="Calibri Light" w:cs="Calibri Light"/>
                <w:sz w:val="18"/>
                <w:szCs w:val="18"/>
                <w:lang w:val="en-US"/>
              </w:rPr>
              <w:t xml:space="preserve">basic high school (grade nine; </w:t>
            </w:r>
            <w:r w:rsidRPr="00E40230">
              <w:rPr>
                <w:rFonts w:ascii="Calibri Light" w:hAnsi="Calibri Light" w:cs="Calibri Light"/>
                <w:sz w:val="18"/>
                <w:szCs w:val="18"/>
                <w:lang w:val="en-US"/>
              </w:rPr>
              <w:t xml:space="preserve">usually at age 16). Students had an incentive to perform well in this school year because those with high grades were more likely to gain admission to the desirable upper secondary schools. For each year and by gender we standardized the grade score into a Z-score. From 1988 to 1997, the score was expressed on a scale between 1 (lowest) and 5 (overall mean was 3.2), and students were assessed by a peer referencing system.  Grades awarded reflected the position of the student within Sweden and a set of correction factors were applied to ensure that the grades were equivalent between schools.  Using this system, the grades had minimal grade inflation over time and were normally distributed.  From 1998, the score was expressed on scale between 10 (lowest) and 320 (overall mean was 207) utilizing a criterion referenced system, in which students were assessed for their achievement of certain </w:t>
            </w:r>
            <w:r w:rsidRPr="00E40230">
              <w:rPr>
                <w:rFonts w:ascii="Calibri Light" w:hAnsi="Calibri Light" w:cs="Calibri Light"/>
                <w:sz w:val="18"/>
                <w:szCs w:val="18"/>
                <w:lang w:val="en-US"/>
              </w:rPr>
              <w:lastRenderedPageBreak/>
              <w:t>competencies. Scores were not standardized across schools or constructed to produce a normal distribution.</w:t>
            </w:r>
          </w:p>
          <w:p w14:paraId="51325BAA" w14:textId="6650FBDB" w:rsidR="00B23D9F" w:rsidRDefault="00B23D9F" w:rsidP="00B23D9F">
            <w:pPr>
              <w:spacing w:after="0" w:line="240" w:lineRule="auto"/>
              <w:rPr>
                <w:rFonts w:ascii="Calibri Light" w:hAnsi="Calibri Light" w:cs="Calibri Light"/>
                <w:sz w:val="18"/>
                <w:szCs w:val="18"/>
                <w:lang w:val="en-US"/>
              </w:rPr>
            </w:pPr>
            <w:r>
              <w:rPr>
                <w:rFonts w:ascii="Calibri Light" w:hAnsi="Calibri Light" w:cs="Calibri Light"/>
                <w:sz w:val="18"/>
                <w:szCs w:val="18"/>
                <w:lang w:val="en-US"/>
              </w:rPr>
              <w:t>We consider low grades as more than 1 SD below mean</w:t>
            </w:r>
          </w:p>
        </w:tc>
      </w:tr>
    </w:tbl>
    <w:p w14:paraId="7EF42C39" w14:textId="77777777" w:rsidR="00A123EB" w:rsidRDefault="00A123EB" w:rsidP="00A123EB">
      <w:pPr>
        <w:rPr>
          <w:rFonts w:ascii="Calibri Light" w:hAnsi="Calibri Light" w:cs="Calibri Light"/>
          <w:lang w:val="en-US"/>
        </w:rPr>
      </w:pPr>
    </w:p>
    <w:p w14:paraId="1749C78B" w14:textId="669A5EF7" w:rsidR="001C629A" w:rsidRDefault="001C629A">
      <w:pPr>
        <w:rPr>
          <w:rFonts w:ascii="Calibri Light" w:hAnsi="Calibri Light" w:cs="Calibri Light"/>
          <w:b/>
          <w:u w:val="single"/>
          <w:lang w:val="en-US"/>
        </w:rPr>
      </w:pPr>
    </w:p>
    <w:p w14:paraId="61F42FFA" w14:textId="50924ABB" w:rsidR="00B23D9F" w:rsidRDefault="00E04649" w:rsidP="00A123EB">
      <w:pPr>
        <w:jc w:val="center"/>
        <w:rPr>
          <w:rFonts w:ascii="Calibri Light" w:hAnsi="Calibri Light" w:cs="Calibri Light"/>
          <w:b/>
          <w:u w:val="single"/>
          <w:lang w:val="en-US"/>
        </w:rPr>
      </w:pPr>
      <w:r>
        <w:rPr>
          <w:rFonts w:ascii="Calibri Light" w:hAnsi="Calibri Light" w:cs="Calibri Light"/>
          <w:b/>
          <w:u w:val="single"/>
          <w:lang w:val="en-US"/>
        </w:rPr>
        <w:t xml:space="preserve">Table 3 </w:t>
      </w:r>
    </w:p>
    <w:p w14:paraId="6B5DE2A1" w14:textId="617F0BCA" w:rsidR="00A123EB" w:rsidRPr="00441C35" w:rsidRDefault="00A123EB" w:rsidP="00A123EB">
      <w:pPr>
        <w:jc w:val="center"/>
        <w:rPr>
          <w:rFonts w:ascii="Calibri Light" w:hAnsi="Calibri Light" w:cs="Calibri Light"/>
          <w:b/>
          <w:u w:val="single"/>
          <w:lang w:val="en-US"/>
        </w:rPr>
      </w:pPr>
      <w:r w:rsidRPr="00441C35">
        <w:rPr>
          <w:rFonts w:ascii="Calibri Light" w:hAnsi="Calibri Light" w:cs="Calibri Light"/>
          <w:b/>
          <w:u w:val="single"/>
          <w:lang w:val="en-US"/>
        </w:rPr>
        <w:t>Calculation of the Familial Genetic Risk Score (FGRS)</w:t>
      </w:r>
    </w:p>
    <w:tbl>
      <w:tblPr>
        <w:tblStyle w:val="TableGrid"/>
        <w:tblW w:w="0" w:type="auto"/>
        <w:tblLook w:val="04A0" w:firstRow="1" w:lastRow="0" w:firstColumn="1" w:lastColumn="0" w:noHBand="0" w:noVBand="1"/>
      </w:tblPr>
      <w:tblGrid>
        <w:gridCol w:w="9060"/>
      </w:tblGrid>
      <w:tr w:rsidR="00A123EB" w:rsidRPr="00530806" w14:paraId="3361FC27" w14:textId="77777777" w:rsidTr="00E04459">
        <w:tc>
          <w:tcPr>
            <w:tcW w:w="9060" w:type="dxa"/>
          </w:tcPr>
          <w:p w14:paraId="0BCC3034" w14:textId="77777777" w:rsidR="00A123EB" w:rsidRPr="0037750D" w:rsidRDefault="00A123EB" w:rsidP="00E04459">
            <w:pPr>
              <w:spacing w:before="100" w:beforeAutospacing="1" w:after="100" w:afterAutospacing="1"/>
              <w:contextualSpacing/>
              <w:jc w:val="center"/>
              <w:rPr>
                <w:lang w:val="en-US"/>
              </w:rPr>
            </w:pPr>
          </w:p>
        </w:tc>
      </w:tr>
      <w:tr w:rsidR="00A123EB" w:rsidRPr="00530806" w14:paraId="22FC8020" w14:textId="77777777" w:rsidTr="00E04459">
        <w:tc>
          <w:tcPr>
            <w:tcW w:w="9060" w:type="dxa"/>
          </w:tcPr>
          <w:p w14:paraId="51134606"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The dataset for the calculations includes:</w:t>
            </w:r>
          </w:p>
          <w:p w14:paraId="6B72368F"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Column1 = Identification number of the proband (Born 1932-1995)</w:t>
            </w:r>
          </w:p>
          <w:p w14:paraId="17A3F8BF"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 xml:space="preserve">Column2 = Identification number of the relative (1st to 5th degree relatives) </w:t>
            </w:r>
          </w:p>
          <w:p w14:paraId="088A8757"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Column3 = Proportion of shared additive genetic effects (0.03125 to 0.50) with the proband</w:t>
            </w:r>
          </w:p>
          <w:p w14:paraId="4576C0D0"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Column4 = Year of Birth of relative</w:t>
            </w:r>
          </w:p>
          <w:p w14:paraId="77CFCBD8"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Column5 = Sex of relative</w:t>
            </w:r>
          </w:p>
          <w:p w14:paraId="79CC06F7"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Column6 = Age at registration for trait</w:t>
            </w:r>
          </w:p>
          <w:p w14:paraId="23342858"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Column7 = Age at end of follow-up (2018-12-31 or age at death, or age at emigration whichever came first)</w:t>
            </w:r>
          </w:p>
        </w:tc>
      </w:tr>
      <w:tr w:rsidR="00A123EB" w:rsidRPr="00530806" w14:paraId="71503D34" w14:textId="77777777" w:rsidTr="00E04459">
        <w:tc>
          <w:tcPr>
            <w:tcW w:w="9060" w:type="dxa"/>
          </w:tcPr>
          <w:p w14:paraId="4BCC2264"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 xml:space="preserve">Step 1: Using all unique relatives with a registration for the disorder, we non-parametrically estimated the distribution of Age at first registration. The empirical distribution is used to obtain weights for relatives without a registration for the disorder, in order to account for the proportion of </w:t>
            </w:r>
            <w:r w:rsidR="00497CB4" w:rsidRPr="00441C35">
              <w:rPr>
                <w:rFonts w:ascii="Calibri Light" w:hAnsi="Calibri Light" w:cs="Calibri Light"/>
                <w:sz w:val="18"/>
                <w:szCs w:val="18"/>
                <w:lang w:val="en-US"/>
              </w:rPr>
              <w:t>the time</w:t>
            </w:r>
            <w:r w:rsidRPr="00441C35">
              <w:rPr>
                <w:rFonts w:ascii="Calibri Light" w:hAnsi="Calibri Light" w:cs="Calibri Light"/>
                <w:sz w:val="18"/>
                <w:szCs w:val="18"/>
                <w:lang w:val="en-US"/>
              </w:rPr>
              <w:t>-at-risk period they had completed at the end of follow-up.  For example, for relatives at age x at end of follow-up, the weight corresponds to the proportion of relatives registered for the trait that had been registration at age x. For relatives born prior to 1958 we subtracted age at the end of follow-up with the following formula: 1958 - Year of birth of relative. This modification was done in order to control for registration effects (</w:t>
            </w:r>
            <w:proofErr w:type="spellStart"/>
            <w:r w:rsidRPr="00441C35">
              <w:rPr>
                <w:rFonts w:ascii="Calibri Light" w:hAnsi="Calibri Light" w:cs="Calibri Light"/>
                <w:sz w:val="18"/>
                <w:szCs w:val="18"/>
                <w:lang w:val="en-US"/>
              </w:rPr>
              <w:t>i.e</w:t>
            </w:r>
            <w:proofErr w:type="spellEnd"/>
            <w:r w:rsidRPr="00441C35">
              <w:rPr>
                <w:rFonts w:ascii="Calibri Light" w:hAnsi="Calibri Light" w:cs="Calibri Light"/>
                <w:sz w:val="18"/>
                <w:szCs w:val="18"/>
                <w:lang w:val="en-US"/>
              </w:rPr>
              <w:t>, most registers in Sweden start in 1973 suggesting that relatives from early birth cohorts do not have the possibility to be registered at younger ages). Note that all relatives with the disorder are weighted one.</w:t>
            </w:r>
          </w:p>
        </w:tc>
      </w:tr>
      <w:tr w:rsidR="00A123EB" w:rsidRPr="00530806" w14:paraId="3C4B169D" w14:textId="77777777" w:rsidTr="00E04459">
        <w:tc>
          <w:tcPr>
            <w:tcW w:w="9060" w:type="dxa"/>
          </w:tcPr>
          <w:p w14:paraId="2E48DCCB"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 xml:space="preserve">Step 2: Transform the binary variable (trait yes/no) into a z-score based on the threshold for each trait. The underlying liability of the individual is not assessable. </w:t>
            </w:r>
            <w:proofErr w:type="gramStart"/>
            <w:r w:rsidRPr="00441C35">
              <w:rPr>
                <w:rFonts w:ascii="Calibri Light" w:hAnsi="Calibri Light" w:cs="Calibri Light"/>
                <w:sz w:val="18"/>
                <w:szCs w:val="18"/>
                <w:lang w:val="en-US"/>
              </w:rPr>
              <w:t>Instead</w:t>
            </w:r>
            <w:proofErr w:type="gramEnd"/>
            <w:r w:rsidRPr="00441C35">
              <w:rPr>
                <w:rFonts w:ascii="Calibri Light" w:hAnsi="Calibri Light" w:cs="Calibri Light"/>
                <w:sz w:val="18"/>
                <w:szCs w:val="18"/>
                <w:lang w:val="en-US"/>
              </w:rPr>
              <w:t xml:space="preserve"> we estimated the mean of the underlying liability to obtain sex and birth decade specific Z-scores for relatives with the trait registration and relatives without the trait. We generate n random numbers from a </w:t>
            </w:r>
            <w:proofErr w:type="gramStart"/>
            <w:r w:rsidRPr="00441C35">
              <w:rPr>
                <w:rFonts w:ascii="Calibri Light" w:hAnsi="Calibri Light" w:cs="Calibri Light"/>
                <w:sz w:val="18"/>
                <w:szCs w:val="18"/>
                <w:lang w:val="en-US"/>
              </w:rPr>
              <w:t>N(</w:t>
            </w:r>
            <w:proofErr w:type="gramEnd"/>
            <w:r w:rsidRPr="00441C35">
              <w:rPr>
                <w:rFonts w:ascii="Calibri Light" w:hAnsi="Calibri Light" w:cs="Calibri Light"/>
                <w:sz w:val="18"/>
                <w:szCs w:val="18"/>
                <w:lang w:val="en-US"/>
              </w:rPr>
              <w:t>0, 1) distribution and estimate the mean for relatives registered with the disorder (i.e., mean of the observations above the threshold) and for relatives without a registration (i.e., mean of all observation below the threshold). The thresholds are calculated for each decade of birth and sex.</w:t>
            </w:r>
          </w:p>
        </w:tc>
      </w:tr>
      <w:tr w:rsidR="00A123EB" w14:paraId="19DCF6FA" w14:textId="77777777" w:rsidTr="00E04459">
        <w:tc>
          <w:tcPr>
            <w:tcW w:w="9060" w:type="dxa"/>
          </w:tcPr>
          <w:p w14:paraId="27AF47B9" w14:textId="77777777" w:rsidR="00A123EB" w:rsidRPr="00441C35" w:rsidRDefault="00A123EB" w:rsidP="00E04459">
            <w:pPr>
              <w:rPr>
                <w:rFonts w:ascii="Calibri Light" w:hAnsi="Calibri Light" w:cs="Calibri Light"/>
                <w:sz w:val="18"/>
                <w:szCs w:val="18"/>
                <w:lang w:val="en-US"/>
              </w:rPr>
            </w:pPr>
            <w:r w:rsidRPr="00441C35">
              <w:rPr>
                <w:rFonts w:ascii="Calibri Light" w:hAnsi="Calibri Light" w:cs="Calibri Light"/>
                <w:sz w:val="18"/>
                <w:szCs w:val="18"/>
                <w:lang w:val="en-US"/>
              </w:rPr>
              <w:t>Step 3: Correct for cohabitation effects. To estimate the cohabitation effect (</w:t>
            </w:r>
            <w:proofErr w:type="gramStart"/>
            <w:r w:rsidRPr="00441C35">
              <w:rPr>
                <w:rFonts w:ascii="Calibri Light" w:hAnsi="Calibri Light" w:cs="Calibri Light"/>
                <w:sz w:val="18"/>
                <w:szCs w:val="18"/>
                <w:lang w:val="en-US"/>
              </w:rPr>
              <w:t>i.e.</w:t>
            </w:r>
            <w:proofErr w:type="gramEnd"/>
            <w:r w:rsidRPr="00441C35">
              <w:rPr>
                <w:rFonts w:ascii="Calibri Light" w:hAnsi="Calibri Light" w:cs="Calibri Light"/>
                <w:sz w:val="18"/>
                <w:szCs w:val="18"/>
                <w:lang w:val="en-US"/>
              </w:rPr>
              <w:t xml:space="preserve"> “shared environment”), we created a database with all individuals </w:t>
            </w:r>
            <w:r w:rsidR="00497CB4" w:rsidRPr="00441C35">
              <w:rPr>
                <w:rFonts w:ascii="Calibri Light" w:hAnsi="Calibri Light" w:cs="Calibri Light"/>
                <w:sz w:val="18"/>
                <w:szCs w:val="18"/>
                <w:lang w:val="en-US"/>
              </w:rPr>
              <w:t>in the</w:t>
            </w:r>
            <w:r w:rsidRPr="00441C35">
              <w:rPr>
                <w:rFonts w:ascii="Calibri Light" w:hAnsi="Calibri Light" w:cs="Calibri Light"/>
                <w:sz w:val="18"/>
                <w:szCs w:val="18"/>
                <w:lang w:val="en-US"/>
              </w:rPr>
              <w:t xml:space="preserve"> Swedish population born in Sweden 1955-1990. We also included the number of years, during ages 0-15, that individuals resided in the same household as their biological father. We thereby were able to define two kinds of </w:t>
            </w:r>
            <w:proofErr w:type="gramStart"/>
            <w:r w:rsidRPr="00441C35">
              <w:rPr>
                <w:rFonts w:ascii="Calibri Light" w:hAnsi="Calibri Light" w:cs="Calibri Light"/>
                <w:sz w:val="18"/>
                <w:szCs w:val="18"/>
                <w:lang w:val="en-US"/>
              </w:rPr>
              <w:t>families  i</w:t>
            </w:r>
            <w:proofErr w:type="gramEnd"/>
            <w:r w:rsidRPr="00441C35">
              <w:rPr>
                <w:rFonts w:ascii="Calibri Light" w:hAnsi="Calibri Light" w:cs="Calibri Light"/>
                <w:sz w:val="18"/>
                <w:szCs w:val="18"/>
                <w:lang w:val="en-US"/>
              </w:rPr>
              <w:t>) “not-lived-with” father families (offspring never resided for more than 1 year in the same household or in the same community as their biological father);  ii) “lived-with” father (offspring resided a minimum of 13 year in the same household as their biological father. We performed a logistic regression model with the binary trait in offspring as outcome and the binary trait in father, type of father, and their interaction as predictors. We used the interaction term as the difference of effect between genes only and genes + environment. The same approach was performed for half-siblings where we compared those who were reared together versus reared apart. The following interaction terms were used in the calculations for each of our disorders:</w:t>
            </w:r>
          </w:p>
          <w:tbl>
            <w:tblPr>
              <w:tblStyle w:val="TableGrid"/>
              <w:tblW w:w="0" w:type="auto"/>
              <w:tblLook w:val="04A0" w:firstRow="1" w:lastRow="0" w:firstColumn="1" w:lastColumn="0" w:noHBand="0" w:noVBand="1"/>
            </w:tblPr>
            <w:tblGrid>
              <w:gridCol w:w="1271"/>
              <w:gridCol w:w="2126"/>
              <w:gridCol w:w="1985"/>
            </w:tblGrid>
            <w:tr w:rsidR="00A123EB" w:rsidRPr="00441C35" w14:paraId="6188EE8D" w14:textId="77777777" w:rsidTr="00E04459">
              <w:tc>
                <w:tcPr>
                  <w:tcW w:w="1271" w:type="dxa"/>
                </w:tcPr>
                <w:p w14:paraId="0A5F5103" w14:textId="77777777" w:rsidR="00A123EB" w:rsidRPr="00441C35" w:rsidRDefault="00A123EB" w:rsidP="00E04459">
                  <w:pPr>
                    <w:spacing w:before="100" w:beforeAutospacing="1" w:after="100" w:afterAutospacing="1"/>
                    <w:rPr>
                      <w:rFonts w:ascii="Calibri Light" w:hAnsi="Calibri Light" w:cs="Calibri Light"/>
                      <w:sz w:val="18"/>
                      <w:szCs w:val="18"/>
                      <w:lang w:val="en-US"/>
                    </w:rPr>
                  </w:pPr>
                </w:p>
              </w:tc>
              <w:tc>
                <w:tcPr>
                  <w:tcW w:w="2126" w:type="dxa"/>
                </w:tcPr>
                <w:p w14:paraId="05B39A8A" w14:textId="77777777" w:rsidR="00A123EB" w:rsidRPr="00441C35" w:rsidRDefault="00A123EB" w:rsidP="00E04459">
                  <w:pPr>
                    <w:spacing w:before="100" w:beforeAutospacing="1" w:after="100" w:afterAutospacing="1"/>
                    <w:rPr>
                      <w:rFonts w:ascii="Calibri Light" w:hAnsi="Calibri Light" w:cs="Calibri Light"/>
                      <w:sz w:val="18"/>
                      <w:szCs w:val="18"/>
                      <w:lang w:val="en-US"/>
                    </w:rPr>
                  </w:pPr>
                  <w:r w:rsidRPr="00441C35">
                    <w:rPr>
                      <w:rFonts w:ascii="Calibri Light" w:hAnsi="Calibri Light" w:cs="Calibri Light"/>
                      <w:sz w:val="18"/>
                      <w:szCs w:val="18"/>
                      <w:lang w:val="en-US"/>
                    </w:rPr>
                    <w:t xml:space="preserve">Parent/Children      </w:t>
                  </w:r>
                </w:p>
              </w:tc>
              <w:tc>
                <w:tcPr>
                  <w:tcW w:w="1985" w:type="dxa"/>
                </w:tcPr>
                <w:p w14:paraId="563C4752" w14:textId="77777777" w:rsidR="00A123EB" w:rsidRPr="00441C35" w:rsidRDefault="00A123EB" w:rsidP="00E04459">
                  <w:pPr>
                    <w:spacing w:before="100" w:beforeAutospacing="1" w:after="100" w:afterAutospacing="1"/>
                    <w:rPr>
                      <w:rFonts w:ascii="Calibri Light" w:hAnsi="Calibri Light" w:cs="Calibri Light"/>
                      <w:sz w:val="18"/>
                      <w:szCs w:val="18"/>
                      <w:lang w:val="en-US"/>
                    </w:rPr>
                  </w:pPr>
                  <w:r w:rsidRPr="00441C35">
                    <w:rPr>
                      <w:rFonts w:ascii="Calibri Light" w:hAnsi="Calibri Light" w:cs="Calibri Light"/>
                      <w:sz w:val="18"/>
                      <w:szCs w:val="18"/>
                      <w:lang w:val="en-US"/>
                    </w:rPr>
                    <w:t>Siblings</w:t>
                  </w:r>
                </w:p>
              </w:tc>
            </w:tr>
            <w:tr w:rsidR="00B23D9F" w:rsidRPr="00441C35" w14:paraId="55B3D4F6" w14:textId="77777777" w:rsidTr="00E04459">
              <w:tc>
                <w:tcPr>
                  <w:tcW w:w="1271" w:type="dxa"/>
                </w:tcPr>
                <w:p w14:paraId="016DDFFD" w14:textId="55E9029A" w:rsidR="00B23D9F" w:rsidRPr="00441C35" w:rsidRDefault="00B23D9F" w:rsidP="00B23D9F">
                  <w:pPr>
                    <w:spacing w:before="100" w:beforeAutospacing="1" w:after="100" w:afterAutospacing="1"/>
                    <w:rPr>
                      <w:rFonts w:ascii="Calibri Light" w:hAnsi="Calibri Light" w:cs="Calibri Light"/>
                      <w:sz w:val="18"/>
                      <w:szCs w:val="18"/>
                      <w:lang w:val="en-US"/>
                    </w:rPr>
                  </w:pPr>
                  <w:r w:rsidRPr="00B804B4">
                    <w:rPr>
                      <w:sz w:val="18"/>
                      <w:szCs w:val="18"/>
                      <w:lang w:val="en-US"/>
                    </w:rPr>
                    <w:t>SZ</w:t>
                  </w:r>
                </w:p>
              </w:tc>
              <w:tc>
                <w:tcPr>
                  <w:tcW w:w="2126" w:type="dxa"/>
                </w:tcPr>
                <w:p w14:paraId="6F36AB79" w14:textId="6715AB9B" w:rsidR="00B23D9F" w:rsidRPr="00441C35" w:rsidRDefault="00B23D9F" w:rsidP="00B23D9F">
                  <w:pPr>
                    <w:spacing w:before="100" w:beforeAutospacing="1" w:after="100" w:afterAutospacing="1"/>
                    <w:rPr>
                      <w:rFonts w:ascii="Calibri Light" w:hAnsi="Calibri Light" w:cs="Calibri Light"/>
                      <w:sz w:val="18"/>
                      <w:szCs w:val="18"/>
                      <w:lang w:val="en-US"/>
                    </w:rPr>
                  </w:pPr>
                  <w:r w:rsidRPr="00B804B4">
                    <w:rPr>
                      <w:sz w:val="18"/>
                      <w:szCs w:val="18"/>
                      <w:lang w:val="en-US"/>
                    </w:rPr>
                    <w:t>0.93</w:t>
                  </w:r>
                </w:p>
              </w:tc>
              <w:tc>
                <w:tcPr>
                  <w:tcW w:w="1985" w:type="dxa"/>
                </w:tcPr>
                <w:p w14:paraId="1F5D3480" w14:textId="45653519" w:rsidR="00B23D9F" w:rsidRPr="00441C35" w:rsidRDefault="00B23D9F" w:rsidP="00B23D9F">
                  <w:pPr>
                    <w:spacing w:before="100" w:beforeAutospacing="1" w:after="100" w:afterAutospacing="1"/>
                    <w:rPr>
                      <w:rFonts w:ascii="Calibri Light" w:hAnsi="Calibri Light" w:cs="Calibri Light"/>
                      <w:sz w:val="18"/>
                      <w:szCs w:val="18"/>
                      <w:lang w:val="en-US"/>
                    </w:rPr>
                  </w:pPr>
                  <w:r w:rsidRPr="00B804B4">
                    <w:rPr>
                      <w:sz w:val="18"/>
                      <w:szCs w:val="18"/>
                      <w:lang w:val="en-US"/>
                    </w:rPr>
                    <w:t>0.84</w:t>
                  </w:r>
                </w:p>
              </w:tc>
            </w:tr>
            <w:tr w:rsidR="00A123EB" w:rsidRPr="00441C35" w14:paraId="0F210FC6" w14:textId="77777777" w:rsidTr="00E04459">
              <w:tc>
                <w:tcPr>
                  <w:tcW w:w="1271" w:type="dxa"/>
                </w:tcPr>
                <w:p w14:paraId="5D34884A" w14:textId="77777777" w:rsidR="00A123EB" w:rsidRPr="00441C35" w:rsidRDefault="00A123EB" w:rsidP="00E04459">
                  <w:pPr>
                    <w:spacing w:before="100" w:beforeAutospacing="1" w:after="100" w:afterAutospacing="1"/>
                    <w:rPr>
                      <w:rFonts w:ascii="Calibri Light" w:hAnsi="Calibri Light" w:cs="Calibri Light"/>
                      <w:sz w:val="18"/>
                      <w:szCs w:val="18"/>
                      <w:lang w:val="en-US"/>
                    </w:rPr>
                  </w:pPr>
                  <w:r w:rsidRPr="00441C35">
                    <w:rPr>
                      <w:rFonts w:ascii="Calibri Light" w:hAnsi="Calibri Light" w:cs="Calibri Light"/>
                      <w:sz w:val="18"/>
                      <w:szCs w:val="18"/>
                      <w:lang w:val="en-US"/>
                    </w:rPr>
                    <w:t>MD</w:t>
                  </w:r>
                </w:p>
              </w:tc>
              <w:tc>
                <w:tcPr>
                  <w:tcW w:w="2126" w:type="dxa"/>
                </w:tcPr>
                <w:p w14:paraId="435D5C65" w14:textId="77777777" w:rsidR="00A123EB" w:rsidRPr="00441C35" w:rsidRDefault="00A123EB" w:rsidP="00E04459">
                  <w:pPr>
                    <w:spacing w:before="100" w:beforeAutospacing="1" w:after="100" w:afterAutospacing="1"/>
                    <w:rPr>
                      <w:rFonts w:ascii="Calibri Light" w:hAnsi="Calibri Light" w:cs="Calibri Light"/>
                      <w:sz w:val="18"/>
                      <w:szCs w:val="18"/>
                      <w:lang w:val="en-US"/>
                    </w:rPr>
                  </w:pPr>
                  <w:r w:rsidRPr="00441C35">
                    <w:rPr>
                      <w:rFonts w:ascii="Calibri Light" w:hAnsi="Calibri Light" w:cs="Calibri Light"/>
                      <w:sz w:val="18"/>
                      <w:szCs w:val="18"/>
                      <w:lang w:val="en-US"/>
                    </w:rPr>
                    <w:t>0.90</w:t>
                  </w:r>
                </w:p>
              </w:tc>
              <w:tc>
                <w:tcPr>
                  <w:tcW w:w="1985" w:type="dxa"/>
                </w:tcPr>
                <w:p w14:paraId="6FAE5C8A" w14:textId="77777777" w:rsidR="00A123EB" w:rsidRPr="00441C35" w:rsidRDefault="00A123EB" w:rsidP="00E04459">
                  <w:pPr>
                    <w:spacing w:before="100" w:beforeAutospacing="1" w:after="100" w:afterAutospacing="1"/>
                    <w:rPr>
                      <w:rFonts w:ascii="Calibri Light" w:hAnsi="Calibri Light" w:cs="Calibri Light"/>
                      <w:sz w:val="18"/>
                      <w:szCs w:val="18"/>
                      <w:lang w:val="en-US"/>
                    </w:rPr>
                  </w:pPr>
                  <w:r w:rsidRPr="00441C35">
                    <w:rPr>
                      <w:rFonts w:ascii="Calibri Light" w:hAnsi="Calibri Light" w:cs="Calibri Light"/>
                      <w:sz w:val="18"/>
                      <w:szCs w:val="18"/>
                      <w:lang w:val="en-US"/>
                    </w:rPr>
                    <w:t>0.89</w:t>
                  </w:r>
                </w:p>
              </w:tc>
            </w:tr>
            <w:tr w:rsidR="00B23D9F" w:rsidRPr="00441C35" w14:paraId="0FD1F326" w14:textId="77777777" w:rsidTr="00E04459">
              <w:tc>
                <w:tcPr>
                  <w:tcW w:w="1271" w:type="dxa"/>
                </w:tcPr>
                <w:p w14:paraId="1B2DCBDA" w14:textId="59A16C17" w:rsidR="00B23D9F" w:rsidRPr="00441C35" w:rsidRDefault="00B23D9F" w:rsidP="00B23D9F">
                  <w:pPr>
                    <w:spacing w:before="100" w:beforeAutospacing="1" w:after="100" w:afterAutospacing="1"/>
                    <w:rPr>
                      <w:rFonts w:ascii="Calibri Light" w:hAnsi="Calibri Light" w:cs="Calibri Light"/>
                      <w:sz w:val="18"/>
                      <w:szCs w:val="18"/>
                      <w:lang w:val="en-US"/>
                    </w:rPr>
                  </w:pPr>
                  <w:r w:rsidRPr="00B804B4">
                    <w:rPr>
                      <w:sz w:val="18"/>
                      <w:szCs w:val="18"/>
                      <w:lang w:val="en-US"/>
                    </w:rPr>
                    <w:t>OCD</w:t>
                  </w:r>
                </w:p>
              </w:tc>
              <w:tc>
                <w:tcPr>
                  <w:tcW w:w="2126" w:type="dxa"/>
                </w:tcPr>
                <w:p w14:paraId="46F2271D" w14:textId="7EB2D5F3" w:rsidR="00B23D9F" w:rsidRPr="00441C35" w:rsidRDefault="00B23D9F" w:rsidP="00B23D9F">
                  <w:pPr>
                    <w:spacing w:before="100" w:beforeAutospacing="1" w:after="100" w:afterAutospacing="1"/>
                    <w:rPr>
                      <w:rFonts w:ascii="Calibri Light" w:hAnsi="Calibri Light" w:cs="Calibri Light"/>
                      <w:sz w:val="18"/>
                      <w:szCs w:val="18"/>
                      <w:lang w:val="en-US"/>
                    </w:rPr>
                  </w:pPr>
                  <w:r w:rsidRPr="00B804B4">
                    <w:rPr>
                      <w:sz w:val="18"/>
                      <w:szCs w:val="18"/>
                      <w:lang w:val="en-US"/>
                    </w:rPr>
                    <w:t>0.79</w:t>
                  </w:r>
                </w:p>
              </w:tc>
              <w:tc>
                <w:tcPr>
                  <w:tcW w:w="1985" w:type="dxa"/>
                </w:tcPr>
                <w:p w14:paraId="52D350DC" w14:textId="3D9309C7" w:rsidR="00B23D9F" w:rsidRPr="00441C35" w:rsidRDefault="00B23D9F" w:rsidP="00B23D9F">
                  <w:pPr>
                    <w:spacing w:before="100" w:beforeAutospacing="1" w:after="100" w:afterAutospacing="1"/>
                    <w:rPr>
                      <w:rFonts w:ascii="Calibri Light" w:hAnsi="Calibri Light" w:cs="Calibri Light"/>
                      <w:sz w:val="18"/>
                      <w:szCs w:val="18"/>
                      <w:lang w:val="en-US"/>
                    </w:rPr>
                  </w:pPr>
                  <w:r w:rsidRPr="00B804B4">
                    <w:rPr>
                      <w:sz w:val="18"/>
                      <w:szCs w:val="18"/>
                      <w:lang w:val="en-US"/>
                    </w:rPr>
                    <w:t>0.74</w:t>
                  </w:r>
                </w:p>
              </w:tc>
            </w:tr>
            <w:tr w:rsidR="00B23D9F" w:rsidRPr="00441C35" w14:paraId="25818929" w14:textId="77777777" w:rsidTr="00E04459">
              <w:tc>
                <w:tcPr>
                  <w:tcW w:w="1271" w:type="dxa"/>
                </w:tcPr>
                <w:p w14:paraId="36ABCCD4" w14:textId="0BF8B625" w:rsidR="00B23D9F" w:rsidRPr="00441C35" w:rsidRDefault="00B23D9F" w:rsidP="00B23D9F">
                  <w:pPr>
                    <w:spacing w:before="100" w:beforeAutospacing="1" w:after="100" w:afterAutospacing="1"/>
                    <w:rPr>
                      <w:rFonts w:ascii="Calibri Light" w:hAnsi="Calibri Light" w:cs="Calibri Light"/>
                      <w:sz w:val="18"/>
                      <w:szCs w:val="18"/>
                      <w:lang w:val="en-US"/>
                    </w:rPr>
                  </w:pPr>
                  <w:r w:rsidRPr="00B804B4">
                    <w:rPr>
                      <w:sz w:val="18"/>
                      <w:szCs w:val="18"/>
                      <w:lang w:val="en-US"/>
                    </w:rPr>
                    <w:t>ADHD</w:t>
                  </w:r>
                </w:p>
              </w:tc>
              <w:tc>
                <w:tcPr>
                  <w:tcW w:w="2126" w:type="dxa"/>
                </w:tcPr>
                <w:p w14:paraId="77DDA81F" w14:textId="77F68F05" w:rsidR="00B23D9F" w:rsidRPr="00441C35" w:rsidRDefault="00B23D9F" w:rsidP="00B23D9F">
                  <w:pPr>
                    <w:rPr>
                      <w:rFonts w:ascii="Calibri Light" w:hAnsi="Calibri Light" w:cs="Calibri Light"/>
                      <w:sz w:val="18"/>
                      <w:szCs w:val="18"/>
                      <w:lang w:val="en-US"/>
                    </w:rPr>
                  </w:pPr>
                  <w:r w:rsidRPr="00B804B4">
                    <w:rPr>
                      <w:sz w:val="18"/>
                      <w:szCs w:val="18"/>
                      <w:lang w:val="en-US"/>
                    </w:rPr>
                    <w:t>0.42</w:t>
                  </w:r>
                </w:p>
              </w:tc>
              <w:tc>
                <w:tcPr>
                  <w:tcW w:w="1985" w:type="dxa"/>
                </w:tcPr>
                <w:p w14:paraId="0D879591" w14:textId="5F4BBFE0" w:rsidR="00B23D9F" w:rsidRPr="00441C35" w:rsidRDefault="00B23D9F" w:rsidP="00B23D9F">
                  <w:pPr>
                    <w:rPr>
                      <w:rFonts w:ascii="Calibri Light" w:hAnsi="Calibri Light" w:cs="Calibri Light"/>
                      <w:sz w:val="18"/>
                      <w:szCs w:val="18"/>
                      <w:lang w:val="en-US"/>
                    </w:rPr>
                  </w:pPr>
                  <w:r w:rsidRPr="00B804B4">
                    <w:rPr>
                      <w:sz w:val="18"/>
                      <w:szCs w:val="18"/>
                      <w:lang w:val="en-US"/>
                    </w:rPr>
                    <w:t>0.81</w:t>
                  </w:r>
                </w:p>
              </w:tc>
            </w:tr>
            <w:tr w:rsidR="00B23D9F" w:rsidRPr="00441C35" w14:paraId="6DD270E3" w14:textId="77777777" w:rsidTr="00E04459">
              <w:tc>
                <w:tcPr>
                  <w:tcW w:w="1271" w:type="dxa"/>
                </w:tcPr>
                <w:p w14:paraId="7577A72F" w14:textId="230FCEF3" w:rsidR="00B23D9F" w:rsidRPr="00441C35" w:rsidRDefault="00B23D9F" w:rsidP="00B23D9F">
                  <w:pPr>
                    <w:spacing w:before="100" w:beforeAutospacing="1" w:after="100" w:afterAutospacing="1"/>
                    <w:rPr>
                      <w:rFonts w:ascii="Calibri Light" w:hAnsi="Calibri Light" w:cs="Calibri Light"/>
                      <w:sz w:val="18"/>
                      <w:szCs w:val="18"/>
                      <w:lang w:val="en-US"/>
                    </w:rPr>
                  </w:pPr>
                  <w:r w:rsidRPr="00B804B4">
                    <w:rPr>
                      <w:sz w:val="18"/>
                      <w:szCs w:val="18"/>
                      <w:lang w:val="en-US"/>
                    </w:rPr>
                    <w:t>ASD</w:t>
                  </w:r>
                </w:p>
              </w:tc>
              <w:tc>
                <w:tcPr>
                  <w:tcW w:w="2126" w:type="dxa"/>
                </w:tcPr>
                <w:p w14:paraId="0A55A63F" w14:textId="2DF8A051" w:rsidR="00B23D9F" w:rsidRPr="00441C35" w:rsidRDefault="00B23D9F" w:rsidP="00B23D9F">
                  <w:pPr>
                    <w:rPr>
                      <w:rFonts w:ascii="Calibri Light" w:hAnsi="Calibri Light" w:cs="Calibri Light"/>
                      <w:sz w:val="18"/>
                      <w:szCs w:val="18"/>
                      <w:lang w:val="en-US"/>
                    </w:rPr>
                  </w:pPr>
                  <w:r w:rsidRPr="00B804B4">
                    <w:rPr>
                      <w:sz w:val="18"/>
                      <w:szCs w:val="18"/>
                      <w:lang w:val="en-US"/>
                    </w:rPr>
                    <w:t>0.83</w:t>
                  </w:r>
                </w:p>
              </w:tc>
              <w:tc>
                <w:tcPr>
                  <w:tcW w:w="1985" w:type="dxa"/>
                </w:tcPr>
                <w:p w14:paraId="12D76F38" w14:textId="2D4E1F8D" w:rsidR="00B23D9F" w:rsidRPr="00441C35" w:rsidRDefault="00B23D9F" w:rsidP="00B23D9F">
                  <w:pPr>
                    <w:rPr>
                      <w:rFonts w:ascii="Calibri Light" w:hAnsi="Calibri Light" w:cs="Calibri Light"/>
                      <w:sz w:val="18"/>
                      <w:szCs w:val="18"/>
                      <w:lang w:val="en-US"/>
                    </w:rPr>
                  </w:pPr>
                  <w:r w:rsidRPr="00B804B4">
                    <w:rPr>
                      <w:sz w:val="18"/>
                      <w:szCs w:val="18"/>
                      <w:lang w:val="en-US"/>
                    </w:rPr>
                    <w:t>0.61</w:t>
                  </w:r>
                </w:p>
              </w:tc>
            </w:tr>
          </w:tbl>
          <w:p w14:paraId="3D41A17C" w14:textId="77777777" w:rsidR="00A123EB" w:rsidRPr="00441C35" w:rsidRDefault="00A123EB" w:rsidP="00E04459">
            <w:pPr>
              <w:rPr>
                <w:rFonts w:ascii="Calibri Light" w:hAnsi="Calibri Light" w:cs="Calibri Light"/>
                <w:sz w:val="18"/>
                <w:szCs w:val="18"/>
                <w:lang w:val="en-US"/>
              </w:rPr>
            </w:pPr>
          </w:p>
        </w:tc>
      </w:tr>
      <w:tr w:rsidR="00A123EB" w:rsidRPr="00511A70" w14:paraId="4AFC9846" w14:textId="77777777" w:rsidTr="00E04459">
        <w:tc>
          <w:tcPr>
            <w:tcW w:w="9060" w:type="dxa"/>
          </w:tcPr>
          <w:p w14:paraId="4CFBA1FF"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Step 4: Calculate the product for each relative using the four components:</w:t>
            </w:r>
          </w:p>
          <w:p w14:paraId="6C8290EC" w14:textId="77777777" w:rsidR="00A123EB" w:rsidRPr="00441C35" w:rsidRDefault="00A123EB" w:rsidP="00441C35">
            <w:pPr>
              <w:pStyle w:val="ListParagraph"/>
              <w:numPr>
                <w:ilvl w:val="0"/>
                <w:numId w:val="1"/>
              </w:numPr>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Z-score (</w:t>
            </w:r>
            <w:proofErr w:type="gramStart"/>
            <w:r w:rsidRPr="00441C35">
              <w:rPr>
                <w:rFonts w:ascii="Calibri Light" w:hAnsi="Calibri Light" w:cs="Calibri Light"/>
                <w:sz w:val="18"/>
                <w:szCs w:val="18"/>
                <w:lang w:val="en-US"/>
              </w:rPr>
              <w:t>reflecting  sex</w:t>
            </w:r>
            <w:proofErr w:type="gramEnd"/>
            <w:r w:rsidRPr="00441C35">
              <w:rPr>
                <w:rFonts w:ascii="Calibri Light" w:hAnsi="Calibri Light" w:cs="Calibri Light"/>
                <w:sz w:val="18"/>
                <w:szCs w:val="18"/>
                <w:lang w:val="en-US"/>
              </w:rPr>
              <w:t xml:space="preserve"> and year of birth adjusted rates) </w:t>
            </w:r>
          </w:p>
          <w:p w14:paraId="67FE8D0B" w14:textId="77777777" w:rsidR="00A123EB" w:rsidRPr="00441C35" w:rsidRDefault="00A123EB" w:rsidP="00441C35">
            <w:pPr>
              <w:pStyle w:val="ListParagraph"/>
              <w:numPr>
                <w:ilvl w:val="0"/>
                <w:numId w:val="1"/>
              </w:numPr>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 xml:space="preserve">Weight (reflecting the proportion of risk period they had completed) </w:t>
            </w:r>
          </w:p>
          <w:p w14:paraId="2B75BAA3" w14:textId="77777777" w:rsidR="00A123EB" w:rsidRPr="00441C35" w:rsidRDefault="00A123EB" w:rsidP="00441C35">
            <w:pPr>
              <w:pStyle w:val="ListParagraph"/>
              <w:numPr>
                <w:ilvl w:val="0"/>
                <w:numId w:val="1"/>
              </w:numPr>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Cohabitation effects</w:t>
            </w:r>
          </w:p>
          <w:p w14:paraId="5E85B84F" w14:textId="77777777" w:rsidR="00A123EB" w:rsidRPr="00441C35" w:rsidRDefault="00A123EB" w:rsidP="00441C35">
            <w:pPr>
              <w:pStyle w:val="ListParagraph"/>
              <w:numPr>
                <w:ilvl w:val="0"/>
                <w:numId w:val="1"/>
              </w:numPr>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Proportion of shared genetic effects (0.03125 – 0.5) with the proband</w:t>
            </w:r>
          </w:p>
        </w:tc>
      </w:tr>
      <w:tr w:rsidR="00A123EB" w:rsidRPr="00511A70" w14:paraId="2DA28044" w14:textId="77777777" w:rsidTr="00E04459">
        <w:tc>
          <w:tcPr>
            <w:tcW w:w="9060" w:type="dxa"/>
          </w:tcPr>
          <w:p w14:paraId="576A8CA5"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Step 5: Average the product calculated in step 4 across all relatives to a proband</w:t>
            </w:r>
          </w:p>
        </w:tc>
      </w:tr>
      <w:tr w:rsidR="00A123EB" w:rsidRPr="00511A70" w14:paraId="60A5D0A7" w14:textId="77777777" w:rsidTr="00E04459">
        <w:tc>
          <w:tcPr>
            <w:tcW w:w="9060" w:type="dxa"/>
          </w:tcPr>
          <w:p w14:paraId="4E1F80E0" w14:textId="77777777" w:rsidR="00A123EB" w:rsidRPr="00441C35" w:rsidRDefault="00A123EB" w:rsidP="00441C35">
            <w:pPr>
              <w:rPr>
                <w:rFonts w:ascii="Calibri Light" w:hAnsi="Calibri Light" w:cs="Calibri Light"/>
                <w:sz w:val="18"/>
                <w:szCs w:val="18"/>
                <w:lang w:val="en-US"/>
              </w:rPr>
            </w:pPr>
            <w:r w:rsidRPr="00441C35">
              <w:rPr>
                <w:rFonts w:ascii="Calibri Light" w:hAnsi="Calibri Light" w:cs="Calibri Light"/>
                <w:sz w:val="18"/>
                <w:szCs w:val="18"/>
                <w:lang w:val="en-US"/>
              </w:rPr>
              <w:t xml:space="preserve">Step 6: Correct for the number of relatives. We multiplied the results from step 5 with a shrinkage factor. Shrinkage factor (SF):  B/(B+A/C).  It produces more shrinkage if B and C are </w:t>
            </w:r>
            <w:proofErr w:type="gramStart"/>
            <w:r w:rsidRPr="00441C35">
              <w:rPr>
                <w:rFonts w:ascii="Calibri Light" w:hAnsi="Calibri Light" w:cs="Calibri Light"/>
                <w:sz w:val="18"/>
                <w:szCs w:val="18"/>
                <w:lang w:val="en-US"/>
              </w:rPr>
              <w:t>small</w:t>
            </w:r>
            <w:proofErr w:type="gramEnd"/>
            <w:r w:rsidRPr="00441C35">
              <w:rPr>
                <w:rFonts w:ascii="Calibri Light" w:hAnsi="Calibri Light" w:cs="Calibri Light"/>
                <w:sz w:val="18"/>
                <w:szCs w:val="18"/>
                <w:lang w:val="en-US"/>
              </w:rPr>
              <w:t xml:space="preserve"> and A is large.</w:t>
            </w:r>
          </w:p>
          <w:p w14:paraId="299FF8DA" w14:textId="77777777" w:rsidR="00A123EB" w:rsidRPr="00441C35" w:rsidRDefault="00A123EB" w:rsidP="00441C35">
            <w:pPr>
              <w:pStyle w:val="ListParagraph"/>
              <w:numPr>
                <w:ilvl w:val="0"/>
                <w:numId w:val="2"/>
              </w:numPr>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 xml:space="preserve">the variance of the z-score of the disorder across all relatives, </w:t>
            </w:r>
          </w:p>
          <w:p w14:paraId="791A971D" w14:textId="77777777" w:rsidR="00A123EB" w:rsidRPr="00441C35" w:rsidRDefault="00A123EB" w:rsidP="00441C35">
            <w:pPr>
              <w:pStyle w:val="ListParagraph"/>
              <w:numPr>
                <w:ilvl w:val="0"/>
                <w:numId w:val="2"/>
              </w:numPr>
              <w:contextualSpacing w:val="0"/>
              <w:rPr>
                <w:rFonts w:ascii="Calibri Light" w:hAnsi="Calibri Light" w:cs="Calibri Light"/>
                <w:sz w:val="18"/>
                <w:szCs w:val="18"/>
                <w:lang w:val="en-US"/>
              </w:rPr>
            </w:pPr>
            <w:r w:rsidRPr="00441C35">
              <w:rPr>
                <w:rFonts w:ascii="Calibri Light" w:hAnsi="Calibri Light" w:cs="Calibri Light"/>
                <w:sz w:val="18"/>
                <w:szCs w:val="18"/>
                <w:lang w:val="en-US"/>
              </w:rPr>
              <w:t>the variance in the mean z-score across all probands,</w:t>
            </w:r>
          </w:p>
          <w:p w14:paraId="0C241E29" w14:textId="77777777" w:rsidR="00A123EB" w:rsidRPr="00441C35" w:rsidRDefault="00A123EB" w:rsidP="00441C35">
            <w:pPr>
              <w:pStyle w:val="ListParagraph"/>
              <w:numPr>
                <w:ilvl w:val="0"/>
                <w:numId w:val="2"/>
              </w:numPr>
              <w:contextualSpacing w:val="0"/>
              <w:rPr>
                <w:rFonts w:ascii="Calibri Light" w:hAnsi="Calibri Light" w:cs="Calibri Light"/>
                <w:sz w:val="18"/>
                <w:szCs w:val="18"/>
                <w:lang w:val="en-US"/>
              </w:rPr>
            </w:pPr>
            <w:proofErr w:type="gramStart"/>
            <w:r w:rsidRPr="00441C35">
              <w:rPr>
                <w:rFonts w:ascii="Calibri Light" w:hAnsi="Calibri Light" w:cs="Calibri Light"/>
                <w:sz w:val="18"/>
                <w:szCs w:val="18"/>
                <w:lang w:val="en-US"/>
              </w:rPr>
              <w:t>the  weighted</w:t>
            </w:r>
            <w:proofErr w:type="gramEnd"/>
            <w:r w:rsidRPr="00441C35">
              <w:rPr>
                <w:rFonts w:ascii="Calibri Light" w:hAnsi="Calibri Light" w:cs="Calibri Light"/>
                <w:sz w:val="18"/>
                <w:szCs w:val="18"/>
                <w:lang w:val="en-US"/>
              </w:rPr>
              <w:t xml:space="preserve"> number of relatives for each proband (sum of Column 3 across each proband). </w:t>
            </w:r>
          </w:p>
        </w:tc>
      </w:tr>
      <w:tr w:rsidR="00A123EB" w:rsidRPr="00511A70" w14:paraId="148115CA" w14:textId="77777777" w:rsidTr="00E04459">
        <w:tc>
          <w:tcPr>
            <w:tcW w:w="9060" w:type="dxa"/>
          </w:tcPr>
          <w:p w14:paraId="544274A1" w14:textId="77777777" w:rsidR="00A123EB" w:rsidRPr="00441C35" w:rsidRDefault="00A123EB" w:rsidP="00E04459">
            <w:pPr>
              <w:rPr>
                <w:rFonts w:ascii="Calibri Light" w:hAnsi="Calibri Light" w:cs="Calibri Light"/>
                <w:sz w:val="18"/>
                <w:szCs w:val="18"/>
                <w:lang w:val="en-US"/>
              </w:rPr>
            </w:pPr>
            <w:r w:rsidRPr="00441C35">
              <w:rPr>
                <w:rFonts w:ascii="Calibri Light" w:hAnsi="Calibri Light" w:cs="Calibri Light"/>
                <w:sz w:val="18"/>
                <w:szCs w:val="18"/>
                <w:lang w:val="en-US"/>
              </w:rPr>
              <w:lastRenderedPageBreak/>
              <w:t xml:space="preserve">Step 7: Correct for difference by year of birth and county differences. There are 21 counties in Sweden. For each proband we used the county they had resided in during the maximum number of years (measured from 1969 and onwards) We standardized the risk score by year of birth and county of the proband into a z-score with mean 0 and SD 1. </w:t>
            </w:r>
          </w:p>
        </w:tc>
      </w:tr>
    </w:tbl>
    <w:p w14:paraId="372D9CEE" w14:textId="77777777" w:rsidR="00A123EB" w:rsidRDefault="00A123EB" w:rsidP="00A123EB">
      <w:pPr>
        <w:rPr>
          <w:lang w:val="en-US"/>
        </w:rPr>
      </w:pPr>
    </w:p>
    <w:p w14:paraId="3213B9AE" w14:textId="77777777" w:rsidR="00A830BB" w:rsidRDefault="00A830BB" w:rsidP="00A123EB">
      <w:pPr>
        <w:rPr>
          <w:lang w:val="en-US"/>
        </w:rPr>
      </w:pPr>
    </w:p>
    <w:p w14:paraId="23D767E9" w14:textId="744A831C" w:rsidR="00A830BB" w:rsidRDefault="00A830BB" w:rsidP="00A830BB">
      <w:pPr>
        <w:jc w:val="center"/>
        <w:rPr>
          <w:lang w:val="en-US"/>
        </w:rPr>
      </w:pPr>
      <w:r>
        <w:rPr>
          <w:lang w:val="en-US"/>
        </w:rPr>
        <w:t xml:space="preserve">Table 4 </w:t>
      </w:r>
    </w:p>
    <w:p w14:paraId="14283EC9" w14:textId="77777777" w:rsidR="00A830BB" w:rsidRPr="00A830BB" w:rsidRDefault="00A830BB" w:rsidP="00A830BB">
      <w:pPr>
        <w:jc w:val="center"/>
        <w:rPr>
          <w:lang w:val="en-US"/>
        </w:rPr>
      </w:pPr>
      <w:r w:rsidRPr="00A830BB">
        <w:rPr>
          <w:lang w:val="en-US"/>
        </w:rPr>
        <w:t xml:space="preserve">K-means clustering for partition the </w:t>
      </w:r>
      <w:proofErr w:type="gramStart"/>
      <w:r w:rsidRPr="00A830BB">
        <w:rPr>
          <w:lang w:val="en-US"/>
        </w:rPr>
        <w:t>FGRSs</w:t>
      </w:r>
      <w:proofErr w:type="gramEnd"/>
    </w:p>
    <w:p w14:paraId="438FB973" w14:textId="6994C361" w:rsidR="00F86A26" w:rsidRDefault="00A830BB" w:rsidP="00A830BB">
      <w:pPr>
        <w:rPr>
          <w:lang w:val="en-US"/>
        </w:rPr>
      </w:pPr>
      <w:r w:rsidRPr="00A830BB">
        <w:rPr>
          <w:lang w:val="en-US"/>
        </w:rPr>
        <w:t xml:space="preserve">We used a K-means clustering to partition the FGRSs into k clusters in which each individual belongs to the cluster with the nearest mean value. K-means clustering minimizes the within-cluster variances. We selected the number of clusters based on the elbow method (the inclusion of more clusters </w:t>
      </w:r>
      <w:proofErr w:type="gramStart"/>
      <w:r w:rsidRPr="00A830BB">
        <w:rPr>
          <w:lang w:val="en-US"/>
        </w:rPr>
        <w:t>do</w:t>
      </w:r>
      <w:proofErr w:type="gramEnd"/>
      <w:r w:rsidRPr="00A830BB">
        <w:rPr>
          <w:lang w:val="en-US"/>
        </w:rPr>
        <w:t xml:space="preserve"> not lead to a significant decrease in within-cluster sum of squares). For all four FGRSs the model resulted in 4 clusters. From the standardized score the thresholds for FGRSOCD was   0.67; 3.05; 7.22; for FGRSSZ 1.04, 4.16, 9.94; FGRSADHD 0.15, 1.55, 4.10 </w:t>
      </w:r>
      <w:proofErr w:type="gramStart"/>
      <w:r w:rsidRPr="00A830BB">
        <w:rPr>
          <w:lang w:val="en-US"/>
        </w:rPr>
        <w:t>and ;</w:t>
      </w:r>
      <w:proofErr w:type="gramEnd"/>
      <w:r w:rsidRPr="00A830BB">
        <w:rPr>
          <w:lang w:val="en-US"/>
        </w:rPr>
        <w:t xml:space="preserve"> FGRSASD 0.41, 2.30, 6.14.  </w:t>
      </w:r>
    </w:p>
    <w:p w14:paraId="0B1843F9" w14:textId="77777777" w:rsidR="00A830BB" w:rsidRPr="00530806" w:rsidRDefault="00A830BB" w:rsidP="00A830BB">
      <w:pPr>
        <w:rPr>
          <w:highlight w:val="yellow"/>
          <w:lang w:val="en-US"/>
        </w:rPr>
      </w:pPr>
    </w:p>
    <w:p w14:paraId="7BCA461E" w14:textId="03F58426" w:rsidR="00F86A26" w:rsidRPr="00530806" w:rsidRDefault="00F86A26" w:rsidP="00F86A26">
      <w:pPr>
        <w:jc w:val="center"/>
        <w:rPr>
          <w:lang w:val="en-US"/>
        </w:rPr>
      </w:pPr>
      <w:r w:rsidRPr="00530806">
        <w:rPr>
          <w:lang w:val="en-US"/>
        </w:rPr>
        <w:t xml:space="preserve">Table </w:t>
      </w:r>
      <w:r w:rsidR="00A830BB">
        <w:rPr>
          <w:lang w:val="en-US"/>
        </w:rPr>
        <w:t>5</w:t>
      </w:r>
      <w:r w:rsidRPr="00530806">
        <w:rPr>
          <w:lang w:val="en-US"/>
        </w:rPr>
        <w:t xml:space="preserve"> - Exact Values for Figure 1</w:t>
      </w:r>
    </w:p>
    <w:tbl>
      <w:tblPr>
        <w:tblStyle w:val="TableGrid"/>
        <w:tblW w:w="0" w:type="auto"/>
        <w:tblLook w:val="04A0" w:firstRow="1" w:lastRow="0" w:firstColumn="1" w:lastColumn="0" w:noHBand="0" w:noVBand="1"/>
      </w:tblPr>
      <w:tblGrid>
        <w:gridCol w:w="3142"/>
        <w:gridCol w:w="2960"/>
        <w:gridCol w:w="2960"/>
      </w:tblGrid>
      <w:tr w:rsidR="00F86A26" w14:paraId="561B2555" w14:textId="77777777" w:rsidTr="008C2807">
        <w:tc>
          <w:tcPr>
            <w:tcW w:w="3246" w:type="dxa"/>
          </w:tcPr>
          <w:p w14:paraId="19F0E8D5" w14:textId="77777777" w:rsidR="00F86A26" w:rsidRDefault="00F86A26" w:rsidP="008C2807">
            <w:r>
              <w:t>FGRS</w:t>
            </w:r>
          </w:p>
        </w:tc>
        <w:tc>
          <w:tcPr>
            <w:tcW w:w="3052" w:type="dxa"/>
          </w:tcPr>
          <w:p w14:paraId="4A20F7A3" w14:textId="77777777" w:rsidR="00F86A26" w:rsidRDefault="00F86A26" w:rsidP="008C2807">
            <w:r>
              <w:t>SPD</w:t>
            </w:r>
          </w:p>
        </w:tc>
        <w:tc>
          <w:tcPr>
            <w:tcW w:w="3052" w:type="dxa"/>
          </w:tcPr>
          <w:p w14:paraId="6DC91442" w14:textId="77777777" w:rsidR="00F86A26" w:rsidRDefault="00F86A26" w:rsidP="008C2807">
            <w:r>
              <w:t>SZ</w:t>
            </w:r>
          </w:p>
        </w:tc>
      </w:tr>
      <w:tr w:rsidR="00F86A26" w14:paraId="4DD6F682" w14:textId="77777777" w:rsidTr="008C2807">
        <w:tc>
          <w:tcPr>
            <w:tcW w:w="3246" w:type="dxa"/>
          </w:tcPr>
          <w:p w14:paraId="6A74035F" w14:textId="77777777" w:rsidR="00F86A26" w:rsidRDefault="00F86A26" w:rsidP="008C2807">
            <w:r>
              <w:t>SZ</w:t>
            </w:r>
          </w:p>
        </w:tc>
        <w:tc>
          <w:tcPr>
            <w:tcW w:w="3052" w:type="dxa"/>
          </w:tcPr>
          <w:p w14:paraId="7FB23703" w14:textId="77777777" w:rsidR="00F86A26" w:rsidRDefault="00F86A26" w:rsidP="008C2807">
            <w:r>
              <w:t>0.419 (0.323; 0.516)</w:t>
            </w:r>
          </w:p>
        </w:tc>
        <w:tc>
          <w:tcPr>
            <w:tcW w:w="3052" w:type="dxa"/>
          </w:tcPr>
          <w:p w14:paraId="72F576AE" w14:textId="77777777" w:rsidR="00F86A26" w:rsidRDefault="00F86A26" w:rsidP="008C2807">
            <w:r>
              <w:t>0.583 (0.542; 0.624)</w:t>
            </w:r>
          </w:p>
        </w:tc>
      </w:tr>
      <w:tr w:rsidR="00F86A26" w14:paraId="40369188" w14:textId="77777777" w:rsidTr="008C2807">
        <w:tc>
          <w:tcPr>
            <w:tcW w:w="3246" w:type="dxa"/>
          </w:tcPr>
          <w:p w14:paraId="4ABBB876" w14:textId="77777777" w:rsidR="00F86A26" w:rsidRDefault="00F86A26" w:rsidP="008C2807">
            <w:r>
              <w:t>ASD</w:t>
            </w:r>
          </w:p>
        </w:tc>
        <w:tc>
          <w:tcPr>
            <w:tcW w:w="3052" w:type="dxa"/>
          </w:tcPr>
          <w:p w14:paraId="1EA05B8A" w14:textId="77777777" w:rsidR="00F86A26" w:rsidRDefault="00F86A26" w:rsidP="008C2807">
            <w:r>
              <w:t>0.304 (0.247; 0.361)</w:t>
            </w:r>
          </w:p>
        </w:tc>
        <w:tc>
          <w:tcPr>
            <w:tcW w:w="3052" w:type="dxa"/>
          </w:tcPr>
          <w:p w14:paraId="08E47A5A" w14:textId="77777777" w:rsidR="00F86A26" w:rsidRDefault="00F86A26" w:rsidP="008C2807">
            <w:r>
              <w:t>0.202 (0.178; 0.227)</w:t>
            </w:r>
          </w:p>
        </w:tc>
      </w:tr>
      <w:tr w:rsidR="00F86A26" w14:paraId="4580BF44" w14:textId="77777777" w:rsidTr="008C2807">
        <w:tc>
          <w:tcPr>
            <w:tcW w:w="3246" w:type="dxa"/>
          </w:tcPr>
          <w:p w14:paraId="0879E926" w14:textId="77777777" w:rsidR="00F86A26" w:rsidRDefault="00F86A26" w:rsidP="008C2807">
            <w:r>
              <w:t>OCD</w:t>
            </w:r>
          </w:p>
        </w:tc>
        <w:tc>
          <w:tcPr>
            <w:tcW w:w="3052" w:type="dxa"/>
          </w:tcPr>
          <w:p w14:paraId="47F20902" w14:textId="77777777" w:rsidR="00F86A26" w:rsidRDefault="00F86A26" w:rsidP="008C2807">
            <w:r>
              <w:t>0.119 (0.069; 0.169)</w:t>
            </w:r>
          </w:p>
        </w:tc>
        <w:tc>
          <w:tcPr>
            <w:tcW w:w="3052" w:type="dxa"/>
          </w:tcPr>
          <w:p w14:paraId="2B506007" w14:textId="77777777" w:rsidR="00F86A26" w:rsidRDefault="00F86A26" w:rsidP="008C2807">
            <w:r>
              <w:t>0.095 (0.073; 0.116)</w:t>
            </w:r>
          </w:p>
        </w:tc>
      </w:tr>
      <w:tr w:rsidR="00F86A26" w14:paraId="65DD8677" w14:textId="77777777" w:rsidTr="008C2807">
        <w:tc>
          <w:tcPr>
            <w:tcW w:w="3246" w:type="dxa"/>
          </w:tcPr>
          <w:p w14:paraId="77365B8E" w14:textId="77777777" w:rsidR="00F86A26" w:rsidRDefault="00F86A26" w:rsidP="008C2807">
            <w:r>
              <w:t>ADHD</w:t>
            </w:r>
          </w:p>
        </w:tc>
        <w:tc>
          <w:tcPr>
            <w:tcW w:w="3052" w:type="dxa"/>
          </w:tcPr>
          <w:p w14:paraId="7B635E34" w14:textId="77777777" w:rsidR="00F86A26" w:rsidRDefault="00F86A26" w:rsidP="008C2807">
            <w:r>
              <w:t>0.197 (0.154; 0.241)</w:t>
            </w:r>
          </w:p>
        </w:tc>
        <w:tc>
          <w:tcPr>
            <w:tcW w:w="3052" w:type="dxa"/>
          </w:tcPr>
          <w:p w14:paraId="2E21E867" w14:textId="77777777" w:rsidR="00F86A26" w:rsidRDefault="00F86A26" w:rsidP="008C2807">
            <w:r>
              <w:t>0.102 (0.083; 0.120)</w:t>
            </w:r>
          </w:p>
        </w:tc>
      </w:tr>
      <w:tr w:rsidR="00F86A26" w14:paraId="2E732E51" w14:textId="77777777" w:rsidTr="008C2807">
        <w:tc>
          <w:tcPr>
            <w:tcW w:w="3246" w:type="dxa"/>
          </w:tcPr>
          <w:p w14:paraId="7E7C7545" w14:textId="77777777" w:rsidR="00F86A26" w:rsidRDefault="00F86A26" w:rsidP="008C2807">
            <w:r>
              <w:t>MD</w:t>
            </w:r>
          </w:p>
        </w:tc>
        <w:tc>
          <w:tcPr>
            <w:tcW w:w="3052" w:type="dxa"/>
          </w:tcPr>
          <w:p w14:paraId="07ABC371" w14:textId="77777777" w:rsidR="00F86A26" w:rsidRDefault="00F86A26" w:rsidP="008C2807">
            <w:r>
              <w:t>0.291 (0.246; 0.335)</w:t>
            </w:r>
          </w:p>
        </w:tc>
        <w:tc>
          <w:tcPr>
            <w:tcW w:w="3052" w:type="dxa"/>
          </w:tcPr>
          <w:p w14:paraId="637584C4" w14:textId="77777777" w:rsidR="00F86A26" w:rsidRDefault="00F86A26" w:rsidP="008C2807">
            <w:r>
              <w:t>0.145 (0.126; 0.164)</w:t>
            </w:r>
          </w:p>
        </w:tc>
      </w:tr>
    </w:tbl>
    <w:p w14:paraId="2412BAD6" w14:textId="77777777" w:rsidR="0034467A" w:rsidRDefault="0034467A" w:rsidP="00F86A26"/>
    <w:p w14:paraId="7D965F15" w14:textId="05E8D1BD" w:rsidR="0034467A" w:rsidRDefault="0034467A" w:rsidP="0034467A">
      <w:pPr>
        <w:jc w:val="center"/>
        <w:rPr>
          <w:rFonts w:ascii="Calibri Light" w:hAnsi="Calibri Light" w:cs="Calibri Light"/>
          <w:lang w:val="en-US"/>
        </w:rPr>
      </w:pPr>
      <w:r>
        <w:rPr>
          <w:rFonts w:ascii="Calibri Light" w:hAnsi="Calibri Light" w:cs="Calibri Light"/>
          <w:lang w:val="en-US"/>
        </w:rPr>
        <w:t xml:space="preserve">Table </w:t>
      </w:r>
      <w:r w:rsidR="00A830BB">
        <w:rPr>
          <w:rFonts w:ascii="Calibri Light" w:hAnsi="Calibri Light" w:cs="Calibri Light"/>
          <w:lang w:val="en-US"/>
        </w:rPr>
        <w:t>6</w:t>
      </w:r>
    </w:p>
    <w:p w14:paraId="0CCAA371" w14:textId="77777777" w:rsidR="0034467A" w:rsidRDefault="0034467A" w:rsidP="0034467A">
      <w:pPr>
        <w:jc w:val="center"/>
        <w:rPr>
          <w:rFonts w:ascii="Calibri Light" w:hAnsi="Calibri Light" w:cs="Calibri Light"/>
          <w:b/>
          <w:u w:val="single"/>
          <w:lang w:val="en-US"/>
        </w:rPr>
      </w:pPr>
      <w:r>
        <w:rPr>
          <w:rFonts w:ascii="Calibri Light" w:hAnsi="Calibri Light" w:cs="Calibri Light"/>
          <w:lang w:val="en-US"/>
        </w:rPr>
        <w:t xml:space="preserve">Fit of Latent Class Analysis </w:t>
      </w:r>
    </w:p>
    <w:tbl>
      <w:tblPr>
        <w:tblStyle w:val="TableGrid"/>
        <w:tblW w:w="0" w:type="auto"/>
        <w:tblLook w:val="04A0" w:firstRow="1" w:lastRow="0" w:firstColumn="1" w:lastColumn="0" w:noHBand="0" w:noVBand="1"/>
      </w:tblPr>
      <w:tblGrid>
        <w:gridCol w:w="2254"/>
        <w:gridCol w:w="2254"/>
        <w:gridCol w:w="2254"/>
        <w:gridCol w:w="2254"/>
      </w:tblGrid>
      <w:tr w:rsidR="0034467A" w14:paraId="089AB44E" w14:textId="77777777" w:rsidTr="004C3456">
        <w:tc>
          <w:tcPr>
            <w:tcW w:w="2254" w:type="dxa"/>
          </w:tcPr>
          <w:p w14:paraId="54ECCE70" w14:textId="77777777" w:rsidR="0034467A" w:rsidRDefault="0034467A" w:rsidP="004C3456">
            <w:pPr>
              <w:rPr>
                <w:lang w:val="en-US"/>
              </w:rPr>
            </w:pPr>
          </w:p>
        </w:tc>
        <w:tc>
          <w:tcPr>
            <w:tcW w:w="2254" w:type="dxa"/>
          </w:tcPr>
          <w:p w14:paraId="1BB874DC" w14:textId="77777777" w:rsidR="0034467A" w:rsidRDefault="0034467A" w:rsidP="004C3456">
            <w:pPr>
              <w:rPr>
                <w:lang w:val="en-US"/>
              </w:rPr>
            </w:pPr>
            <w:r>
              <w:rPr>
                <w:lang w:val="en-US"/>
              </w:rPr>
              <w:t>2 classes</w:t>
            </w:r>
          </w:p>
        </w:tc>
        <w:tc>
          <w:tcPr>
            <w:tcW w:w="2254" w:type="dxa"/>
          </w:tcPr>
          <w:p w14:paraId="0E67CB0E" w14:textId="77777777" w:rsidR="0034467A" w:rsidRDefault="0034467A" w:rsidP="004C3456">
            <w:pPr>
              <w:rPr>
                <w:lang w:val="en-US"/>
              </w:rPr>
            </w:pPr>
            <w:r>
              <w:rPr>
                <w:lang w:val="en-US"/>
              </w:rPr>
              <w:t xml:space="preserve">3 classes </w:t>
            </w:r>
          </w:p>
        </w:tc>
        <w:tc>
          <w:tcPr>
            <w:tcW w:w="2254" w:type="dxa"/>
          </w:tcPr>
          <w:p w14:paraId="3EE5953A" w14:textId="77777777" w:rsidR="0034467A" w:rsidRDefault="0034467A" w:rsidP="004C3456">
            <w:pPr>
              <w:rPr>
                <w:lang w:val="en-US"/>
              </w:rPr>
            </w:pPr>
            <w:r>
              <w:rPr>
                <w:lang w:val="en-US"/>
              </w:rPr>
              <w:t>4 classes</w:t>
            </w:r>
          </w:p>
        </w:tc>
      </w:tr>
      <w:tr w:rsidR="0034467A" w14:paraId="18E77D3C" w14:textId="77777777" w:rsidTr="004C3456">
        <w:tc>
          <w:tcPr>
            <w:tcW w:w="2254" w:type="dxa"/>
          </w:tcPr>
          <w:p w14:paraId="3203CCD5" w14:textId="77777777" w:rsidR="0034467A" w:rsidRDefault="0034467A" w:rsidP="004C3456">
            <w:pPr>
              <w:rPr>
                <w:lang w:val="en-US"/>
              </w:rPr>
            </w:pPr>
            <w:r>
              <w:rPr>
                <w:lang w:val="en-US"/>
              </w:rPr>
              <w:t xml:space="preserve">AIC </w:t>
            </w:r>
          </w:p>
        </w:tc>
        <w:tc>
          <w:tcPr>
            <w:tcW w:w="2254" w:type="dxa"/>
          </w:tcPr>
          <w:p w14:paraId="56D5DF92" w14:textId="77777777" w:rsidR="0034467A" w:rsidRDefault="0034467A" w:rsidP="004C3456">
            <w:pPr>
              <w:rPr>
                <w:lang w:val="en-US"/>
              </w:rPr>
            </w:pPr>
            <w:r>
              <w:rPr>
                <w:lang w:val="en-US"/>
              </w:rPr>
              <w:t>299.7</w:t>
            </w:r>
          </w:p>
        </w:tc>
        <w:tc>
          <w:tcPr>
            <w:tcW w:w="2254" w:type="dxa"/>
          </w:tcPr>
          <w:p w14:paraId="65EEB5DC" w14:textId="77777777" w:rsidR="0034467A" w:rsidRDefault="0034467A" w:rsidP="004C3456">
            <w:pPr>
              <w:rPr>
                <w:lang w:val="en-US"/>
              </w:rPr>
            </w:pPr>
            <w:r>
              <w:rPr>
                <w:lang w:val="en-US"/>
              </w:rPr>
              <w:t>229.8</w:t>
            </w:r>
          </w:p>
        </w:tc>
        <w:tc>
          <w:tcPr>
            <w:tcW w:w="2254" w:type="dxa"/>
          </w:tcPr>
          <w:p w14:paraId="11C3A040" w14:textId="77777777" w:rsidR="0034467A" w:rsidRDefault="0034467A" w:rsidP="004C3456">
            <w:pPr>
              <w:rPr>
                <w:lang w:val="en-US"/>
              </w:rPr>
            </w:pPr>
            <w:r>
              <w:rPr>
                <w:lang w:val="en-US"/>
              </w:rPr>
              <w:t>236.9</w:t>
            </w:r>
          </w:p>
        </w:tc>
      </w:tr>
      <w:tr w:rsidR="0034467A" w14:paraId="7D10E93D" w14:textId="77777777" w:rsidTr="004C3456">
        <w:tc>
          <w:tcPr>
            <w:tcW w:w="2254" w:type="dxa"/>
          </w:tcPr>
          <w:p w14:paraId="03BC334D" w14:textId="77777777" w:rsidR="0034467A" w:rsidRDefault="0034467A" w:rsidP="004C3456">
            <w:pPr>
              <w:rPr>
                <w:lang w:val="en-US"/>
              </w:rPr>
            </w:pPr>
            <w:r>
              <w:rPr>
                <w:lang w:val="en-US"/>
              </w:rPr>
              <w:t>BIC</w:t>
            </w:r>
          </w:p>
        </w:tc>
        <w:tc>
          <w:tcPr>
            <w:tcW w:w="2254" w:type="dxa"/>
          </w:tcPr>
          <w:p w14:paraId="6608D5E8" w14:textId="77777777" w:rsidR="0034467A" w:rsidRDefault="0034467A" w:rsidP="004C3456">
            <w:pPr>
              <w:rPr>
                <w:lang w:val="en-US"/>
              </w:rPr>
            </w:pPr>
            <w:r>
              <w:rPr>
                <w:lang w:val="en-US"/>
              </w:rPr>
              <w:t>363.7</w:t>
            </w:r>
          </w:p>
        </w:tc>
        <w:tc>
          <w:tcPr>
            <w:tcW w:w="2254" w:type="dxa"/>
          </w:tcPr>
          <w:p w14:paraId="7C030350" w14:textId="77777777" w:rsidR="0034467A" w:rsidRDefault="0034467A" w:rsidP="004C3456">
            <w:pPr>
              <w:rPr>
                <w:lang w:val="en-US"/>
              </w:rPr>
            </w:pPr>
            <w:r>
              <w:rPr>
                <w:lang w:val="en-US"/>
              </w:rPr>
              <w:t>327.1</w:t>
            </w:r>
          </w:p>
        </w:tc>
        <w:tc>
          <w:tcPr>
            <w:tcW w:w="2254" w:type="dxa"/>
          </w:tcPr>
          <w:p w14:paraId="1AA312B2" w14:textId="77777777" w:rsidR="0034467A" w:rsidRDefault="0034467A" w:rsidP="004C3456">
            <w:pPr>
              <w:rPr>
                <w:lang w:val="en-US"/>
              </w:rPr>
            </w:pPr>
            <w:r>
              <w:rPr>
                <w:lang w:val="en-US"/>
              </w:rPr>
              <w:t>367.4</w:t>
            </w:r>
          </w:p>
        </w:tc>
      </w:tr>
      <w:tr w:rsidR="0034467A" w14:paraId="7C3CA5DC" w14:textId="77777777" w:rsidTr="004C3456">
        <w:tc>
          <w:tcPr>
            <w:tcW w:w="2254" w:type="dxa"/>
          </w:tcPr>
          <w:p w14:paraId="0CD0BA4E" w14:textId="77777777" w:rsidR="0034467A" w:rsidRDefault="0034467A" w:rsidP="004C3456">
            <w:pPr>
              <w:rPr>
                <w:lang w:val="en-US"/>
              </w:rPr>
            </w:pPr>
            <w:r>
              <w:rPr>
                <w:lang w:val="en-US"/>
              </w:rPr>
              <w:t>Entropy</w:t>
            </w:r>
          </w:p>
        </w:tc>
        <w:tc>
          <w:tcPr>
            <w:tcW w:w="2254" w:type="dxa"/>
          </w:tcPr>
          <w:p w14:paraId="3E88009A" w14:textId="77777777" w:rsidR="0034467A" w:rsidRDefault="0034467A" w:rsidP="004C3456">
            <w:pPr>
              <w:rPr>
                <w:lang w:val="en-US"/>
              </w:rPr>
            </w:pPr>
            <w:r>
              <w:rPr>
                <w:lang w:val="en-US"/>
              </w:rPr>
              <w:t>0.61</w:t>
            </w:r>
          </w:p>
        </w:tc>
        <w:tc>
          <w:tcPr>
            <w:tcW w:w="2254" w:type="dxa"/>
          </w:tcPr>
          <w:p w14:paraId="028BEB9E" w14:textId="77777777" w:rsidR="0034467A" w:rsidRDefault="0034467A" w:rsidP="004C3456">
            <w:pPr>
              <w:rPr>
                <w:lang w:val="en-US"/>
              </w:rPr>
            </w:pPr>
            <w:r>
              <w:rPr>
                <w:lang w:val="en-US"/>
              </w:rPr>
              <w:t>0.65</w:t>
            </w:r>
          </w:p>
        </w:tc>
        <w:tc>
          <w:tcPr>
            <w:tcW w:w="2254" w:type="dxa"/>
          </w:tcPr>
          <w:p w14:paraId="4CDAAD71" w14:textId="77777777" w:rsidR="0034467A" w:rsidRDefault="0034467A" w:rsidP="004C3456">
            <w:pPr>
              <w:rPr>
                <w:lang w:val="en-US"/>
              </w:rPr>
            </w:pPr>
            <w:r>
              <w:rPr>
                <w:lang w:val="en-US"/>
              </w:rPr>
              <w:t>0.63</w:t>
            </w:r>
          </w:p>
        </w:tc>
      </w:tr>
      <w:tr w:rsidR="0034467A" w14:paraId="4C0005D0" w14:textId="77777777" w:rsidTr="004C3456">
        <w:tc>
          <w:tcPr>
            <w:tcW w:w="2254" w:type="dxa"/>
          </w:tcPr>
          <w:p w14:paraId="3DB3E9A6" w14:textId="77777777" w:rsidR="0034467A" w:rsidRDefault="0034467A" w:rsidP="004C3456">
            <w:pPr>
              <w:rPr>
                <w:lang w:val="en-US"/>
              </w:rPr>
            </w:pPr>
          </w:p>
        </w:tc>
        <w:tc>
          <w:tcPr>
            <w:tcW w:w="2254" w:type="dxa"/>
          </w:tcPr>
          <w:p w14:paraId="3A17618B" w14:textId="77777777" w:rsidR="0034467A" w:rsidRDefault="0034467A" w:rsidP="004C3456">
            <w:pPr>
              <w:rPr>
                <w:lang w:val="en-US"/>
              </w:rPr>
            </w:pPr>
          </w:p>
        </w:tc>
        <w:tc>
          <w:tcPr>
            <w:tcW w:w="2254" w:type="dxa"/>
          </w:tcPr>
          <w:p w14:paraId="2E05DBFA" w14:textId="77777777" w:rsidR="0034467A" w:rsidRDefault="0034467A" w:rsidP="004C3456">
            <w:pPr>
              <w:rPr>
                <w:lang w:val="en-US"/>
              </w:rPr>
            </w:pPr>
          </w:p>
        </w:tc>
        <w:tc>
          <w:tcPr>
            <w:tcW w:w="2254" w:type="dxa"/>
          </w:tcPr>
          <w:p w14:paraId="31D4CE6D" w14:textId="77777777" w:rsidR="0034467A" w:rsidRDefault="0034467A" w:rsidP="004C3456">
            <w:pPr>
              <w:rPr>
                <w:lang w:val="en-US"/>
              </w:rPr>
            </w:pPr>
          </w:p>
        </w:tc>
      </w:tr>
    </w:tbl>
    <w:p w14:paraId="5EBEAD2D" w14:textId="401C4701" w:rsidR="008C18EE" w:rsidRPr="00A123EB" w:rsidRDefault="008C18EE">
      <w:pPr>
        <w:rPr>
          <w:lang w:val="en-US"/>
        </w:rPr>
      </w:pPr>
    </w:p>
    <w:sectPr w:rsidR="008C18EE" w:rsidRPr="00A12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Gulim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37FC"/>
    <w:multiLevelType w:val="hybridMultilevel"/>
    <w:tmpl w:val="90582B88"/>
    <w:lvl w:ilvl="0" w:tplc="E44CF626">
      <w:start w:val="1"/>
      <w:numFmt w:val="lowerRoman"/>
      <w:lvlText w:val="%1)"/>
      <w:lvlJc w:val="left"/>
      <w:pPr>
        <w:ind w:left="1125" w:hanging="72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1" w15:restartNumberingAfterBreak="0">
    <w:nsid w:val="63C421F2"/>
    <w:multiLevelType w:val="hybridMultilevel"/>
    <w:tmpl w:val="60FC1FC4"/>
    <w:lvl w:ilvl="0" w:tplc="0AC43BFA">
      <w:start w:val="1"/>
      <w:numFmt w:val="upperLetter"/>
      <w:lvlText w:val="(%1)"/>
      <w:lvlJc w:val="left"/>
      <w:pPr>
        <w:ind w:left="765" w:hanging="36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num w:numId="1" w16cid:durableId="1652834507">
    <w:abstractNumId w:val="0"/>
  </w:num>
  <w:num w:numId="2" w16cid:durableId="1165702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EB"/>
    <w:rsid w:val="0015703C"/>
    <w:rsid w:val="00181C68"/>
    <w:rsid w:val="001C3CC4"/>
    <w:rsid w:val="001C629A"/>
    <w:rsid w:val="001C7B74"/>
    <w:rsid w:val="00261B88"/>
    <w:rsid w:val="0029698A"/>
    <w:rsid w:val="0034467A"/>
    <w:rsid w:val="003D66E4"/>
    <w:rsid w:val="003F3BDE"/>
    <w:rsid w:val="00441C35"/>
    <w:rsid w:val="00497CB4"/>
    <w:rsid w:val="004E192A"/>
    <w:rsid w:val="00511A70"/>
    <w:rsid w:val="00521EC8"/>
    <w:rsid w:val="00530806"/>
    <w:rsid w:val="00647E51"/>
    <w:rsid w:val="0067792E"/>
    <w:rsid w:val="00693C5E"/>
    <w:rsid w:val="006D628A"/>
    <w:rsid w:val="00856A33"/>
    <w:rsid w:val="008C18EE"/>
    <w:rsid w:val="009811D2"/>
    <w:rsid w:val="009C62E3"/>
    <w:rsid w:val="00A123EB"/>
    <w:rsid w:val="00A30BDA"/>
    <w:rsid w:val="00A830BB"/>
    <w:rsid w:val="00B23D9F"/>
    <w:rsid w:val="00BE187B"/>
    <w:rsid w:val="00DD3DEB"/>
    <w:rsid w:val="00E04649"/>
    <w:rsid w:val="00E5539F"/>
    <w:rsid w:val="00E87256"/>
    <w:rsid w:val="00EF3985"/>
    <w:rsid w:val="00F86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6F90"/>
  <w15:chartTrackingRefBased/>
  <w15:docId w15:val="{E6375607-8420-44D0-847B-6E6B1E5B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3EB"/>
    <w:pPr>
      <w:ind w:left="720"/>
      <w:contextualSpacing/>
    </w:pPr>
  </w:style>
  <w:style w:type="table" w:styleId="TableGrid">
    <w:name w:val="Table Grid"/>
    <w:basedOn w:val="TableNormal"/>
    <w:uiPriority w:val="39"/>
    <w:rsid w:val="00A1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47E51"/>
    <w:rPr>
      <w:sz w:val="16"/>
      <w:szCs w:val="16"/>
    </w:rPr>
  </w:style>
  <w:style w:type="paragraph" w:styleId="CommentText">
    <w:name w:val="annotation text"/>
    <w:basedOn w:val="Normal"/>
    <w:link w:val="CommentTextChar"/>
    <w:uiPriority w:val="99"/>
    <w:semiHidden/>
    <w:unhideWhenUsed/>
    <w:rsid w:val="00647E51"/>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647E51"/>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647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5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698A"/>
    <w:pPr>
      <w:spacing w:after="160" w:line="240" w:lineRule="auto"/>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29698A"/>
    <w:rPr>
      <w:rFonts w:ascii="Calibri" w:eastAsia="Calibri" w:hAnsi="Calibri" w:cs="Times New Roman"/>
      <w:b/>
      <w:bCs/>
      <w:sz w:val="20"/>
      <w:szCs w:val="20"/>
      <w:lang w:val="en-US"/>
    </w:rPr>
  </w:style>
  <w:style w:type="character" w:customStyle="1" w:styleId="ref-journal">
    <w:name w:val="ref-journal"/>
    <w:basedOn w:val="DefaultParagraphFont"/>
    <w:rsid w:val="0029698A"/>
  </w:style>
  <w:style w:type="character" w:customStyle="1" w:styleId="ref-vol">
    <w:name w:val="ref-vol"/>
    <w:basedOn w:val="DefaultParagraphFont"/>
    <w:rsid w:val="0029698A"/>
  </w:style>
  <w:style w:type="character" w:styleId="Emphasis">
    <w:name w:val="Emphasis"/>
    <w:basedOn w:val="DefaultParagraphFont"/>
    <w:uiPriority w:val="20"/>
    <w:qFormat/>
    <w:rsid w:val="00497CB4"/>
    <w:rPr>
      <w:i/>
      <w:iCs/>
    </w:rPr>
  </w:style>
  <w:style w:type="character" w:styleId="Hyperlink">
    <w:name w:val="Hyperlink"/>
    <w:basedOn w:val="DefaultParagraphFont"/>
    <w:uiPriority w:val="99"/>
    <w:unhideWhenUsed/>
    <w:rsid w:val="00497CB4"/>
    <w:rPr>
      <w:color w:val="0000FF"/>
      <w:u w:val="single"/>
    </w:rPr>
  </w:style>
  <w:style w:type="character" w:customStyle="1" w:styleId="UnresolvedMention1">
    <w:name w:val="Unresolved Mention1"/>
    <w:basedOn w:val="DefaultParagraphFont"/>
    <w:uiPriority w:val="99"/>
    <w:semiHidden/>
    <w:unhideWhenUsed/>
    <w:rsid w:val="006D628A"/>
    <w:rPr>
      <w:color w:val="605E5C"/>
      <w:shd w:val="clear" w:color="auto" w:fill="E1DFDD"/>
    </w:rPr>
  </w:style>
  <w:style w:type="paragraph" w:styleId="Revision">
    <w:name w:val="Revision"/>
    <w:hidden/>
    <w:uiPriority w:val="99"/>
    <w:semiHidden/>
    <w:rsid w:val="001C62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FF3E-79A2-4BA7-B4B6-B3B53FCC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Ohlsson</dc:creator>
  <cp:keywords/>
  <dc:description/>
  <cp:lastModifiedBy>Kenneth Kendler</cp:lastModifiedBy>
  <cp:revision>6</cp:revision>
  <dcterms:created xsi:type="dcterms:W3CDTF">2023-09-14T06:18:00Z</dcterms:created>
  <dcterms:modified xsi:type="dcterms:W3CDTF">2023-11-13T13:36:00Z</dcterms:modified>
</cp:coreProperties>
</file>