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rPr>
          <w:b/>
          <w:bCs/>
          <w:sz w:val="20"/>
          <w:szCs w:val="20"/>
        </w:rPr>
      </w:pPr>
      <w:r>
        <w:rPr>
          <w:b/>
          <w:bCs/>
          <w:sz w:val="20"/>
          <w:szCs w:val="20"/>
        </w:rPr>
        <w:t xml:space="preserve">Structural </w:t>
      </w:r>
      <w:r>
        <w:rPr>
          <w:rFonts w:hint="eastAsia"/>
          <w:b/>
          <w:bCs/>
          <w:sz w:val="20"/>
          <w:szCs w:val="20"/>
        </w:rPr>
        <w:t>H</w:t>
      </w:r>
      <w:r>
        <w:rPr>
          <w:b/>
          <w:bCs/>
          <w:sz w:val="20"/>
          <w:szCs w:val="20"/>
        </w:rPr>
        <w:t>b definitio</w:t>
      </w:r>
      <w:r>
        <w:rPr>
          <w:rFonts w:eastAsiaTheme="minorEastAsia"/>
          <w:b/>
          <w:bCs/>
          <w:sz w:val="20"/>
          <w:szCs w:val="20"/>
          <w:lang w:eastAsia="zh-CN"/>
        </w:rPr>
        <w:t>n</w:t>
      </w:r>
    </w:p>
    <w:p>
      <w:pPr>
        <w:spacing w:after="120"/>
        <w:ind w:firstLine="396"/>
        <w:jc w:val="both"/>
        <w:rPr>
          <w:rFonts w:eastAsiaTheme="minorEastAsia"/>
          <w:sz w:val="20"/>
          <w:szCs w:val="20"/>
          <w:lang w:eastAsia="zh-CN"/>
        </w:rPr>
      </w:pPr>
      <w:r>
        <w:rPr>
          <w:rFonts w:eastAsiaTheme="minorEastAsia"/>
          <w:sz w:val="20"/>
          <w:szCs w:val="20"/>
          <w:lang w:eastAsia="zh-CN"/>
        </w:rPr>
        <w:t>The habenula was manually created by</w:t>
      </w:r>
      <w:r>
        <w:rPr>
          <w:rFonts w:eastAsiaTheme="minorEastAsia"/>
          <w:b/>
          <w:bCs/>
          <w:sz w:val="20"/>
          <w:szCs w:val="20"/>
          <w:lang w:eastAsia="zh-CN"/>
        </w:rPr>
        <w:t xml:space="preserve"> </w:t>
      </w:r>
      <w:r>
        <w:rPr>
          <w:rFonts w:eastAsiaTheme="minorEastAsia"/>
          <w:sz w:val="20"/>
          <w:szCs w:val="20"/>
          <w:lang w:eastAsia="zh-CN"/>
        </w:rPr>
        <w:t>coloring individual voxels using MRICron. In the geometric method, the habenula outline is created by defining three points, A, B and C.</w:t>
      </w:r>
    </w:p>
    <w:p>
      <w:pPr>
        <w:spacing w:after="0"/>
        <w:ind w:firstLine="397"/>
        <w:rPr>
          <w:rFonts w:eastAsiaTheme="minorEastAsia"/>
          <w:b/>
          <w:bCs/>
          <w:sz w:val="20"/>
          <w:szCs w:val="20"/>
          <w:lang w:eastAsia="zh-CN"/>
        </w:rPr>
      </w:pPr>
      <w:r>
        <w:rPr>
          <w:rFonts w:eastAsiaTheme="minorEastAsia"/>
          <w:b/>
          <w:bCs/>
          <w:sz w:val="20"/>
          <w:szCs w:val="20"/>
          <w:lang w:eastAsia="zh-CN"/>
        </w:rPr>
        <w:drawing>
          <wp:inline distT="0" distB="0" distL="0" distR="0">
            <wp:extent cx="4922520" cy="3121025"/>
            <wp:effectExtent l="0" t="0" r="0" b="0"/>
            <wp:docPr id="8925063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06307"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26650" cy="3123508"/>
                    </a:xfrm>
                    <a:prstGeom prst="rect">
                      <a:avLst/>
                    </a:prstGeom>
                  </pic:spPr>
                </pic:pic>
              </a:graphicData>
            </a:graphic>
          </wp:inline>
        </w:drawing>
      </w:r>
    </w:p>
    <w:p>
      <w:pPr>
        <w:spacing w:before="0" w:after="0"/>
        <w:rPr>
          <w:b/>
          <w:bCs/>
          <w:sz w:val="20"/>
          <w:szCs w:val="20"/>
        </w:rPr>
      </w:pPr>
      <w:r>
        <w:rPr>
          <w:rFonts w:eastAsiaTheme="minorEastAsia"/>
          <w:b/>
          <w:bCs/>
          <w:sz w:val="20"/>
          <w:szCs w:val="20"/>
          <w:lang w:eastAsia="zh-CN"/>
        </w:rPr>
        <w:t xml:space="preserve">Figure S1. </w:t>
      </w:r>
      <w:r>
        <w:rPr>
          <w:b/>
          <w:bCs/>
          <w:sz w:val="20"/>
          <w:szCs w:val="20"/>
        </w:rPr>
        <w:t xml:space="preserve">Structural </w:t>
      </w:r>
      <w:r>
        <w:rPr>
          <w:rFonts w:hint="eastAsia"/>
          <w:b/>
          <w:bCs/>
          <w:sz w:val="20"/>
          <w:szCs w:val="20"/>
        </w:rPr>
        <w:t>H</w:t>
      </w:r>
      <w:r>
        <w:rPr>
          <w:b/>
          <w:bCs/>
          <w:sz w:val="20"/>
          <w:szCs w:val="20"/>
        </w:rPr>
        <w:t>b definitio</w:t>
      </w:r>
      <w:r>
        <w:rPr>
          <w:rFonts w:eastAsiaTheme="minorEastAsia"/>
          <w:b/>
          <w:bCs/>
          <w:sz w:val="20"/>
          <w:szCs w:val="20"/>
          <w:lang w:eastAsia="zh-CN"/>
        </w:rPr>
        <w:t>n</w:t>
      </w:r>
    </w:p>
    <w:p>
      <w:pPr>
        <w:spacing w:before="0" w:after="0"/>
        <w:jc w:val="both"/>
        <w:rPr>
          <w:rFonts w:eastAsiaTheme="minorEastAsia"/>
          <w:sz w:val="20"/>
          <w:szCs w:val="20"/>
          <w:lang w:eastAsia="zh-CN"/>
        </w:rPr>
      </w:pPr>
      <w:r>
        <w:rPr>
          <w:rFonts w:eastAsiaTheme="minorEastAsia"/>
          <w:sz w:val="20"/>
          <w:szCs w:val="20"/>
          <w:lang w:eastAsia="zh-CN"/>
        </w:rPr>
        <w:t xml:space="preserve">a, geometric method. </w:t>
      </w:r>
      <w:bookmarkStart w:id="0" w:name="_Hlk140650744"/>
      <w:r>
        <w:rPr>
          <w:rFonts w:eastAsiaTheme="minorEastAsia"/>
          <w:sz w:val="20"/>
          <w:szCs w:val="20"/>
          <w:lang w:eastAsia="zh-CN"/>
        </w:rPr>
        <w:t>In the geometric method, the habenula outline is created by defining three points, A, B and C.</w:t>
      </w:r>
      <w:bookmarkEnd w:id="0"/>
      <w:r>
        <w:rPr>
          <w:rFonts w:eastAsiaTheme="minorEastAsia"/>
          <w:sz w:val="20"/>
          <w:szCs w:val="20"/>
          <w:lang w:eastAsia="zh-CN"/>
        </w:rPr>
        <w:t xml:space="preserve"> b, Examples of habenula (HB) masks created in native space for a representative participant. The first column shows the image intensity obtained for the habenula at 3T with the MP2Rage (without overlaid HB masks). The second column shows the masks created based on the geometric method.</w:t>
      </w:r>
    </w:p>
    <w:p>
      <w:pPr>
        <w:spacing w:before="0" w:after="0" w:line="480" w:lineRule="auto"/>
        <w:jc w:val="both"/>
        <w:rPr>
          <w:rFonts w:eastAsiaTheme="minorEastAsia"/>
          <w:b/>
          <w:bCs/>
          <w:sz w:val="20"/>
          <w:szCs w:val="20"/>
          <w:lang w:eastAsia="zh-CN"/>
        </w:rPr>
      </w:pPr>
    </w:p>
    <w:p>
      <w:pPr>
        <w:spacing w:before="0" w:after="0" w:line="480" w:lineRule="auto"/>
        <w:jc w:val="both"/>
        <w:rPr>
          <w:rFonts w:eastAsiaTheme="minorEastAsia"/>
          <w:b/>
          <w:bCs/>
          <w:sz w:val="20"/>
          <w:szCs w:val="20"/>
          <w:lang w:eastAsia="zh-CN"/>
        </w:rPr>
      </w:pPr>
      <w:r>
        <w:rPr>
          <w:rFonts w:hint="eastAsia" w:eastAsiaTheme="minorEastAsia"/>
          <w:b/>
          <w:bCs/>
          <w:sz w:val="20"/>
          <w:szCs w:val="20"/>
          <w:lang w:eastAsia="zh-CN"/>
        </w:rPr>
        <w:t>R</w:t>
      </w:r>
      <w:r>
        <w:rPr>
          <w:rFonts w:eastAsiaTheme="minorEastAsia"/>
          <w:b/>
          <w:bCs/>
          <w:sz w:val="20"/>
          <w:szCs w:val="20"/>
          <w:lang w:eastAsia="zh-CN"/>
        </w:rPr>
        <w:t xml:space="preserve">OI </w:t>
      </w:r>
      <w:r>
        <w:rPr>
          <w:rFonts w:hint="eastAsia" w:eastAsiaTheme="minorEastAsia"/>
          <w:b/>
          <w:bCs/>
          <w:sz w:val="20"/>
          <w:szCs w:val="20"/>
          <w:lang w:eastAsia="zh-CN"/>
        </w:rPr>
        <w:t>de</w:t>
      </w:r>
      <w:r>
        <w:rPr>
          <w:rFonts w:eastAsiaTheme="minorEastAsia"/>
          <w:b/>
          <w:bCs/>
          <w:sz w:val="20"/>
          <w:szCs w:val="20"/>
          <w:lang w:eastAsia="zh-CN"/>
        </w:rPr>
        <w:t>finition of functional connectivity</w:t>
      </w:r>
    </w:p>
    <w:p>
      <w:pPr>
        <w:spacing w:before="0" w:after="0" w:line="480" w:lineRule="auto"/>
        <w:ind w:firstLine="400" w:firstLineChars="200"/>
        <w:jc w:val="both"/>
        <w:rPr>
          <w:sz w:val="20"/>
          <w:szCs w:val="20"/>
        </w:rPr>
      </w:pPr>
      <w:r>
        <w:rPr>
          <w:sz w:val="20"/>
          <w:szCs w:val="20"/>
        </w:rPr>
        <w:t xml:space="preserve">The seeds for the left and right habenula proposed by Kim et al. </w:t>
      </w:r>
      <w:r>
        <w:rPr>
          <w:sz w:val="20"/>
          <w:szCs w:val="20"/>
        </w:rPr>
        <w:fldChar w:fldCharType="begin" w:fldLock="1"/>
      </w:r>
      <w:r>
        <w:rPr>
          <w:sz w:val="20"/>
          <w:szCs w:val="20"/>
        </w:rPr>
        <w:instrText xml:space="preserve">ADDIN CSL_CITATION {"citationItems":[{"id":"ITEM-1","itemData":{"DOI":"10.1016/j.neuroimage.2016.01.048","ISSN":"1095-9572 (Electronic)","PMID":"26826517","abstract":"The habenula consists of a pair of small epithalamic nuclei located adjacent to  the dorsomedial thalamus. Despite increasing interest in imaging the habenula due to its critical role in mediating subcortical reward circuitry, in vivo neuroimaging research targeting the human habenula has been limited by its small size and low anatomical contrast. In this work, we have developed an objective semi-automated habenula segmentation scheme consisting of histogram-based thresholding, region growing, geometric constraints, and partial volume estimation steps. This segmentation scheme was designed around in vivo 3 T myelin-sensitive images, generated by taking the ratio of high-resolution T1w over T2w images. Due to the high myelin content of the habenula, the contrast-to-noise ratio with the thalamus in the in vivo 3T myelin-sensitive images was significantly higher than the T1w or T2w images alone. In addition, in vivo 7 T myelin-sensitive images (T1w over T2*w ratio images) and ex vivo proton density-weighted images, along with histological evidence from the literature, strongly corroborated the in vivo 3 T habenula myelin contrast used in the proposed segmentation scheme. The proposed segmentation scheme represents a step toward a scalable approach for objective segmentation of the habenula suitable for both morphological evaluation and habenula seed region selection in functional and diffusion MRI applications.","author":[{"dropping-particle":"","family":"Kim","given":"Joo-Won","non-dropping-particle":"","parse-names":false,"suffix":""},{"dropping-particle":"","family":"Naidich","given":"Thomas P","non-dropping-particle":"","parse-names":false,"suffix":""},{"dropping-particle":"","family":"Ely","given":"Benjamin A","non-dropping-particle":"","parse-names":false,"suffix":""},{"dropping-particle":"","family":"Yacoub","given":"Essa","non-dropping-particle":"","parse-names":false,"suffix":""},{"dropping-particle":"","family":"Martino","given":"Federico","non-dropping-particle":"De","parse-names":false,"suffix":""},{"dropping-particle":"","family":"Fowkes","given":"Mary E","non-dropping-particle":"","parse-names":false,"suffix":""},{"dropping-particle":"","family":"Goodman","given":"Wayne K","non-dropping-particle":"","parse-names":false,"suffix":""},{"dropping-particle":"","family":"Xu","given":"Junqian","non-dropping-particle":"","parse-names":false,"suffix":""}],"container-title":"NeuroImage","id":"ITEM-1","issued":{"date-parts":[["2016","4"]]},"language":"eng","page":"145-156","publisher-place":"United States","title":"Human habenula segmentation using myelin content.","type":"article-journal","volume":"130"},"uris":["http://www.mendeley.com/documents/?uuid=91b5caf0-5285-453d-869d-3ad1bbf91c02"]}],"mendeley":{"formattedCitation":"(Kim et al., 2016)","plainTextFormattedCitation":"(Kim et al., 2016)"},"properties":{"noteIndex":0},"schema":"https://github.com/citation-style-language/schema/raw/master/csl-citation.json"}</w:instrText>
      </w:r>
      <w:r>
        <w:rPr>
          <w:sz w:val="20"/>
          <w:szCs w:val="20"/>
        </w:rPr>
        <w:fldChar w:fldCharType="separate"/>
      </w:r>
      <w:r>
        <w:rPr>
          <w:sz w:val="20"/>
          <w:szCs w:val="20"/>
        </w:rPr>
        <w:t>(Kim et al., 2016)</w:t>
      </w:r>
      <w:r>
        <w:rPr>
          <w:sz w:val="20"/>
          <w:szCs w:val="20"/>
        </w:rPr>
        <w:fldChar w:fldCharType="end"/>
      </w:r>
      <w:r>
        <w:rPr>
          <w:sz w:val="20"/>
          <w:szCs w:val="20"/>
        </w:rPr>
        <w:t xml:space="preserve"> were used in this study (Figure S2), which were thought to be suitable for habenula seed region selection in functional MRI applications. We selected several other regions of interest (ROI) for exploratory analysis:</w:t>
      </w:r>
      <w:bookmarkStart w:id="1" w:name="_Hlk101265837"/>
      <w:r>
        <w:rPr>
          <w:sz w:val="20"/>
          <w:szCs w:val="20"/>
        </w:rPr>
        <w:t xml:space="preserve"> the bilateral Gpi, </w:t>
      </w:r>
      <w:r>
        <w:rPr>
          <w:rFonts w:eastAsia="宋体"/>
          <w:color w:val="231F20"/>
          <w:sz w:val="20"/>
          <w:szCs w:val="20"/>
        </w:rPr>
        <w:t>medial prefrontal cortex</w:t>
      </w:r>
      <w:r>
        <w:rPr>
          <w:rFonts w:hint="eastAsia" w:eastAsia="宋体"/>
          <w:color w:val="231F20"/>
          <w:sz w:val="20"/>
          <w:szCs w:val="20"/>
        </w:rPr>
        <w:t xml:space="preserve"> (mPFC), </w:t>
      </w:r>
      <w:r>
        <w:rPr>
          <w:rFonts w:eastAsia="宋体"/>
          <w:color w:val="231F20"/>
          <w:sz w:val="20"/>
          <w:szCs w:val="20"/>
        </w:rPr>
        <w:t xml:space="preserve">dorsomedial prefrontal cortex </w:t>
      </w:r>
      <w:r>
        <w:rPr>
          <w:sz w:val="20"/>
          <w:szCs w:val="20"/>
        </w:rPr>
        <w:t xml:space="preserve">(dmPFC), </w:t>
      </w:r>
      <w:r>
        <w:rPr>
          <w:rFonts w:eastAsia="宋体"/>
          <w:color w:val="231F20"/>
          <w:sz w:val="20"/>
          <w:szCs w:val="20"/>
        </w:rPr>
        <w:t xml:space="preserve">ventromedial prefrontal cortex </w:t>
      </w:r>
      <w:r>
        <w:rPr>
          <w:sz w:val="20"/>
          <w:szCs w:val="20"/>
        </w:rPr>
        <w:t>(vmPFC), Hippocampus, amygdala</w:t>
      </w:r>
      <w:bookmarkEnd w:id="1"/>
      <w:r>
        <w:rPr>
          <w:sz w:val="20"/>
          <w:szCs w:val="20"/>
        </w:rPr>
        <w:t>, PAG, VTA</w:t>
      </w:r>
      <w:r>
        <w:t xml:space="preserve">, and </w:t>
      </w:r>
      <w:r>
        <w:rPr>
          <w:sz w:val="20"/>
          <w:szCs w:val="20"/>
        </w:rPr>
        <w:t xml:space="preserve">NAcc. </w:t>
      </w:r>
      <w:r>
        <w:rPr>
          <w:rFonts w:hint="eastAsia"/>
          <w:sz w:val="20"/>
          <w:szCs w:val="20"/>
        </w:rPr>
        <w:t xml:space="preserve">Here, the masks </w:t>
      </w:r>
      <w:r>
        <w:rPr>
          <w:sz w:val="20"/>
          <w:szCs w:val="20"/>
        </w:rPr>
        <w:t xml:space="preserve">of </w:t>
      </w:r>
      <w:r>
        <w:rPr>
          <w:rFonts w:hint="eastAsia"/>
          <w:sz w:val="20"/>
          <w:szCs w:val="20"/>
        </w:rPr>
        <w:t>bilateral mPFC</w:t>
      </w:r>
      <w:r>
        <w:rPr>
          <w:sz w:val="20"/>
          <w:szCs w:val="20"/>
        </w:rPr>
        <w:t>, vmPFC, dmPFC, hippocampus, amygdala, and NAcc</w:t>
      </w:r>
      <w:r>
        <w:rPr>
          <w:rFonts w:hint="eastAsia"/>
          <w:sz w:val="20"/>
          <w:szCs w:val="20"/>
        </w:rPr>
        <w:t xml:space="preserve"> </w:t>
      </w:r>
      <w:r>
        <w:rPr>
          <w:sz w:val="20"/>
          <w:szCs w:val="20"/>
        </w:rPr>
        <w:t>were obtained using the WFU_PickAtlas software package (</w:t>
      </w:r>
      <w:r>
        <w:fldChar w:fldCharType="begin"/>
      </w:r>
      <w:r>
        <w:instrText xml:space="preserve"> HYPERLINK "http://fmri.wfubmc.edu/software/" </w:instrText>
      </w:r>
      <w:r>
        <w:fldChar w:fldCharType="separate"/>
      </w:r>
      <w:r>
        <w:rPr>
          <w:rStyle w:val="7"/>
          <w:sz w:val="20"/>
          <w:szCs w:val="20"/>
        </w:rPr>
        <w:t>http://fmri.wfubmc.edu/software/</w:t>
      </w:r>
      <w:r>
        <w:rPr>
          <w:rStyle w:val="7"/>
          <w:sz w:val="20"/>
          <w:szCs w:val="20"/>
        </w:rPr>
        <w:fldChar w:fldCharType="end"/>
      </w:r>
      <w:r>
        <w:rPr>
          <w:rStyle w:val="7"/>
          <w:sz w:val="20"/>
          <w:szCs w:val="20"/>
        </w:rPr>
        <w:t>PickAtlas</w:t>
      </w:r>
      <w:r>
        <w:rPr>
          <w:sz w:val="20"/>
          <w:szCs w:val="20"/>
        </w:rPr>
        <w:t xml:space="preserve">) and extracted in the AAL </w:t>
      </w:r>
      <w:r>
        <w:rPr>
          <w:rFonts w:hint="eastAsia"/>
          <w:sz w:val="20"/>
          <w:szCs w:val="20"/>
        </w:rPr>
        <w:t>altas</w:t>
      </w:r>
      <w:r>
        <w:rPr>
          <w:sz w:val="20"/>
          <w:szCs w:val="20"/>
        </w:rPr>
        <w:t xml:space="preserve">. The mask of bilateral Gpi as defined based on the Atlas of the basal ganglia </w:t>
      </w:r>
      <w:r>
        <w:rPr>
          <w:sz w:val="20"/>
          <w:szCs w:val="20"/>
        </w:rPr>
        <w:fldChar w:fldCharType="begin" w:fldLock="1"/>
      </w:r>
      <w:r>
        <w:rPr>
          <w:sz w:val="20"/>
          <w:szCs w:val="20"/>
        </w:rPr>
        <w:instrText xml:space="preserve">ADDIN CSL_CITATION {"citationItems":[{"id":"ITEM-1","itemData":{"DOI":"10.1016/j.neuroimage.2014.03.032","ISSN":"10959572","PMID":"24650599","abstract":"Functional magnetic resonance imaging (MRI) data are usually registered into standard anatomical space. However, standard atlases, such as LPBA40, the Harvard-Oxford atlas, FreeSurfer, and the Jülich cytoarchitectonic maps all lack important detailed information about small subcortical structures like the substantia nigra and subthalamic nucleus. Here we introduce a new subcortical probabilistic atlas based on ultra-high resolution in-vivo anatomical imaging from 7. T MRI. The atlas includes six important but elusive subcortical nuclei: the striatum, the globus pallidus internal and external segment (GPi/e), the subthalamic nucleus, the substantia nigra, and the red nucleus. With a sample of 30 young subjects and carefully cross-validated delineation protocols, our atlas is able to capture the anatomical variability within healthy populations for each of the included structures at an unprecedented level of detail. All the generated probabilistic atlases are registered to MNI standard space and are publicly available. © 2014.","author":[{"dropping-particle":"","family":"Keuken","given":"M. C.","non-dropping-particle":"","parse-names":false,"suffix":""},{"dropping-particle":"","family":"Bazin","given":"P. L.","non-dropping-particle":"","parse-names":false,"suffix":""},{"dropping-particle":"","family":"Crown","given":"L.","non-dropping-particle":"","parse-names":false,"suffix":""},{"dropping-particle":"","family":"Hootsmans","given":"J.","non-dropping-particle":"","parse-names":false,"suffix":""},{"dropping-particle":"","family":"Laufer","given":"A.","non-dropping-particle":"","parse-names":false,"suffix":""},{"dropping-particle":"","family":"Müller-Axt","given":"C.","non-dropping-particle":"","parse-names":false,"suffix":""},{"dropping-particle":"","family":"Sier","given":"R.","non-dropping-particle":"","parse-names":false,"suffix":""},{"dropping-particle":"","family":"Putten","given":"E. J.","non-dropping-particle":"van der","parse-names":false,"suffix":""},{"dropping-particle":"","family":"Schäfer","given":"A.","non-dropping-particle":"","parse-names":false,"suffix":""},{"dropping-particle":"","family":"Turner","given":"R.","non-dropping-particle":"","parse-names":false,"suffix":""},{"dropping-particle":"","family":"Forstmann","given":"B. U.","non-dropping-particle":"","parse-names":false,"suffix":""}],"container-title":"NeuroImage","id":"ITEM-1","issued":{"date-parts":[["2014"]]},"page":"40-46","publisher":"Elsevier B.V.","title":"Quantifying inter-individual anatomical variability in the subcortex using 7T structural MRI","type":"article-journal","volume":"94"},"uris":["http://www.mendeley.com/documents/?uuid=e3a7266a-7ded-4db4-88d8-9883070bc88e"]}],"mendeley":{"formattedCitation":"(Keuken et al., 2014)","plainTextFormattedCitation":"(Keuken et al., 2014)","previouslyFormattedCitation":"(Keuken et al., 2014)"},"properties":{"noteIndex":0},"schema":"https://github.com/citation-style-language/schema/raw/master/csl-citation.json"}</w:instrText>
      </w:r>
      <w:r>
        <w:rPr>
          <w:sz w:val="20"/>
          <w:szCs w:val="20"/>
        </w:rPr>
        <w:fldChar w:fldCharType="separate"/>
      </w:r>
      <w:r>
        <w:rPr>
          <w:sz w:val="20"/>
          <w:szCs w:val="20"/>
        </w:rPr>
        <w:t>(Keuken et al., 2014)</w:t>
      </w:r>
      <w:r>
        <w:rPr>
          <w:sz w:val="20"/>
          <w:szCs w:val="20"/>
        </w:rPr>
        <w:fldChar w:fldCharType="end"/>
      </w:r>
      <w:r>
        <w:rPr>
          <w:sz w:val="20"/>
          <w:szCs w:val="20"/>
        </w:rPr>
        <w:t>(</w:t>
      </w:r>
      <w:r>
        <w:fldChar w:fldCharType="begin"/>
      </w:r>
      <w:r>
        <w:instrText xml:space="preserve"> HYPERLINK "http://www.nitrc.org/projects/atag" </w:instrText>
      </w:r>
      <w:r>
        <w:fldChar w:fldCharType="separate"/>
      </w:r>
      <w:r>
        <w:rPr>
          <w:rStyle w:val="7"/>
          <w:sz w:val="20"/>
          <w:szCs w:val="20"/>
        </w:rPr>
        <w:t>www.nitrc.org/projects/atag</w:t>
      </w:r>
      <w:r>
        <w:rPr>
          <w:rStyle w:val="7"/>
          <w:sz w:val="20"/>
          <w:szCs w:val="20"/>
        </w:rPr>
        <w:fldChar w:fldCharType="end"/>
      </w:r>
      <w:r>
        <w:rPr>
          <w:sz w:val="20"/>
          <w:szCs w:val="20"/>
        </w:rPr>
        <w:t xml:space="preserve">). The masks of VTA and PAG as defined based on the AAN atlas </w:t>
      </w:r>
      <w:r>
        <w:rPr>
          <w:sz w:val="20"/>
          <w:szCs w:val="20"/>
        </w:rPr>
        <w:fldChar w:fldCharType="begin" w:fldLock="1"/>
      </w:r>
      <w:r>
        <w:rPr>
          <w:sz w:val="20"/>
          <w:szCs w:val="20"/>
        </w:rPr>
        <w:instrText xml:space="preserve">ADDIN CSL_CITATION {"citationItems":[{"id":"ITEM-1","itemData":{"DOI":"10.1097/NEN.0b013e3182588293","ISSN":"00223069","PMID":"22592840","abstract":"The ascending reticular activating system (ARAS) mediates arousal, an essential component of human consciousness. Lesions of the ARAS cause coma, the most severe disorder of consciousness. Because of current methodological limitations, including of postmortem tissue analysis, the neuroanatomic connectivity of the human ARAS is poorly understood. We applied the advanced imaging technique of high angular resolution diffusion imaging (HARDI) to elucidate the structural connectivity of the ARAS in 3 adult human brains, 2 of which were imaged postmortem. High angular resolution diffusion imaging tractography identified the ARAS connectivity previously described in animals and also revealed novel human pathways connecting the brainstem to the thalamus, the hypothalamus, and the basal forebrain. Each pathway contained different distributions of fiber tracts from known neurotransmitter-specific ARAS nuclei in the brainstem. The histologically guided tractography findings reported here provide initialevidence for human-specific pathways of the ARAS. The unique composition of neurotransmitter-specific fiber tracts within each ARAS pathway suggests structural specializations that subserve the different functional characteristics of human arousal. This ARAS connectivity analysis provides proof of principle that HARDI tractography may affect the study of human consciousness and its disorders, including in neuropathologic studies of patients dying in coma and the persistent vegetative state. © 2012 by the American Association of Neuropathologists, Inc.","author":[{"dropping-particle":"","family":"Edlow","given":"Brian L.","non-dropping-particle":"","parse-names":false,"suffix":""},{"dropping-particle":"","family":"Takahashi","given":"Emi","non-dropping-particle":"","parse-names":false,"suffix":""},{"dropping-particle":"","family":"Wu","given":"Ona","non-dropping-particle":"","parse-names":false,"suffix":""},{"dropping-particle":"","family":"Benner","given":"Thomas","non-dropping-particle":"","parse-names":false,"suffix":""},{"dropping-particle":"","family":"Dai","given":"Guangping","non-dropping-particle":"","parse-names":false,"suffix":""},{"dropping-particle":"","family":"Bu","given":"Lihong","non-dropping-particle":"","parse-names":false,"suffix":""},{"dropping-particle":"","family":"Grant","given":"Patricia Ellen","non-dropping-particle":"","parse-names":false,"suffix":""},{"dropping-particle":"","family":"Greer","given":"David M.","non-dropping-particle":"","parse-names":false,"suffix":""},{"dropping-particle":"","family":"Greenberg","given":"Steven M.","non-dropping-particle":"","parse-names":false,"suffix":""},{"dropping-particle":"","family":"Kinney","given":"Hannah C.","non-dropping-particle":"","parse-names":false,"suffix":""},{"dropping-particle":"","family":"Folkerth","given":"Rebecca D.","non-dropping-particle":"","parse-names":false,"suffix":""}],"container-title":"Journal of Neuropathology and Experimental Neurology","id":"ITEM-1","issue":"6","issued":{"date-parts":[["2012"]]},"page":"531-546","title":"Neuroanatomic connectivity of the human ascending arousal system critical to consciousness and its disorders","type":"article-journal","volume":"71"},"uris":["http://www.mendeley.com/documents/?uuid=6f64a64a-2cff-48a4-ad1b-52a387527415"]}],"mendeley":{"formattedCitation":"(Edlow et al., 2012)","plainTextFormattedCitation":"(Edlow et al., 2012)","previouslyFormattedCitation":"(Edlow et al., 2012)"},"properties":{"noteIndex":0},"schema":"https://github.com/citation-style-language/schema/raw/master/csl-citation.json"}</w:instrText>
      </w:r>
      <w:r>
        <w:rPr>
          <w:sz w:val="20"/>
          <w:szCs w:val="20"/>
        </w:rPr>
        <w:fldChar w:fldCharType="separate"/>
      </w:r>
      <w:r>
        <w:rPr>
          <w:sz w:val="20"/>
          <w:szCs w:val="20"/>
        </w:rPr>
        <w:t>(Edlow et al., 2012)</w:t>
      </w:r>
      <w:r>
        <w:rPr>
          <w:sz w:val="20"/>
          <w:szCs w:val="20"/>
        </w:rPr>
        <w:fldChar w:fldCharType="end"/>
      </w:r>
      <w:r>
        <w:rPr>
          <w:sz w:val="20"/>
          <w:szCs w:val="20"/>
        </w:rPr>
        <w:t xml:space="preserve"> (</w:t>
      </w:r>
      <w:r>
        <w:fldChar w:fldCharType="begin"/>
      </w:r>
      <w:r>
        <w:instrText xml:space="preserve"> HYPERLINK "http://nmr.mgh.harvard.edu/martinos/%20resources/aan-atlas" </w:instrText>
      </w:r>
      <w:r>
        <w:fldChar w:fldCharType="separate"/>
      </w:r>
      <w:r>
        <w:rPr>
          <w:rStyle w:val="7"/>
          <w:sz w:val="20"/>
          <w:szCs w:val="20"/>
        </w:rPr>
        <w:t>http://nmr.mgh.harvard.edu/martinos/ resources/aan-atlas</w:t>
      </w:r>
      <w:r>
        <w:rPr>
          <w:rStyle w:val="7"/>
          <w:sz w:val="20"/>
          <w:szCs w:val="20"/>
        </w:rPr>
        <w:fldChar w:fldCharType="end"/>
      </w:r>
      <w:r>
        <w:rPr>
          <w:sz w:val="20"/>
          <w:szCs w:val="20"/>
        </w:rPr>
        <w:t>)</w:t>
      </w:r>
      <w:r>
        <w:rPr>
          <w:rFonts w:hint="eastAsia"/>
          <w:sz w:val="20"/>
          <w:szCs w:val="20"/>
        </w:rPr>
        <w:t>.</w:t>
      </w:r>
    </w:p>
    <w:p>
      <w:pPr>
        <w:spacing w:after="0"/>
        <w:ind w:firstLine="397"/>
        <w:jc w:val="center"/>
        <w:rPr>
          <w:rFonts w:eastAsiaTheme="minorEastAsia"/>
          <w:sz w:val="20"/>
          <w:szCs w:val="20"/>
          <w:lang w:eastAsia="zh-CN"/>
        </w:rPr>
      </w:pPr>
      <w:r>
        <w:rPr>
          <w:rFonts w:hint="eastAsia" w:eastAsiaTheme="minorEastAsia"/>
          <w:sz w:val="20"/>
          <w:szCs w:val="20"/>
          <w:lang w:eastAsia="zh-CN"/>
        </w:rPr>
        <w:drawing>
          <wp:inline distT="0" distB="0" distL="0" distR="0">
            <wp:extent cx="3357880" cy="2913380"/>
            <wp:effectExtent l="0" t="0" r="0" b="0"/>
            <wp:docPr id="1168532009" name="图片 1"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32009" name="图片 1" descr="许多照片放在一起&#10;&#10;描述已自动生成"/>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68144" cy="2922360"/>
                    </a:xfrm>
                    <a:prstGeom prst="rect">
                      <a:avLst/>
                    </a:prstGeom>
                  </pic:spPr>
                </pic:pic>
              </a:graphicData>
            </a:graphic>
          </wp:inline>
        </w:drawing>
      </w:r>
    </w:p>
    <w:p>
      <w:pPr>
        <w:spacing w:before="0" w:after="0"/>
        <w:rPr>
          <w:sz w:val="20"/>
          <w:szCs w:val="20"/>
        </w:rPr>
      </w:pPr>
      <w:r>
        <w:rPr>
          <w:rFonts w:eastAsiaTheme="minorEastAsia"/>
          <w:b/>
          <w:bCs/>
          <w:sz w:val="20"/>
          <w:szCs w:val="20"/>
          <w:lang w:eastAsia="zh-CN"/>
        </w:rPr>
        <w:t xml:space="preserve">Figure S2. </w:t>
      </w:r>
      <w:r>
        <w:rPr>
          <w:b/>
          <w:bCs/>
          <w:sz w:val="20"/>
          <w:szCs w:val="20"/>
        </w:rPr>
        <w:t>The habenula regions of interest of functional analysis.</w:t>
      </w:r>
      <w:r>
        <w:rPr>
          <w:sz w:val="20"/>
          <w:szCs w:val="20"/>
        </w:rPr>
        <w:t xml:space="preserve"> </w:t>
      </w:r>
    </w:p>
    <w:p>
      <w:pPr>
        <w:spacing w:before="0" w:after="0"/>
        <w:rPr>
          <w:sz w:val="20"/>
          <w:szCs w:val="20"/>
        </w:rPr>
      </w:pPr>
      <w:r>
        <w:rPr>
          <w:sz w:val="20"/>
          <w:szCs w:val="20"/>
        </w:rPr>
        <w:t xml:space="preserve">Anatomical regions of interest were used for the left </w:t>
      </w:r>
      <w:r>
        <w:rPr>
          <w:rFonts w:eastAsia="宋体"/>
          <w:sz w:val="20"/>
          <w:szCs w:val="20"/>
          <w:lang w:eastAsia="zh-CN"/>
        </w:rPr>
        <w:t>(red)</w:t>
      </w:r>
      <w:r>
        <w:rPr>
          <w:sz w:val="20"/>
          <w:szCs w:val="20"/>
        </w:rPr>
        <w:t xml:space="preserve"> and right habenula (blue). R, right.</w:t>
      </w:r>
    </w:p>
    <w:p>
      <w:pPr>
        <w:autoSpaceDE w:val="0"/>
        <w:autoSpaceDN w:val="0"/>
        <w:adjustRightInd w:val="0"/>
        <w:spacing w:before="0" w:after="0" w:line="480" w:lineRule="auto"/>
        <w:rPr>
          <w:b/>
          <w:bCs/>
          <w:color w:val="000000"/>
          <w:sz w:val="20"/>
          <w:szCs w:val="20"/>
        </w:rPr>
      </w:pPr>
    </w:p>
    <w:p>
      <w:pPr>
        <w:autoSpaceDE w:val="0"/>
        <w:autoSpaceDN w:val="0"/>
        <w:adjustRightInd w:val="0"/>
        <w:spacing w:before="0" w:after="0" w:line="480" w:lineRule="auto"/>
        <w:rPr>
          <w:b/>
          <w:bCs/>
          <w:color w:val="000000"/>
          <w:sz w:val="20"/>
          <w:szCs w:val="20"/>
        </w:rPr>
      </w:pPr>
      <w:r>
        <w:rPr>
          <w:b/>
          <w:bCs/>
          <w:color w:val="000000"/>
          <w:sz w:val="20"/>
          <w:szCs w:val="20"/>
        </w:rPr>
        <w:t>Comparison</w:t>
      </w:r>
      <w:r>
        <w:rPr>
          <w:rFonts w:hint="eastAsia"/>
          <w:b/>
          <w:bCs/>
          <w:color w:val="000000"/>
          <w:sz w:val="20"/>
          <w:szCs w:val="20"/>
        </w:rPr>
        <w:t xml:space="preserve"> of d</w:t>
      </w:r>
      <w:r>
        <w:rPr>
          <w:b/>
          <w:bCs/>
          <w:color w:val="000000"/>
          <w:sz w:val="20"/>
          <w:szCs w:val="20"/>
        </w:rPr>
        <w:t xml:space="preserve">emographic and clinical variables </w:t>
      </w:r>
      <w:r>
        <w:rPr>
          <w:rFonts w:hint="eastAsia"/>
          <w:b/>
          <w:bCs/>
          <w:color w:val="000000"/>
          <w:sz w:val="20"/>
          <w:szCs w:val="20"/>
        </w:rPr>
        <w:t xml:space="preserve">between </w:t>
      </w:r>
      <w:r>
        <w:rPr>
          <w:b/>
          <w:bCs/>
          <w:color w:val="000000"/>
          <w:sz w:val="20"/>
          <w:szCs w:val="20"/>
        </w:rPr>
        <w:t xml:space="preserve">unmedicated and medicated </w:t>
      </w:r>
      <w:r>
        <w:rPr>
          <w:rFonts w:hint="eastAsia"/>
          <w:b/>
          <w:bCs/>
          <w:color w:val="000000"/>
          <w:sz w:val="20"/>
          <w:szCs w:val="20"/>
        </w:rPr>
        <w:t>OCD</w:t>
      </w:r>
    </w:p>
    <w:p>
      <w:pPr>
        <w:autoSpaceDE w:val="0"/>
        <w:autoSpaceDN w:val="0"/>
        <w:adjustRightInd w:val="0"/>
        <w:spacing w:before="0" w:after="0" w:line="480" w:lineRule="auto"/>
        <w:ind w:firstLine="400" w:firstLineChars="200"/>
        <w:jc w:val="both"/>
        <w:rPr>
          <w:color w:val="000000"/>
          <w:sz w:val="20"/>
          <w:szCs w:val="20"/>
        </w:rPr>
      </w:pPr>
      <w:r>
        <w:rPr>
          <w:color w:val="000000"/>
          <w:sz w:val="20"/>
          <w:szCs w:val="20"/>
        </w:rPr>
        <w:t xml:space="preserve">Two sample </w:t>
      </w:r>
      <w:r>
        <w:rPr>
          <w:i/>
          <w:iCs/>
          <w:color w:val="000000"/>
          <w:sz w:val="20"/>
          <w:szCs w:val="20"/>
        </w:rPr>
        <w:t>t</w:t>
      </w:r>
      <w:r>
        <w:rPr>
          <w:color w:val="000000"/>
          <w:sz w:val="20"/>
          <w:szCs w:val="20"/>
        </w:rPr>
        <w:t xml:space="preserve"> tests or Chi-square test were used to compare the demographic and clinical characteristics between unmedicated and medicated OCD.</w:t>
      </w:r>
    </w:p>
    <w:p>
      <w:pPr>
        <w:autoSpaceDE w:val="0"/>
        <w:autoSpaceDN w:val="0"/>
        <w:adjustRightInd w:val="0"/>
        <w:spacing w:before="0" w:after="0" w:line="480" w:lineRule="auto"/>
        <w:ind w:firstLine="400" w:firstLineChars="200"/>
        <w:jc w:val="both"/>
        <w:rPr>
          <w:color w:val="000000"/>
          <w:sz w:val="20"/>
          <w:szCs w:val="20"/>
        </w:rPr>
      </w:pPr>
      <w:r>
        <w:rPr>
          <w:color w:val="000000"/>
          <w:sz w:val="20"/>
          <w:szCs w:val="20"/>
        </w:rPr>
        <w:t xml:space="preserve">Unmedicated OCD and medicated OCD patients showed no significant difference in </w:t>
      </w:r>
      <w:r>
        <w:rPr>
          <w:rFonts w:hint="eastAsia"/>
          <w:color w:val="000000"/>
          <w:sz w:val="20"/>
          <w:szCs w:val="20"/>
        </w:rPr>
        <w:t>d</w:t>
      </w:r>
      <w:r>
        <w:rPr>
          <w:color w:val="000000"/>
          <w:sz w:val="20"/>
          <w:szCs w:val="20"/>
        </w:rPr>
        <w:t>emographic variables. Medicated OCD patients scored higher in obsession and Y-BOCS total. No other significant difference was found in other clinical variables.</w:t>
      </w:r>
    </w:p>
    <w:p>
      <w:pPr>
        <w:autoSpaceDE w:val="0"/>
        <w:autoSpaceDN w:val="0"/>
        <w:adjustRightInd w:val="0"/>
        <w:spacing w:after="120" w:line="480" w:lineRule="auto"/>
        <w:ind w:firstLine="400" w:firstLineChars="200"/>
        <w:jc w:val="both"/>
        <w:rPr>
          <w:color w:val="000000"/>
          <w:sz w:val="20"/>
          <w:szCs w:val="20"/>
        </w:rPr>
      </w:pPr>
    </w:p>
    <w:p>
      <w:pPr>
        <w:autoSpaceDE w:val="0"/>
        <w:autoSpaceDN w:val="0"/>
        <w:adjustRightInd w:val="0"/>
        <w:spacing w:after="120" w:line="480" w:lineRule="auto"/>
        <w:jc w:val="both"/>
        <w:rPr>
          <w:color w:val="000000"/>
          <w:sz w:val="20"/>
          <w:szCs w:val="20"/>
        </w:rPr>
      </w:pPr>
    </w:p>
    <w:p>
      <w:pPr>
        <w:autoSpaceDE w:val="0"/>
        <w:autoSpaceDN w:val="0"/>
        <w:adjustRightInd w:val="0"/>
        <w:spacing w:after="120" w:line="480" w:lineRule="auto"/>
        <w:jc w:val="both"/>
        <w:rPr>
          <w:color w:val="000000"/>
          <w:sz w:val="20"/>
          <w:szCs w:val="20"/>
        </w:rPr>
      </w:pPr>
    </w:p>
    <w:p>
      <w:pPr>
        <w:autoSpaceDE w:val="0"/>
        <w:autoSpaceDN w:val="0"/>
        <w:adjustRightInd w:val="0"/>
        <w:spacing w:after="120" w:line="480" w:lineRule="auto"/>
        <w:jc w:val="both"/>
        <w:rPr>
          <w:color w:val="000000"/>
          <w:sz w:val="20"/>
          <w:szCs w:val="20"/>
        </w:rPr>
      </w:pPr>
    </w:p>
    <w:p>
      <w:pPr>
        <w:autoSpaceDE w:val="0"/>
        <w:autoSpaceDN w:val="0"/>
        <w:adjustRightInd w:val="0"/>
        <w:spacing w:after="0"/>
        <w:jc w:val="center"/>
        <w:rPr>
          <w:rFonts w:cs="Calibri"/>
          <w:color w:val="000000"/>
          <w:sz w:val="20"/>
          <w:szCs w:val="20"/>
        </w:rPr>
      </w:pPr>
      <w:r>
        <w:rPr>
          <w:rFonts w:hint="eastAsia"/>
          <w:color w:val="000000"/>
          <w:sz w:val="20"/>
          <w:szCs w:val="20"/>
        </w:rPr>
        <w:t xml:space="preserve">Table </w:t>
      </w:r>
      <w:r>
        <w:rPr>
          <w:color w:val="000000"/>
          <w:sz w:val="20"/>
          <w:szCs w:val="20"/>
        </w:rPr>
        <w:t>S2</w:t>
      </w:r>
      <w:r>
        <w:rPr>
          <w:rFonts w:hint="eastAsia"/>
          <w:color w:val="000000"/>
          <w:sz w:val="20"/>
          <w:szCs w:val="20"/>
        </w:rPr>
        <w:t xml:space="preserve"> </w:t>
      </w:r>
      <w:r>
        <w:rPr>
          <w:color w:val="000000"/>
          <w:sz w:val="20"/>
          <w:szCs w:val="20"/>
        </w:rPr>
        <w:t>Comparison</w:t>
      </w:r>
      <w:r>
        <w:rPr>
          <w:rFonts w:hint="eastAsia"/>
          <w:color w:val="000000"/>
          <w:sz w:val="20"/>
          <w:szCs w:val="20"/>
        </w:rPr>
        <w:t xml:space="preserve"> of d</w:t>
      </w:r>
      <w:r>
        <w:rPr>
          <w:color w:val="000000"/>
          <w:sz w:val="20"/>
          <w:szCs w:val="20"/>
        </w:rPr>
        <w:t xml:space="preserve">emographic and clinical </w:t>
      </w:r>
      <w:bookmarkStart w:id="2" w:name="_Hlk120608458"/>
      <w:r>
        <w:rPr>
          <w:color w:val="000000"/>
          <w:sz w:val="20"/>
          <w:szCs w:val="20"/>
        </w:rPr>
        <w:t xml:space="preserve">variables </w:t>
      </w:r>
      <w:bookmarkEnd w:id="2"/>
      <w:r>
        <w:rPr>
          <w:rFonts w:hint="eastAsia"/>
          <w:color w:val="000000"/>
          <w:sz w:val="20"/>
          <w:szCs w:val="20"/>
        </w:rPr>
        <w:t xml:space="preserve">between </w:t>
      </w:r>
      <w:r>
        <w:rPr>
          <w:color w:val="000000"/>
          <w:sz w:val="20"/>
          <w:szCs w:val="20"/>
        </w:rPr>
        <w:t xml:space="preserve">unmedicated and medicated </w:t>
      </w:r>
      <w:r>
        <w:rPr>
          <w:rFonts w:hint="eastAsia"/>
          <w:color w:val="000000"/>
          <w:sz w:val="20"/>
          <w:szCs w:val="20"/>
        </w:rPr>
        <w:t>OCD</w:t>
      </w:r>
      <w:r>
        <w:rPr>
          <w:color w:val="000000"/>
          <w:sz w:val="20"/>
          <w:szCs w:val="20"/>
        </w:rPr>
        <w:t xml:space="preserve">  </w:t>
      </w:r>
    </w:p>
    <w:tbl>
      <w:tblPr>
        <w:tblStyle w:val="4"/>
        <w:tblW w:w="9225" w:type="dxa"/>
        <w:jc w:val="center"/>
        <w:tblLayout w:type="fixed"/>
        <w:tblCellMar>
          <w:top w:w="0" w:type="dxa"/>
          <w:left w:w="108" w:type="dxa"/>
          <w:bottom w:w="0" w:type="dxa"/>
          <w:right w:w="108" w:type="dxa"/>
        </w:tblCellMar>
      </w:tblPr>
      <w:tblGrid>
        <w:gridCol w:w="2694"/>
        <w:gridCol w:w="2551"/>
        <w:gridCol w:w="2175"/>
        <w:gridCol w:w="813"/>
        <w:gridCol w:w="992"/>
      </w:tblGrid>
      <w:tr>
        <w:tblPrEx>
          <w:tblCellMar>
            <w:top w:w="0" w:type="dxa"/>
            <w:left w:w="108" w:type="dxa"/>
            <w:bottom w:w="0" w:type="dxa"/>
            <w:right w:w="108" w:type="dxa"/>
          </w:tblCellMar>
        </w:tblPrEx>
        <w:trPr>
          <w:trHeight w:val="23" w:hRule="atLeast"/>
          <w:jc w:val="center"/>
        </w:trPr>
        <w:tc>
          <w:tcPr>
            <w:tcW w:w="2694" w:type="dxa"/>
            <w:tcBorders>
              <w:top w:val="single" w:color="auto" w:sz="4" w:space="0"/>
              <w:bottom w:val="single" w:color="auto" w:sz="4" w:space="0"/>
            </w:tcBorders>
          </w:tcPr>
          <w:p>
            <w:pPr>
              <w:spacing w:before="0" w:after="0"/>
              <w:rPr>
                <w:sz w:val="20"/>
                <w:szCs w:val="20"/>
              </w:rPr>
            </w:pPr>
          </w:p>
        </w:tc>
        <w:tc>
          <w:tcPr>
            <w:tcW w:w="2551" w:type="dxa"/>
            <w:tcBorders>
              <w:top w:val="single" w:color="auto" w:sz="4" w:space="0"/>
              <w:bottom w:val="single" w:color="auto" w:sz="4" w:space="0"/>
            </w:tcBorders>
          </w:tcPr>
          <w:p>
            <w:pPr>
              <w:spacing w:before="0" w:after="0"/>
              <w:jc w:val="center"/>
              <w:rPr>
                <w:color w:val="000000"/>
                <w:sz w:val="20"/>
                <w:szCs w:val="20"/>
              </w:rPr>
            </w:pPr>
            <w:r>
              <w:rPr>
                <w:color w:val="000000"/>
                <w:sz w:val="20"/>
                <w:szCs w:val="20"/>
              </w:rPr>
              <w:t>U</w:t>
            </w:r>
            <w:r>
              <w:rPr>
                <w:rFonts w:hint="eastAsia"/>
                <w:color w:val="000000"/>
                <w:sz w:val="20"/>
                <w:szCs w:val="20"/>
              </w:rPr>
              <w:t>n</w:t>
            </w:r>
            <w:r>
              <w:rPr>
                <w:color w:val="000000"/>
                <w:sz w:val="20"/>
                <w:szCs w:val="20"/>
              </w:rPr>
              <w:t>medicat</w:t>
            </w:r>
            <w:r>
              <w:rPr>
                <w:rFonts w:hint="eastAsia"/>
                <w:color w:val="000000"/>
                <w:sz w:val="20"/>
                <w:szCs w:val="20"/>
              </w:rPr>
              <w:t>ed</w:t>
            </w:r>
            <w:r>
              <w:rPr>
                <w:color w:val="000000"/>
                <w:sz w:val="20"/>
                <w:szCs w:val="20"/>
              </w:rPr>
              <w:t xml:space="preserve"> (n=46)</w:t>
            </w:r>
          </w:p>
        </w:tc>
        <w:tc>
          <w:tcPr>
            <w:tcW w:w="2175" w:type="dxa"/>
            <w:tcBorders>
              <w:top w:val="single" w:color="auto" w:sz="4" w:space="0"/>
              <w:bottom w:val="single" w:color="auto" w:sz="4" w:space="0"/>
            </w:tcBorders>
          </w:tcPr>
          <w:p>
            <w:pPr>
              <w:spacing w:before="0" w:after="0"/>
              <w:jc w:val="center"/>
              <w:rPr>
                <w:color w:val="000000"/>
                <w:sz w:val="20"/>
                <w:szCs w:val="20"/>
              </w:rPr>
            </w:pPr>
            <w:r>
              <w:rPr>
                <w:color w:val="000000"/>
                <w:sz w:val="20"/>
                <w:szCs w:val="20"/>
              </w:rPr>
              <w:t>Medicat</w:t>
            </w:r>
            <w:r>
              <w:rPr>
                <w:rFonts w:hint="eastAsia"/>
                <w:color w:val="000000"/>
                <w:sz w:val="20"/>
                <w:szCs w:val="20"/>
              </w:rPr>
              <w:t>ed</w:t>
            </w:r>
            <w:r>
              <w:rPr>
                <w:color w:val="000000"/>
                <w:sz w:val="20"/>
                <w:szCs w:val="20"/>
              </w:rPr>
              <w:t xml:space="preserve"> (n=34)</w:t>
            </w:r>
          </w:p>
        </w:tc>
        <w:tc>
          <w:tcPr>
            <w:tcW w:w="813" w:type="dxa"/>
            <w:tcBorders>
              <w:top w:val="single" w:color="auto" w:sz="4" w:space="0"/>
              <w:bottom w:val="single" w:color="auto" w:sz="4" w:space="0"/>
            </w:tcBorders>
            <w:vAlign w:val="center"/>
          </w:tcPr>
          <w:p>
            <w:pPr>
              <w:spacing w:before="0" w:after="0"/>
              <w:jc w:val="center"/>
              <w:rPr>
                <w:b/>
                <w:bCs/>
                <w:i/>
                <w:iCs/>
                <w:color w:val="000000"/>
                <w:sz w:val="20"/>
                <w:szCs w:val="20"/>
              </w:rPr>
            </w:pPr>
            <w:r>
              <w:rPr>
                <w:b/>
                <w:bCs/>
                <w:color w:val="000000"/>
                <w:sz w:val="20"/>
                <w:szCs w:val="20"/>
              </w:rPr>
              <w:t>(</w:t>
            </w:r>
            <w:r>
              <w:rPr>
                <w:b/>
                <w:bCs/>
                <w:color w:val="000000"/>
                <w:sz w:val="20"/>
                <w:szCs w:val="20"/>
              </w:rPr>
              <w:sym w:font="Symbol" w:char="F063"/>
            </w:r>
            <w:r>
              <w:rPr>
                <w:b/>
                <w:bCs/>
                <w:color w:val="000000"/>
                <w:sz w:val="20"/>
                <w:szCs w:val="20"/>
                <w:vertAlign w:val="superscript"/>
              </w:rPr>
              <w:t>2</w:t>
            </w:r>
            <w:r>
              <w:rPr>
                <w:b/>
                <w:bCs/>
                <w:color w:val="000000"/>
                <w:sz w:val="20"/>
                <w:szCs w:val="20"/>
              </w:rPr>
              <w:t>/</w:t>
            </w:r>
            <w:r>
              <w:rPr>
                <w:b/>
                <w:bCs/>
                <w:i/>
                <w:iCs/>
                <w:color w:val="000000"/>
                <w:sz w:val="20"/>
                <w:szCs w:val="20"/>
              </w:rPr>
              <w:t>t</w:t>
            </w:r>
            <w:r>
              <w:rPr>
                <w:b/>
                <w:bCs/>
                <w:color w:val="000000"/>
                <w:sz w:val="20"/>
                <w:szCs w:val="20"/>
              </w:rPr>
              <w:t>)</w:t>
            </w:r>
          </w:p>
        </w:tc>
        <w:tc>
          <w:tcPr>
            <w:tcW w:w="992" w:type="dxa"/>
            <w:tcBorders>
              <w:top w:val="single" w:color="auto" w:sz="4" w:space="0"/>
              <w:bottom w:val="single" w:color="auto" w:sz="4" w:space="0"/>
            </w:tcBorders>
            <w:vAlign w:val="center"/>
          </w:tcPr>
          <w:p>
            <w:pPr>
              <w:spacing w:before="0" w:after="0"/>
              <w:jc w:val="center"/>
              <w:rPr>
                <w:b/>
                <w:bCs/>
                <w:i/>
                <w:iCs/>
                <w:color w:val="000000"/>
                <w:sz w:val="20"/>
                <w:szCs w:val="20"/>
              </w:rPr>
            </w:pPr>
            <w:r>
              <w:rPr>
                <w:b/>
                <w:bCs/>
                <w:i/>
                <w:iCs/>
                <w:color w:val="000000"/>
                <w:sz w:val="20"/>
                <w:szCs w:val="20"/>
              </w:rPr>
              <w:t>p</w:t>
            </w:r>
          </w:p>
        </w:tc>
      </w:tr>
      <w:tr>
        <w:tblPrEx>
          <w:tblCellMar>
            <w:top w:w="0" w:type="dxa"/>
            <w:left w:w="108" w:type="dxa"/>
            <w:bottom w:w="0" w:type="dxa"/>
            <w:right w:w="108" w:type="dxa"/>
          </w:tblCellMar>
        </w:tblPrEx>
        <w:trPr>
          <w:trHeight w:val="23" w:hRule="atLeast"/>
          <w:jc w:val="center"/>
        </w:trPr>
        <w:tc>
          <w:tcPr>
            <w:tcW w:w="2694" w:type="dxa"/>
            <w:tcBorders>
              <w:top w:val="single" w:color="auto" w:sz="4" w:space="0"/>
            </w:tcBorders>
          </w:tcPr>
          <w:p>
            <w:pPr>
              <w:spacing w:before="0" w:after="0"/>
              <w:rPr>
                <w:sz w:val="20"/>
                <w:szCs w:val="20"/>
              </w:rPr>
            </w:pPr>
            <w:r>
              <w:rPr>
                <w:b/>
                <w:bCs/>
                <w:color w:val="000000"/>
                <w:sz w:val="20"/>
                <w:szCs w:val="20"/>
              </w:rPr>
              <w:t>Age</w:t>
            </w:r>
            <w:r>
              <w:rPr>
                <w:rFonts w:hint="eastAsia"/>
                <w:b/>
                <w:bCs/>
                <w:color w:val="000000"/>
                <w:sz w:val="20"/>
                <w:szCs w:val="20"/>
              </w:rPr>
              <w:t xml:space="preserve"> </w:t>
            </w:r>
            <w:r>
              <w:rPr>
                <w:b/>
                <w:bCs/>
                <w:color w:val="000000"/>
                <w:sz w:val="20"/>
                <w:szCs w:val="20"/>
              </w:rPr>
              <w:t>(years)</w:t>
            </w:r>
          </w:p>
        </w:tc>
        <w:tc>
          <w:tcPr>
            <w:tcW w:w="2551" w:type="dxa"/>
            <w:tcBorders>
              <w:top w:val="single" w:color="auto" w:sz="4" w:space="0"/>
            </w:tcBorders>
          </w:tcPr>
          <w:p>
            <w:pPr>
              <w:spacing w:before="0" w:after="0"/>
              <w:jc w:val="center"/>
              <w:rPr>
                <w:sz w:val="20"/>
                <w:szCs w:val="20"/>
              </w:rPr>
            </w:pPr>
            <w:r>
              <w:rPr>
                <w:color w:val="000000"/>
                <w:sz w:val="20"/>
                <w:szCs w:val="20"/>
              </w:rPr>
              <w:t>22.63±4.45</w:t>
            </w:r>
          </w:p>
        </w:tc>
        <w:tc>
          <w:tcPr>
            <w:tcW w:w="2175" w:type="dxa"/>
            <w:tcBorders>
              <w:top w:val="single" w:color="auto" w:sz="4" w:space="0"/>
            </w:tcBorders>
          </w:tcPr>
          <w:p>
            <w:pPr>
              <w:spacing w:before="0" w:after="0"/>
              <w:jc w:val="center"/>
              <w:rPr>
                <w:rFonts w:eastAsia="等线"/>
                <w:sz w:val="20"/>
                <w:szCs w:val="20"/>
              </w:rPr>
            </w:pPr>
            <w:r>
              <w:rPr>
                <w:rFonts w:hint="eastAsia" w:eastAsia="等线"/>
                <w:sz w:val="20"/>
                <w:szCs w:val="20"/>
              </w:rPr>
              <w:t>2</w:t>
            </w:r>
            <w:r>
              <w:rPr>
                <w:rFonts w:eastAsia="等线"/>
                <w:sz w:val="20"/>
                <w:szCs w:val="20"/>
              </w:rPr>
              <w:t>2.41</w:t>
            </w:r>
            <w:r>
              <w:rPr>
                <w:color w:val="000000"/>
                <w:sz w:val="20"/>
                <w:szCs w:val="20"/>
              </w:rPr>
              <w:t>±4.16</w:t>
            </w:r>
          </w:p>
        </w:tc>
        <w:tc>
          <w:tcPr>
            <w:tcW w:w="813" w:type="dxa"/>
            <w:tcBorders>
              <w:top w:val="single" w:color="auto" w:sz="4" w:space="0"/>
            </w:tcBorders>
          </w:tcPr>
          <w:p>
            <w:pPr>
              <w:spacing w:before="0" w:after="0"/>
              <w:jc w:val="center"/>
              <w:rPr>
                <w:color w:val="000000"/>
                <w:sz w:val="20"/>
                <w:szCs w:val="20"/>
              </w:rPr>
            </w:pPr>
            <w:r>
              <w:rPr>
                <w:rFonts w:hint="eastAsia"/>
                <w:color w:val="000000"/>
                <w:sz w:val="20"/>
                <w:szCs w:val="20"/>
              </w:rPr>
              <w:t>0</w:t>
            </w:r>
            <w:r>
              <w:rPr>
                <w:color w:val="000000"/>
                <w:sz w:val="20"/>
                <w:szCs w:val="20"/>
              </w:rPr>
              <w:t>.22</w:t>
            </w:r>
          </w:p>
        </w:tc>
        <w:tc>
          <w:tcPr>
            <w:tcW w:w="992" w:type="dxa"/>
            <w:tcBorders>
              <w:top w:val="single" w:color="auto" w:sz="4" w:space="0"/>
            </w:tcBorders>
          </w:tcPr>
          <w:p>
            <w:pPr>
              <w:spacing w:before="0" w:after="0"/>
              <w:jc w:val="center"/>
              <w:rPr>
                <w:sz w:val="20"/>
                <w:szCs w:val="20"/>
              </w:rPr>
            </w:pPr>
            <w:r>
              <w:rPr>
                <w:rFonts w:hint="eastAsia"/>
                <w:color w:val="000000"/>
                <w:sz w:val="20"/>
                <w:szCs w:val="20"/>
              </w:rPr>
              <w:t>0</w:t>
            </w:r>
            <w:r>
              <w:rPr>
                <w:color w:val="000000"/>
                <w:sz w:val="20"/>
                <w:szCs w:val="20"/>
              </w:rPr>
              <w:t>.824</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sz w:val="20"/>
                <w:szCs w:val="20"/>
                <w:lang w:eastAsia="zh-CN"/>
              </w:rPr>
            </w:pPr>
            <w:r>
              <w:rPr>
                <w:rFonts w:hint="eastAsia"/>
                <w:b/>
                <w:bCs/>
                <w:color w:val="000000"/>
                <w:sz w:val="20"/>
                <w:szCs w:val="20"/>
              </w:rPr>
              <w:t>G</w:t>
            </w:r>
            <w:r>
              <w:rPr>
                <w:b/>
                <w:bCs/>
                <w:color w:val="000000"/>
                <w:sz w:val="20"/>
                <w:szCs w:val="20"/>
              </w:rPr>
              <w:t>ende</w:t>
            </w:r>
            <w:r>
              <w:rPr>
                <w:rFonts w:hint="eastAsia"/>
                <w:b/>
                <w:bCs/>
                <w:color w:val="000000"/>
                <w:sz w:val="20"/>
                <w:szCs w:val="20"/>
              </w:rPr>
              <w:t>r</w:t>
            </w:r>
            <w:r>
              <w:rPr>
                <w:rFonts w:hint="eastAsia" w:ascii="宋体" w:hAnsi="宋体" w:eastAsia="宋体" w:cs="宋体"/>
                <w:b/>
                <w:bCs/>
                <w:color w:val="000000"/>
                <w:sz w:val="20"/>
                <w:szCs w:val="20"/>
                <w:lang w:eastAsia="zh-CN"/>
              </w:rPr>
              <w:t>(</w:t>
            </w:r>
            <w:r>
              <w:rPr>
                <w:rFonts w:hint="eastAsia"/>
                <w:b/>
                <w:bCs/>
                <w:color w:val="000000"/>
                <w:sz w:val="20"/>
                <w:szCs w:val="20"/>
              </w:rPr>
              <w:t>m</w:t>
            </w:r>
            <w:r>
              <w:rPr>
                <w:b/>
                <w:bCs/>
                <w:color w:val="000000"/>
                <w:sz w:val="20"/>
                <w:szCs w:val="20"/>
              </w:rPr>
              <w:t>ale/</w:t>
            </w:r>
            <w:r>
              <w:rPr>
                <w:rFonts w:hint="eastAsia"/>
                <w:b/>
                <w:bCs/>
                <w:color w:val="000000"/>
                <w:sz w:val="20"/>
                <w:szCs w:val="20"/>
              </w:rPr>
              <w:t>f</w:t>
            </w:r>
            <w:r>
              <w:rPr>
                <w:b/>
                <w:bCs/>
                <w:color w:val="000000"/>
                <w:sz w:val="20"/>
                <w:szCs w:val="20"/>
              </w:rPr>
              <w:t>emale</w:t>
            </w:r>
            <w:r>
              <w:rPr>
                <w:rFonts w:hint="eastAsia" w:eastAsiaTheme="minorEastAsia"/>
                <w:b/>
                <w:bCs/>
                <w:color w:val="000000"/>
                <w:sz w:val="20"/>
                <w:szCs w:val="20"/>
                <w:lang w:eastAsia="zh-CN"/>
              </w:rPr>
              <w:t>)</w:t>
            </w:r>
          </w:p>
        </w:tc>
        <w:tc>
          <w:tcPr>
            <w:tcW w:w="2551" w:type="dxa"/>
          </w:tcPr>
          <w:p>
            <w:pPr>
              <w:spacing w:before="0" w:after="0"/>
              <w:jc w:val="center"/>
              <w:rPr>
                <w:sz w:val="20"/>
                <w:szCs w:val="20"/>
              </w:rPr>
            </w:pPr>
            <w:r>
              <w:rPr>
                <w:color w:val="000000"/>
                <w:sz w:val="20"/>
                <w:szCs w:val="20"/>
              </w:rPr>
              <w:t>25/21</w:t>
            </w:r>
          </w:p>
        </w:tc>
        <w:tc>
          <w:tcPr>
            <w:tcW w:w="2175" w:type="dxa"/>
          </w:tcPr>
          <w:p>
            <w:pPr>
              <w:spacing w:before="0" w:after="0"/>
              <w:jc w:val="center"/>
              <w:rPr>
                <w:rFonts w:eastAsia="等线"/>
                <w:sz w:val="20"/>
                <w:szCs w:val="20"/>
              </w:rPr>
            </w:pPr>
            <w:r>
              <w:rPr>
                <w:rFonts w:eastAsia="等线"/>
                <w:sz w:val="20"/>
                <w:szCs w:val="20"/>
              </w:rPr>
              <w:t>18/16</w:t>
            </w:r>
          </w:p>
        </w:tc>
        <w:tc>
          <w:tcPr>
            <w:tcW w:w="813" w:type="dxa"/>
          </w:tcPr>
          <w:p>
            <w:pPr>
              <w:spacing w:before="0" w:after="0"/>
              <w:jc w:val="center"/>
              <w:rPr>
                <w:color w:val="000000"/>
                <w:sz w:val="20"/>
                <w:szCs w:val="20"/>
              </w:rPr>
            </w:pPr>
            <w:r>
              <w:rPr>
                <w:color w:val="000000"/>
                <w:sz w:val="20"/>
                <w:szCs w:val="20"/>
              </w:rPr>
              <w:t>0.02</w:t>
            </w:r>
          </w:p>
        </w:tc>
        <w:tc>
          <w:tcPr>
            <w:tcW w:w="992" w:type="dxa"/>
          </w:tcPr>
          <w:p>
            <w:pPr>
              <w:spacing w:before="0" w:after="0"/>
              <w:jc w:val="center"/>
              <w:rPr>
                <w:sz w:val="20"/>
                <w:szCs w:val="20"/>
              </w:rPr>
            </w:pPr>
            <w:r>
              <w:rPr>
                <w:rFonts w:hint="eastAsia"/>
                <w:color w:val="000000"/>
                <w:sz w:val="20"/>
                <w:szCs w:val="20"/>
              </w:rPr>
              <w:t>0</w:t>
            </w:r>
            <w:r>
              <w:rPr>
                <w:color w:val="000000"/>
                <w:sz w:val="20"/>
                <w:szCs w:val="20"/>
              </w:rPr>
              <w:t>.901</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sz w:val="20"/>
                <w:szCs w:val="20"/>
              </w:rPr>
            </w:pPr>
            <w:r>
              <w:rPr>
                <w:b/>
                <w:bCs/>
                <w:color w:val="000000"/>
                <w:sz w:val="20"/>
                <w:szCs w:val="20"/>
              </w:rPr>
              <w:t>Education (years)</w:t>
            </w:r>
          </w:p>
        </w:tc>
        <w:tc>
          <w:tcPr>
            <w:tcW w:w="2551" w:type="dxa"/>
          </w:tcPr>
          <w:p>
            <w:pPr>
              <w:spacing w:before="0" w:after="0"/>
              <w:jc w:val="center"/>
              <w:rPr>
                <w:sz w:val="20"/>
                <w:szCs w:val="20"/>
              </w:rPr>
            </w:pPr>
            <w:r>
              <w:rPr>
                <w:color w:val="000000"/>
                <w:sz w:val="20"/>
                <w:szCs w:val="20"/>
              </w:rPr>
              <w:t>14.32±2.07</w:t>
            </w:r>
          </w:p>
        </w:tc>
        <w:tc>
          <w:tcPr>
            <w:tcW w:w="2175" w:type="dxa"/>
          </w:tcPr>
          <w:p>
            <w:pPr>
              <w:spacing w:before="0" w:after="0"/>
              <w:jc w:val="center"/>
              <w:rPr>
                <w:rFonts w:eastAsia="等线"/>
                <w:sz w:val="20"/>
                <w:szCs w:val="20"/>
              </w:rPr>
            </w:pPr>
            <w:r>
              <w:rPr>
                <w:rFonts w:hint="eastAsia" w:eastAsia="等线"/>
                <w:sz w:val="20"/>
                <w:szCs w:val="20"/>
              </w:rPr>
              <w:t>1</w:t>
            </w:r>
            <w:r>
              <w:rPr>
                <w:rFonts w:eastAsia="等线"/>
                <w:sz w:val="20"/>
                <w:szCs w:val="20"/>
              </w:rPr>
              <w:t>4.59</w:t>
            </w:r>
            <w:r>
              <w:rPr>
                <w:color w:val="000000"/>
                <w:sz w:val="20"/>
                <w:szCs w:val="20"/>
              </w:rPr>
              <w:t>±2.84</w:t>
            </w:r>
          </w:p>
        </w:tc>
        <w:tc>
          <w:tcPr>
            <w:tcW w:w="813" w:type="dxa"/>
          </w:tcPr>
          <w:p>
            <w:pPr>
              <w:spacing w:before="0" w:after="0"/>
              <w:jc w:val="center"/>
              <w:rPr>
                <w:color w:val="000000"/>
                <w:sz w:val="20"/>
                <w:szCs w:val="20"/>
              </w:rPr>
            </w:pPr>
            <w:r>
              <w:rPr>
                <w:rFonts w:hint="eastAsia"/>
                <w:color w:val="000000"/>
                <w:sz w:val="20"/>
                <w:szCs w:val="20"/>
              </w:rPr>
              <w:t>-</w:t>
            </w:r>
            <w:r>
              <w:rPr>
                <w:color w:val="000000"/>
                <w:sz w:val="20"/>
                <w:szCs w:val="20"/>
              </w:rPr>
              <w:t>0.50</w:t>
            </w:r>
          </w:p>
        </w:tc>
        <w:tc>
          <w:tcPr>
            <w:tcW w:w="992" w:type="dxa"/>
          </w:tcPr>
          <w:p>
            <w:pPr>
              <w:spacing w:before="0" w:after="0"/>
              <w:jc w:val="center"/>
              <w:rPr>
                <w:sz w:val="20"/>
                <w:szCs w:val="20"/>
              </w:rPr>
            </w:pPr>
            <w:r>
              <w:rPr>
                <w:rFonts w:hint="eastAsia"/>
                <w:color w:val="000000"/>
                <w:sz w:val="20"/>
                <w:szCs w:val="20"/>
              </w:rPr>
              <w:t>0</w:t>
            </w:r>
            <w:r>
              <w:rPr>
                <w:color w:val="000000"/>
                <w:sz w:val="20"/>
                <w:szCs w:val="20"/>
              </w:rPr>
              <w:t>.620</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b/>
                <w:bCs/>
                <w:sz w:val="20"/>
                <w:szCs w:val="20"/>
              </w:rPr>
            </w:pPr>
            <w:r>
              <w:rPr>
                <w:b/>
                <w:bCs/>
                <w:sz w:val="20"/>
                <w:szCs w:val="20"/>
              </w:rPr>
              <w:t>BDI</w:t>
            </w:r>
          </w:p>
        </w:tc>
        <w:tc>
          <w:tcPr>
            <w:tcW w:w="2551" w:type="dxa"/>
          </w:tcPr>
          <w:p>
            <w:pPr>
              <w:spacing w:before="0" w:after="0"/>
              <w:jc w:val="center"/>
              <w:rPr>
                <w:sz w:val="20"/>
                <w:szCs w:val="20"/>
              </w:rPr>
            </w:pPr>
            <w:r>
              <w:rPr>
                <w:color w:val="000000"/>
                <w:sz w:val="20"/>
                <w:szCs w:val="20"/>
              </w:rPr>
              <w:t>20.89±8.00</w:t>
            </w:r>
          </w:p>
        </w:tc>
        <w:tc>
          <w:tcPr>
            <w:tcW w:w="2175" w:type="dxa"/>
          </w:tcPr>
          <w:p>
            <w:pPr>
              <w:spacing w:before="0" w:after="0"/>
              <w:jc w:val="center"/>
              <w:rPr>
                <w:rFonts w:eastAsia="等线"/>
                <w:sz w:val="20"/>
                <w:szCs w:val="20"/>
              </w:rPr>
            </w:pPr>
            <w:r>
              <w:rPr>
                <w:rFonts w:eastAsia="等线"/>
                <w:sz w:val="20"/>
                <w:szCs w:val="20"/>
              </w:rPr>
              <w:t>20.71</w:t>
            </w:r>
            <w:r>
              <w:rPr>
                <w:color w:val="000000"/>
                <w:sz w:val="20"/>
                <w:szCs w:val="20"/>
              </w:rPr>
              <w:t>±12.10</w:t>
            </w:r>
          </w:p>
        </w:tc>
        <w:tc>
          <w:tcPr>
            <w:tcW w:w="813" w:type="dxa"/>
          </w:tcPr>
          <w:p>
            <w:pPr>
              <w:spacing w:before="0" w:after="0"/>
              <w:jc w:val="center"/>
              <w:rPr>
                <w:color w:val="000000"/>
                <w:sz w:val="20"/>
                <w:szCs w:val="20"/>
              </w:rPr>
            </w:pPr>
            <w:r>
              <w:rPr>
                <w:color w:val="000000"/>
                <w:sz w:val="20"/>
                <w:szCs w:val="20"/>
              </w:rPr>
              <w:t>0.08</w:t>
            </w:r>
          </w:p>
        </w:tc>
        <w:tc>
          <w:tcPr>
            <w:tcW w:w="992" w:type="dxa"/>
          </w:tcPr>
          <w:p>
            <w:pPr>
              <w:spacing w:before="0" w:after="0"/>
              <w:jc w:val="center"/>
              <w:rPr>
                <w:sz w:val="20"/>
                <w:szCs w:val="20"/>
              </w:rPr>
            </w:pPr>
            <w:r>
              <w:rPr>
                <w:rFonts w:hint="eastAsia"/>
                <w:color w:val="000000"/>
                <w:sz w:val="20"/>
                <w:szCs w:val="20"/>
              </w:rPr>
              <w:t>0</w:t>
            </w:r>
            <w:r>
              <w:rPr>
                <w:color w:val="000000"/>
                <w:sz w:val="20"/>
                <w:szCs w:val="20"/>
              </w:rPr>
              <w:t>.935</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b/>
                <w:bCs/>
                <w:color w:val="000000"/>
                <w:sz w:val="20"/>
                <w:szCs w:val="20"/>
                <w:lang w:eastAsia="zh-CN"/>
              </w:rPr>
            </w:pPr>
            <w:r>
              <w:rPr>
                <w:rFonts w:hint="eastAsia" w:eastAsiaTheme="minorEastAsia"/>
                <w:b/>
                <w:bCs/>
                <w:color w:val="000000"/>
                <w:sz w:val="20"/>
                <w:szCs w:val="20"/>
                <w:lang w:eastAsia="zh-CN"/>
              </w:rPr>
              <w:t>T</w:t>
            </w:r>
            <w:r>
              <w:rPr>
                <w:rFonts w:eastAsiaTheme="minorEastAsia"/>
                <w:b/>
                <w:bCs/>
                <w:color w:val="000000"/>
                <w:sz w:val="20"/>
                <w:szCs w:val="20"/>
                <w:lang w:eastAsia="zh-CN"/>
              </w:rPr>
              <w:t>AI</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5</w:t>
            </w:r>
            <w:r>
              <w:rPr>
                <w:rFonts w:eastAsiaTheme="minorEastAsia"/>
                <w:color w:val="000000"/>
                <w:sz w:val="20"/>
                <w:szCs w:val="20"/>
                <w:lang w:eastAsia="zh-CN"/>
              </w:rPr>
              <w:t>7.74</w:t>
            </w:r>
            <w:r>
              <w:rPr>
                <w:color w:val="000000"/>
                <w:sz w:val="20"/>
                <w:szCs w:val="20"/>
              </w:rPr>
              <w:t>±7.38</w:t>
            </w:r>
          </w:p>
        </w:tc>
        <w:tc>
          <w:tcPr>
            <w:tcW w:w="2175" w:type="dxa"/>
          </w:tcPr>
          <w:p>
            <w:pPr>
              <w:spacing w:before="0" w:after="0"/>
              <w:jc w:val="center"/>
              <w:rPr>
                <w:rFonts w:eastAsia="等线"/>
                <w:sz w:val="20"/>
                <w:szCs w:val="20"/>
                <w:lang w:eastAsia="zh-CN"/>
              </w:rPr>
            </w:pPr>
            <w:r>
              <w:rPr>
                <w:rFonts w:hint="eastAsia" w:eastAsia="等线"/>
                <w:sz w:val="20"/>
                <w:szCs w:val="20"/>
                <w:lang w:eastAsia="zh-CN"/>
              </w:rPr>
              <w:t>5</w:t>
            </w:r>
            <w:r>
              <w:rPr>
                <w:rFonts w:eastAsia="等线"/>
                <w:sz w:val="20"/>
                <w:szCs w:val="20"/>
                <w:lang w:eastAsia="zh-CN"/>
              </w:rPr>
              <w:t>6.79</w:t>
            </w:r>
            <w:r>
              <w:rPr>
                <w:color w:val="000000"/>
                <w:sz w:val="20"/>
                <w:szCs w:val="20"/>
              </w:rPr>
              <w:t>±9.28</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.51</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.612</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sz w:val="20"/>
                <w:szCs w:val="20"/>
              </w:rPr>
            </w:pPr>
            <w:r>
              <w:rPr>
                <w:rFonts w:hint="eastAsia"/>
                <w:b/>
                <w:bCs/>
                <w:color w:val="000000"/>
                <w:sz w:val="20"/>
                <w:szCs w:val="20"/>
              </w:rPr>
              <w:t>S</w:t>
            </w:r>
            <w:r>
              <w:rPr>
                <w:b/>
                <w:bCs/>
                <w:color w:val="000000"/>
                <w:sz w:val="20"/>
                <w:szCs w:val="20"/>
              </w:rPr>
              <w:t>AI</w:t>
            </w:r>
          </w:p>
        </w:tc>
        <w:tc>
          <w:tcPr>
            <w:tcW w:w="2551" w:type="dxa"/>
          </w:tcPr>
          <w:p>
            <w:pPr>
              <w:spacing w:before="0" w:after="0"/>
              <w:jc w:val="center"/>
              <w:rPr>
                <w:sz w:val="20"/>
                <w:szCs w:val="20"/>
              </w:rPr>
            </w:pPr>
            <w:r>
              <w:rPr>
                <w:color w:val="000000"/>
                <w:sz w:val="20"/>
                <w:szCs w:val="20"/>
              </w:rPr>
              <w:t>55.34±12.95</w:t>
            </w:r>
          </w:p>
        </w:tc>
        <w:tc>
          <w:tcPr>
            <w:tcW w:w="2175" w:type="dxa"/>
          </w:tcPr>
          <w:p>
            <w:pPr>
              <w:spacing w:before="0" w:after="0"/>
              <w:jc w:val="center"/>
              <w:rPr>
                <w:rFonts w:eastAsia="等线"/>
                <w:sz w:val="20"/>
                <w:szCs w:val="20"/>
              </w:rPr>
            </w:pPr>
            <w:r>
              <w:rPr>
                <w:rFonts w:eastAsia="等线"/>
                <w:sz w:val="20"/>
                <w:szCs w:val="20"/>
              </w:rPr>
              <w:t>53.35</w:t>
            </w:r>
            <w:r>
              <w:rPr>
                <w:color w:val="000000"/>
                <w:sz w:val="20"/>
                <w:szCs w:val="20"/>
              </w:rPr>
              <w:t>±12.08</w:t>
            </w:r>
          </w:p>
        </w:tc>
        <w:tc>
          <w:tcPr>
            <w:tcW w:w="813" w:type="dxa"/>
          </w:tcPr>
          <w:p>
            <w:pPr>
              <w:spacing w:before="0" w:after="0"/>
              <w:jc w:val="center"/>
              <w:rPr>
                <w:color w:val="000000"/>
                <w:sz w:val="20"/>
                <w:szCs w:val="20"/>
              </w:rPr>
            </w:pPr>
            <w:r>
              <w:rPr>
                <w:rFonts w:hint="eastAsia"/>
                <w:color w:val="000000"/>
                <w:sz w:val="20"/>
                <w:szCs w:val="20"/>
              </w:rPr>
              <w:t>0</w:t>
            </w:r>
            <w:r>
              <w:rPr>
                <w:color w:val="000000"/>
                <w:sz w:val="20"/>
                <w:szCs w:val="20"/>
              </w:rPr>
              <w:t>.70</w:t>
            </w:r>
          </w:p>
        </w:tc>
        <w:tc>
          <w:tcPr>
            <w:tcW w:w="992" w:type="dxa"/>
          </w:tcPr>
          <w:p>
            <w:pPr>
              <w:spacing w:before="0" w:after="0"/>
              <w:jc w:val="center"/>
              <w:rPr>
                <w:sz w:val="20"/>
                <w:szCs w:val="20"/>
              </w:rPr>
            </w:pPr>
            <w:r>
              <w:rPr>
                <w:rFonts w:hint="eastAsia"/>
                <w:color w:val="000000"/>
                <w:sz w:val="20"/>
                <w:szCs w:val="20"/>
              </w:rPr>
              <w:t>0</w:t>
            </w:r>
            <w:r>
              <w:rPr>
                <w:color w:val="000000"/>
                <w:sz w:val="20"/>
                <w:szCs w:val="20"/>
              </w:rPr>
              <w:t>.487</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b/>
                <w:bCs/>
                <w:color w:val="000000"/>
                <w:sz w:val="20"/>
                <w:szCs w:val="20"/>
                <w:lang w:eastAsia="zh-CN"/>
              </w:rPr>
            </w:pPr>
            <w:r>
              <w:rPr>
                <w:rFonts w:hint="eastAsia" w:eastAsiaTheme="minorEastAsia"/>
                <w:b/>
                <w:bCs/>
                <w:color w:val="000000"/>
                <w:sz w:val="20"/>
                <w:szCs w:val="20"/>
                <w:lang w:eastAsia="zh-CN"/>
              </w:rPr>
              <w:t>O</w:t>
            </w:r>
            <w:r>
              <w:rPr>
                <w:rFonts w:eastAsiaTheme="minorEastAsia"/>
                <w:b/>
                <w:bCs/>
                <w:color w:val="000000"/>
                <w:sz w:val="20"/>
                <w:szCs w:val="20"/>
                <w:lang w:eastAsia="zh-CN"/>
              </w:rPr>
              <w:t>CI-R</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3</w:t>
            </w:r>
            <w:r>
              <w:rPr>
                <w:rFonts w:eastAsiaTheme="minorEastAsia"/>
                <w:color w:val="000000"/>
                <w:sz w:val="20"/>
                <w:szCs w:val="20"/>
                <w:lang w:eastAsia="zh-CN"/>
              </w:rPr>
              <w:t>2.00</w:t>
            </w:r>
            <w:r>
              <w:rPr>
                <w:color w:val="000000"/>
                <w:sz w:val="20"/>
                <w:szCs w:val="20"/>
              </w:rPr>
              <w:t>±11.86</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3</w:t>
            </w:r>
            <w:r>
              <w:rPr>
                <w:rFonts w:eastAsiaTheme="minorEastAsia"/>
                <w:color w:val="000000"/>
                <w:sz w:val="20"/>
                <w:szCs w:val="20"/>
                <w:lang w:eastAsia="zh-CN"/>
              </w:rPr>
              <w:t>1.76</w:t>
            </w:r>
            <w:r>
              <w:rPr>
                <w:color w:val="000000"/>
                <w:sz w:val="20"/>
                <w:szCs w:val="20"/>
              </w:rPr>
              <w:t>±12.28</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.09</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.929</w:t>
            </w:r>
          </w:p>
        </w:tc>
      </w:tr>
      <w:tr>
        <w:tblPrEx>
          <w:tblCellMar>
            <w:top w:w="0" w:type="dxa"/>
            <w:left w:w="108" w:type="dxa"/>
            <w:bottom w:w="0" w:type="dxa"/>
            <w:right w:w="108" w:type="dxa"/>
          </w:tblCellMar>
        </w:tblPrEx>
        <w:trPr>
          <w:trHeight w:val="23" w:hRule="atLeast"/>
          <w:jc w:val="center"/>
        </w:trPr>
        <w:tc>
          <w:tcPr>
            <w:tcW w:w="2694" w:type="dxa"/>
          </w:tcPr>
          <w:p>
            <w:pPr>
              <w:spacing w:before="0" w:after="0"/>
              <w:ind w:firstLine="400" w:firstLineChars="200"/>
              <w:rPr>
                <w:color w:val="000000"/>
                <w:sz w:val="20"/>
                <w:szCs w:val="20"/>
              </w:rPr>
            </w:pPr>
            <w:r>
              <w:rPr>
                <w:rFonts w:eastAsiaTheme="minorEastAsia"/>
                <w:color w:val="000000"/>
                <w:sz w:val="20"/>
                <w:szCs w:val="20"/>
                <w:lang w:eastAsia="zh-CN"/>
              </w:rPr>
              <w:t>washing</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5</w:t>
            </w:r>
            <w:r>
              <w:rPr>
                <w:rFonts w:eastAsiaTheme="minorEastAsia"/>
                <w:color w:val="000000"/>
                <w:sz w:val="20"/>
                <w:szCs w:val="20"/>
                <w:lang w:eastAsia="zh-CN"/>
              </w:rPr>
              <w:t>.04</w:t>
            </w:r>
            <w:r>
              <w:rPr>
                <w:color w:val="000000"/>
                <w:sz w:val="20"/>
                <w:szCs w:val="20"/>
              </w:rPr>
              <w:t>±3.61</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6</w:t>
            </w:r>
            <w:r>
              <w:rPr>
                <w:rFonts w:eastAsiaTheme="minorEastAsia"/>
                <w:color w:val="000000"/>
                <w:sz w:val="20"/>
                <w:szCs w:val="20"/>
                <w:lang w:eastAsia="zh-CN"/>
              </w:rPr>
              <w:t>.29</w:t>
            </w:r>
            <w:r>
              <w:rPr>
                <w:color w:val="000000"/>
                <w:sz w:val="20"/>
                <w:szCs w:val="20"/>
              </w:rPr>
              <w:t>±3.54</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w:t>
            </w:r>
            <w:r>
              <w:rPr>
                <w:rFonts w:eastAsiaTheme="minorEastAsia"/>
                <w:color w:val="000000"/>
                <w:sz w:val="20"/>
                <w:szCs w:val="20"/>
                <w:lang w:eastAsia="zh-CN"/>
              </w:rPr>
              <w:t>1.54</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.127</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color w:val="000000"/>
                <w:sz w:val="20"/>
                <w:szCs w:val="20"/>
                <w:lang w:eastAsia="zh-CN"/>
              </w:rPr>
            </w:pPr>
            <w:r>
              <w:rPr>
                <w:rFonts w:hint="eastAsia" w:eastAsiaTheme="minorEastAsia"/>
                <w:color w:val="000000"/>
                <w:sz w:val="20"/>
                <w:szCs w:val="20"/>
                <w:lang w:eastAsia="zh-CN"/>
              </w:rPr>
              <w:t xml:space="preserve"> </w:t>
            </w:r>
            <w:r>
              <w:rPr>
                <w:rFonts w:eastAsiaTheme="minorEastAsia"/>
                <w:color w:val="000000"/>
                <w:sz w:val="20"/>
                <w:szCs w:val="20"/>
                <w:lang w:eastAsia="zh-CN"/>
              </w:rPr>
              <w:t xml:space="preserve">   checking</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5</w:t>
            </w:r>
            <w:r>
              <w:rPr>
                <w:rFonts w:eastAsiaTheme="minorEastAsia"/>
                <w:color w:val="000000"/>
                <w:sz w:val="20"/>
                <w:szCs w:val="20"/>
                <w:lang w:eastAsia="zh-CN"/>
              </w:rPr>
              <w:t>.96</w:t>
            </w:r>
            <w:r>
              <w:rPr>
                <w:color w:val="000000"/>
                <w:sz w:val="20"/>
                <w:szCs w:val="20"/>
              </w:rPr>
              <w:t>±3.48</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5</w:t>
            </w:r>
            <w:r>
              <w:rPr>
                <w:rFonts w:eastAsiaTheme="minorEastAsia"/>
                <w:color w:val="000000"/>
                <w:sz w:val="20"/>
                <w:szCs w:val="20"/>
                <w:lang w:eastAsia="zh-CN"/>
              </w:rPr>
              <w:t>.50</w:t>
            </w:r>
            <w:r>
              <w:rPr>
                <w:color w:val="000000"/>
                <w:sz w:val="20"/>
                <w:szCs w:val="20"/>
              </w:rPr>
              <w:t>±2.86</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.62</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.535</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color w:val="000000"/>
                <w:sz w:val="20"/>
                <w:szCs w:val="20"/>
                <w:lang w:eastAsia="zh-CN"/>
              </w:rPr>
            </w:pPr>
            <w:r>
              <w:rPr>
                <w:rFonts w:hint="eastAsia" w:eastAsiaTheme="minorEastAsia"/>
                <w:color w:val="000000"/>
                <w:sz w:val="20"/>
                <w:szCs w:val="20"/>
                <w:lang w:eastAsia="zh-CN"/>
              </w:rPr>
              <w:t xml:space="preserve"> </w:t>
            </w:r>
            <w:r>
              <w:rPr>
                <w:rFonts w:eastAsiaTheme="minorEastAsia"/>
                <w:color w:val="000000"/>
                <w:sz w:val="20"/>
                <w:szCs w:val="20"/>
                <w:lang w:eastAsia="zh-CN"/>
              </w:rPr>
              <w:t xml:space="preserve">   ordering</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5</w:t>
            </w:r>
            <w:r>
              <w:rPr>
                <w:rFonts w:eastAsiaTheme="minorEastAsia"/>
                <w:color w:val="000000"/>
                <w:sz w:val="20"/>
                <w:szCs w:val="20"/>
                <w:lang w:eastAsia="zh-CN"/>
              </w:rPr>
              <w:t>.50</w:t>
            </w:r>
            <w:r>
              <w:rPr>
                <w:color w:val="000000"/>
                <w:sz w:val="20"/>
                <w:szCs w:val="20"/>
              </w:rPr>
              <w:t>±3.20</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5</w:t>
            </w:r>
            <w:r>
              <w:rPr>
                <w:rFonts w:eastAsiaTheme="minorEastAsia"/>
                <w:color w:val="000000"/>
                <w:sz w:val="20"/>
                <w:szCs w:val="20"/>
                <w:lang w:eastAsia="zh-CN"/>
              </w:rPr>
              <w:t>.06</w:t>
            </w:r>
            <w:r>
              <w:rPr>
                <w:color w:val="000000"/>
                <w:sz w:val="20"/>
                <w:szCs w:val="20"/>
              </w:rPr>
              <w:t>±2.78</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.64</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.522</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color w:val="000000"/>
                <w:sz w:val="20"/>
                <w:szCs w:val="20"/>
                <w:lang w:eastAsia="zh-CN"/>
              </w:rPr>
            </w:pPr>
            <w:r>
              <w:rPr>
                <w:rFonts w:hint="eastAsia" w:eastAsiaTheme="minorEastAsia"/>
                <w:color w:val="000000"/>
                <w:sz w:val="20"/>
                <w:szCs w:val="20"/>
                <w:lang w:eastAsia="zh-CN"/>
              </w:rPr>
              <w:t xml:space="preserve"> </w:t>
            </w:r>
            <w:r>
              <w:rPr>
                <w:rFonts w:eastAsiaTheme="minorEastAsia"/>
                <w:color w:val="000000"/>
                <w:sz w:val="20"/>
                <w:szCs w:val="20"/>
                <w:lang w:eastAsia="zh-CN"/>
              </w:rPr>
              <w:t xml:space="preserve">   hoarding</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3</w:t>
            </w:r>
            <w:r>
              <w:rPr>
                <w:rFonts w:eastAsiaTheme="minorEastAsia"/>
                <w:color w:val="000000"/>
                <w:sz w:val="20"/>
                <w:szCs w:val="20"/>
                <w:lang w:eastAsia="zh-CN"/>
              </w:rPr>
              <w:t>.85</w:t>
            </w:r>
            <w:r>
              <w:rPr>
                <w:color w:val="000000"/>
                <w:sz w:val="20"/>
                <w:szCs w:val="20"/>
              </w:rPr>
              <w:t>±3.02</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3</w:t>
            </w:r>
            <w:r>
              <w:rPr>
                <w:rFonts w:eastAsiaTheme="minorEastAsia"/>
                <w:color w:val="000000"/>
                <w:sz w:val="20"/>
                <w:szCs w:val="20"/>
                <w:lang w:eastAsia="zh-CN"/>
              </w:rPr>
              <w:t>.61</w:t>
            </w:r>
            <w:r>
              <w:rPr>
                <w:color w:val="000000"/>
                <w:sz w:val="20"/>
                <w:szCs w:val="20"/>
              </w:rPr>
              <w:t>±2.59</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.37</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.712</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color w:val="000000"/>
                <w:sz w:val="20"/>
                <w:szCs w:val="20"/>
                <w:lang w:eastAsia="zh-CN"/>
              </w:rPr>
            </w:pPr>
            <w:r>
              <w:rPr>
                <w:rFonts w:hint="eastAsia" w:eastAsiaTheme="minorEastAsia"/>
                <w:color w:val="000000"/>
                <w:sz w:val="20"/>
                <w:szCs w:val="20"/>
                <w:lang w:eastAsia="zh-CN"/>
              </w:rPr>
              <w:t xml:space="preserve"> </w:t>
            </w:r>
            <w:r>
              <w:rPr>
                <w:rFonts w:eastAsiaTheme="minorEastAsia"/>
                <w:color w:val="000000"/>
                <w:sz w:val="20"/>
                <w:szCs w:val="20"/>
                <w:lang w:eastAsia="zh-CN"/>
              </w:rPr>
              <w:t xml:space="preserve">   obsessing</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7</w:t>
            </w:r>
            <w:r>
              <w:rPr>
                <w:rFonts w:eastAsiaTheme="minorEastAsia"/>
                <w:color w:val="000000"/>
                <w:sz w:val="20"/>
                <w:szCs w:val="20"/>
                <w:lang w:eastAsia="zh-CN"/>
              </w:rPr>
              <w:t>.02</w:t>
            </w:r>
            <w:r>
              <w:rPr>
                <w:color w:val="000000"/>
                <w:sz w:val="20"/>
                <w:szCs w:val="20"/>
              </w:rPr>
              <w:t>±2.62</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7</w:t>
            </w:r>
            <w:r>
              <w:rPr>
                <w:rFonts w:eastAsiaTheme="minorEastAsia"/>
                <w:color w:val="000000"/>
                <w:sz w:val="20"/>
                <w:szCs w:val="20"/>
                <w:lang w:eastAsia="zh-CN"/>
              </w:rPr>
              <w:t>.47</w:t>
            </w:r>
            <w:r>
              <w:rPr>
                <w:color w:val="000000"/>
                <w:sz w:val="20"/>
                <w:szCs w:val="20"/>
              </w:rPr>
              <w:t>±2.98</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w:t>
            </w:r>
            <w:r>
              <w:rPr>
                <w:rFonts w:eastAsiaTheme="minorEastAsia"/>
                <w:color w:val="000000"/>
                <w:sz w:val="20"/>
                <w:szCs w:val="20"/>
                <w:lang w:eastAsia="zh-CN"/>
              </w:rPr>
              <w:t>0.72</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.477</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rFonts w:eastAsiaTheme="minorEastAsia"/>
                <w:color w:val="000000"/>
                <w:sz w:val="20"/>
                <w:szCs w:val="20"/>
                <w:lang w:eastAsia="zh-CN"/>
              </w:rPr>
            </w:pPr>
            <w:r>
              <w:rPr>
                <w:rFonts w:hint="eastAsia" w:eastAsiaTheme="minorEastAsia"/>
                <w:b/>
                <w:bCs/>
                <w:color w:val="000000"/>
                <w:sz w:val="20"/>
                <w:szCs w:val="20"/>
                <w:lang w:eastAsia="zh-CN"/>
              </w:rPr>
              <w:t xml:space="preserve"> </w:t>
            </w:r>
            <w:r>
              <w:rPr>
                <w:rFonts w:eastAsiaTheme="minorEastAsia"/>
                <w:b/>
                <w:bCs/>
                <w:color w:val="000000"/>
                <w:sz w:val="20"/>
                <w:szCs w:val="20"/>
                <w:lang w:eastAsia="zh-CN"/>
              </w:rPr>
              <w:t xml:space="preserve">  </w:t>
            </w:r>
            <w:r>
              <w:rPr>
                <w:rFonts w:eastAsiaTheme="minorEastAsia"/>
                <w:color w:val="000000"/>
                <w:sz w:val="20"/>
                <w:szCs w:val="20"/>
                <w:lang w:eastAsia="zh-CN"/>
              </w:rPr>
              <w:t xml:space="preserve"> mental neutralizing</w:t>
            </w:r>
          </w:p>
        </w:tc>
        <w:tc>
          <w:tcPr>
            <w:tcW w:w="2551"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4</w:t>
            </w:r>
            <w:r>
              <w:rPr>
                <w:rFonts w:eastAsiaTheme="minorEastAsia"/>
                <w:color w:val="000000"/>
                <w:sz w:val="20"/>
                <w:szCs w:val="20"/>
                <w:lang w:eastAsia="zh-CN"/>
              </w:rPr>
              <w:t>.63</w:t>
            </w:r>
            <w:r>
              <w:rPr>
                <w:color w:val="000000"/>
                <w:sz w:val="20"/>
                <w:szCs w:val="20"/>
              </w:rPr>
              <w:t>±3.23</w:t>
            </w:r>
          </w:p>
        </w:tc>
        <w:tc>
          <w:tcPr>
            <w:tcW w:w="2175"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3</w:t>
            </w:r>
            <w:r>
              <w:rPr>
                <w:rFonts w:eastAsiaTheme="minorEastAsia"/>
                <w:color w:val="000000"/>
                <w:sz w:val="20"/>
                <w:szCs w:val="20"/>
                <w:lang w:eastAsia="zh-CN"/>
              </w:rPr>
              <w:t>.82</w:t>
            </w:r>
            <w:r>
              <w:rPr>
                <w:color w:val="000000"/>
                <w:sz w:val="20"/>
                <w:szCs w:val="20"/>
              </w:rPr>
              <w:t>±2.81</w:t>
            </w:r>
          </w:p>
        </w:tc>
        <w:tc>
          <w:tcPr>
            <w:tcW w:w="813"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1</w:t>
            </w:r>
            <w:r>
              <w:rPr>
                <w:rFonts w:eastAsiaTheme="minorEastAsia"/>
                <w:color w:val="000000"/>
                <w:sz w:val="20"/>
                <w:szCs w:val="20"/>
                <w:lang w:eastAsia="zh-CN"/>
              </w:rPr>
              <w:t>.17</w:t>
            </w:r>
          </w:p>
        </w:tc>
        <w:tc>
          <w:tcPr>
            <w:tcW w:w="992" w:type="dxa"/>
          </w:tcPr>
          <w:p>
            <w:pPr>
              <w:spacing w:before="0" w:after="0"/>
              <w:jc w:val="center"/>
              <w:rPr>
                <w:rFonts w:eastAsiaTheme="minorEastAsia"/>
                <w:color w:val="000000"/>
                <w:sz w:val="20"/>
                <w:szCs w:val="20"/>
                <w:lang w:eastAsia="zh-CN"/>
              </w:rPr>
            </w:pPr>
            <w:r>
              <w:rPr>
                <w:rFonts w:hint="eastAsia" w:eastAsiaTheme="minorEastAsia"/>
                <w:color w:val="000000"/>
                <w:sz w:val="20"/>
                <w:szCs w:val="20"/>
                <w:lang w:eastAsia="zh-CN"/>
              </w:rPr>
              <w:t>0</w:t>
            </w:r>
            <w:r>
              <w:rPr>
                <w:rFonts w:eastAsiaTheme="minorEastAsia"/>
                <w:color w:val="000000"/>
                <w:sz w:val="20"/>
                <w:szCs w:val="20"/>
                <w:lang w:eastAsia="zh-CN"/>
              </w:rPr>
              <w:t>.247</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b/>
                <w:bCs/>
                <w:color w:val="000000"/>
                <w:sz w:val="20"/>
                <w:szCs w:val="20"/>
              </w:rPr>
            </w:pPr>
            <w:r>
              <w:rPr>
                <w:rFonts w:hint="eastAsia"/>
                <w:b/>
                <w:bCs/>
                <w:color w:val="000000"/>
                <w:sz w:val="20"/>
                <w:szCs w:val="20"/>
              </w:rPr>
              <w:t>Y-BOCS</w:t>
            </w:r>
          </w:p>
        </w:tc>
        <w:tc>
          <w:tcPr>
            <w:tcW w:w="2551" w:type="dxa"/>
          </w:tcPr>
          <w:p>
            <w:pPr>
              <w:spacing w:before="0" w:after="0"/>
              <w:jc w:val="center"/>
              <w:rPr>
                <w:color w:val="000000"/>
                <w:sz w:val="20"/>
                <w:szCs w:val="20"/>
              </w:rPr>
            </w:pPr>
            <w:r>
              <w:rPr>
                <w:rFonts w:hint="eastAsia"/>
                <w:color w:val="000000"/>
                <w:sz w:val="20"/>
                <w:szCs w:val="20"/>
              </w:rPr>
              <w:t>1</w:t>
            </w:r>
            <w:r>
              <w:rPr>
                <w:color w:val="000000"/>
                <w:sz w:val="20"/>
                <w:szCs w:val="20"/>
              </w:rPr>
              <w:t>9</w:t>
            </w:r>
            <w:r>
              <w:rPr>
                <w:rFonts w:hint="eastAsia"/>
                <w:color w:val="000000"/>
                <w:sz w:val="20"/>
                <w:szCs w:val="20"/>
              </w:rPr>
              <w:t>.</w:t>
            </w:r>
            <w:r>
              <w:rPr>
                <w:color w:val="000000"/>
                <w:sz w:val="20"/>
                <w:szCs w:val="20"/>
              </w:rPr>
              <w:t>40±6.13</w:t>
            </w:r>
          </w:p>
        </w:tc>
        <w:tc>
          <w:tcPr>
            <w:tcW w:w="2175" w:type="dxa"/>
          </w:tcPr>
          <w:p>
            <w:pPr>
              <w:spacing w:before="0" w:after="0"/>
              <w:jc w:val="center"/>
              <w:rPr>
                <w:color w:val="000000"/>
                <w:sz w:val="20"/>
                <w:szCs w:val="20"/>
              </w:rPr>
            </w:pPr>
            <w:r>
              <w:rPr>
                <w:rFonts w:hint="eastAsia"/>
                <w:color w:val="000000"/>
                <w:sz w:val="20"/>
                <w:szCs w:val="20"/>
              </w:rPr>
              <w:t>1</w:t>
            </w:r>
            <w:r>
              <w:rPr>
                <w:color w:val="000000"/>
                <w:sz w:val="20"/>
                <w:szCs w:val="20"/>
              </w:rPr>
              <w:t>8.10±5.63</w:t>
            </w:r>
          </w:p>
        </w:tc>
        <w:tc>
          <w:tcPr>
            <w:tcW w:w="813" w:type="dxa"/>
          </w:tcPr>
          <w:p>
            <w:pPr>
              <w:spacing w:before="0" w:after="0"/>
              <w:jc w:val="center"/>
              <w:rPr>
                <w:b/>
                <w:bCs/>
                <w:sz w:val="20"/>
                <w:szCs w:val="20"/>
              </w:rPr>
            </w:pPr>
            <w:r>
              <w:rPr>
                <w:b/>
                <w:bCs/>
                <w:color w:val="000000"/>
                <w:sz w:val="20"/>
                <w:szCs w:val="20"/>
              </w:rPr>
              <w:t>-2.05</w:t>
            </w:r>
            <w:r>
              <w:rPr>
                <w:b/>
                <w:bCs/>
                <w:color w:val="000000"/>
                <w:sz w:val="20"/>
                <w:szCs w:val="20"/>
                <w:vertAlign w:val="superscript"/>
              </w:rPr>
              <w:t>*</w:t>
            </w:r>
          </w:p>
        </w:tc>
        <w:tc>
          <w:tcPr>
            <w:tcW w:w="992" w:type="dxa"/>
          </w:tcPr>
          <w:p>
            <w:pPr>
              <w:spacing w:before="0" w:after="0"/>
              <w:jc w:val="center"/>
              <w:rPr>
                <w:b/>
                <w:bCs/>
                <w:sz w:val="20"/>
                <w:szCs w:val="20"/>
              </w:rPr>
            </w:pPr>
            <w:r>
              <w:rPr>
                <w:rFonts w:hint="eastAsia"/>
                <w:b/>
                <w:bCs/>
                <w:color w:val="000000"/>
                <w:sz w:val="20"/>
                <w:szCs w:val="20"/>
              </w:rPr>
              <w:t>0</w:t>
            </w:r>
            <w:r>
              <w:rPr>
                <w:b/>
                <w:bCs/>
                <w:color w:val="000000"/>
                <w:sz w:val="20"/>
                <w:szCs w:val="20"/>
              </w:rPr>
              <w:t>.043</w:t>
            </w:r>
          </w:p>
        </w:tc>
      </w:tr>
      <w:tr>
        <w:tblPrEx>
          <w:tblCellMar>
            <w:top w:w="0" w:type="dxa"/>
            <w:left w:w="108" w:type="dxa"/>
            <w:bottom w:w="0" w:type="dxa"/>
            <w:right w:w="108" w:type="dxa"/>
          </w:tblCellMar>
        </w:tblPrEx>
        <w:trPr>
          <w:trHeight w:val="23" w:hRule="atLeast"/>
          <w:jc w:val="center"/>
        </w:trPr>
        <w:tc>
          <w:tcPr>
            <w:tcW w:w="2694" w:type="dxa"/>
          </w:tcPr>
          <w:p>
            <w:pPr>
              <w:spacing w:before="0" w:after="0"/>
              <w:rPr>
                <w:color w:val="000000"/>
                <w:sz w:val="20"/>
                <w:szCs w:val="20"/>
              </w:rPr>
            </w:pPr>
            <w:r>
              <w:rPr>
                <w:rFonts w:hint="eastAsia"/>
                <w:color w:val="000000"/>
                <w:sz w:val="20"/>
                <w:szCs w:val="20"/>
              </w:rPr>
              <w:t xml:space="preserve">    </w:t>
            </w:r>
            <w:r>
              <w:rPr>
                <w:color w:val="000000"/>
                <w:sz w:val="20"/>
                <w:szCs w:val="20"/>
              </w:rPr>
              <w:t xml:space="preserve"> o</w:t>
            </w:r>
            <w:r>
              <w:rPr>
                <w:rFonts w:hint="eastAsia"/>
                <w:color w:val="000000"/>
                <w:sz w:val="20"/>
                <w:szCs w:val="20"/>
              </w:rPr>
              <w:t>bsessi</w:t>
            </w:r>
            <w:r>
              <w:rPr>
                <w:color w:val="000000"/>
                <w:sz w:val="20"/>
                <w:szCs w:val="20"/>
              </w:rPr>
              <w:t>on</w:t>
            </w:r>
          </w:p>
        </w:tc>
        <w:tc>
          <w:tcPr>
            <w:tcW w:w="2551" w:type="dxa"/>
          </w:tcPr>
          <w:p>
            <w:pPr>
              <w:spacing w:before="0" w:after="0"/>
              <w:jc w:val="center"/>
              <w:rPr>
                <w:color w:val="000000"/>
                <w:sz w:val="20"/>
                <w:szCs w:val="20"/>
              </w:rPr>
            </w:pPr>
            <w:r>
              <w:rPr>
                <w:rFonts w:hint="eastAsia"/>
                <w:color w:val="000000"/>
                <w:sz w:val="20"/>
                <w:szCs w:val="20"/>
              </w:rPr>
              <w:t>9.</w:t>
            </w:r>
            <w:r>
              <w:rPr>
                <w:color w:val="000000"/>
                <w:sz w:val="20"/>
                <w:szCs w:val="20"/>
              </w:rPr>
              <w:t>17±</w:t>
            </w:r>
            <w:r>
              <w:rPr>
                <w:rFonts w:hint="eastAsia"/>
                <w:color w:val="000000"/>
                <w:sz w:val="20"/>
                <w:szCs w:val="20"/>
              </w:rPr>
              <w:t>3.</w:t>
            </w:r>
            <w:r>
              <w:rPr>
                <w:color w:val="000000"/>
                <w:sz w:val="20"/>
                <w:szCs w:val="20"/>
              </w:rPr>
              <w:t>28</w:t>
            </w:r>
          </w:p>
        </w:tc>
        <w:tc>
          <w:tcPr>
            <w:tcW w:w="2175" w:type="dxa"/>
          </w:tcPr>
          <w:p>
            <w:pPr>
              <w:spacing w:before="0" w:after="0"/>
              <w:jc w:val="center"/>
              <w:rPr>
                <w:color w:val="000000"/>
                <w:sz w:val="20"/>
                <w:szCs w:val="20"/>
              </w:rPr>
            </w:pPr>
            <w:r>
              <w:rPr>
                <w:rFonts w:hint="eastAsia"/>
                <w:color w:val="000000"/>
                <w:sz w:val="20"/>
                <w:szCs w:val="20"/>
              </w:rPr>
              <w:t>9</w:t>
            </w:r>
            <w:r>
              <w:rPr>
                <w:color w:val="000000"/>
                <w:sz w:val="20"/>
                <w:szCs w:val="20"/>
              </w:rPr>
              <w:t>.59±3.53</w:t>
            </w:r>
          </w:p>
        </w:tc>
        <w:tc>
          <w:tcPr>
            <w:tcW w:w="813" w:type="dxa"/>
          </w:tcPr>
          <w:p>
            <w:pPr>
              <w:spacing w:before="0" w:after="0"/>
              <w:jc w:val="center"/>
              <w:rPr>
                <w:sz w:val="20"/>
                <w:szCs w:val="20"/>
              </w:rPr>
            </w:pPr>
            <w:r>
              <w:rPr>
                <w:rFonts w:hint="eastAsia"/>
                <w:color w:val="000000"/>
                <w:sz w:val="20"/>
                <w:szCs w:val="20"/>
              </w:rPr>
              <w:t>-</w:t>
            </w:r>
            <w:r>
              <w:rPr>
                <w:color w:val="000000"/>
                <w:sz w:val="20"/>
                <w:szCs w:val="20"/>
              </w:rPr>
              <w:t>0.72</w:t>
            </w:r>
          </w:p>
        </w:tc>
        <w:tc>
          <w:tcPr>
            <w:tcW w:w="992" w:type="dxa"/>
          </w:tcPr>
          <w:p>
            <w:pPr>
              <w:spacing w:before="0" w:after="0"/>
              <w:jc w:val="center"/>
              <w:rPr>
                <w:sz w:val="20"/>
                <w:szCs w:val="20"/>
              </w:rPr>
            </w:pPr>
            <w:r>
              <w:rPr>
                <w:rFonts w:hint="eastAsia"/>
                <w:color w:val="000000"/>
                <w:sz w:val="20"/>
                <w:szCs w:val="20"/>
              </w:rPr>
              <w:t>0</w:t>
            </w:r>
            <w:r>
              <w:rPr>
                <w:color w:val="000000"/>
                <w:sz w:val="20"/>
                <w:szCs w:val="20"/>
              </w:rPr>
              <w:t>.472</w:t>
            </w:r>
          </w:p>
        </w:tc>
      </w:tr>
      <w:tr>
        <w:tblPrEx>
          <w:tblCellMar>
            <w:top w:w="0" w:type="dxa"/>
            <w:left w:w="108" w:type="dxa"/>
            <w:bottom w:w="0" w:type="dxa"/>
            <w:right w:w="108" w:type="dxa"/>
          </w:tblCellMar>
        </w:tblPrEx>
        <w:trPr>
          <w:trHeight w:val="23" w:hRule="atLeast"/>
          <w:jc w:val="center"/>
        </w:trPr>
        <w:tc>
          <w:tcPr>
            <w:tcW w:w="2694" w:type="dxa"/>
            <w:tcBorders>
              <w:bottom w:val="single" w:color="auto" w:sz="4" w:space="0"/>
            </w:tcBorders>
          </w:tcPr>
          <w:p>
            <w:pPr>
              <w:spacing w:before="0" w:after="0"/>
              <w:rPr>
                <w:color w:val="000000"/>
                <w:sz w:val="20"/>
                <w:szCs w:val="20"/>
              </w:rPr>
            </w:pPr>
            <w:r>
              <w:rPr>
                <w:rFonts w:hint="eastAsia"/>
                <w:color w:val="000000"/>
                <w:sz w:val="20"/>
                <w:szCs w:val="20"/>
              </w:rPr>
              <w:t xml:space="preserve">    </w:t>
            </w:r>
            <w:r>
              <w:rPr>
                <w:color w:val="000000"/>
                <w:sz w:val="20"/>
                <w:szCs w:val="20"/>
              </w:rPr>
              <w:t xml:space="preserve"> </w:t>
            </w:r>
            <w:r>
              <w:rPr>
                <w:rFonts w:hint="eastAsia"/>
                <w:color w:val="000000"/>
                <w:sz w:val="20"/>
                <w:szCs w:val="20"/>
              </w:rPr>
              <w:t>compulsi</w:t>
            </w:r>
            <w:r>
              <w:rPr>
                <w:color w:val="000000"/>
                <w:sz w:val="20"/>
                <w:szCs w:val="20"/>
              </w:rPr>
              <w:t>on</w:t>
            </w:r>
          </w:p>
        </w:tc>
        <w:tc>
          <w:tcPr>
            <w:tcW w:w="2551" w:type="dxa"/>
            <w:tcBorders>
              <w:bottom w:val="single" w:color="auto" w:sz="4" w:space="0"/>
            </w:tcBorders>
          </w:tcPr>
          <w:p>
            <w:pPr>
              <w:spacing w:before="0" w:after="0"/>
              <w:jc w:val="center"/>
              <w:rPr>
                <w:color w:val="000000"/>
                <w:sz w:val="20"/>
                <w:szCs w:val="20"/>
              </w:rPr>
            </w:pPr>
            <w:r>
              <w:rPr>
                <w:color w:val="000000"/>
                <w:sz w:val="20"/>
                <w:szCs w:val="20"/>
              </w:rPr>
              <w:t>10.12±8.50</w:t>
            </w:r>
          </w:p>
        </w:tc>
        <w:tc>
          <w:tcPr>
            <w:tcW w:w="2175" w:type="dxa"/>
            <w:tcBorders>
              <w:bottom w:val="single" w:color="auto" w:sz="4" w:space="0"/>
            </w:tcBorders>
          </w:tcPr>
          <w:p>
            <w:pPr>
              <w:spacing w:before="0" w:after="0"/>
              <w:jc w:val="center"/>
              <w:rPr>
                <w:color w:val="000000"/>
                <w:sz w:val="20"/>
                <w:szCs w:val="20"/>
              </w:rPr>
            </w:pPr>
            <w:r>
              <w:rPr>
                <w:rFonts w:hint="eastAsia"/>
                <w:color w:val="000000"/>
                <w:sz w:val="20"/>
                <w:szCs w:val="20"/>
              </w:rPr>
              <w:t>8</w:t>
            </w:r>
            <w:r>
              <w:rPr>
                <w:color w:val="000000"/>
                <w:sz w:val="20"/>
                <w:szCs w:val="20"/>
              </w:rPr>
              <w:t>.50±4.72</w:t>
            </w:r>
          </w:p>
        </w:tc>
        <w:tc>
          <w:tcPr>
            <w:tcW w:w="813" w:type="dxa"/>
            <w:tcBorders>
              <w:bottom w:val="single" w:color="auto" w:sz="4" w:space="0"/>
            </w:tcBorders>
          </w:tcPr>
          <w:p>
            <w:pPr>
              <w:spacing w:before="0" w:after="0"/>
              <w:jc w:val="center"/>
              <w:rPr>
                <w:b/>
                <w:bCs/>
                <w:sz w:val="20"/>
                <w:szCs w:val="20"/>
              </w:rPr>
            </w:pPr>
            <w:r>
              <w:rPr>
                <w:b/>
                <w:bCs/>
                <w:color w:val="000000"/>
                <w:sz w:val="20"/>
                <w:szCs w:val="20"/>
              </w:rPr>
              <w:t>-2.25</w:t>
            </w:r>
            <w:r>
              <w:rPr>
                <w:b/>
                <w:bCs/>
                <w:color w:val="000000"/>
                <w:sz w:val="20"/>
                <w:szCs w:val="20"/>
                <w:vertAlign w:val="superscript"/>
              </w:rPr>
              <w:t>*</w:t>
            </w:r>
          </w:p>
        </w:tc>
        <w:tc>
          <w:tcPr>
            <w:tcW w:w="992" w:type="dxa"/>
            <w:tcBorders>
              <w:bottom w:val="single" w:color="auto" w:sz="4" w:space="0"/>
            </w:tcBorders>
          </w:tcPr>
          <w:p>
            <w:pPr>
              <w:spacing w:before="0" w:after="0"/>
              <w:jc w:val="center"/>
              <w:rPr>
                <w:b/>
                <w:bCs/>
                <w:sz w:val="20"/>
                <w:szCs w:val="20"/>
              </w:rPr>
            </w:pPr>
            <w:r>
              <w:rPr>
                <w:rFonts w:hint="eastAsia"/>
                <w:b/>
                <w:bCs/>
                <w:color w:val="000000"/>
                <w:sz w:val="20"/>
                <w:szCs w:val="20"/>
              </w:rPr>
              <w:t>0</w:t>
            </w:r>
            <w:r>
              <w:rPr>
                <w:b/>
                <w:bCs/>
                <w:color w:val="000000"/>
                <w:sz w:val="20"/>
                <w:szCs w:val="20"/>
              </w:rPr>
              <w:t>.027</w:t>
            </w:r>
          </w:p>
        </w:tc>
      </w:tr>
    </w:tbl>
    <w:p>
      <w:pPr>
        <w:spacing w:before="0" w:after="0"/>
        <w:jc w:val="both"/>
        <w:rPr>
          <w:rFonts w:eastAsia="宋体"/>
          <w:kern w:val="2"/>
          <w:sz w:val="20"/>
          <w:szCs w:val="20"/>
          <w:lang w:eastAsia="zh-CN" w:bidi="ar"/>
        </w:rPr>
      </w:pPr>
      <w:r>
        <w:rPr>
          <w:rFonts w:eastAsia="宋体"/>
          <w:b/>
          <w:bCs/>
          <w:i/>
          <w:iCs/>
          <w:kern w:val="2"/>
          <w:sz w:val="20"/>
          <w:szCs w:val="20"/>
          <w:lang w:eastAsia="zh-CN" w:bidi="ar"/>
        </w:rPr>
        <w:t>Note.</w:t>
      </w:r>
      <w:r>
        <w:rPr>
          <w:rFonts w:eastAsia="宋体"/>
          <w:kern w:val="2"/>
          <w:sz w:val="20"/>
          <w:szCs w:val="20"/>
          <w:lang w:eastAsia="zh-CN" w:bidi="ar"/>
        </w:rPr>
        <w:t xml:space="preserve"> OCD, Obsessive-compulsive disorder; BDI, the score of the Beck Depression Scale; SAI, the score of the state anxiety scale; TAI, the score of the trait anxiety scale; OCI-R, the score of the Obsessive-Compulsive Inventory-Revised; Y-BOCS, the score of the Yale–Brown Obsessive–</w:t>
      </w:r>
      <w:r>
        <w:rPr>
          <w:rFonts w:hint="eastAsia" w:eastAsia="宋体"/>
          <w:kern w:val="2"/>
          <w:sz w:val="20"/>
          <w:szCs w:val="20"/>
          <w:lang w:eastAsia="zh-CN" w:bidi="ar"/>
        </w:rPr>
        <w:t xml:space="preserve"> </w:t>
      </w:r>
      <w:r>
        <w:rPr>
          <w:rFonts w:eastAsia="宋体"/>
          <w:kern w:val="2"/>
          <w:sz w:val="20"/>
          <w:szCs w:val="20"/>
          <w:lang w:eastAsia="zh-CN" w:bidi="ar"/>
        </w:rPr>
        <w:t xml:space="preserve">Compulsive Scale. </w:t>
      </w:r>
      <w:r>
        <w:rPr>
          <w:sz w:val="20"/>
          <w:szCs w:val="20"/>
        </w:rPr>
        <w:t xml:space="preserve">* Significance </w:t>
      </w:r>
      <w:r>
        <w:rPr>
          <w:rFonts w:hint="eastAsia"/>
          <w:sz w:val="20"/>
          <w:szCs w:val="20"/>
          <w:lang w:eastAsia="zh-CN"/>
        </w:rPr>
        <w:t>level</w:t>
      </w:r>
      <w:r>
        <w:rPr>
          <w:sz w:val="20"/>
          <w:szCs w:val="20"/>
        </w:rPr>
        <w:t xml:space="preserve"> of 0.05.</w:t>
      </w:r>
    </w:p>
    <w:p>
      <w:pPr>
        <w:spacing w:before="0" w:after="0"/>
        <w:jc w:val="both"/>
        <w:rPr>
          <w:rFonts w:eastAsia="宋体"/>
          <w:kern w:val="2"/>
          <w:sz w:val="18"/>
          <w:szCs w:val="18"/>
          <w:lang w:eastAsia="zh-CN" w:bidi="ar"/>
        </w:rPr>
      </w:pPr>
    </w:p>
    <w:p>
      <w:pPr>
        <w:spacing w:before="0" w:after="0" w:line="480" w:lineRule="auto"/>
        <w:rPr>
          <w:rFonts w:eastAsia="宋体"/>
          <w:b/>
          <w:bCs/>
          <w:color w:val="000000"/>
          <w:sz w:val="20"/>
          <w:szCs w:val="20"/>
        </w:rPr>
      </w:pPr>
      <w:r>
        <w:rPr>
          <w:rFonts w:hint="eastAsia" w:eastAsia="宋体"/>
          <w:b/>
          <w:bCs/>
          <w:color w:val="000000"/>
          <w:sz w:val="20"/>
          <w:szCs w:val="20"/>
        </w:rPr>
        <w:t>M</w:t>
      </w:r>
      <w:r>
        <w:rPr>
          <w:rFonts w:eastAsia="宋体"/>
          <w:b/>
          <w:bCs/>
          <w:color w:val="000000"/>
          <w:sz w:val="20"/>
          <w:szCs w:val="20"/>
        </w:rPr>
        <w:t>edication status effect on MRI results</w:t>
      </w:r>
    </w:p>
    <w:p>
      <w:pPr>
        <w:spacing w:before="0" w:after="0" w:line="480" w:lineRule="auto"/>
        <w:ind w:firstLine="400" w:firstLineChars="200"/>
        <w:jc w:val="both"/>
        <w:rPr>
          <w:rFonts w:eastAsia="宋体"/>
          <w:b/>
          <w:bCs/>
          <w:color w:val="000000"/>
          <w:sz w:val="20"/>
          <w:szCs w:val="20"/>
          <w:lang w:eastAsia="zh-CN"/>
        </w:rPr>
      </w:pPr>
      <w:r>
        <w:rPr>
          <w:rFonts w:hint="eastAsia"/>
          <w:sz w:val="20"/>
          <w:szCs w:val="20"/>
        </w:rPr>
        <w:t>Covariance analyses</w:t>
      </w:r>
      <w:r>
        <w:rPr>
          <w:sz w:val="20"/>
          <w:szCs w:val="20"/>
        </w:rPr>
        <w:t xml:space="preserve"> w</w:t>
      </w:r>
      <w:r>
        <w:rPr>
          <w:rFonts w:hint="eastAsia"/>
          <w:sz w:val="20"/>
          <w:szCs w:val="20"/>
        </w:rPr>
        <w:t>ere</w:t>
      </w:r>
      <w:r>
        <w:rPr>
          <w:sz w:val="20"/>
          <w:szCs w:val="20"/>
        </w:rPr>
        <w:t xml:space="preserve"> used to compare the Hb volume between unmedicated and medicated OCD</w:t>
      </w:r>
      <w:r>
        <w:rPr>
          <w:rFonts w:hint="eastAsia"/>
          <w:sz w:val="20"/>
          <w:szCs w:val="20"/>
        </w:rPr>
        <w:t xml:space="preserve"> with</w:t>
      </w:r>
      <w:r>
        <w:rPr>
          <w:sz w:val="20"/>
          <w:szCs w:val="20"/>
        </w:rPr>
        <w:t xml:space="preserve"> age, gender, and education</w:t>
      </w:r>
      <w:r>
        <w:rPr>
          <w:rFonts w:hint="eastAsia"/>
          <w:sz w:val="20"/>
          <w:szCs w:val="20"/>
        </w:rPr>
        <w:t xml:space="preserve"> as covariables</w:t>
      </w:r>
      <w:r>
        <w:rPr>
          <w:sz w:val="20"/>
          <w:szCs w:val="20"/>
        </w:rPr>
        <w:t xml:space="preserve">. For whole-brain functional connectivity analysis, two sample </w:t>
      </w:r>
      <w:r>
        <w:rPr>
          <w:i/>
          <w:iCs/>
          <w:sz w:val="20"/>
          <w:szCs w:val="20"/>
        </w:rPr>
        <w:t>t</w:t>
      </w:r>
      <w:r>
        <w:rPr>
          <w:sz w:val="20"/>
          <w:szCs w:val="20"/>
        </w:rPr>
        <w:t xml:space="preserve"> test was performed to determine significant difference between unmedicated and medicated OCD, controlling the age, gender, and education. The statistical parametric maps were thresholded at the voxel-level familywise error-corrected (FWE) </w:t>
      </w:r>
      <w:r>
        <w:rPr>
          <w:i/>
          <w:iCs/>
          <w:sz w:val="20"/>
          <w:szCs w:val="20"/>
        </w:rPr>
        <w:t xml:space="preserve">p </w:t>
      </w:r>
      <w:r>
        <w:rPr>
          <w:sz w:val="20"/>
          <w:szCs w:val="20"/>
        </w:rPr>
        <w:t xml:space="preserve">&lt; 0.05, with an initial voxel-wise threshold of </w:t>
      </w:r>
      <w:r>
        <w:rPr>
          <w:i/>
          <w:iCs/>
          <w:sz w:val="20"/>
          <w:szCs w:val="20"/>
        </w:rPr>
        <w:t>p</w:t>
      </w:r>
      <w:r>
        <w:rPr>
          <w:sz w:val="20"/>
          <w:szCs w:val="20"/>
        </w:rPr>
        <w:t xml:space="preserve"> &lt; 0.001 by SPM12. Then we ran small volume correction (SVC) with the hippocampus and dmPFC (FWE</w:t>
      </w:r>
      <w:r>
        <w:rPr>
          <w:i/>
          <w:iCs/>
          <w:sz w:val="20"/>
          <w:szCs w:val="20"/>
        </w:rPr>
        <w:t xml:space="preserve">p </w:t>
      </w:r>
      <w:r>
        <w:rPr>
          <w:sz w:val="20"/>
          <w:szCs w:val="20"/>
        </w:rPr>
        <w:t xml:space="preserve">&lt;0.05). The medication status (unmedicated vs. medicated) was included as a covariate in DCM within OCD group. The medication status effect was reported if there was a posterior probability &gt; 0.95.  </w:t>
      </w:r>
    </w:p>
    <w:p>
      <w:pPr>
        <w:spacing w:after="0" w:line="480" w:lineRule="auto"/>
        <w:ind w:firstLine="480"/>
        <w:jc w:val="both"/>
        <w:rPr>
          <w:rFonts w:eastAsia="宋体"/>
          <w:color w:val="000000"/>
          <w:sz w:val="20"/>
          <w:szCs w:val="20"/>
        </w:rPr>
      </w:pPr>
      <w:r>
        <w:rPr>
          <w:rFonts w:hint="eastAsia" w:eastAsia="宋体"/>
          <w:color w:val="000000"/>
          <w:sz w:val="20"/>
          <w:szCs w:val="20"/>
        </w:rPr>
        <w:t>T</w:t>
      </w:r>
      <w:r>
        <w:rPr>
          <w:rFonts w:eastAsia="宋体"/>
          <w:color w:val="000000"/>
          <w:sz w:val="20"/>
          <w:szCs w:val="20"/>
        </w:rPr>
        <w:t xml:space="preserve">here was no significant medication status effect on the </w:t>
      </w:r>
      <w:r>
        <w:rPr>
          <w:rFonts w:hint="eastAsia" w:eastAsia="宋体"/>
          <w:color w:val="000000"/>
          <w:sz w:val="20"/>
          <w:szCs w:val="20"/>
          <w:lang w:eastAsia="zh-CN"/>
        </w:rPr>
        <w:t>gr</w:t>
      </w:r>
      <w:r>
        <w:rPr>
          <w:rFonts w:eastAsia="宋体"/>
          <w:color w:val="000000"/>
          <w:sz w:val="20"/>
          <w:szCs w:val="20"/>
        </w:rPr>
        <w:t xml:space="preserve">ey matter volume (Table S2), functional connectivity of the Hb-hippocampus and effective connectivity of habenula (Hb). </w:t>
      </w:r>
    </w:p>
    <w:p>
      <w:pPr>
        <w:autoSpaceDE w:val="0"/>
        <w:autoSpaceDN w:val="0"/>
        <w:adjustRightInd w:val="0"/>
        <w:spacing w:before="0" w:after="0"/>
        <w:jc w:val="center"/>
        <w:rPr>
          <w:rFonts w:cs="Calibri"/>
          <w:b/>
          <w:bCs/>
          <w:color w:val="000000"/>
          <w:sz w:val="20"/>
          <w:szCs w:val="20"/>
        </w:rPr>
      </w:pPr>
      <w:r>
        <w:rPr>
          <w:rFonts w:hint="eastAsia" w:eastAsiaTheme="minorEastAsia"/>
          <w:b/>
          <w:bCs/>
          <w:sz w:val="20"/>
          <w:szCs w:val="20"/>
          <w:lang w:eastAsia="zh-CN"/>
        </w:rPr>
        <w:t>T</w:t>
      </w:r>
      <w:r>
        <w:rPr>
          <w:rFonts w:eastAsiaTheme="minorEastAsia"/>
          <w:b/>
          <w:bCs/>
          <w:sz w:val="20"/>
          <w:szCs w:val="20"/>
          <w:lang w:eastAsia="zh-CN"/>
        </w:rPr>
        <w:t xml:space="preserve">able S3 </w:t>
      </w:r>
      <w:r>
        <w:rPr>
          <w:b/>
          <w:bCs/>
          <w:color w:val="000000"/>
          <w:sz w:val="20"/>
          <w:szCs w:val="20"/>
        </w:rPr>
        <w:t>Comparison</w:t>
      </w:r>
      <w:r>
        <w:rPr>
          <w:rFonts w:hint="eastAsia"/>
          <w:b/>
          <w:bCs/>
          <w:color w:val="000000"/>
          <w:sz w:val="20"/>
          <w:szCs w:val="20"/>
        </w:rPr>
        <w:t xml:space="preserve"> of </w:t>
      </w:r>
      <w:r>
        <w:rPr>
          <w:b/>
          <w:bCs/>
          <w:color w:val="000000"/>
          <w:sz w:val="20"/>
          <w:szCs w:val="20"/>
        </w:rPr>
        <w:t xml:space="preserve">GMV in habenula </w:t>
      </w:r>
      <w:r>
        <w:rPr>
          <w:rFonts w:hint="eastAsia"/>
          <w:b/>
          <w:bCs/>
          <w:color w:val="000000"/>
          <w:sz w:val="20"/>
          <w:szCs w:val="20"/>
        </w:rPr>
        <w:t xml:space="preserve">between </w:t>
      </w:r>
      <w:r>
        <w:rPr>
          <w:b/>
          <w:bCs/>
          <w:color w:val="000000"/>
          <w:sz w:val="20"/>
          <w:szCs w:val="20"/>
        </w:rPr>
        <w:t xml:space="preserve">unmedicated and medicated </w:t>
      </w:r>
      <w:r>
        <w:rPr>
          <w:rFonts w:hint="eastAsia"/>
          <w:b/>
          <w:bCs/>
          <w:color w:val="000000"/>
          <w:sz w:val="20"/>
          <w:szCs w:val="20"/>
        </w:rPr>
        <w:t>OCD</w:t>
      </w:r>
      <w:r>
        <w:rPr>
          <w:b/>
          <w:bCs/>
          <w:color w:val="000000"/>
          <w:sz w:val="20"/>
          <w:szCs w:val="20"/>
        </w:rPr>
        <w:t xml:space="preserve">  </w:t>
      </w:r>
    </w:p>
    <w:tbl>
      <w:tblPr>
        <w:tblStyle w:val="5"/>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2090"/>
        <w:gridCol w:w="1843"/>
        <w:gridCol w:w="708"/>
        <w:gridCol w:w="127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704" w:type="dxa"/>
            <w:tcBorders>
              <w:top w:val="single" w:color="auto" w:sz="4" w:space="0"/>
              <w:bottom w:val="single" w:color="auto" w:sz="4" w:space="0"/>
            </w:tcBorders>
          </w:tcPr>
          <w:p>
            <w:pPr>
              <w:spacing w:before="0" w:after="0"/>
              <w:rPr>
                <w:rFonts w:eastAsiaTheme="minorEastAsia"/>
                <w:b/>
                <w:bCs/>
                <w:sz w:val="20"/>
                <w:szCs w:val="20"/>
                <w:lang w:eastAsia="zh-CN"/>
              </w:rPr>
            </w:pPr>
            <w:r>
              <w:rPr>
                <w:rFonts w:hint="eastAsia" w:eastAsiaTheme="minorEastAsia"/>
                <w:b/>
                <w:bCs/>
                <w:sz w:val="20"/>
                <w:szCs w:val="20"/>
                <w:lang w:eastAsia="zh-CN"/>
              </w:rPr>
              <w:t>G</w:t>
            </w:r>
            <w:r>
              <w:rPr>
                <w:rFonts w:eastAsiaTheme="minorEastAsia"/>
                <w:b/>
                <w:bCs/>
                <w:sz w:val="20"/>
                <w:szCs w:val="20"/>
                <w:lang w:eastAsia="zh-CN"/>
              </w:rPr>
              <w:t>MV</w:t>
            </w:r>
          </w:p>
        </w:tc>
        <w:tc>
          <w:tcPr>
            <w:tcW w:w="2090" w:type="dxa"/>
            <w:tcBorders>
              <w:top w:val="single" w:color="auto" w:sz="4" w:space="0"/>
              <w:bottom w:val="single" w:color="auto" w:sz="4" w:space="0"/>
            </w:tcBorders>
          </w:tcPr>
          <w:p>
            <w:pPr>
              <w:spacing w:before="0" w:after="0"/>
              <w:rPr>
                <w:rFonts w:eastAsiaTheme="minorEastAsia"/>
                <w:b/>
                <w:bCs/>
                <w:sz w:val="20"/>
                <w:szCs w:val="20"/>
                <w:lang w:eastAsia="zh-CN"/>
              </w:rPr>
            </w:pPr>
            <w:r>
              <w:rPr>
                <w:rFonts w:eastAsiaTheme="minorEastAsia"/>
                <w:b/>
                <w:bCs/>
                <w:sz w:val="20"/>
                <w:szCs w:val="20"/>
                <w:lang w:eastAsia="zh-CN"/>
              </w:rPr>
              <w:t>Unmedicated (</w:t>
            </w:r>
            <w:r>
              <w:rPr>
                <w:rFonts w:hint="eastAsia" w:eastAsiaTheme="minorEastAsia"/>
                <w:b/>
                <w:bCs/>
                <w:sz w:val="20"/>
                <w:szCs w:val="20"/>
                <w:lang w:eastAsia="zh-CN"/>
              </w:rPr>
              <w:t>n</w:t>
            </w:r>
            <w:r>
              <w:rPr>
                <w:rFonts w:eastAsiaTheme="minorEastAsia"/>
                <w:b/>
                <w:bCs/>
                <w:sz w:val="20"/>
                <w:szCs w:val="20"/>
                <w:lang w:eastAsia="zh-CN"/>
              </w:rPr>
              <w:t xml:space="preserve">=46) </w:t>
            </w:r>
          </w:p>
        </w:tc>
        <w:tc>
          <w:tcPr>
            <w:tcW w:w="1843" w:type="dxa"/>
            <w:tcBorders>
              <w:top w:val="single" w:color="auto" w:sz="4" w:space="0"/>
              <w:bottom w:val="single" w:color="auto" w:sz="4" w:space="0"/>
            </w:tcBorders>
          </w:tcPr>
          <w:p>
            <w:pPr>
              <w:spacing w:before="0" w:after="0"/>
              <w:rPr>
                <w:rFonts w:eastAsiaTheme="minorEastAsia"/>
                <w:b/>
                <w:bCs/>
                <w:sz w:val="20"/>
                <w:szCs w:val="20"/>
                <w:lang w:eastAsia="zh-CN"/>
              </w:rPr>
            </w:pPr>
            <w:r>
              <w:rPr>
                <w:rFonts w:eastAsiaTheme="minorEastAsia"/>
                <w:b/>
                <w:bCs/>
                <w:sz w:val="20"/>
                <w:szCs w:val="20"/>
                <w:lang w:eastAsia="zh-CN"/>
              </w:rPr>
              <w:t xml:space="preserve">Medicated (n=34) </w:t>
            </w:r>
          </w:p>
        </w:tc>
        <w:tc>
          <w:tcPr>
            <w:tcW w:w="708" w:type="dxa"/>
            <w:tcBorders>
              <w:top w:val="single" w:color="auto" w:sz="4" w:space="0"/>
              <w:bottom w:val="single" w:color="auto" w:sz="4" w:space="0"/>
            </w:tcBorders>
          </w:tcPr>
          <w:p>
            <w:pPr>
              <w:spacing w:before="0" w:after="0"/>
              <w:rPr>
                <w:rFonts w:eastAsiaTheme="minorEastAsia"/>
                <w:b/>
                <w:bCs/>
                <w:sz w:val="20"/>
                <w:szCs w:val="20"/>
                <w:lang w:eastAsia="zh-CN"/>
              </w:rPr>
            </w:pPr>
            <w:r>
              <w:rPr>
                <w:rFonts w:hint="eastAsia" w:eastAsiaTheme="minorEastAsia"/>
                <w:b/>
                <w:bCs/>
                <w:sz w:val="20"/>
                <w:szCs w:val="20"/>
                <w:lang w:eastAsia="zh-CN"/>
              </w:rPr>
              <w:t>F</w:t>
            </w:r>
          </w:p>
        </w:tc>
        <w:tc>
          <w:tcPr>
            <w:tcW w:w="1276" w:type="dxa"/>
            <w:tcBorders>
              <w:top w:val="single" w:color="auto" w:sz="4" w:space="0"/>
              <w:bottom w:val="single" w:color="auto" w:sz="4" w:space="0"/>
            </w:tcBorders>
          </w:tcPr>
          <w:p>
            <w:pPr>
              <w:spacing w:before="0" w:after="0"/>
              <w:rPr>
                <w:rFonts w:eastAsiaTheme="minorEastAsia"/>
                <w:b/>
                <w:bCs/>
                <w:i/>
                <w:iCs/>
                <w:sz w:val="20"/>
                <w:szCs w:val="20"/>
                <w:lang w:eastAsia="zh-CN"/>
              </w:rPr>
            </w:pPr>
            <w:r>
              <w:rPr>
                <w:rFonts w:hint="eastAsia" w:eastAsiaTheme="minorEastAsia"/>
                <w:b/>
                <w:bCs/>
                <w:i/>
                <w:iCs/>
                <w:sz w:val="20"/>
                <w:szCs w:val="20"/>
                <w:lang w:eastAsia="zh-CN"/>
              </w:rPr>
              <w:t>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704" w:type="dxa"/>
            <w:tcBorders>
              <w:top w:val="single" w:color="auto" w:sz="4" w:space="0"/>
            </w:tcBorders>
          </w:tcPr>
          <w:p>
            <w:pPr>
              <w:spacing w:before="0" w:after="0"/>
              <w:ind w:firstLine="100" w:firstLineChars="50"/>
              <w:rPr>
                <w:rFonts w:eastAsiaTheme="minorEastAsia"/>
                <w:b/>
                <w:bCs/>
                <w:sz w:val="20"/>
                <w:szCs w:val="20"/>
                <w:lang w:eastAsia="zh-CN"/>
              </w:rPr>
            </w:pPr>
            <w:r>
              <w:rPr>
                <w:rFonts w:eastAsiaTheme="minorEastAsia"/>
                <w:b/>
                <w:bCs/>
                <w:sz w:val="20"/>
                <w:szCs w:val="20"/>
                <w:lang w:eastAsia="zh-CN"/>
              </w:rPr>
              <w:t xml:space="preserve">left </w:t>
            </w:r>
            <w:r>
              <w:rPr>
                <w:rFonts w:hint="eastAsia" w:eastAsiaTheme="minorEastAsia"/>
                <w:b/>
                <w:bCs/>
                <w:sz w:val="20"/>
                <w:szCs w:val="20"/>
                <w:lang w:eastAsia="zh-CN"/>
              </w:rPr>
              <w:t>H</w:t>
            </w:r>
            <w:r>
              <w:rPr>
                <w:rFonts w:eastAsiaTheme="minorEastAsia"/>
                <w:b/>
                <w:bCs/>
                <w:sz w:val="20"/>
                <w:szCs w:val="20"/>
                <w:lang w:eastAsia="zh-CN"/>
              </w:rPr>
              <w:t>b</w:t>
            </w:r>
          </w:p>
        </w:tc>
        <w:tc>
          <w:tcPr>
            <w:tcW w:w="2090" w:type="dxa"/>
            <w:tcBorders>
              <w:top w:val="single" w:color="auto" w:sz="4" w:space="0"/>
            </w:tcBorders>
          </w:tcPr>
          <w:p>
            <w:pPr>
              <w:spacing w:before="0" w:after="0"/>
              <w:rPr>
                <w:rFonts w:eastAsiaTheme="minorEastAsia"/>
                <w:sz w:val="20"/>
                <w:szCs w:val="20"/>
                <w:lang w:eastAsia="zh-CN"/>
              </w:rPr>
            </w:pPr>
            <w:r>
              <w:rPr>
                <w:rFonts w:hint="eastAsia" w:eastAsiaTheme="minorEastAsia"/>
                <w:sz w:val="20"/>
                <w:szCs w:val="20"/>
                <w:lang w:eastAsia="zh-CN"/>
              </w:rPr>
              <w:t>3</w:t>
            </w:r>
            <w:r>
              <w:rPr>
                <w:rFonts w:eastAsiaTheme="minorEastAsia"/>
                <w:sz w:val="20"/>
                <w:szCs w:val="20"/>
                <w:lang w:eastAsia="zh-CN"/>
              </w:rPr>
              <w:t>7.76</w:t>
            </w:r>
            <w:r>
              <w:rPr>
                <w:color w:val="000000"/>
                <w:sz w:val="20"/>
                <w:szCs w:val="20"/>
              </w:rPr>
              <w:t>±17.50</w:t>
            </w:r>
          </w:p>
        </w:tc>
        <w:tc>
          <w:tcPr>
            <w:tcW w:w="1843" w:type="dxa"/>
            <w:tcBorders>
              <w:top w:val="single" w:color="auto" w:sz="4" w:space="0"/>
            </w:tcBorders>
          </w:tcPr>
          <w:p>
            <w:pPr>
              <w:spacing w:before="0" w:after="0"/>
              <w:rPr>
                <w:rFonts w:eastAsiaTheme="minorEastAsia"/>
                <w:sz w:val="20"/>
                <w:szCs w:val="20"/>
                <w:lang w:eastAsia="zh-CN"/>
              </w:rPr>
            </w:pPr>
            <w:r>
              <w:rPr>
                <w:rFonts w:hint="eastAsia" w:eastAsiaTheme="minorEastAsia"/>
                <w:sz w:val="20"/>
                <w:szCs w:val="20"/>
                <w:lang w:eastAsia="zh-CN"/>
              </w:rPr>
              <w:t>3</w:t>
            </w:r>
            <w:r>
              <w:rPr>
                <w:rFonts w:eastAsiaTheme="minorEastAsia"/>
                <w:sz w:val="20"/>
                <w:szCs w:val="20"/>
                <w:lang w:eastAsia="zh-CN"/>
              </w:rPr>
              <w:t>3.05</w:t>
            </w:r>
            <w:r>
              <w:rPr>
                <w:color w:val="000000"/>
                <w:sz w:val="20"/>
                <w:szCs w:val="20"/>
              </w:rPr>
              <w:t>±14.28</w:t>
            </w:r>
          </w:p>
        </w:tc>
        <w:tc>
          <w:tcPr>
            <w:tcW w:w="708" w:type="dxa"/>
            <w:tcBorders>
              <w:top w:val="single" w:color="auto" w:sz="4" w:space="0"/>
            </w:tcBorders>
          </w:tcPr>
          <w:p>
            <w:pPr>
              <w:spacing w:before="0" w:after="0"/>
              <w:rPr>
                <w:rFonts w:eastAsiaTheme="minorEastAsia"/>
                <w:sz w:val="20"/>
                <w:szCs w:val="20"/>
                <w:lang w:eastAsia="zh-CN"/>
              </w:rPr>
            </w:pPr>
            <w:r>
              <w:rPr>
                <w:rFonts w:hint="eastAsia" w:eastAsiaTheme="minorEastAsia"/>
                <w:sz w:val="20"/>
                <w:szCs w:val="20"/>
                <w:lang w:eastAsia="zh-CN"/>
              </w:rPr>
              <w:t>1</w:t>
            </w:r>
            <w:r>
              <w:rPr>
                <w:rFonts w:eastAsiaTheme="minorEastAsia"/>
                <w:sz w:val="20"/>
                <w:szCs w:val="20"/>
                <w:lang w:eastAsia="zh-CN"/>
              </w:rPr>
              <w:t>.55</w:t>
            </w:r>
          </w:p>
        </w:tc>
        <w:tc>
          <w:tcPr>
            <w:tcW w:w="1276" w:type="dxa"/>
            <w:tcBorders>
              <w:top w:val="single" w:color="auto" w:sz="4" w:space="0"/>
            </w:tcBorders>
          </w:tcPr>
          <w:p>
            <w:pPr>
              <w:spacing w:before="0" w:after="0"/>
              <w:rPr>
                <w:rFonts w:eastAsiaTheme="minorEastAsia"/>
                <w:sz w:val="20"/>
                <w:szCs w:val="20"/>
                <w:lang w:eastAsia="zh-CN"/>
              </w:rPr>
            </w:pPr>
            <w:r>
              <w:rPr>
                <w:rFonts w:hint="eastAsia" w:eastAsiaTheme="minorEastAsia"/>
                <w:sz w:val="20"/>
                <w:szCs w:val="20"/>
                <w:lang w:eastAsia="zh-CN"/>
              </w:rPr>
              <w:t>0</w:t>
            </w:r>
            <w:r>
              <w:rPr>
                <w:rFonts w:eastAsiaTheme="minorEastAsia"/>
                <w:sz w:val="20"/>
                <w:szCs w:val="20"/>
                <w:lang w:eastAsia="zh-CN"/>
              </w:rPr>
              <w:t>.218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704" w:type="dxa"/>
          </w:tcPr>
          <w:p>
            <w:pPr>
              <w:spacing w:before="0" w:after="0"/>
              <w:rPr>
                <w:rFonts w:eastAsiaTheme="minorEastAsia"/>
                <w:b/>
                <w:bCs/>
                <w:sz w:val="20"/>
                <w:szCs w:val="20"/>
                <w:lang w:eastAsia="zh-CN"/>
              </w:rPr>
            </w:pPr>
            <w:r>
              <w:rPr>
                <w:rFonts w:eastAsiaTheme="minorEastAsia"/>
                <w:b/>
                <w:bCs/>
                <w:sz w:val="20"/>
                <w:szCs w:val="20"/>
                <w:lang w:eastAsia="zh-CN"/>
              </w:rPr>
              <w:t>right Hb</w:t>
            </w:r>
          </w:p>
        </w:tc>
        <w:tc>
          <w:tcPr>
            <w:tcW w:w="2090" w:type="dxa"/>
          </w:tcPr>
          <w:p>
            <w:pPr>
              <w:spacing w:before="0" w:after="0"/>
              <w:rPr>
                <w:rFonts w:eastAsiaTheme="minorEastAsia"/>
                <w:sz w:val="20"/>
                <w:szCs w:val="20"/>
                <w:lang w:eastAsia="zh-CN"/>
              </w:rPr>
            </w:pPr>
            <w:r>
              <w:rPr>
                <w:rFonts w:hint="eastAsia" w:eastAsiaTheme="minorEastAsia"/>
                <w:sz w:val="20"/>
                <w:szCs w:val="20"/>
                <w:lang w:eastAsia="zh-CN"/>
              </w:rPr>
              <w:t>3</w:t>
            </w:r>
            <w:r>
              <w:rPr>
                <w:rFonts w:eastAsiaTheme="minorEastAsia"/>
                <w:sz w:val="20"/>
                <w:szCs w:val="20"/>
                <w:lang w:eastAsia="zh-CN"/>
              </w:rPr>
              <w:t>4.69</w:t>
            </w:r>
            <w:r>
              <w:rPr>
                <w:color w:val="000000"/>
                <w:sz w:val="20"/>
                <w:szCs w:val="20"/>
              </w:rPr>
              <w:t>±16.71</w:t>
            </w:r>
          </w:p>
        </w:tc>
        <w:tc>
          <w:tcPr>
            <w:tcW w:w="1843" w:type="dxa"/>
          </w:tcPr>
          <w:p>
            <w:pPr>
              <w:spacing w:before="0" w:after="0"/>
              <w:rPr>
                <w:rFonts w:eastAsiaTheme="minorEastAsia"/>
                <w:sz w:val="20"/>
                <w:szCs w:val="20"/>
                <w:lang w:eastAsia="zh-CN"/>
              </w:rPr>
            </w:pPr>
            <w:r>
              <w:rPr>
                <w:rFonts w:hint="eastAsia" w:eastAsiaTheme="minorEastAsia"/>
                <w:sz w:val="20"/>
                <w:szCs w:val="20"/>
                <w:lang w:eastAsia="zh-CN"/>
              </w:rPr>
              <w:t>3</w:t>
            </w:r>
            <w:r>
              <w:rPr>
                <w:rFonts w:eastAsiaTheme="minorEastAsia"/>
                <w:sz w:val="20"/>
                <w:szCs w:val="20"/>
                <w:lang w:eastAsia="zh-CN"/>
              </w:rPr>
              <w:t>2.83</w:t>
            </w:r>
            <w:r>
              <w:rPr>
                <w:color w:val="000000"/>
                <w:sz w:val="20"/>
                <w:szCs w:val="20"/>
              </w:rPr>
              <w:t>±17.59</w:t>
            </w:r>
          </w:p>
        </w:tc>
        <w:tc>
          <w:tcPr>
            <w:tcW w:w="708" w:type="dxa"/>
          </w:tcPr>
          <w:p>
            <w:pPr>
              <w:spacing w:before="0" w:after="0"/>
              <w:rPr>
                <w:rFonts w:eastAsiaTheme="minorEastAsia"/>
                <w:sz w:val="20"/>
                <w:szCs w:val="20"/>
                <w:lang w:eastAsia="zh-CN"/>
              </w:rPr>
            </w:pPr>
            <w:r>
              <w:rPr>
                <w:rFonts w:hint="eastAsia" w:eastAsiaTheme="minorEastAsia"/>
                <w:sz w:val="20"/>
                <w:szCs w:val="20"/>
                <w:lang w:eastAsia="zh-CN"/>
              </w:rPr>
              <w:t>0</w:t>
            </w:r>
            <w:r>
              <w:rPr>
                <w:rFonts w:eastAsiaTheme="minorEastAsia"/>
                <w:sz w:val="20"/>
                <w:szCs w:val="20"/>
                <w:lang w:eastAsia="zh-CN"/>
              </w:rPr>
              <w:t>.36</w:t>
            </w:r>
          </w:p>
        </w:tc>
        <w:tc>
          <w:tcPr>
            <w:tcW w:w="1276" w:type="dxa"/>
          </w:tcPr>
          <w:p>
            <w:pPr>
              <w:spacing w:before="0" w:after="0"/>
              <w:rPr>
                <w:rFonts w:eastAsiaTheme="minorEastAsia"/>
                <w:sz w:val="20"/>
                <w:szCs w:val="20"/>
                <w:lang w:eastAsia="zh-CN"/>
              </w:rPr>
            </w:pPr>
            <w:r>
              <w:rPr>
                <w:rFonts w:hint="eastAsia" w:eastAsiaTheme="minorEastAsia"/>
                <w:sz w:val="20"/>
                <w:szCs w:val="20"/>
                <w:lang w:eastAsia="zh-CN"/>
              </w:rPr>
              <w:t>0</w:t>
            </w:r>
            <w:r>
              <w:rPr>
                <w:rFonts w:eastAsiaTheme="minorEastAsia"/>
                <w:sz w:val="20"/>
                <w:szCs w:val="20"/>
                <w:lang w:eastAsia="zh-CN"/>
              </w:rPr>
              <w:t>.548</w:t>
            </w:r>
          </w:p>
        </w:tc>
      </w:tr>
    </w:tbl>
    <w:p>
      <w:pPr>
        <w:spacing w:before="0" w:after="0"/>
        <w:ind w:firstLine="402" w:firstLineChars="200"/>
        <w:rPr>
          <w:rFonts w:eastAsia="宋体"/>
          <w:sz w:val="20"/>
          <w:szCs w:val="20"/>
          <w:lang w:eastAsia="zh-CN"/>
        </w:rPr>
      </w:pPr>
      <w:r>
        <w:rPr>
          <w:rFonts w:hint="eastAsia" w:eastAsia="宋体"/>
          <w:b/>
          <w:bCs/>
          <w:i/>
          <w:iCs/>
          <w:sz w:val="20"/>
          <w:szCs w:val="20"/>
          <w:lang w:eastAsia="zh-CN"/>
        </w:rPr>
        <w:t>Notes.</w:t>
      </w:r>
      <w:r>
        <w:rPr>
          <w:rFonts w:hint="eastAsia" w:eastAsia="宋体"/>
          <w:i/>
          <w:iCs/>
          <w:sz w:val="20"/>
          <w:szCs w:val="20"/>
          <w:lang w:eastAsia="zh-CN"/>
        </w:rPr>
        <w:t xml:space="preserve"> </w:t>
      </w:r>
      <w:r>
        <w:rPr>
          <w:rFonts w:hint="eastAsia" w:eastAsia="宋体"/>
          <w:sz w:val="20"/>
          <w:szCs w:val="20"/>
          <w:lang w:eastAsia="zh-CN"/>
        </w:rPr>
        <w:t>GMV,</w:t>
      </w:r>
      <w:r>
        <w:rPr>
          <w:rFonts w:eastAsia="宋体"/>
          <w:sz w:val="20"/>
          <w:szCs w:val="20"/>
          <w:lang w:eastAsia="zh-CN"/>
        </w:rPr>
        <w:t xml:space="preserve"> </w:t>
      </w:r>
      <w:r>
        <w:rPr>
          <w:rFonts w:hint="eastAsia" w:eastAsia="宋体"/>
          <w:sz w:val="20"/>
          <w:szCs w:val="20"/>
          <w:lang w:eastAsia="zh-CN"/>
        </w:rPr>
        <w:t>gray matter volume.</w:t>
      </w:r>
    </w:p>
    <w:p>
      <w:pPr>
        <w:spacing w:before="0" w:after="0"/>
        <w:ind w:firstLine="400" w:firstLineChars="200"/>
        <w:rPr>
          <w:rFonts w:eastAsia="宋体"/>
          <w:sz w:val="20"/>
          <w:szCs w:val="20"/>
          <w:lang w:eastAsia="zh-CN"/>
        </w:rPr>
      </w:pPr>
    </w:p>
    <w:p>
      <w:pPr>
        <w:spacing w:before="0" w:after="0"/>
        <w:rPr>
          <w:rFonts w:eastAsia="宋体"/>
          <w:sz w:val="20"/>
          <w:szCs w:val="20"/>
          <w:lang w:eastAsia="zh-CN"/>
        </w:rPr>
      </w:pPr>
    </w:p>
    <w:p>
      <w:pPr>
        <w:spacing w:before="0" w:after="0"/>
        <w:ind w:firstLine="400" w:firstLineChars="200"/>
        <w:rPr>
          <w:rFonts w:eastAsia="宋体"/>
          <w:sz w:val="20"/>
          <w:szCs w:val="20"/>
          <w:lang w:eastAsia="zh-CN"/>
        </w:rPr>
      </w:pPr>
    </w:p>
    <w:p>
      <w:pPr>
        <w:spacing w:before="0" w:after="0"/>
        <w:ind w:firstLine="402" w:firstLineChars="200"/>
        <w:jc w:val="center"/>
        <w:rPr>
          <w:rFonts w:eastAsia="宋体"/>
          <w:b/>
          <w:bCs/>
          <w:sz w:val="20"/>
          <w:szCs w:val="20"/>
          <w:lang w:eastAsia="zh-CN"/>
        </w:rPr>
      </w:pPr>
      <w:r>
        <w:rPr>
          <w:rFonts w:eastAsia="宋体"/>
          <w:b/>
          <w:bCs/>
          <w:sz w:val="20"/>
          <w:szCs w:val="20"/>
          <w:lang w:eastAsia="zh-CN"/>
        </w:rPr>
        <w:t>Replication analysis</w:t>
      </w:r>
    </w:p>
    <w:p>
      <w:pPr>
        <w:widowControl w:val="0"/>
        <w:spacing w:before="0" w:after="0" w:line="480" w:lineRule="auto"/>
        <w:jc w:val="both"/>
        <w:rPr>
          <w:rFonts w:eastAsia="宋体"/>
          <w:b/>
          <w:bCs/>
          <w:i/>
          <w:iCs/>
          <w:kern w:val="2"/>
          <w:sz w:val="20"/>
          <w:szCs w:val="20"/>
          <w:lang w:eastAsia="zh-CN"/>
        </w:rPr>
      </w:pPr>
      <w:r>
        <w:rPr>
          <w:rFonts w:hint="eastAsia" w:eastAsia="宋体"/>
          <w:b/>
          <w:bCs/>
          <w:i/>
          <w:iCs/>
          <w:kern w:val="2"/>
          <w:sz w:val="20"/>
          <w:szCs w:val="20"/>
          <w:lang w:eastAsia="zh-CN"/>
        </w:rPr>
        <w:t>P</w:t>
      </w:r>
      <w:r>
        <w:rPr>
          <w:rFonts w:eastAsia="宋体"/>
          <w:b/>
          <w:bCs/>
          <w:i/>
          <w:iCs/>
          <w:kern w:val="2"/>
          <w:sz w:val="20"/>
          <w:szCs w:val="20"/>
          <w:lang w:eastAsia="zh-CN"/>
        </w:rPr>
        <w:t>articipants of replication dataset</w:t>
      </w:r>
    </w:p>
    <w:p>
      <w:pPr>
        <w:widowControl w:val="0"/>
        <w:spacing w:before="0" w:after="0" w:line="480" w:lineRule="auto"/>
        <w:ind w:firstLine="400" w:firstLineChars="200"/>
        <w:jc w:val="both"/>
        <w:rPr>
          <w:rFonts w:eastAsia="宋体"/>
          <w:kern w:val="2"/>
          <w:sz w:val="20"/>
          <w:szCs w:val="20"/>
          <w:lang w:eastAsia="zh-CN"/>
        </w:rPr>
      </w:pPr>
      <w:r>
        <w:rPr>
          <w:rFonts w:eastAsia="宋体"/>
          <w:kern w:val="2"/>
          <w:sz w:val="20"/>
          <w:szCs w:val="20"/>
          <w:lang w:eastAsia="zh-CN"/>
        </w:rPr>
        <w:t xml:space="preserve">The MRI data of </w:t>
      </w:r>
      <w:r>
        <w:rPr>
          <w:rFonts w:hint="eastAsia" w:eastAsia="宋体"/>
          <w:kern w:val="2"/>
          <w:sz w:val="20"/>
          <w:szCs w:val="20"/>
          <w:lang w:eastAsia="zh-CN"/>
        </w:rPr>
        <w:t>repli</w:t>
      </w:r>
      <w:r>
        <w:rPr>
          <w:rFonts w:eastAsia="宋体"/>
          <w:kern w:val="2"/>
          <w:sz w:val="20"/>
          <w:szCs w:val="20"/>
          <w:lang w:eastAsia="zh-CN"/>
        </w:rPr>
        <w:t xml:space="preserve">cation dataset were obtained from the cooperative research group in the South China Normal University. Thirty-eight OCD patients were recruited from outpatient clinics affiliated with the Second Xiangya Hospital of Central South University in Changsha, Hunan, China. All patients fulfilled </w:t>
      </w:r>
      <w:r>
        <w:rPr>
          <w:rFonts w:hint="eastAsia" w:eastAsia="宋体"/>
          <w:kern w:val="2"/>
          <w:sz w:val="20"/>
          <w:szCs w:val="20"/>
          <w:lang w:eastAsia="zh-CN"/>
        </w:rPr>
        <w:t>met</w:t>
      </w:r>
      <w:r>
        <w:rPr>
          <w:rFonts w:eastAsia="宋体"/>
          <w:kern w:val="2"/>
          <w:sz w:val="20"/>
          <w:szCs w:val="20"/>
          <w:lang w:eastAsia="zh-CN"/>
        </w:rPr>
        <w:t xml:space="preserve"> DSM-V criteria for OCD and were diagnosed by two experienced psychiatris</w:t>
      </w:r>
      <w:r>
        <w:rPr>
          <w:rFonts w:hint="eastAsia" w:eastAsia="宋体"/>
          <w:kern w:val="2"/>
          <w:sz w:val="20"/>
          <w:szCs w:val="20"/>
          <w:lang w:eastAsia="zh-CN"/>
        </w:rPr>
        <w:t xml:space="preserve">ts using the Structured Clinical Interview for DSM-IV. </w:t>
      </w:r>
      <w:r>
        <w:rPr>
          <w:rFonts w:eastAsia="宋体"/>
          <w:kern w:val="2"/>
          <w:sz w:val="20"/>
          <w:szCs w:val="20"/>
          <w:lang w:eastAsia="zh-CN"/>
        </w:rPr>
        <w:t>The inclusion criteria for the OCD group were (1) no other psychiatric diagnoses meeting the DSM-V criteria</w:t>
      </w:r>
      <w:r>
        <w:rPr>
          <w:rFonts w:hint="eastAsia" w:eastAsia="宋体"/>
          <w:kern w:val="2"/>
          <w:sz w:val="20"/>
          <w:szCs w:val="20"/>
          <w:lang w:eastAsia="zh-CN"/>
        </w:rPr>
        <w:t xml:space="preserve"> </w:t>
      </w:r>
      <w:r>
        <w:rPr>
          <w:rFonts w:eastAsia="宋体"/>
          <w:kern w:val="2"/>
          <w:sz w:val="20"/>
          <w:szCs w:val="20"/>
          <w:lang w:eastAsia="zh-CN"/>
        </w:rPr>
        <w:t>except for OCD; (2) aged 16-35 years old; (3) right-handed; (4) having at least nine years of education. Thirty-</w:t>
      </w:r>
      <w:r>
        <w:rPr>
          <w:rFonts w:hint="eastAsia" w:eastAsia="宋体"/>
          <w:kern w:val="2"/>
          <w:sz w:val="20"/>
          <w:szCs w:val="20"/>
          <w:lang w:val="en-US" w:eastAsia="zh-CN"/>
        </w:rPr>
        <w:t>four</w:t>
      </w:r>
      <w:bookmarkStart w:id="11" w:name="_GoBack"/>
      <w:bookmarkEnd w:id="11"/>
      <w:r>
        <w:rPr>
          <w:rFonts w:eastAsia="宋体"/>
          <w:kern w:val="2"/>
          <w:sz w:val="20"/>
          <w:szCs w:val="20"/>
          <w:lang w:eastAsia="zh-CN"/>
        </w:rPr>
        <w:t xml:space="preserve"> healthy co</w:t>
      </w:r>
      <w:r>
        <w:rPr>
          <w:rFonts w:hint="eastAsia" w:eastAsia="宋体"/>
          <w:kern w:val="2"/>
          <w:sz w:val="20"/>
          <w:szCs w:val="20"/>
          <w:lang w:eastAsia="zh-CN"/>
        </w:rPr>
        <w:t>ntrols</w:t>
      </w:r>
      <w:r>
        <w:rPr>
          <w:rFonts w:eastAsia="宋体"/>
          <w:kern w:val="2"/>
          <w:sz w:val="20"/>
          <w:szCs w:val="20"/>
          <w:lang w:eastAsia="zh-CN"/>
        </w:rPr>
        <w:t xml:space="preserve"> (HCs)</w:t>
      </w:r>
      <w:r>
        <w:rPr>
          <w:rFonts w:hint="eastAsia" w:eastAsia="宋体"/>
          <w:kern w:val="2"/>
          <w:sz w:val="20"/>
          <w:szCs w:val="20"/>
          <w:lang w:eastAsia="zh-CN"/>
        </w:rPr>
        <w:t xml:space="preserve"> were also recruited from community matched for age, gender, and years of education. </w:t>
      </w:r>
      <w:r>
        <w:rPr>
          <w:rFonts w:eastAsia="宋体"/>
          <w:kern w:val="2"/>
          <w:sz w:val="20"/>
          <w:szCs w:val="20"/>
          <w:lang w:eastAsia="zh-CN"/>
        </w:rPr>
        <w:t>The inclusion criteria for HCs were (1) having no current or history of any psychiatric disorders; (2) aged 16-35 years old; (3) right-handed; (4) having at least nine years of education. Participants were excluded if they had: (1) a history of major medical or neurological problems (e.g., hypothyroidism, seizure disorder, or brain injury); (2) MRI contraindication; (3) being pregnant, lactating, or preparing for pregnancy; (4) inability to cooperate with the MRI procedure. One healthy control was excluded from the analyses due to excessive head motion in any</w:t>
      </w:r>
      <w:r>
        <w:rPr>
          <w:rFonts w:hint="eastAsia" w:eastAsia="宋体"/>
          <w:kern w:val="2"/>
          <w:sz w:val="20"/>
          <w:szCs w:val="20"/>
          <w:lang w:eastAsia="zh-CN"/>
        </w:rPr>
        <w:t xml:space="preserve"> </w:t>
      </w:r>
      <w:r>
        <w:rPr>
          <w:rFonts w:eastAsia="宋体"/>
          <w:kern w:val="2"/>
          <w:sz w:val="20"/>
          <w:szCs w:val="20"/>
          <w:lang w:eastAsia="zh-CN"/>
        </w:rPr>
        <w:t>direction more than 3.0 mm or/and 3.0</w:t>
      </w:r>
      <w:r>
        <w:rPr>
          <w:rFonts w:eastAsia="宋体"/>
          <w:kern w:val="2"/>
          <w:sz w:val="20"/>
          <w:szCs w:val="20"/>
          <w:vertAlign w:val="superscript"/>
          <w:lang w:eastAsia="zh-CN"/>
        </w:rPr>
        <w:t>。</w:t>
      </w:r>
      <w:r>
        <w:rPr>
          <w:rFonts w:hint="eastAsia" w:eastAsia="宋体"/>
          <w:kern w:val="2"/>
          <w:sz w:val="20"/>
          <w:szCs w:val="20"/>
          <w:lang w:eastAsia="zh-CN"/>
        </w:rPr>
        <w:t>.</w:t>
      </w:r>
      <w:r>
        <w:rPr>
          <w:rFonts w:eastAsia="宋体"/>
          <w:kern w:val="2"/>
          <w:sz w:val="20"/>
          <w:szCs w:val="20"/>
          <w:lang w:eastAsia="zh-CN"/>
        </w:rPr>
        <w:t xml:space="preserve"> </w:t>
      </w:r>
    </w:p>
    <w:p>
      <w:pPr>
        <w:widowControl w:val="0"/>
        <w:spacing w:before="0" w:after="0" w:line="480" w:lineRule="auto"/>
        <w:jc w:val="both"/>
        <w:rPr>
          <w:rFonts w:eastAsia="宋体"/>
          <w:b/>
          <w:bCs/>
          <w:i/>
          <w:iCs/>
          <w:kern w:val="2"/>
          <w:sz w:val="20"/>
          <w:szCs w:val="20"/>
          <w:lang w:eastAsia="zh-CN"/>
        </w:rPr>
      </w:pPr>
      <w:r>
        <w:rPr>
          <w:rFonts w:hint="eastAsia" w:eastAsia="宋体"/>
          <w:b/>
          <w:bCs/>
          <w:i/>
          <w:iCs/>
          <w:kern w:val="2"/>
          <w:sz w:val="20"/>
          <w:szCs w:val="20"/>
          <w:lang w:eastAsia="zh-CN"/>
        </w:rPr>
        <w:t>M</w:t>
      </w:r>
      <w:r>
        <w:rPr>
          <w:rFonts w:eastAsia="宋体"/>
          <w:b/>
          <w:bCs/>
          <w:i/>
          <w:iCs/>
          <w:kern w:val="2"/>
          <w:sz w:val="20"/>
          <w:szCs w:val="20"/>
          <w:lang w:eastAsia="zh-CN"/>
        </w:rPr>
        <w:t>easurements of replication dataset</w:t>
      </w:r>
    </w:p>
    <w:p>
      <w:pPr>
        <w:widowControl w:val="0"/>
        <w:spacing w:before="0" w:after="0" w:line="480" w:lineRule="auto"/>
        <w:ind w:firstLine="400" w:firstLineChars="200"/>
        <w:jc w:val="both"/>
        <w:rPr>
          <w:rFonts w:eastAsia="宋体"/>
          <w:kern w:val="2"/>
          <w:sz w:val="20"/>
          <w:szCs w:val="20"/>
          <w:lang w:eastAsia="zh-CN"/>
        </w:rPr>
      </w:pPr>
      <w:r>
        <w:rPr>
          <w:rFonts w:eastAsia="宋体"/>
          <w:bCs/>
          <w:i/>
          <w:sz w:val="20"/>
          <w:szCs w:val="20"/>
          <w:lang w:eastAsia="zh-CN"/>
        </w:rPr>
        <w:t>T</w:t>
      </w:r>
      <w:r>
        <w:rPr>
          <w:rFonts w:hint="eastAsia" w:eastAsia="宋体"/>
          <w:bCs/>
          <w:i/>
          <w:sz w:val="20"/>
          <w:szCs w:val="20"/>
          <w:lang w:eastAsia="zh-CN"/>
        </w:rPr>
        <w:t>he Center for Epidemiologic Studies Depression Scale (CES-D)</w:t>
      </w:r>
      <w:r>
        <w:rPr>
          <w:rFonts w:eastAsia="宋体"/>
          <w:bCs/>
          <w:iCs/>
          <w:sz w:val="20"/>
          <w:szCs w:val="20"/>
          <w:lang w:eastAsia="zh-CN"/>
        </w:rPr>
        <w:t xml:space="preserve"> assessed the depression level </w:t>
      </w:r>
      <w:r>
        <w:rPr>
          <w:rFonts w:eastAsia="宋体"/>
          <w:bCs/>
          <w:iCs/>
          <w:sz w:val="20"/>
          <w:szCs w:val="20"/>
          <w:lang w:eastAsia="zh-CN"/>
        </w:rPr>
        <w:fldChar w:fldCharType="begin" w:fldLock="1"/>
      </w:r>
      <w:r>
        <w:rPr>
          <w:rFonts w:eastAsia="宋体"/>
          <w:bCs/>
          <w:iCs/>
          <w:sz w:val="20"/>
          <w:szCs w:val="20"/>
          <w:lang w:eastAsia="zh-CN"/>
        </w:rPr>
        <w:instrText xml:space="preserve">ADDIN CSL_CITATION {"citationItems":[{"id":"ITEM-1","itemData":{"DOI":"10.1016/j.psychres.2021.114037","ISSN":"18727123","PMID":"34098160","abstract":"This study analyzes the performance of the Center for Epidemiologic Studies Depression Scale (CES-D) to screen for major depressive disorder (MDD) in adults. We divided adults into three groups such as community-indwelling adults, patients with chronic diseases, and psychiatric patients. Electronic searches were performed on the MEDLINE, EMBASE, CINAHL, and PsycINFO database using the following keywords: depression, depressive disorder, major, and CES-D scale. The Quality Assessment of Diagnostic Accuracy Studies-2 was applied to assess the risk of bias in diagnostic studies. We reviewed 33 studies, including 18,271 adults that met the selection criteria. In meta-analysis, the pooled sensitivity was 0.86 on community-indwelling adults, 0.85 on patients with chronic diseases and 0.85 on psychiatric patients. The pooled specificity was 0.74, 0.84, and 0.88, respectively, and the summary receiver-operating characteristic curves were 0.88, 0.91, and 0.93, respectively. The RE correlation was a negative value (-0.394) only in patients with chronic diseases, showing no heterogeneity between studies. The CES-D, which has shown high diagnostic accuracy in adults, can be recommended for use as a first-stage screener for MDD. As a result, the early application of the CES-D can lead to disease prevention in adults at risk for depression.","author":[{"dropping-particle":"","family":"Park","given":"Seong Hi","non-dropping-particle":"","parse-names":false,"suffix":""},{"dropping-particle":"","family":"Yu","given":"Hye Yon","non-dropping-particle":"","parse-names":false,"suffix":""}],"container-title":"Psychiatry Research","id":"ITEM-1","issued":{"date-parts":[["2021"]]},"page":"114037","title":"How useful is the center for epidemiologic studies depression scale in screening for depression in adults? An updated systematic review and meta-analysis</w:instrText>
      </w:r>
      <w:r>
        <w:rPr>
          <w:rFonts w:hint="eastAsia" w:ascii="MS Mincho" w:hAnsi="MS Mincho" w:eastAsia="MS Mincho" w:cs="MS Mincho"/>
          <w:bCs/>
          <w:iCs/>
          <w:sz w:val="20"/>
          <w:szCs w:val="20"/>
          <w:lang w:eastAsia="zh-CN"/>
        </w:rPr>
        <w:instrText xml:space="preserve">✰</w:instrText>
      </w:r>
      <w:r>
        <w:rPr>
          <w:rFonts w:eastAsia="宋体"/>
          <w:bCs/>
          <w:iCs/>
          <w:sz w:val="20"/>
          <w:szCs w:val="20"/>
          <w:lang w:eastAsia="zh-CN"/>
        </w:rPr>
        <w:instrText xml:space="preserve">","type":"article-journal","volume":"302"},"uris":["http://www.mendeley.com/documents/?uuid=47ed543a-9ff7-4900-91cc-f38bbe85bb93"]}],"mendeley":{"formattedCitation":"(Park &amp; Yu, 2021)","plainTextFormattedCitation":"(Park &amp; Yu, 2021)","previouslyFormattedCitation":"(Park &amp; Yu, 2021)"},"properties":{"noteIndex":0},"schema":"https://github.com/citation-style-language/schema/raw/master/csl-citation.json"}</w:instrText>
      </w:r>
      <w:r>
        <w:rPr>
          <w:rFonts w:eastAsia="宋体"/>
          <w:bCs/>
          <w:iCs/>
          <w:sz w:val="20"/>
          <w:szCs w:val="20"/>
          <w:lang w:eastAsia="zh-CN"/>
        </w:rPr>
        <w:fldChar w:fldCharType="separate"/>
      </w:r>
      <w:r>
        <w:rPr>
          <w:rFonts w:eastAsia="宋体"/>
          <w:bCs/>
          <w:iCs/>
          <w:sz w:val="20"/>
          <w:szCs w:val="20"/>
          <w:lang w:eastAsia="zh-CN"/>
        </w:rPr>
        <w:t>(Park &amp; Yu, 2021)</w:t>
      </w:r>
      <w:r>
        <w:rPr>
          <w:rFonts w:eastAsia="宋体"/>
          <w:bCs/>
          <w:iCs/>
          <w:sz w:val="20"/>
          <w:szCs w:val="20"/>
          <w:lang w:eastAsia="zh-CN"/>
        </w:rPr>
        <w:fldChar w:fldCharType="end"/>
      </w:r>
      <w:r>
        <w:rPr>
          <w:rFonts w:eastAsia="宋体"/>
          <w:bCs/>
          <w:iCs/>
          <w:sz w:val="20"/>
          <w:szCs w:val="20"/>
          <w:lang w:eastAsia="zh-CN"/>
        </w:rPr>
        <w:t xml:space="preserve">, and </w:t>
      </w:r>
      <w:r>
        <w:rPr>
          <w:rFonts w:hint="eastAsia" w:eastAsia="宋体"/>
          <w:bCs/>
          <w:i/>
          <w:sz w:val="20"/>
          <w:szCs w:val="20"/>
          <w:lang w:eastAsia="zh-CN"/>
        </w:rPr>
        <w:t>The State Anxiety Inventory</w:t>
      </w:r>
      <w:r>
        <w:rPr>
          <w:rFonts w:eastAsia="宋体"/>
          <w:bCs/>
          <w:i/>
          <w:sz w:val="20"/>
          <w:szCs w:val="20"/>
          <w:lang w:eastAsia="zh-CN"/>
        </w:rPr>
        <w:t xml:space="preserve"> </w:t>
      </w:r>
      <w:r>
        <w:rPr>
          <w:rFonts w:hint="eastAsia" w:eastAsia="宋体"/>
          <w:bCs/>
          <w:i/>
          <w:sz w:val="20"/>
          <w:szCs w:val="20"/>
          <w:lang w:eastAsia="zh-CN"/>
        </w:rPr>
        <w:t>(SAI)</w:t>
      </w:r>
      <w:r>
        <w:rPr>
          <w:rFonts w:hint="eastAsia" w:eastAsia="宋体"/>
          <w:bCs/>
          <w:iCs/>
          <w:sz w:val="20"/>
          <w:szCs w:val="20"/>
          <w:lang w:eastAsia="zh-CN"/>
        </w:rPr>
        <w:t xml:space="preserve"> assess</w:t>
      </w:r>
      <w:r>
        <w:rPr>
          <w:rFonts w:eastAsia="宋体"/>
          <w:bCs/>
          <w:iCs/>
          <w:sz w:val="20"/>
          <w:szCs w:val="20"/>
          <w:lang w:eastAsia="zh-CN"/>
        </w:rPr>
        <w:t xml:space="preserve">ed the </w:t>
      </w:r>
      <w:r>
        <w:rPr>
          <w:rFonts w:hint="eastAsia" w:eastAsia="宋体"/>
          <w:bCs/>
          <w:iCs/>
          <w:sz w:val="20"/>
          <w:szCs w:val="20"/>
          <w:lang w:eastAsia="zh-CN"/>
        </w:rPr>
        <w:t xml:space="preserve">anxiety </w:t>
      </w:r>
      <w:r>
        <w:rPr>
          <w:rFonts w:eastAsia="宋体"/>
          <w:bCs/>
          <w:iCs/>
          <w:sz w:val="20"/>
          <w:szCs w:val="20"/>
          <w:lang w:eastAsia="zh-CN"/>
        </w:rPr>
        <w:t xml:space="preserve">level of all participants </w:t>
      </w:r>
      <w:r>
        <w:rPr>
          <w:rFonts w:eastAsia="宋体"/>
          <w:bCs/>
          <w:iCs/>
          <w:sz w:val="20"/>
          <w:szCs w:val="20"/>
          <w:lang w:eastAsia="zh-CN"/>
        </w:rPr>
        <w:fldChar w:fldCharType="begin" w:fldLock="1"/>
      </w:r>
      <w:r>
        <w:rPr>
          <w:rFonts w:eastAsia="宋体"/>
          <w:bCs/>
          <w:iCs/>
          <w:sz w:val="20"/>
          <w:szCs w:val="20"/>
          <w:lang w:eastAsia="zh-CN"/>
        </w:rPr>
        <w:instrText xml:space="preserve">ADDIN CSL_CITATION {"citationItems":[{"id":"ITEM-1","itemData":{"PMID":"1661","abstract":"The Statt-Trait Anxiety Inventory (STAI) is comprised of separate self-report scales for measuring two distinct anxiety concepts: state anxiety (A-State) and trait anxiety (A-Trait). Although originally developed as a research instrument for investigating anxiety phenomena in \"normal\" (non-psychiatrically disturbed) adults, the STAI has also been found to be useful in the measurement of anxiety in junior and senior high school students, and neuropsychiatric, medical, and surgical patients.","author":[{"dropping-particle":"","family":"Spielberger","given":"C.D.","non-dropping-particle":"","parse-names":false,"suffix":""},{"dropping-particle":"","family":"Gorsuch","given":"R.L.","non-dropping-particle":"","parse-names":false,"suffix":""},{"dropping-particle":"","family":"Lushene","given":"R.E.","non-dropping-particle":"","parse-names":false,"suffix":""}],"id":"ITEM-1","issued":{"date-parts":[["1970"]]},"title":"Manual for the state-trait anxiety inventory.","type":"book"},"uris":["http://www.mendeley.com/documents/?uuid=fc428d5d-338f-4328-af2c-55da60a26096"]},{"id":"ITEM-2","itemData":{"DOI":"10.1016/j.cpr.2020.101928","ISSN":"18737811","PMID":"33091745","abstract":"The State-Trait Anxiety Inventory – Trait version (STAI-T) was developed to measure an individual's tendency to experience anxiety, but it may lack discriminant evidence of validity based on strong observed relationships with measures of depression. The present series of meta-analyses compares STAI-T scores among individuals with depressive disorders, anxiety disorders, and nonclinical comparison groups, as well as correlations with measures of anxiety and depressive symptom severity, in order to further examine discriminant and convergent validity. A total of 388 published studies (N = 31,021) were included in the analyses. Individuals with an anxiety disorder and those with a depressive disorder displayed significantly elevated scores on the STAI-T compared to nonclinical comparison groups. Furthermore, anxiety and depressive symptom severity were similarly strongly correlated with the STAI-T (mean r =.59 –.61). However, individuals with a depressive disorder had significantly higher STAI-T scores than individuals with an anxiety disorder (Hedges's g = 0.27). Given these findings, along with previous factor analyses that have observed a depression factor on the STAI-T, describing the scale as a measure of ‘trait anxiety’ may be a misnomer. It is proposed that the STAI-T be considered a non-specific measure of negative affectivity rather than trait anxiety per se.","author":[{"dropping-particle":"","family":"Knowles","given":"Kelly A.","non-dropping-particle":"","parse-names":false,"suffix":""},{"dropping-particle":"","family":"Olatunji","given":"Bunmi O.","non-dropping-particle":"","parse-names":false,"suffix":""}],"container-title":"Clinical Psychology Review","id":"ITEM-2","issued":{"date-parts":[["2020"]]},"page":"101928","title":"Specificity of trait anxiety in anxiety and depression: Meta-analysis of the State-Trait Anxiety Inventory","type":"article-journal","volume":"82"},"uris":["http://www.mendeley.com/documents/?uuid=66b1498e-6c2d-4638-ac22-f3cbf87cc41a"]}],"mendeley":{"formattedCitation":"(Knowles &amp; Olatunji, 2020; Spielberger et al., 1970)","plainTextFormattedCitation":"(Knowles &amp; Olatunji, 2020; Spielberger et al., 1970)","previouslyFormattedCitation":"(Knowles &amp; Olatunji, 2020; Spielberger et al., 1970)"},"properties":{"noteIndex":0},"schema":"https://github.com/citation-style-language/schema/raw/master/csl-citation.json"}</w:instrText>
      </w:r>
      <w:r>
        <w:rPr>
          <w:rFonts w:eastAsia="宋体"/>
          <w:bCs/>
          <w:iCs/>
          <w:sz w:val="20"/>
          <w:szCs w:val="20"/>
          <w:lang w:eastAsia="zh-CN"/>
        </w:rPr>
        <w:fldChar w:fldCharType="separate"/>
      </w:r>
      <w:r>
        <w:rPr>
          <w:rFonts w:eastAsia="宋体"/>
          <w:bCs/>
          <w:iCs/>
          <w:sz w:val="20"/>
          <w:szCs w:val="20"/>
          <w:lang w:eastAsia="zh-CN"/>
        </w:rPr>
        <w:t>(Knowles &amp; Olatunji, 2020; Spielberger et al., 1970)</w:t>
      </w:r>
      <w:r>
        <w:rPr>
          <w:rFonts w:eastAsia="宋体"/>
          <w:bCs/>
          <w:iCs/>
          <w:sz w:val="20"/>
          <w:szCs w:val="20"/>
          <w:lang w:eastAsia="zh-CN"/>
        </w:rPr>
        <w:fldChar w:fldCharType="end"/>
      </w:r>
      <w:r>
        <w:rPr>
          <w:rFonts w:eastAsia="宋体"/>
          <w:bCs/>
          <w:iCs/>
          <w:sz w:val="20"/>
          <w:szCs w:val="20"/>
          <w:lang w:eastAsia="zh-CN"/>
        </w:rPr>
        <w:t xml:space="preserve">. </w:t>
      </w:r>
      <w:r>
        <w:rPr>
          <w:rFonts w:hint="eastAsia" w:eastAsia="宋体"/>
          <w:bCs/>
          <w:i/>
          <w:sz w:val="20"/>
          <w:szCs w:val="20"/>
          <w:lang w:eastAsia="zh-CN"/>
        </w:rPr>
        <w:t>The</w:t>
      </w:r>
      <w:r>
        <w:rPr>
          <w:rFonts w:eastAsia="宋体"/>
          <w:bCs/>
          <w:i/>
          <w:sz w:val="20"/>
          <w:szCs w:val="20"/>
          <w:lang w:eastAsia="zh-CN"/>
        </w:rPr>
        <w:t xml:space="preserve"> </w:t>
      </w:r>
      <w:r>
        <w:rPr>
          <w:bCs/>
          <w:i/>
          <w:sz w:val="20"/>
          <w:szCs w:val="20"/>
        </w:rPr>
        <w:t>Yale–Brown Obsessive–Compulsive Scale (Y-BOCS)</w:t>
      </w:r>
      <w:r>
        <w:rPr>
          <w:rFonts w:hint="eastAsia" w:eastAsia="等线"/>
          <w:sz w:val="20"/>
          <w:szCs w:val="20"/>
        </w:rPr>
        <w:t xml:space="preserve"> </w:t>
      </w:r>
      <w:r>
        <w:rPr>
          <w:sz w:val="20"/>
          <w:szCs w:val="20"/>
        </w:rPr>
        <w:t>assess</w:t>
      </w:r>
      <w:r>
        <w:rPr>
          <w:rFonts w:eastAsia="等线"/>
          <w:sz w:val="20"/>
          <w:szCs w:val="20"/>
        </w:rPr>
        <w:t>ed</w:t>
      </w:r>
      <w:r>
        <w:rPr>
          <w:sz w:val="20"/>
          <w:szCs w:val="20"/>
        </w:rPr>
        <w:t xml:space="preserve"> the severity of obsessive-compulsive symptoms of patients with OCD </w:t>
      </w:r>
      <w:r>
        <w:rPr>
          <w:rFonts w:eastAsia="宋体"/>
          <w:kern w:val="2"/>
          <w:sz w:val="20"/>
          <w:szCs w:val="20"/>
          <w:lang w:eastAsia="zh-CN"/>
        </w:rPr>
        <w:t xml:space="preserve">(Cohen, 1988; Lee et al., 2018). </w:t>
      </w:r>
    </w:p>
    <w:p>
      <w:pPr>
        <w:widowControl w:val="0"/>
        <w:spacing w:before="0" w:after="0" w:line="480" w:lineRule="auto"/>
        <w:jc w:val="both"/>
        <w:rPr>
          <w:rFonts w:eastAsia="宋体"/>
          <w:b/>
          <w:bCs/>
          <w:i/>
          <w:iCs/>
          <w:kern w:val="2"/>
          <w:sz w:val="20"/>
          <w:szCs w:val="20"/>
          <w:lang w:eastAsia="zh-CN"/>
        </w:rPr>
      </w:pPr>
      <w:r>
        <w:rPr>
          <w:rFonts w:hint="eastAsia" w:eastAsia="宋体"/>
          <w:b/>
          <w:bCs/>
          <w:i/>
          <w:iCs/>
          <w:kern w:val="2"/>
          <w:sz w:val="20"/>
          <w:szCs w:val="20"/>
          <w:lang w:eastAsia="zh-CN"/>
        </w:rPr>
        <w:t>M</w:t>
      </w:r>
      <w:r>
        <w:rPr>
          <w:rFonts w:eastAsia="宋体"/>
          <w:b/>
          <w:bCs/>
          <w:i/>
          <w:iCs/>
          <w:kern w:val="2"/>
          <w:sz w:val="20"/>
          <w:szCs w:val="20"/>
          <w:lang w:eastAsia="zh-CN"/>
        </w:rPr>
        <w:t xml:space="preserve">RI acquisition </w:t>
      </w:r>
      <w:r>
        <w:rPr>
          <w:rFonts w:hint="eastAsia" w:eastAsia="宋体"/>
          <w:b/>
          <w:bCs/>
          <w:i/>
          <w:iCs/>
          <w:kern w:val="2"/>
          <w:sz w:val="20"/>
          <w:szCs w:val="20"/>
          <w:lang w:eastAsia="zh-CN"/>
        </w:rPr>
        <w:t>of</w:t>
      </w:r>
      <w:r>
        <w:rPr>
          <w:rFonts w:eastAsia="宋体"/>
          <w:b/>
          <w:bCs/>
          <w:i/>
          <w:iCs/>
          <w:kern w:val="2"/>
          <w:sz w:val="20"/>
          <w:szCs w:val="20"/>
          <w:lang w:eastAsia="zh-CN"/>
        </w:rPr>
        <w:t xml:space="preserve"> replication dataset</w:t>
      </w:r>
    </w:p>
    <w:p>
      <w:pPr>
        <w:widowControl w:val="0"/>
        <w:spacing w:before="0" w:after="0" w:line="480" w:lineRule="auto"/>
        <w:ind w:firstLine="400" w:firstLineChars="200"/>
        <w:jc w:val="both"/>
        <w:rPr>
          <w:rFonts w:eastAsia="宋体"/>
          <w:kern w:val="2"/>
          <w:sz w:val="20"/>
          <w:szCs w:val="20"/>
          <w:lang w:eastAsia="zh-CN"/>
        </w:rPr>
      </w:pPr>
      <w:r>
        <w:rPr>
          <w:rFonts w:eastAsia="宋体"/>
          <w:kern w:val="2"/>
          <w:sz w:val="20"/>
          <w:szCs w:val="20"/>
          <w:lang w:eastAsia="zh-CN"/>
        </w:rPr>
        <w:t>All participants were scanned on a Siemens Skyra 3-T MRI system (Siemens Magnetom Skyra 3.0-T scanner) with foam padding to minimize head motion. The three-dimensional T1-weighted scans were acquired with a T1 weighted gradient echo sequence (T1-weighted Image, T1WI). The parameters were as follows: repetition time (TR) = 1900 ms, echo time (TE) = 2.01 ms, flip angle (FA) = 9</w:t>
      </w:r>
      <w:r>
        <w:rPr>
          <w:rFonts w:eastAsia="宋体"/>
          <w:kern w:val="2"/>
          <w:sz w:val="20"/>
          <w:szCs w:val="20"/>
          <w:vertAlign w:val="superscript"/>
          <w:lang w:eastAsia="zh-CN"/>
        </w:rPr>
        <w:t>◦</w:t>
      </w:r>
      <w:r>
        <w:rPr>
          <w:rFonts w:eastAsia="宋体"/>
          <w:kern w:val="2"/>
          <w:sz w:val="20"/>
          <w:szCs w:val="20"/>
          <w:lang w:eastAsia="zh-CN"/>
        </w:rPr>
        <w:t>,</w:t>
      </w:r>
      <w:r>
        <w:rPr>
          <w:rFonts w:eastAsia="宋体"/>
          <w:kern w:val="2"/>
          <w:sz w:val="20"/>
          <w:szCs w:val="20"/>
          <w:vertAlign w:val="superscript"/>
          <w:lang w:eastAsia="zh-CN"/>
        </w:rPr>
        <w:t xml:space="preserve"> </w:t>
      </w:r>
      <w:r>
        <w:rPr>
          <w:rFonts w:eastAsia="宋体"/>
          <w:kern w:val="2"/>
          <w:sz w:val="20"/>
          <w:szCs w:val="20"/>
          <w:lang w:eastAsia="zh-CN"/>
        </w:rPr>
        <w:t>slice thickness = 1.0 mm, voxel size = 1 × 1 × 1 mm</w:t>
      </w:r>
      <w:r>
        <w:rPr>
          <w:rFonts w:eastAsia="宋体"/>
          <w:kern w:val="2"/>
          <w:sz w:val="20"/>
          <w:szCs w:val="20"/>
          <w:vertAlign w:val="superscript"/>
          <w:lang w:eastAsia="zh-CN"/>
        </w:rPr>
        <w:t>3</w:t>
      </w:r>
      <w:r>
        <w:rPr>
          <w:rFonts w:eastAsia="宋体"/>
          <w:kern w:val="2"/>
          <w:sz w:val="20"/>
          <w:szCs w:val="20"/>
          <w:lang w:eastAsia="zh-CN"/>
        </w:rPr>
        <w:t>, field of view (FOV) = 256 × 256 mm</w:t>
      </w:r>
      <w:r>
        <w:rPr>
          <w:rFonts w:eastAsia="宋体"/>
          <w:kern w:val="2"/>
          <w:sz w:val="20"/>
          <w:szCs w:val="20"/>
          <w:vertAlign w:val="superscript"/>
          <w:lang w:eastAsia="zh-CN"/>
        </w:rPr>
        <w:t>2</w:t>
      </w:r>
      <w:r>
        <w:rPr>
          <w:rFonts w:eastAsia="宋体"/>
          <w:kern w:val="2"/>
          <w:sz w:val="20"/>
          <w:szCs w:val="20"/>
          <w:lang w:eastAsia="zh-CN"/>
        </w:rPr>
        <w:t>, slice numbers = 176. The resting-state functional images were acquired with echo planar imaging sequence with the following parameters: TR = 2000 ms; TE = 30 ms, FA = 80</w:t>
      </w:r>
      <w:r>
        <w:rPr>
          <w:rFonts w:eastAsia="宋体"/>
          <w:kern w:val="2"/>
          <w:sz w:val="20"/>
          <w:szCs w:val="20"/>
          <w:vertAlign w:val="superscript"/>
          <w:lang w:eastAsia="zh-CN"/>
        </w:rPr>
        <w:t>◦</w:t>
      </w:r>
      <w:r>
        <w:rPr>
          <w:rFonts w:eastAsia="宋体"/>
          <w:kern w:val="2"/>
          <w:sz w:val="20"/>
          <w:szCs w:val="20"/>
          <w:lang w:eastAsia="zh-CN"/>
        </w:rPr>
        <w:t>, voxel size = 4 × 4 × 4 mm</w:t>
      </w:r>
      <w:r>
        <w:rPr>
          <w:rFonts w:eastAsia="宋体"/>
          <w:kern w:val="2"/>
          <w:sz w:val="20"/>
          <w:szCs w:val="20"/>
          <w:vertAlign w:val="superscript"/>
          <w:lang w:eastAsia="zh-CN"/>
        </w:rPr>
        <w:t>3</w:t>
      </w:r>
      <w:r>
        <w:rPr>
          <w:rFonts w:eastAsia="宋体"/>
          <w:kern w:val="2"/>
          <w:sz w:val="20"/>
          <w:szCs w:val="20"/>
          <w:lang w:eastAsia="zh-CN"/>
        </w:rPr>
        <w:t>, matrix = 64 × 64, FOV = 256 × 256 mm</w:t>
      </w:r>
      <w:r>
        <w:rPr>
          <w:rFonts w:eastAsia="宋体"/>
          <w:kern w:val="2"/>
          <w:sz w:val="20"/>
          <w:szCs w:val="20"/>
          <w:vertAlign w:val="superscript"/>
          <w:lang w:eastAsia="zh-CN"/>
        </w:rPr>
        <w:t>2</w:t>
      </w:r>
      <w:r>
        <w:rPr>
          <w:rFonts w:eastAsia="宋体"/>
          <w:kern w:val="2"/>
          <w:sz w:val="20"/>
          <w:szCs w:val="20"/>
          <w:lang w:eastAsia="zh-CN"/>
        </w:rPr>
        <w:t xml:space="preserve">, slice thickness = 4.0 mm, slice numbers = 32, volume =216. </w:t>
      </w:r>
    </w:p>
    <w:p>
      <w:pPr>
        <w:widowControl w:val="0"/>
        <w:spacing w:before="0" w:after="0" w:line="480" w:lineRule="auto"/>
        <w:rPr>
          <w:rFonts w:eastAsia="宋体"/>
          <w:b/>
          <w:bCs/>
          <w:i/>
          <w:iCs/>
          <w:kern w:val="2"/>
          <w:sz w:val="20"/>
          <w:szCs w:val="20"/>
          <w:lang w:eastAsia="zh-CN"/>
        </w:rPr>
      </w:pPr>
      <w:bookmarkStart w:id="3" w:name="_Hlk143873111"/>
      <w:r>
        <w:rPr>
          <w:rFonts w:eastAsia="宋体"/>
          <w:b/>
          <w:bCs/>
          <w:i/>
          <w:iCs/>
          <w:kern w:val="2"/>
          <w:sz w:val="20"/>
          <w:szCs w:val="20"/>
          <w:lang w:eastAsia="zh-CN"/>
        </w:rPr>
        <w:t>Same analyses were conducted in the replication dataset.</w:t>
      </w:r>
    </w:p>
    <w:bookmarkEnd w:id="3"/>
    <w:p>
      <w:pPr>
        <w:widowControl w:val="0"/>
        <w:spacing w:before="0" w:after="0" w:line="480" w:lineRule="auto"/>
        <w:rPr>
          <w:rFonts w:eastAsia="宋体"/>
          <w:b/>
          <w:bCs/>
          <w:i/>
          <w:iCs/>
          <w:kern w:val="2"/>
          <w:sz w:val="20"/>
          <w:szCs w:val="20"/>
          <w:lang w:eastAsia="zh-CN"/>
        </w:rPr>
      </w:pPr>
      <w:r>
        <w:rPr>
          <w:rFonts w:hint="eastAsia" w:eastAsia="宋体"/>
          <w:b/>
          <w:bCs/>
          <w:i/>
          <w:iCs/>
          <w:kern w:val="2"/>
          <w:sz w:val="20"/>
          <w:szCs w:val="20"/>
          <w:lang w:eastAsia="zh-CN"/>
        </w:rPr>
        <w:t>R</w:t>
      </w:r>
      <w:r>
        <w:rPr>
          <w:rFonts w:eastAsia="宋体"/>
          <w:b/>
          <w:bCs/>
          <w:i/>
          <w:iCs/>
          <w:kern w:val="2"/>
          <w:sz w:val="20"/>
          <w:szCs w:val="20"/>
          <w:lang w:eastAsia="zh-CN"/>
        </w:rPr>
        <w:t>esults of the replication dataset</w:t>
      </w:r>
    </w:p>
    <w:p>
      <w:pPr>
        <w:spacing w:line="480" w:lineRule="auto"/>
        <w:rPr>
          <w:i/>
          <w:iCs/>
          <w:sz w:val="20"/>
          <w:szCs w:val="21"/>
        </w:rPr>
      </w:pPr>
      <w:r>
        <w:rPr>
          <w:i/>
          <w:iCs/>
          <w:sz w:val="20"/>
          <w:szCs w:val="21"/>
        </w:rPr>
        <w:t>Demographic and clinic characteristics of HC and OCD</w:t>
      </w:r>
    </w:p>
    <w:p>
      <w:pPr>
        <w:spacing w:line="480" w:lineRule="auto"/>
        <w:ind w:firstLine="400" w:firstLineChars="200"/>
        <w:rPr>
          <w:i/>
          <w:iCs/>
          <w:sz w:val="20"/>
          <w:szCs w:val="21"/>
        </w:rPr>
      </w:pPr>
      <w:r>
        <w:rPr>
          <w:sz w:val="20"/>
          <w:szCs w:val="21"/>
        </w:rPr>
        <w:t>There was no significant difference in age, gender and years of education between OCD and HC group. OCD patients had higher scores of CES-D and SAI than HCs (see Table S4).</w:t>
      </w:r>
    </w:p>
    <w:p>
      <w:pPr>
        <w:autoSpaceDE w:val="0"/>
        <w:autoSpaceDN w:val="0"/>
        <w:adjustRightInd w:val="0"/>
        <w:spacing w:after="0"/>
        <w:jc w:val="center"/>
        <w:rPr>
          <w:rFonts w:eastAsia="宋体" w:cs="Calibri"/>
          <w:b/>
          <w:bCs/>
          <w:color w:val="000000"/>
          <w:sz w:val="20"/>
          <w:szCs w:val="20"/>
        </w:rPr>
      </w:pPr>
      <w:r>
        <w:rPr>
          <w:rFonts w:hint="eastAsia" w:eastAsia="宋体"/>
          <w:b/>
          <w:bCs/>
          <w:color w:val="000000"/>
          <w:sz w:val="20"/>
          <w:szCs w:val="20"/>
        </w:rPr>
        <w:t xml:space="preserve">Table </w:t>
      </w:r>
      <w:r>
        <w:rPr>
          <w:rFonts w:eastAsia="宋体"/>
          <w:b/>
          <w:bCs/>
          <w:color w:val="000000"/>
          <w:sz w:val="20"/>
          <w:szCs w:val="20"/>
        </w:rPr>
        <w:t>S4</w:t>
      </w:r>
      <w:r>
        <w:rPr>
          <w:rFonts w:hint="eastAsia" w:eastAsia="宋体"/>
          <w:b/>
          <w:bCs/>
          <w:color w:val="000000"/>
          <w:sz w:val="20"/>
          <w:szCs w:val="20"/>
        </w:rPr>
        <w:t xml:space="preserve"> Differences of d</w:t>
      </w:r>
      <w:r>
        <w:rPr>
          <w:rFonts w:eastAsia="宋体"/>
          <w:b/>
          <w:bCs/>
          <w:color w:val="000000"/>
          <w:sz w:val="20"/>
          <w:szCs w:val="20"/>
        </w:rPr>
        <w:t xml:space="preserve">emographic and clinical variables </w:t>
      </w:r>
      <w:r>
        <w:rPr>
          <w:rFonts w:hint="eastAsia" w:eastAsia="宋体"/>
          <w:b/>
          <w:bCs/>
          <w:color w:val="000000"/>
          <w:sz w:val="20"/>
          <w:szCs w:val="20"/>
        </w:rPr>
        <w:t>between OCD and HC groups</w:t>
      </w:r>
    </w:p>
    <w:tbl>
      <w:tblPr>
        <w:tblStyle w:val="4"/>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1675"/>
        <w:gridCol w:w="1787"/>
        <w:gridCol w:w="1376"/>
        <w:gridCol w:w="127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Borders>
              <w:bottom w:val="single" w:color="auto" w:sz="4" w:space="0"/>
            </w:tcBorders>
          </w:tcPr>
          <w:p>
            <w:pPr>
              <w:spacing w:before="0" w:after="0"/>
              <w:rPr>
                <w:sz w:val="20"/>
                <w:szCs w:val="20"/>
              </w:rPr>
            </w:pPr>
          </w:p>
        </w:tc>
        <w:tc>
          <w:tcPr>
            <w:tcW w:w="1675" w:type="dxa"/>
            <w:tcBorders>
              <w:bottom w:val="single" w:color="auto" w:sz="4" w:space="0"/>
            </w:tcBorders>
          </w:tcPr>
          <w:p>
            <w:pPr>
              <w:spacing w:before="0" w:after="0"/>
              <w:jc w:val="center"/>
              <w:rPr>
                <w:sz w:val="20"/>
                <w:szCs w:val="20"/>
                <w:lang w:eastAsia="zh-CN"/>
              </w:rPr>
            </w:pPr>
            <w:r>
              <w:rPr>
                <w:rFonts w:eastAsia="宋体"/>
                <w:b/>
                <w:bCs/>
                <w:color w:val="000000"/>
                <w:sz w:val="20"/>
                <w:szCs w:val="20"/>
              </w:rPr>
              <w:t>OCD</w:t>
            </w:r>
            <w:r>
              <w:rPr>
                <w:rFonts w:hint="eastAsia" w:eastAsia="宋体"/>
                <w:b/>
                <w:bCs/>
                <w:color w:val="000000"/>
                <w:sz w:val="20"/>
                <w:szCs w:val="20"/>
                <w:lang w:eastAsia="zh-CN"/>
              </w:rPr>
              <w:t>(</w:t>
            </w:r>
            <w:r>
              <w:rPr>
                <w:rFonts w:hint="eastAsia" w:eastAsia="宋体"/>
                <w:b/>
                <w:bCs/>
                <w:color w:val="000000"/>
                <w:sz w:val="20"/>
                <w:szCs w:val="20"/>
              </w:rPr>
              <w:t>n</w:t>
            </w:r>
            <w:r>
              <w:rPr>
                <w:rFonts w:eastAsia="宋体"/>
                <w:b/>
                <w:bCs/>
                <w:color w:val="000000"/>
                <w:sz w:val="20"/>
                <w:szCs w:val="20"/>
              </w:rPr>
              <w:t>=38</w:t>
            </w:r>
            <w:r>
              <w:rPr>
                <w:rFonts w:hint="eastAsia" w:eastAsia="宋体"/>
                <w:b/>
                <w:bCs/>
                <w:color w:val="000000"/>
                <w:sz w:val="20"/>
                <w:szCs w:val="20"/>
                <w:lang w:eastAsia="zh-CN"/>
              </w:rPr>
              <w:t>)</w:t>
            </w:r>
          </w:p>
        </w:tc>
        <w:tc>
          <w:tcPr>
            <w:tcW w:w="1787" w:type="dxa"/>
            <w:tcBorders>
              <w:bottom w:val="single" w:color="auto" w:sz="4" w:space="0"/>
            </w:tcBorders>
          </w:tcPr>
          <w:p>
            <w:pPr>
              <w:spacing w:before="0" w:after="0"/>
              <w:jc w:val="center"/>
              <w:rPr>
                <w:sz w:val="20"/>
                <w:szCs w:val="20"/>
                <w:lang w:eastAsia="zh-CN"/>
              </w:rPr>
            </w:pPr>
            <w:r>
              <w:rPr>
                <w:rFonts w:eastAsia="宋体"/>
                <w:b/>
                <w:bCs/>
                <w:color w:val="000000"/>
                <w:sz w:val="20"/>
                <w:szCs w:val="20"/>
              </w:rPr>
              <w:t>HC</w:t>
            </w:r>
            <w:r>
              <w:rPr>
                <w:rFonts w:hint="eastAsia" w:eastAsia="宋体"/>
                <w:b/>
                <w:bCs/>
                <w:color w:val="000000"/>
                <w:sz w:val="20"/>
                <w:szCs w:val="20"/>
                <w:lang w:eastAsia="zh-CN"/>
              </w:rPr>
              <w:t>(</w:t>
            </w:r>
            <w:r>
              <w:rPr>
                <w:rFonts w:hint="eastAsia" w:eastAsia="宋体"/>
                <w:b/>
                <w:bCs/>
                <w:color w:val="000000"/>
                <w:sz w:val="20"/>
                <w:szCs w:val="20"/>
              </w:rPr>
              <w:t>n</w:t>
            </w:r>
            <w:r>
              <w:rPr>
                <w:rFonts w:eastAsia="宋体"/>
                <w:b/>
                <w:bCs/>
                <w:color w:val="000000"/>
                <w:sz w:val="20"/>
                <w:szCs w:val="20"/>
              </w:rPr>
              <w:t>=34</w:t>
            </w:r>
            <w:r>
              <w:rPr>
                <w:rFonts w:hint="eastAsia" w:eastAsia="宋体"/>
                <w:b/>
                <w:bCs/>
                <w:color w:val="000000"/>
                <w:sz w:val="20"/>
                <w:szCs w:val="20"/>
                <w:lang w:eastAsia="zh-CN"/>
              </w:rPr>
              <w:t>)</w:t>
            </w:r>
          </w:p>
        </w:tc>
        <w:tc>
          <w:tcPr>
            <w:tcW w:w="1376" w:type="dxa"/>
            <w:tcBorders>
              <w:bottom w:val="single" w:color="auto" w:sz="4" w:space="0"/>
            </w:tcBorders>
          </w:tcPr>
          <w:p>
            <w:pPr>
              <w:spacing w:before="0" w:after="0"/>
              <w:jc w:val="center"/>
              <w:rPr>
                <w:sz w:val="20"/>
                <w:szCs w:val="20"/>
              </w:rPr>
            </w:pPr>
            <w:r>
              <w:rPr>
                <w:rFonts w:eastAsia="宋体"/>
                <w:b/>
                <w:bCs/>
                <w:color w:val="000000"/>
                <w:sz w:val="20"/>
                <w:szCs w:val="20"/>
              </w:rPr>
              <w:t>(</w:t>
            </w:r>
            <w:r>
              <w:rPr>
                <w:rFonts w:eastAsia="宋体"/>
                <w:b/>
                <w:bCs/>
                <w:color w:val="000000"/>
                <w:sz w:val="20"/>
                <w:szCs w:val="20"/>
              </w:rPr>
              <w:sym w:font="Symbol" w:char="F063"/>
            </w:r>
            <w:r>
              <w:rPr>
                <w:rFonts w:eastAsia="宋体"/>
                <w:b/>
                <w:bCs/>
                <w:color w:val="000000"/>
                <w:sz w:val="20"/>
                <w:szCs w:val="20"/>
                <w:vertAlign w:val="superscript"/>
              </w:rPr>
              <w:t>2</w:t>
            </w:r>
            <w:r>
              <w:rPr>
                <w:rFonts w:eastAsia="宋体"/>
                <w:b/>
                <w:bCs/>
                <w:color w:val="000000"/>
                <w:sz w:val="20"/>
                <w:szCs w:val="20"/>
              </w:rPr>
              <w:t>/</w:t>
            </w:r>
            <w:r>
              <w:rPr>
                <w:rFonts w:eastAsia="宋体"/>
                <w:b/>
                <w:bCs/>
                <w:i/>
                <w:iCs/>
                <w:color w:val="000000"/>
                <w:sz w:val="20"/>
                <w:szCs w:val="20"/>
              </w:rPr>
              <w:t>t</w:t>
            </w:r>
            <w:r>
              <w:rPr>
                <w:rFonts w:eastAsia="宋体"/>
                <w:b/>
                <w:bCs/>
                <w:color w:val="000000"/>
                <w:sz w:val="20"/>
                <w:szCs w:val="20"/>
              </w:rPr>
              <w:t>)</w:t>
            </w:r>
          </w:p>
        </w:tc>
        <w:tc>
          <w:tcPr>
            <w:tcW w:w="1279" w:type="dxa"/>
            <w:tcBorders>
              <w:bottom w:val="single" w:color="auto" w:sz="4" w:space="0"/>
            </w:tcBorders>
          </w:tcPr>
          <w:p>
            <w:pPr>
              <w:spacing w:before="0" w:after="0"/>
              <w:jc w:val="center"/>
              <w:rPr>
                <w:sz w:val="20"/>
                <w:szCs w:val="20"/>
              </w:rPr>
            </w:pPr>
            <w:r>
              <w:rPr>
                <w:rFonts w:eastAsia="宋体"/>
                <w:b/>
                <w:bCs/>
                <w:i/>
                <w:iCs/>
                <w:color w:val="000000"/>
                <w:sz w:val="20"/>
                <w:szCs w:val="20"/>
              </w:rPr>
              <w:t>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Borders>
              <w:top w:val="single" w:color="auto" w:sz="4" w:space="0"/>
            </w:tcBorders>
          </w:tcPr>
          <w:p>
            <w:pPr>
              <w:spacing w:before="0" w:after="0"/>
              <w:rPr>
                <w:sz w:val="20"/>
                <w:szCs w:val="20"/>
              </w:rPr>
            </w:pPr>
            <w:r>
              <w:rPr>
                <w:rFonts w:eastAsia="宋体"/>
                <w:b/>
                <w:bCs/>
                <w:color w:val="000000"/>
                <w:sz w:val="20"/>
                <w:szCs w:val="20"/>
              </w:rPr>
              <w:t>Age(years)</w:t>
            </w:r>
          </w:p>
        </w:tc>
        <w:tc>
          <w:tcPr>
            <w:tcW w:w="1675" w:type="dxa"/>
            <w:tcBorders>
              <w:top w:val="single" w:color="auto" w:sz="4" w:space="0"/>
            </w:tcBorders>
          </w:tcPr>
          <w:p>
            <w:pPr>
              <w:spacing w:before="0" w:after="0"/>
              <w:jc w:val="center"/>
              <w:rPr>
                <w:sz w:val="20"/>
                <w:szCs w:val="20"/>
              </w:rPr>
            </w:pPr>
            <w:r>
              <w:rPr>
                <w:rFonts w:eastAsia="宋体"/>
                <w:color w:val="000000"/>
                <w:sz w:val="20"/>
                <w:szCs w:val="20"/>
              </w:rPr>
              <w:t>21.84±4.69</w:t>
            </w:r>
          </w:p>
        </w:tc>
        <w:tc>
          <w:tcPr>
            <w:tcW w:w="1787" w:type="dxa"/>
            <w:tcBorders>
              <w:top w:val="single" w:color="auto" w:sz="4" w:space="0"/>
            </w:tcBorders>
          </w:tcPr>
          <w:p>
            <w:pPr>
              <w:spacing w:before="0" w:after="0"/>
              <w:jc w:val="center"/>
              <w:rPr>
                <w:sz w:val="20"/>
                <w:szCs w:val="20"/>
              </w:rPr>
            </w:pPr>
            <w:r>
              <w:rPr>
                <w:rFonts w:eastAsia="宋体"/>
                <w:color w:val="000000"/>
                <w:sz w:val="20"/>
                <w:szCs w:val="20"/>
              </w:rPr>
              <w:t>20.24±2.02</w:t>
            </w:r>
          </w:p>
        </w:tc>
        <w:tc>
          <w:tcPr>
            <w:tcW w:w="1376" w:type="dxa"/>
            <w:tcBorders>
              <w:top w:val="single" w:color="auto" w:sz="4" w:space="0"/>
            </w:tcBorders>
          </w:tcPr>
          <w:p>
            <w:pPr>
              <w:spacing w:before="0" w:after="0"/>
              <w:jc w:val="center"/>
              <w:rPr>
                <w:sz w:val="20"/>
                <w:szCs w:val="20"/>
              </w:rPr>
            </w:pPr>
            <w:r>
              <w:rPr>
                <w:rFonts w:eastAsia="宋体"/>
                <w:color w:val="000000"/>
                <w:sz w:val="20"/>
                <w:szCs w:val="20"/>
              </w:rPr>
              <w:t>1.91</w:t>
            </w:r>
          </w:p>
        </w:tc>
        <w:tc>
          <w:tcPr>
            <w:tcW w:w="1279" w:type="dxa"/>
            <w:tcBorders>
              <w:top w:val="single" w:color="auto" w:sz="4" w:space="0"/>
            </w:tcBorders>
          </w:tcPr>
          <w:p>
            <w:pPr>
              <w:spacing w:before="0" w:after="0"/>
              <w:jc w:val="center"/>
              <w:rPr>
                <w:sz w:val="20"/>
                <w:szCs w:val="20"/>
              </w:rPr>
            </w:pPr>
            <w:r>
              <w:rPr>
                <w:rFonts w:eastAsia="宋体"/>
                <w:color w:val="000000"/>
                <w:sz w:val="20"/>
                <w:szCs w:val="20"/>
              </w:rPr>
              <w:t>0.061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 w:hRule="atLeast"/>
          <w:jc w:val="center"/>
        </w:trPr>
        <w:tc>
          <w:tcPr>
            <w:tcW w:w="2405" w:type="dxa"/>
          </w:tcPr>
          <w:p>
            <w:pPr>
              <w:spacing w:before="0" w:after="0"/>
              <w:rPr>
                <w:sz w:val="20"/>
                <w:szCs w:val="20"/>
              </w:rPr>
            </w:pPr>
            <w:r>
              <w:rPr>
                <w:rFonts w:hint="eastAsia" w:eastAsia="宋体"/>
                <w:b/>
                <w:bCs/>
                <w:color w:val="000000"/>
                <w:sz w:val="20"/>
                <w:szCs w:val="20"/>
              </w:rPr>
              <w:t>G</w:t>
            </w:r>
            <w:r>
              <w:rPr>
                <w:rFonts w:eastAsia="宋体"/>
                <w:b/>
                <w:bCs/>
                <w:color w:val="000000"/>
                <w:sz w:val="20"/>
                <w:szCs w:val="20"/>
              </w:rPr>
              <w:t xml:space="preserve">ender </w:t>
            </w:r>
            <w:r>
              <w:rPr>
                <w:rFonts w:hint="eastAsia" w:eastAsia="宋体"/>
                <w:b/>
                <w:bCs/>
                <w:color w:val="000000"/>
                <w:sz w:val="20"/>
                <w:szCs w:val="20"/>
                <w:lang w:eastAsia="zh-CN"/>
              </w:rPr>
              <w:t>(</w:t>
            </w:r>
            <w:r>
              <w:rPr>
                <w:rFonts w:hint="eastAsia" w:eastAsia="宋体"/>
                <w:b/>
                <w:bCs/>
                <w:color w:val="000000"/>
                <w:sz w:val="20"/>
                <w:szCs w:val="20"/>
              </w:rPr>
              <w:t>m</w:t>
            </w:r>
            <w:r>
              <w:rPr>
                <w:rFonts w:eastAsia="宋体"/>
                <w:b/>
                <w:bCs/>
                <w:color w:val="000000"/>
                <w:sz w:val="20"/>
                <w:szCs w:val="20"/>
              </w:rPr>
              <w:t>ale/</w:t>
            </w:r>
            <w:r>
              <w:rPr>
                <w:rFonts w:hint="eastAsia" w:eastAsia="宋体"/>
                <w:b/>
                <w:bCs/>
                <w:color w:val="000000"/>
                <w:sz w:val="20"/>
                <w:szCs w:val="20"/>
              </w:rPr>
              <w:t>f</w:t>
            </w:r>
            <w:r>
              <w:rPr>
                <w:rFonts w:eastAsia="宋体"/>
                <w:b/>
                <w:bCs/>
                <w:color w:val="000000"/>
                <w:sz w:val="20"/>
                <w:szCs w:val="20"/>
              </w:rPr>
              <w:t>emale）</w:t>
            </w:r>
          </w:p>
        </w:tc>
        <w:tc>
          <w:tcPr>
            <w:tcW w:w="1675" w:type="dxa"/>
          </w:tcPr>
          <w:p>
            <w:pPr>
              <w:spacing w:before="0" w:after="0"/>
              <w:jc w:val="center"/>
              <w:rPr>
                <w:sz w:val="20"/>
                <w:szCs w:val="20"/>
              </w:rPr>
            </w:pPr>
            <w:r>
              <w:rPr>
                <w:rFonts w:eastAsia="宋体"/>
                <w:color w:val="000000"/>
                <w:sz w:val="20"/>
                <w:szCs w:val="20"/>
              </w:rPr>
              <w:t>25/</w:t>
            </w:r>
            <w:r>
              <w:rPr>
                <w:rFonts w:hint="eastAsia" w:eastAsia="宋体"/>
                <w:color w:val="000000"/>
                <w:sz w:val="20"/>
                <w:szCs w:val="20"/>
              </w:rPr>
              <w:t>1</w:t>
            </w:r>
            <w:r>
              <w:rPr>
                <w:rFonts w:eastAsia="宋体"/>
                <w:color w:val="000000"/>
                <w:sz w:val="20"/>
                <w:szCs w:val="20"/>
              </w:rPr>
              <w:t>3</w:t>
            </w:r>
          </w:p>
        </w:tc>
        <w:tc>
          <w:tcPr>
            <w:tcW w:w="1787" w:type="dxa"/>
          </w:tcPr>
          <w:p>
            <w:pPr>
              <w:spacing w:before="0" w:after="0"/>
              <w:jc w:val="center"/>
              <w:rPr>
                <w:sz w:val="20"/>
                <w:szCs w:val="20"/>
              </w:rPr>
            </w:pPr>
            <w:r>
              <w:rPr>
                <w:rFonts w:eastAsia="宋体"/>
                <w:color w:val="000000"/>
                <w:sz w:val="20"/>
                <w:szCs w:val="20"/>
              </w:rPr>
              <w:t>16/18</w:t>
            </w:r>
          </w:p>
        </w:tc>
        <w:tc>
          <w:tcPr>
            <w:tcW w:w="1376" w:type="dxa"/>
          </w:tcPr>
          <w:p>
            <w:pPr>
              <w:spacing w:before="0" w:after="0"/>
              <w:jc w:val="center"/>
              <w:rPr>
                <w:sz w:val="20"/>
                <w:szCs w:val="20"/>
              </w:rPr>
            </w:pPr>
            <w:r>
              <w:rPr>
                <w:rFonts w:eastAsia="宋体"/>
                <w:color w:val="000000"/>
                <w:sz w:val="20"/>
                <w:szCs w:val="20"/>
              </w:rPr>
              <w:t>3.86</w:t>
            </w:r>
          </w:p>
        </w:tc>
        <w:tc>
          <w:tcPr>
            <w:tcW w:w="1279" w:type="dxa"/>
          </w:tcPr>
          <w:p>
            <w:pPr>
              <w:spacing w:before="0" w:after="0"/>
              <w:jc w:val="center"/>
              <w:rPr>
                <w:sz w:val="20"/>
                <w:szCs w:val="20"/>
              </w:rPr>
            </w:pPr>
            <w:r>
              <w:rPr>
                <w:rFonts w:eastAsia="宋体"/>
                <w:color w:val="000000"/>
                <w:sz w:val="20"/>
                <w:szCs w:val="20"/>
              </w:rPr>
              <w:t>0.145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Pr>
          <w:p>
            <w:pPr>
              <w:spacing w:before="0" w:after="0"/>
              <w:rPr>
                <w:sz w:val="20"/>
                <w:szCs w:val="20"/>
              </w:rPr>
            </w:pPr>
            <w:r>
              <w:rPr>
                <w:rFonts w:eastAsia="宋体"/>
                <w:b/>
                <w:bCs/>
                <w:color w:val="000000"/>
                <w:sz w:val="20"/>
                <w:szCs w:val="20"/>
              </w:rPr>
              <w:t>Education (years)</w:t>
            </w:r>
          </w:p>
        </w:tc>
        <w:tc>
          <w:tcPr>
            <w:tcW w:w="1675" w:type="dxa"/>
          </w:tcPr>
          <w:p>
            <w:pPr>
              <w:spacing w:before="0" w:after="0"/>
              <w:jc w:val="center"/>
              <w:rPr>
                <w:sz w:val="20"/>
                <w:szCs w:val="20"/>
              </w:rPr>
            </w:pPr>
            <w:r>
              <w:rPr>
                <w:rFonts w:eastAsia="宋体"/>
                <w:color w:val="000000"/>
                <w:sz w:val="20"/>
                <w:szCs w:val="20"/>
              </w:rPr>
              <w:t>13.61±2.07</w:t>
            </w:r>
          </w:p>
        </w:tc>
        <w:tc>
          <w:tcPr>
            <w:tcW w:w="1787" w:type="dxa"/>
          </w:tcPr>
          <w:p>
            <w:pPr>
              <w:spacing w:before="0" w:after="0"/>
              <w:jc w:val="center"/>
              <w:rPr>
                <w:sz w:val="20"/>
                <w:szCs w:val="20"/>
              </w:rPr>
            </w:pPr>
            <w:r>
              <w:rPr>
                <w:rFonts w:eastAsia="宋体"/>
                <w:color w:val="000000"/>
                <w:sz w:val="20"/>
                <w:szCs w:val="20"/>
              </w:rPr>
              <w:t>13.91±1.60</w:t>
            </w:r>
          </w:p>
        </w:tc>
        <w:tc>
          <w:tcPr>
            <w:tcW w:w="1376" w:type="dxa"/>
          </w:tcPr>
          <w:p>
            <w:pPr>
              <w:spacing w:before="0" w:after="0"/>
              <w:jc w:val="center"/>
              <w:rPr>
                <w:sz w:val="20"/>
                <w:szCs w:val="20"/>
              </w:rPr>
            </w:pPr>
            <w:r>
              <w:rPr>
                <w:rFonts w:eastAsia="宋体"/>
                <w:color w:val="000000"/>
                <w:sz w:val="20"/>
                <w:szCs w:val="20"/>
              </w:rPr>
              <w:t>-0.70</w:t>
            </w:r>
          </w:p>
        </w:tc>
        <w:tc>
          <w:tcPr>
            <w:tcW w:w="1279" w:type="dxa"/>
          </w:tcPr>
          <w:p>
            <w:pPr>
              <w:spacing w:before="0" w:after="0"/>
              <w:jc w:val="center"/>
              <w:rPr>
                <w:sz w:val="20"/>
                <w:szCs w:val="20"/>
              </w:rPr>
            </w:pPr>
            <w:r>
              <w:rPr>
                <w:rFonts w:eastAsia="宋体"/>
                <w:color w:val="000000"/>
                <w:sz w:val="20"/>
                <w:szCs w:val="20"/>
              </w:rPr>
              <w:t>0.487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Pr>
          <w:p>
            <w:pPr>
              <w:spacing w:before="0" w:after="0"/>
              <w:rPr>
                <w:b/>
                <w:bCs/>
                <w:sz w:val="20"/>
                <w:szCs w:val="20"/>
              </w:rPr>
            </w:pPr>
            <w:r>
              <w:rPr>
                <w:rFonts w:hint="eastAsia" w:eastAsia="宋体"/>
                <w:b/>
                <w:bCs/>
                <w:sz w:val="20"/>
                <w:szCs w:val="20"/>
              </w:rPr>
              <w:t>C</w:t>
            </w:r>
            <w:r>
              <w:rPr>
                <w:rFonts w:eastAsia="宋体"/>
                <w:b/>
                <w:bCs/>
                <w:sz w:val="20"/>
                <w:szCs w:val="20"/>
              </w:rPr>
              <w:t>ES-D</w:t>
            </w:r>
          </w:p>
        </w:tc>
        <w:tc>
          <w:tcPr>
            <w:tcW w:w="1675" w:type="dxa"/>
          </w:tcPr>
          <w:p>
            <w:pPr>
              <w:spacing w:before="0" w:after="0"/>
              <w:jc w:val="center"/>
              <w:rPr>
                <w:sz w:val="20"/>
                <w:szCs w:val="20"/>
              </w:rPr>
            </w:pPr>
            <w:r>
              <w:rPr>
                <w:rFonts w:eastAsia="宋体"/>
                <w:color w:val="000000"/>
                <w:sz w:val="20"/>
                <w:szCs w:val="20"/>
              </w:rPr>
              <w:t>46.68±11.58</w:t>
            </w:r>
          </w:p>
        </w:tc>
        <w:tc>
          <w:tcPr>
            <w:tcW w:w="1787" w:type="dxa"/>
          </w:tcPr>
          <w:p>
            <w:pPr>
              <w:spacing w:before="0" w:after="0"/>
              <w:jc w:val="center"/>
              <w:rPr>
                <w:sz w:val="20"/>
                <w:szCs w:val="20"/>
              </w:rPr>
            </w:pPr>
            <w:r>
              <w:rPr>
                <w:rFonts w:eastAsia="宋体"/>
                <w:color w:val="000000"/>
                <w:sz w:val="20"/>
                <w:szCs w:val="20"/>
              </w:rPr>
              <w:t>34.20±8.48</w:t>
            </w:r>
          </w:p>
        </w:tc>
        <w:tc>
          <w:tcPr>
            <w:tcW w:w="1376" w:type="dxa"/>
          </w:tcPr>
          <w:p>
            <w:pPr>
              <w:spacing w:before="0" w:after="0"/>
              <w:jc w:val="center"/>
              <w:rPr>
                <w:rFonts w:eastAsiaTheme="minorEastAsia"/>
                <w:sz w:val="20"/>
                <w:szCs w:val="20"/>
                <w:lang w:eastAsia="zh-CN"/>
              </w:rPr>
            </w:pPr>
            <w:r>
              <w:rPr>
                <w:rFonts w:hint="eastAsia" w:eastAsiaTheme="minorEastAsia"/>
                <w:sz w:val="20"/>
                <w:szCs w:val="20"/>
                <w:lang w:eastAsia="zh-CN"/>
              </w:rPr>
              <w:t>5</w:t>
            </w:r>
            <w:r>
              <w:rPr>
                <w:rFonts w:eastAsiaTheme="minorEastAsia"/>
                <w:sz w:val="20"/>
                <w:szCs w:val="20"/>
                <w:lang w:eastAsia="zh-CN"/>
              </w:rPr>
              <w:t>.17</w:t>
            </w:r>
            <w:r>
              <w:rPr>
                <w:rFonts w:hint="eastAsia" w:eastAsiaTheme="minorEastAsia"/>
                <w:sz w:val="20"/>
                <w:szCs w:val="20"/>
                <w:lang w:eastAsia="zh-CN"/>
              </w:rPr>
              <w:t>**</w:t>
            </w:r>
            <w:r>
              <w:rPr>
                <w:rFonts w:eastAsiaTheme="minorEastAsia"/>
                <w:sz w:val="20"/>
                <w:szCs w:val="20"/>
                <w:lang w:eastAsia="zh-CN"/>
              </w:rPr>
              <w:t>*</w:t>
            </w:r>
          </w:p>
        </w:tc>
        <w:tc>
          <w:tcPr>
            <w:tcW w:w="1279" w:type="dxa"/>
          </w:tcPr>
          <w:p>
            <w:pPr>
              <w:spacing w:before="0" w:after="0"/>
              <w:jc w:val="center"/>
              <w:rPr>
                <w:sz w:val="20"/>
                <w:szCs w:val="20"/>
              </w:rPr>
            </w:pPr>
            <w:r>
              <w:rPr>
                <w:rFonts w:eastAsia="宋体"/>
                <w:color w:val="000000"/>
                <w:sz w:val="20"/>
                <w:szCs w:val="20"/>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Pr>
          <w:p>
            <w:pPr>
              <w:spacing w:before="0" w:after="0"/>
              <w:rPr>
                <w:sz w:val="20"/>
                <w:szCs w:val="20"/>
              </w:rPr>
            </w:pPr>
            <w:r>
              <w:rPr>
                <w:rFonts w:hint="eastAsia" w:eastAsia="宋体"/>
                <w:b/>
                <w:bCs/>
                <w:color w:val="000000"/>
                <w:sz w:val="20"/>
                <w:szCs w:val="20"/>
              </w:rPr>
              <w:t>S</w:t>
            </w:r>
            <w:r>
              <w:rPr>
                <w:rFonts w:eastAsia="宋体"/>
                <w:b/>
                <w:bCs/>
                <w:color w:val="000000"/>
                <w:sz w:val="20"/>
                <w:szCs w:val="20"/>
              </w:rPr>
              <w:t>AI</w:t>
            </w:r>
          </w:p>
        </w:tc>
        <w:tc>
          <w:tcPr>
            <w:tcW w:w="1675" w:type="dxa"/>
          </w:tcPr>
          <w:p>
            <w:pPr>
              <w:spacing w:before="0" w:after="0"/>
              <w:jc w:val="center"/>
              <w:rPr>
                <w:sz w:val="20"/>
                <w:szCs w:val="20"/>
              </w:rPr>
            </w:pPr>
            <w:r>
              <w:rPr>
                <w:rFonts w:eastAsia="宋体"/>
                <w:color w:val="000000"/>
                <w:sz w:val="20"/>
                <w:szCs w:val="20"/>
              </w:rPr>
              <w:t>46.24±10.50</w:t>
            </w:r>
          </w:p>
        </w:tc>
        <w:tc>
          <w:tcPr>
            <w:tcW w:w="1787" w:type="dxa"/>
          </w:tcPr>
          <w:p>
            <w:pPr>
              <w:spacing w:before="0" w:after="0"/>
              <w:jc w:val="center"/>
              <w:rPr>
                <w:sz w:val="20"/>
                <w:szCs w:val="20"/>
              </w:rPr>
            </w:pPr>
            <w:r>
              <w:rPr>
                <w:rFonts w:eastAsia="宋体"/>
                <w:color w:val="000000"/>
                <w:sz w:val="20"/>
                <w:szCs w:val="20"/>
              </w:rPr>
              <w:t>34.19±7.48</w:t>
            </w:r>
          </w:p>
        </w:tc>
        <w:tc>
          <w:tcPr>
            <w:tcW w:w="1376" w:type="dxa"/>
          </w:tcPr>
          <w:p>
            <w:pPr>
              <w:spacing w:before="0" w:after="0"/>
              <w:jc w:val="center"/>
              <w:rPr>
                <w:sz w:val="20"/>
                <w:szCs w:val="20"/>
              </w:rPr>
            </w:pPr>
            <w:r>
              <w:rPr>
                <w:rFonts w:eastAsia="宋体"/>
                <w:color w:val="000000"/>
                <w:sz w:val="20"/>
                <w:szCs w:val="20"/>
              </w:rPr>
              <w:t>5.56***</w:t>
            </w:r>
          </w:p>
        </w:tc>
        <w:tc>
          <w:tcPr>
            <w:tcW w:w="1279" w:type="dxa"/>
          </w:tcPr>
          <w:p>
            <w:pPr>
              <w:spacing w:before="0" w:after="0"/>
              <w:jc w:val="center"/>
              <w:rPr>
                <w:sz w:val="20"/>
                <w:szCs w:val="20"/>
              </w:rPr>
            </w:pPr>
            <w:r>
              <w:rPr>
                <w:rFonts w:eastAsia="宋体"/>
                <w:color w:val="000000"/>
                <w:sz w:val="20"/>
                <w:szCs w:val="20"/>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Pr>
          <w:p>
            <w:pPr>
              <w:spacing w:before="0" w:after="0"/>
              <w:rPr>
                <w:rFonts w:eastAsia="宋体"/>
                <w:b/>
                <w:bCs/>
                <w:color w:val="000000"/>
                <w:sz w:val="20"/>
                <w:szCs w:val="20"/>
              </w:rPr>
            </w:pPr>
            <w:r>
              <w:rPr>
                <w:rFonts w:hint="eastAsia" w:eastAsia="宋体"/>
                <w:b/>
                <w:bCs/>
                <w:color w:val="000000"/>
                <w:sz w:val="20"/>
                <w:szCs w:val="20"/>
              </w:rPr>
              <w:t>Y-BOCS</w:t>
            </w:r>
          </w:p>
        </w:tc>
        <w:tc>
          <w:tcPr>
            <w:tcW w:w="1675" w:type="dxa"/>
          </w:tcPr>
          <w:p>
            <w:pPr>
              <w:spacing w:before="0" w:after="0"/>
              <w:jc w:val="center"/>
              <w:rPr>
                <w:rFonts w:eastAsia="宋体"/>
                <w:color w:val="000000"/>
                <w:sz w:val="20"/>
                <w:szCs w:val="20"/>
              </w:rPr>
            </w:pPr>
            <w:r>
              <w:rPr>
                <w:rFonts w:hint="eastAsia" w:eastAsia="宋体"/>
                <w:color w:val="000000"/>
                <w:sz w:val="20"/>
                <w:szCs w:val="20"/>
              </w:rPr>
              <w:t>1</w:t>
            </w:r>
            <w:r>
              <w:rPr>
                <w:rFonts w:eastAsia="宋体"/>
                <w:color w:val="000000"/>
                <w:sz w:val="20"/>
                <w:szCs w:val="20"/>
              </w:rPr>
              <w:t>9.32±</w:t>
            </w:r>
            <w:r>
              <w:rPr>
                <w:rFonts w:hint="eastAsia" w:eastAsia="宋体"/>
                <w:color w:val="000000"/>
                <w:sz w:val="20"/>
                <w:szCs w:val="20"/>
              </w:rPr>
              <w:t>5.</w:t>
            </w:r>
            <w:r>
              <w:rPr>
                <w:rFonts w:eastAsia="宋体"/>
                <w:color w:val="000000"/>
                <w:sz w:val="20"/>
                <w:szCs w:val="20"/>
              </w:rPr>
              <w:t>64</w:t>
            </w:r>
          </w:p>
        </w:tc>
        <w:tc>
          <w:tcPr>
            <w:tcW w:w="1787" w:type="dxa"/>
          </w:tcPr>
          <w:p>
            <w:pPr>
              <w:spacing w:before="0" w:after="0"/>
              <w:jc w:val="center"/>
              <w:rPr>
                <w:rFonts w:eastAsia="宋体"/>
                <w:color w:val="000000"/>
                <w:sz w:val="20"/>
                <w:szCs w:val="20"/>
              </w:rPr>
            </w:pPr>
            <w:r>
              <w:rPr>
                <w:rFonts w:hint="eastAsia" w:eastAsia="宋体"/>
                <w:color w:val="000000"/>
                <w:sz w:val="20"/>
                <w:szCs w:val="20"/>
              </w:rPr>
              <w:t>-</w:t>
            </w:r>
          </w:p>
        </w:tc>
        <w:tc>
          <w:tcPr>
            <w:tcW w:w="1376" w:type="dxa"/>
          </w:tcPr>
          <w:p>
            <w:pPr>
              <w:spacing w:before="0" w:after="0"/>
              <w:jc w:val="center"/>
              <w:rPr>
                <w:rFonts w:eastAsia="宋体"/>
                <w:color w:val="000000"/>
                <w:sz w:val="20"/>
                <w:szCs w:val="20"/>
              </w:rPr>
            </w:pPr>
            <w:r>
              <w:rPr>
                <w:rFonts w:hint="eastAsia" w:eastAsia="宋体"/>
                <w:color w:val="000000"/>
                <w:sz w:val="20"/>
                <w:szCs w:val="20"/>
              </w:rPr>
              <w:t>-</w:t>
            </w:r>
          </w:p>
        </w:tc>
        <w:tc>
          <w:tcPr>
            <w:tcW w:w="1279" w:type="dxa"/>
          </w:tcPr>
          <w:p>
            <w:pPr>
              <w:spacing w:before="0" w:after="0"/>
              <w:jc w:val="center"/>
              <w:rPr>
                <w:rFonts w:eastAsia="宋体"/>
                <w:sz w:val="20"/>
                <w:szCs w:val="20"/>
              </w:rPr>
            </w:pPr>
            <w:r>
              <w:rPr>
                <w:rFonts w:hint="eastAsia" w:eastAsia="宋体"/>
                <w:sz w:val="20"/>
                <w:szCs w:val="2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Pr>
          <w:p>
            <w:pPr>
              <w:spacing w:before="0" w:after="0"/>
              <w:rPr>
                <w:rFonts w:eastAsia="宋体"/>
                <w:color w:val="000000"/>
                <w:sz w:val="20"/>
                <w:szCs w:val="20"/>
              </w:rPr>
            </w:pPr>
            <w:r>
              <w:rPr>
                <w:rFonts w:hint="eastAsia" w:eastAsia="宋体"/>
                <w:color w:val="000000"/>
                <w:sz w:val="20"/>
                <w:szCs w:val="20"/>
              </w:rPr>
              <w:t xml:space="preserve">    </w:t>
            </w:r>
            <w:r>
              <w:rPr>
                <w:rFonts w:eastAsia="宋体"/>
                <w:color w:val="000000"/>
                <w:sz w:val="20"/>
                <w:szCs w:val="20"/>
              </w:rPr>
              <w:t xml:space="preserve"> o</w:t>
            </w:r>
            <w:r>
              <w:rPr>
                <w:rFonts w:hint="eastAsia" w:eastAsia="宋体"/>
                <w:color w:val="000000"/>
                <w:sz w:val="20"/>
                <w:szCs w:val="20"/>
              </w:rPr>
              <w:t>bsessi</w:t>
            </w:r>
            <w:r>
              <w:rPr>
                <w:rFonts w:eastAsia="宋体"/>
                <w:color w:val="000000"/>
                <w:sz w:val="20"/>
                <w:szCs w:val="20"/>
              </w:rPr>
              <w:t>on</w:t>
            </w:r>
          </w:p>
        </w:tc>
        <w:tc>
          <w:tcPr>
            <w:tcW w:w="1675" w:type="dxa"/>
          </w:tcPr>
          <w:p>
            <w:pPr>
              <w:spacing w:before="0" w:after="0"/>
              <w:jc w:val="center"/>
              <w:rPr>
                <w:rFonts w:eastAsia="宋体"/>
                <w:color w:val="000000"/>
                <w:sz w:val="20"/>
                <w:szCs w:val="20"/>
              </w:rPr>
            </w:pPr>
            <w:r>
              <w:rPr>
                <w:rFonts w:eastAsia="宋体"/>
                <w:color w:val="000000"/>
                <w:sz w:val="20"/>
                <w:szCs w:val="20"/>
              </w:rPr>
              <w:t>10.21±2</w:t>
            </w:r>
            <w:r>
              <w:rPr>
                <w:rFonts w:hint="eastAsia" w:eastAsia="宋体"/>
                <w:color w:val="000000"/>
                <w:sz w:val="20"/>
                <w:szCs w:val="20"/>
              </w:rPr>
              <w:t>.</w:t>
            </w:r>
            <w:r>
              <w:rPr>
                <w:rFonts w:eastAsia="宋体"/>
                <w:color w:val="000000"/>
                <w:sz w:val="20"/>
                <w:szCs w:val="20"/>
              </w:rPr>
              <w:t>52</w:t>
            </w:r>
          </w:p>
        </w:tc>
        <w:tc>
          <w:tcPr>
            <w:tcW w:w="1787" w:type="dxa"/>
          </w:tcPr>
          <w:p>
            <w:pPr>
              <w:spacing w:before="0" w:after="0"/>
              <w:jc w:val="center"/>
              <w:rPr>
                <w:rFonts w:eastAsia="宋体"/>
                <w:color w:val="000000"/>
                <w:sz w:val="20"/>
                <w:szCs w:val="20"/>
              </w:rPr>
            </w:pPr>
            <w:r>
              <w:rPr>
                <w:rFonts w:hint="eastAsia" w:eastAsia="宋体"/>
                <w:color w:val="000000"/>
                <w:sz w:val="20"/>
                <w:szCs w:val="20"/>
              </w:rPr>
              <w:t>-</w:t>
            </w:r>
          </w:p>
        </w:tc>
        <w:tc>
          <w:tcPr>
            <w:tcW w:w="1376" w:type="dxa"/>
          </w:tcPr>
          <w:p>
            <w:pPr>
              <w:spacing w:before="0" w:after="0"/>
              <w:jc w:val="center"/>
              <w:rPr>
                <w:rFonts w:eastAsia="宋体"/>
                <w:color w:val="000000"/>
                <w:sz w:val="20"/>
                <w:szCs w:val="20"/>
              </w:rPr>
            </w:pPr>
            <w:r>
              <w:rPr>
                <w:rFonts w:hint="eastAsia" w:eastAsia="宋体"/>
                <w:color w:val="000000"/>
                <w:sz w:val="20"/>
                <w:szCs w:val="20"/>
              </w:rPr>
              <w:t>-</w:t>
            </w:r>
          </w:p>
        </w:tc>
        <w:tc>
          <w:tcPr>
            <w:tcW w:w="1279" w:type="dxa"/>
          </w:tcPr>
          <w:p>
            <w:pPr>
              <w:spacing w:before="0" w:after="0"/>
              <w:jc w:val="center"/>
              <w:rPr>
                <w:rFonts w:eastAsia="宋体"/>
                <w:sz w:val="20"/>
                <w:szCs w:val="20"/>
              </w:rPr>
            </w:pPr>
            <w:r>
              <w:rPr>
                <w:rFonts w:hint="eastAsia" w:eastAsia="宋体"/>
                <w:sz w:val="20"/>
                <w:szCs w:val="2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405" w:type="dxa"/>
          </w:tcPr>
          <w:p>
            <w:pPr>
              <w:spacing w:before="0" w:after="0"/>
              <w:rPr>
                <w:rFonts w:eastAsia="宋体"/>
                <w:color w:val="000000"/>
                <w:sz w:val="20"/>
                <w:szCs w:val="20"/>
              </w:rPr>
            </w:pPr>
            <w:r>
              <w:rPr>
                <w:rFonts w:hint="eastAsia" w:eastAsia="宋体"/>
                <w:color w:val="000000"/>
                <w:sz w:val="20"/>
                <w:szCs w:val="20"/>
              </w:rPr>
              <w:t xml:space="preserve">    </w:t>
            </w:r>
            <w:r>
              <w:rPr>
                <w:rFonts w:eastAsia="宋体"/>
                <w:color w:val="000000"/>
                <w:sz w:val="20"/>
                <w:szCs w:val="20"/>
              </w:rPr>
              <w:t xml:space="preserve"> </w:t>
            </w:r>
            <w:r>
              <w:rPr>
                <w:rFonts w:hint="eastAsia" w:eastAsia="宋体"/>
                <w:color w:val="000000"/>
                <w:sz w:val="20"/>
                <w:szCs w:val="20"/>
              </w:rPr>
              <w:t>compulsi</w:t>
            </w:r>
            <w:r>
              <w:rPr>
                <w:rFonts w:eastAsia="宋体"/>
                <w:color w:val="000000"/>
                <w:sz w:val="20"/>
                <w:szCs w:val="20"/>
              </w:rPr>
              <w:t>on</w:t>
            </w:r>
          </w:p>
        </w:tc>
        <w:tc>
          <w:tcPr>
            <w:tcW w:w="1675" w:type="dxa"/>
          </w:tcPr>
          <w:p>
            <w:pPr>
              <w:spacing w:before="0" w:after="0"/>
              <w:jc w:val="center"/>
              <w:rPr>
                <w:rFonts w:eastAsia="宋体"/>
                <w:color w:val="000000"/>
                <w:sz w:val="20"/>
                <w:szCs w:val="20"/>
              </w:rPr>
            </w:pPr>
            <w:r>
              <w:rPr>
                <w:rFonts w:eastAsia="宋体"/>
                <w:color w:val="000000"/>
                <w:sz w:val="20"/>
                <w:szCs w:val="20"/>
              </w:rPr>
              <w:t>9.09±3.75</w:t>
            </w:r>
          </w:p>
        </w:tc>
        <w:tc>
          <w:tcPr>
            <w:tcW w:w="1787" w:type="dxa"/>
          </w:tcPr>
          <w:p>
            <w:pPr>
              <w:spacing w:before="0" w:after="0"/>
              <w:jc w:val="center"/>
              <w:rPr>
                <w:rFonts w:eastAsia="宋体"/>
                <w:color w:val="000000"/>
                <w:sz w:val="20"/>
                <w:szCs w:val="20"/>
              </w:rPr>
            </w:pPr>
            <w:r>
              <w:rPr>
                <w:rFonts w:hint="eastAsia" w:eastAsia="宋体"/>
                <w:color w:val="000000"/>
                <w:sz w:val="20"/>
                <w:szCs w:val="20"/>
              </w:rPr>
              <w:t>-</w:t>
            </w:r>
          </w:p>
        </w:tc>
        <w:tc>
          <w:tcPr>
            <w:tcW w:w="1376" w:type="dxa"/>
          </w:tcPr>
          <w:p>
            <w:pPr>
              <w:spacing w:before="0" w:after="0"/>
              <w:jc w:val="center"/>
              <w:rPr>
                <w:rFonts w:eastAsia="宋体"/>
                <w:color w:val="000000"/>
                <w:sz w:val="20"/>
                <w:szCs w:val="20"/>
              </w:rPr>
            </w:pPr>
            <w:r>
              <w:rPr>
                <w:rFonts w:hint="eastAsia" w:eastAsia="宋体"/>
                <w:color w:val="000000"/>
                <w:sz w:val="20"/>
                <w:szCs w:val="20"/>
              </w:rPr>
              <w:t>-</w:t>
            </w:r>
          </w:p>
        </w:tc>
        <w:tc>
          <w:tcPr>
            <w:tcW w:w="1279" w:type="dxa"/>
          </w:tcPr>
          <w:p>
            <w:pPr>
              <w:spacing w:before="0" w:after="0"/>
              <w:jc w:val="center"/>
              <w:rPr>
                <w:rFonts w:eastAsia="宋体"/>
                <w:sz w:val="20"/>
                <w:szCs w:val="20"/>
              </w:rPr>
            </w:pPr>
            <w:r>
              <w:rPr>
                <w:rFonts w:hint="eastAsia" w:eastAsia="宋体"/>
                <w:sz w:val="20"/>
                <w:szCs w:val="20"/>
              </w:rPr>
              <w:t>-</w:t>
            </w:r>
          </w:p>
        </w:tc>
      </w:tr>
    </w:tbl>
    <w:p>
      <w:pPr>
        <w:rPr>
          <w:rFonts w:eastAsia="宋体"/>
          <w:sz w:val="20"/>
          <w:szCs w:val="20"/>
        </w:rPr>
      </w:pPr>
      <w:r>
        <w:rPr>
          <w:rFonts w:hint="eastAsia" w:eastAsia="宋体"/>
          <w:b/>
          <w:bCs/>
          <w:i/>
          <w:iCs/>
          <w:sz w:val="20"/>
          <w:szCs w:val="20"/>
        </w:rPr>
        <w:t>Note.</w:t>
      </w:r>
      <w:r>
        <w:rPr>
          <w:rFonts w:hint="eastAsia" w:eastAsia="宋体"/>
          <w:sz w:val="20"/>
          <w:szCs w:val="20"/>
        </w:rPr>
        <w:t xml:space="preserve"> OCD,</w:t>
      </w:r>
      <w:r>
        <w:rPr>
          <w:rFonts w:eastAsia="宋体"/>
          <w:sz w:val="20"/>
          <w:szCs w:val="20"/>
        </w:rPr>
        <w:t xml:space="preserve"> </w:t>
      </w:r>
      <w:r>
        <w:rPr>
          <w:rFonts w:hint="eastAsia" w:eastAsia="宋体"/>
          <w:sz w:val="20"/>
          <w:szCs w:val="20"/>
        </w:rPr>
        <w:t>Obsessive-compulsive disorder; HC, healthy control; CES-D, the score of the Center for Epidemiologic Studies Depression Scale; SAI, the score of the state anxiety scale</w:t>
      </w:r>
      <w:r>
        <w:rPr>
          <w:rFonts w:eastAsia="宋体"/>
          <w:sz w:val="20"/>
          <w:szCs w:val="20"/>
        </w:rPr>
        <w:t>; Y-BOCS, Yale–Brown Obsessive–Compulsive Scale.</w:t>
      </w:r>
      <w:r>
        <w:rPr>
          <w:sz w:val="20"/>
          <w:szCs w:val="20"/>
        </w:rPr>
        <w:t xml:space="preserve"> *** Significance </w:t>
      </w:r>
      <w:r>
        <w:rPr>
          <w:rFonts w:hint="eastAsia"/>
          <w:sz w:val="20"/>
          <w:szCs w:val="20"/>
          <w:lang w:eastAsia="zh-CN"/>
        </w:rPr>
        <w:t>level</w:t>
      </w:r>
      <w:r>
        <w:rPr>
          <w:sz w:val="20"/>
          <w:szCs w:val="20"/>
        </w:rPr>
        <w:t xml:space="preserve"> of 0.001.</w:t>
      </w:r>
    </w:p>
    <w:p>
      <w:pPr>
        <w:spacing w:before="0" w:after="0" w:line="480" w:lineRule="auto"/>
        <w:rPr>
          <w:i/>
          <w:iCs/>
          <w:sz w:val="20"/>
          <w:szCs w:val="20"/>
        </w:rPr>
      </w:pPr>
      <w:bookmarkStart w:id="4" w:name="_Hlk102741246"/>
      <w:r>
        <w:rPr>
          <w:i/>
          <w:iCs/>
          <w:sz w:val="20"/>
          <w:szCs w:val="20"/>
        </w:rPr>
        <w:t>Volumetric analysis</w:t>
      </w:r>
      <w:bookmarkEnd w:id="4"/>
      <w:r>
        <w:rPr>
          <w:i/>
          <w:iCs/>
          <w:sz w:val="20"/>
          <w:szCs w:val="20"/>
        </w:rPr>
        <w:t xml:space="preserve"> of the habenular nucleus</w:t>
      </w:r>
    </w:p>
    <w:p>
      <w:pPr>
        <w:spacing w:before="0" w:after="0" w:line="480" w:lineRule="auto"/>
        <w:ind w:firstLine="400" w:firstLineChars="200"/>
        <w:jc w:val="both"/>
        <w:rPr>
          <w:sz w:val="20"/>
          <w:szCs w:val="20"/>
        </w:rPr>
      </w:pPr>
      <w:r>
        <w:rPr>
          <w:sz w:val="20"/>
          <w:szCs w:val="20"/>
        </w:rPr>
        <w:t xml:space="preserve">The volumes of left Hb (HCs = </w:t>
      </w:r>
      <w:bookmarkStart w:id="5" w:name="OLE_LINK3"/>
      <w:r>
        <w:rPr>
          <w:sz w:val="20"/>
          <w:szCs w:val="20"/>
        </w:rPr>
        <w:t>4</w:t>
      </w:r>
      <w:bookmarkEnd w:id="5"/>
      <w:r>
        <w:rPr>
          <w:sz w:val="20"/>
          <w:szCs w:val="20"/>
        </w:rPr>
        <w:t>4.70 ± 23.06 mm</w:t>
      </w:r>
      <w:r>
        <w:rPr>
          <w:sz w:val="20"/>
          <w:szCs w:val="20"/>
          <w:vertAlign w:val="superscript"/>
        </w:rPr>
        <w:t>3</w:t>
      </w:r>
      <w:r>
        <w:rPr>
          <w:sz w:val="20"/>
          <w:szCs w:val="20"/>
        </w:rPr>
        <w:t>; OCD = 29.08 ± 22.53 mm</w:t>
      </w:r>
      <w:r>
        <w:rPr>
          <w:sz w:val="20"/>
          <w:szCs w:val="20"/>
          <w:vertAlign w:val="superscript"/>
        </w:rPr>
        <w:t>3</w:t>
      </w:r>
      <w:r>
        <w:rPr>
          <w:sz w:val="20"/>
          <w:szCs w:val="20"/>
        </w:rPr>
        <w:t xml:space="preserve">; F=6.09, </w:t>
      </w:r>
      <w:r>
        <w:rPr>
          <w:i/>
          <w:iCs/>
          <w:sz w:val="20"/>
          <w:szCs w:val="20"/>
        </w:rPr>
        <w:t>p</w:t>
      </w:r>
      <w:r>
        <w:rPr>
          <w:sz w:val="20"/>
          <w:szCs w:val="20"/>
        </w:rPr>
        <w:t xml:space="preserve"> = 0.016) and right Hb (HCs = </w:t>
      </w:r>
      <w:bookmarkStart w:id="6" w:name="OLE_LINK4"/>
      <w:r>
        <w:rPr>
          <w:sz w:val="20"/>
          <w:szCs w:val="20"/>
        </w:rPr>
        <w:t>4</w:t>
      </w:r>
      <w:bookmarkEnd w:id="6"/>
      <w:r>
        <w:rPr>
          <w:sz w:val="20"/>
          <w:szCs w:val="20"/>
        </w:rPr>
        <w:t>8.21 ± 18.11 mm</w:t>
      </w:r>
      <w:r>
        <w:rPr>
          <w:sz w:val="20"/>
          <w:szCs w:val="20"/>
          <w:vertAlign w:val="superscript"/>
        </w:rPr>
        <w:t>3</w:t>
      </w:r>
      <w:r>
        <w:rPr>
          <w:sz w:val="20"/>
          <w:szCs w:val="20"/>
        </w:rPr>
        <w:t xml:space="preserve">; OCD = </w:t>
      </w:r>
      <w:bookmarkStart w:id="7" w:name="OLE_LINK2"/>
      <w:r>
        <w:rPr>
          <w:sz w:val="20"/>
          <w:szCs w:val="20"/>
        </w:rPr>
        <w:t>3</w:t>
      </w:r>
      <w:bookmarkEnd w:id="7"/>
      <w:r>
        <w:rPr>
          <w:sz w:val="20"/>
          <w:szCs w:val="20"/>
        </w:rPr>
        <w:t>4.99 ± 18.11 mm</w:t>
      </w:r>
      <w:r>
        <w:rPr>
          <w:sz w:val="20"/>
          <w:szCs w:val="20"/>
          <w:vertAlign w:val="superscript"/>
        </w:rPr>
        <w:t>3</w:t>
      </w:r>
      <w:r>
        <w:rPr>
          <w:sz w:val="20"/>
          <w:szCs w:val="20"/>
        </w:rPr>
        <w:t xml:space="preserve">; F=10.04, </w:t>
      </w:r>
      <w:r>
        <w:rPr>
          <w:rFonts w:hint="eastAsia"/>
          <w:i/>
          <w:iCs/>
          <w:sz w:val="20"/>
          <w:szCs w:val="20"/>
        </w:rPr>
        <w:t>p</w:t>
      </w:r>
      <w:r>
        <w:rPr>
          <w:sz w:val="20"/>
          <w:szCs w:val="20"/>
        </w:rPr>
        <w:t xml:space="preserve"> = 0.002) were significantly smaller in OCD patients than in HCs (see Table S5). A</w:t>
      </w:r>
      <w:r>
        <w:rPr>
          <w:rFonts w:hint="eastAsia"/>
          <w:sz w:val="20"/>
          <w:szCs w:val="20"/>
        </w:rPr>
        <w:t>f</w:t>
      </w:r>
      <w:r>
        <w:rPr>
          <w:sz w:val="20"/>
          <w:szCs w:val="20"/>
        </w:rPr>
        <w:t xml:space="preserve">ter controlling for the total intracranial volume (TIV) of each subject, the </w:t>
      </w:r>
      <w:r>
        <w:rPr>
          <w:rFonts w:hint="eastAsia"/>
          <w:sz w:val="20"/>
          <w:szCs w:val="20"/>
        </w:rPr>
        <w:t>difference</w:t>
      </w:r>
      <w:r>
        <w:rPr>
          <w:sz w:val="20"/>
          <w:szCs w:val="20"/>
        </w:rPr>
        <w:t>s remained (F</w:t>
      </w:r>
      <w:r>
        <w:rPr>
          <w:i/>
          <w:iCs/>
          <w:sz w:val="20"/>
          <w:szCs w:val="20"/>
          <w:vertAlign w:val="subscript"/>
        </w:rPr>
        <w:t>left</w:t>
      </w:r>
      <w:r>
        <w:rPr>
          <w:sz w:val="20"/>
          <w:szCs w:val="20"/>
        </w:rPr>
        <w:t xml:space="preserve">=4.09, </w:t>
      </w:r>
      <w:r>
        <w:rPr>
          <w:i/>
          <w:iCs/>
          <w:sz w:val="20"/>
          <w:szCs w:val="20"/>
        </w:rPr>
        <w:t>p</w:t>
      </w:r>
      <w:r>
        <w:rPr>
          <w:i/>
          <w:iCs/>
          <w:sz w:val="20"/>
          <w:szCs w:val="20"/>
          <w:vertAlign w:val="subscript"/>
        </w:rPr>
        <w:t>left</w:t>
      </w:r>
      <w:r>
        <w:rPr>
          <w:sz w:val="20"/>
          <w:szCs w:val="20"/>
          <w:vertAlign w:val="subscript"/>
        </w:rPr>
        <w:t>=</w:t>
      </w:r>
      <w:r>
        <w:rPr>
          <w:sz w:val="20"/>
          <w:szCs w:val="20"/>
        </w:rPr>
        <w:t>0.047; F</w:t>
      </w:r>
      <w:r>
        <w:rPr>
          <w:i/>
          <w:iCs/>
          <w:sz w:val="20"/>
          <w:szCs w:val="20"/>
          <w:vertAlign w:val="subscript"/>
        </w:rPr>
        <w:t>right</w:t>
      </w:r>
      <w:r>
        <w:rPr>
          <w:sz w:val="20"/>
          <w:szCs w:val="20"/>
        </w:rPr>
        <w:t xml:space="preserve">=8.37, </w:t>
      </w:r>
      <w:r>
        <w:rPr>
          <w:i/>
          <w:iCs/>
          <w:sz w:val="20"/>
          <w:szCs w:val="20"/>
        </w:rPr>
        <w:t>p</w:t>
      </w:r>
      <w:r>
        <w:rPr>
          <w:i/>
          <w:iCs/>
          <w:sz w:val="20"/>
          <w:szCs w:val="20"/>
          <w:vertAlign w:val="subscript"/>
        </w:rPr>
        <w:t>right</w:t>
      </w:r>
      <w:r>
        <w:rPr>
          <w:sz w:val="20"/>
          <w:szCs w:val="20"/>
          <w:vertAlign w:val="subscript"/>
        </w:rPr>
        <w:t>=</w:t>
      </w:r>
      <w:r>
        <w:rPr>
          <w:sz w:val="20"/>
          <w:szCs w:val="20"/>
        </w:rPr>
        <w:t>0.005).</w:t>
      </w:r>
    </w:p>
    <w:p>
      <w:pPr>
        <w:spacing w:before="0" w:after="0"/>
        <w:jc w:val="center"/>
        <w:rPr>
          <w:b/>
          <w:bCs/>
          <w:sz w:val="20"/>
          <w:szCs w:val="20"/>
        </w:rPr>
      </w:pPr>
      <w:r>
        <w:rPr>
          <w:b/>
          <w:bCs/>
          <w:sz w:val="20"/>
          <w:szCs w:val="20"/>
        </w:rPr>
        <w:t xml:space="preserve">Table S5 </w:t>
      </w:r>
      <w:r>
        <w:rPr>
          <w:b/>
          <w:bCs/>
          <w:color w:val="000000"/>
          <w:sz w:val="20"/>
          <w:szCs w:val="20"/>
        </w:rPr>
        <w:t>Comparison</w:t>
      </w:r>
      <w:r>
        <w:rPr>
          <w:rFonts w:hint="eastAsia"/>
          <w:b/>
          <w:bCs/>
          <w:color w:val="000000"/>
          <w:sz w:val="20"/>
          <w:szCs w:val="20"/>
        </w:rPr>
        <w:t xml:space="preserve"> of </w:t>
      </w:r>
      <w:r>
        <w:rPr>
          <w:b/>
          <w:bCs/>
          <w:color w:val="000000"/>
          <w:sz w:val="20"/>
          <w:szCs w:val="20"/>
        </w:rPr>
        <w:t>gray matter volume of habenula in the replication dataset</w:t>
      </w:r>
    </w:p>
    <w:tbl>
      <w:tblPr>
        <w:tblStyle w:val="5"/>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top w:val="single" w:color="auto" w:sz="4" w:space="0"/>
              <w:bottom w:val="single" w:color="auto" w:sz="4" w:space="0"/>
            </w:tcBorders>
          </w:tcPr>
          <w:p>
            <w:pPr>
              <w:spacing w:before="0" w:after="0"/>
              <w:rPr>
                <w:rFonts w:eastAsiaTheme="minorEastAsia"/>
                <w:b/>
                <w:bCs/>
                <w:sz w:val="20"/>
                <w:szCs w:val="20"/>
                <w:lang w:eastAsia="zh-CN"/>
              </w:rPr>
            </w:pPr>
            <w:r>
              <w:rPr>
                <w:rFonts w:hint="eastAsia" w:eastAsiaTheme="minorEastAsia"/>
                <w:b/>
                <w:bCs/>
                <w:sz w:val="20"/>
                <w:szCs w:val="20"/>
                <w:lang w:eastAsia="zh-CN"/>
              </w:rPr>
              <w:t>G</w:t>
            </w:r>
            <w:r>
              <w:rPr>
                <w:rFonts w:eastAsiaTheme="minorEastAsia"/>
                <w:b/>
                <w:bCs/>
                <w:sz w:val="20"/>
                <w:szCs w:val="20"/>
                <w:lang w:eastAsia="zh-CN"/>
              </w:rPr>
              <w:t>MV</w:t>
            </w:r>
          </w:p>
        </w:tc>
        <w:tc>
          <w:tcPr>
            <w:tcW w:w="2130" w:type="dxa"/>
            <w:tcBorders>
              <w:top w:val="single" w:color="auto" w:sz="4" w:space="0"/>
              <w:bottom w:val="single" w:color="auto" w:sz="4" w:space="0"/>
            </w:tcBorders>
          </w:tcPr>
          <w:p>
            <w:pPr>
              <w:spacing w:before="0" w:after="0"/>
              <w:rPr>
                <w:b/>
                <w:bCs/>
                <w:sz w:val="20"/>
                <w:szCs w:val="20"/>
              </w:rPr>
            </w:pPr>
            <w:r>
              <w:rPr>
                <w:rFonts w:hint="eastAsia"/>
                <w:b/>
                <w:bCs/>
                <w:sz w:val="20"/>
                <w:szCs w:val="20"/>
              </w:rPr>
              <w:t>O</w:t>
            </w:r>
            <w:r>
              <w:rPr>
                <w:b/>
                <w:bCs/>
                <w:sz w:val="20"/>
                <w:szCs w:val="20"/>
              </w:rPr>
              <w:t>CD(n=38)</w:t>
            </w:r>
          </w:p>
        </w:tc>
        <w:tc>
          <w:tcPr>
            <w:tcW w:w="2131" w:type="dxa"/>
            <w:tcBorders>
              <w:top w:val="single" w:color="auto" w:sz="4" w:space="0"/>
              <w:bottom w:val="single" w:color="auto" w:sz="4" w:space="0"/>
            </w:tcBorders>
          </w:tcPr>
          <w:p>
            <w:pPr>
              <w:spacing w:before="0" w:after="0"/>
              <w:rPr>
                <w:b/>
                <w:bCs/>
                <w:sz w:val="20"/>
                <w:szCs w:val="20"/>
              </w:rPr>
            </w:pPr>
            <w:r>
              <w:rPr>
                <w:rFonts w:hint="eastAsia"/>
                <w:b/>
                <w:bCs/>
                <w:sz w:val="20"/>
                <w:szCs w:val="20"/>
              </w:rPr>
              <w:t>H</w:t>
            </w:r>
            <w:r>
              <w:rPr>
                <w:b/>
                <w:bCs/>
                <w:sz w:val="20"/>
                <w:szCs w:val="20"/>
              </w:rPr>
              <w:t>C(n=34)</w:t>
            </w:r>
          </w:p>
        </w:tc>
        <w:tc>
          <w:tcPr>
            <w:tcW w:w="2131" w:type="dxa"/>
            <w:tcBorders>
              <w:top w:val="single" w:color="auto" w:sz="4" w:space="0"/>
              <w:bottom w:val="single" w:color="auto" w:sz="4" w:space="0"/>
            </w:tcBorders>
          </w:tcPr>
          <w:p>
            <w:pPr>
              <w:spacing w:before="0" w:after="0"/>
              <w:jc w:val="center"/>
              <w:rPr>
                <w:b/>
                <w:bCs/>
                <w:sz w:val="20"/>
                <w:szCs w:val="20"/>
              </w:rPr>
            </w:pPr>
            <w:r>
              <w:rPr>
                <w:rFonts w:hint="eastAsia"/>
                <w:b/>
                <w:bCs/>
                <w:sz w:val="20"/>
                <w:szCs w:val="20"/>
              </w:rPr>
              <w:t>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Borders>
              <w:top w:val="single" w:color="auto" w:sz="4" w:space="0"/>
            </w:tcBorders>
          </w:tcPr>
          <w:p>
            <w:pPr>
              <w:spacing w:before="0" w:after="0"/>
              <w:rPr>
                <w:b/>
                <w:bCs/>
                <w:sz w:val="20"/>
                <w:szCs w:val="20"/>
              </w:rPr>
            </w:pPr>
            <w:r>
              <w:rPr>
                <w:b/>
                <w:bCs/>
                <w:sz w:val="20"/>
                <w:szCs w:val="20"/>
              </w:rPr>
              <w:t>left Hb</w:t>
            </w:r>
          </w:p>
        </w:tc>
        <w:tc>
          <w:tcPr>
            <w:tcW w:w="2130" w:type="dxa"/>
            <w:tcBorders>
              <w:top w:val="single" w:color="auto" w:sz="4" w:space="0"/>
            </w:tcBorders>
          </w:tcPr>
          <w:p>
            <w:pPr>
              <w:spacing w:before="0" w:after="0"/>
              <w:rPr>
                <w:sz w:val="20"/>
                <w:szCs w:val="20"/>
              </w:rPr>
            </w:pPr>
            <w:r>
              <w:rPr>
                <w:rFonts w:hint="eastAsia"/>
                <w:sz w:val="20"/>
                <w:szCs w:val="20"/>
              </w:rPr>
              <w:t>2</w:t>
            </w:r>
            <w:r>
              <w:rPr>
                <w:sz w:val="20"/>
                <w:szCs w:val="20"/>
              </w:rPr>
              <w:t>9.08</w:t>
            </w:r>
            <w:r>
              <w:rPr>
                <w:sz w:val="20"/>
                <w:szCs w:val="20"/>
              </w:rPr>
              <w:sym w:font="Symbol" w:char="F0B1"/>
            </w:r>
            <w:r>
              <w:rPr>
                <w:sz w:val="20"/>
                <w:szCs w:val="20"/>
              </w:rPr>
              <w:t>22.53</w:t>
            </w:r>
          </w:p>
        </w:tc>
        <w:tc>
          <w:tcPr>
            <w:tcW w:w="2131" w:type="dxa"/>
            <w:tcBorders>
              <w:top w:val="single" w:color="auto" w:sz="4" w:space="0"/>
            </w:tcBorders>
          </w:tcPr>
          <w:p>
            <w:pPr>
              <w:spacing w:before="0" w:after="0"/>
              <w:rPr>
                <w:sz w:val="20"/>
                <w:szCs w:val="20"/>
              </w:rPr>
            </w:pPr>
            <w:r>
              <w:rPr>
                <w:rFonts w:hint="eastAsia"/>
                <w:sz w:val="20"/>
                <w:szCs w:val="20"/>
              </w:rPr>
              <w:t>4</w:t>
            </w:r>
            <w:r>
              <w:rPr>
                <w:sz w:val="20"/>
                <w:szCs w:val="20"/>
              </w:rPr>
              <w:t>4.70</w:t>
            </w:r>
            <w:r>
              <w:rPr>
                <w:sz w:val="20"/>
                <w:szCs w:val="20"/>
              </w:rPr>
              <w:sym w:font="Symbol" w:char="F0B1"/>
            </w:r>
            <w:r>
              <w:rPr>
                <w:sz w:val="20"/>
                <w:szCs w:val="20"/>
              </w:rPr>
              <w:t>23.06</w:t>
            </w:r>
          </w:p>
        </w:tc>
        <w:tc>
          <w:tcPr>
            <w:tcW w:w="2131" w:type="dxa"/>
            <w:tcBorders>
              <w:top w:val="single" w:color="auto" w:sz="4" w:space="0"/>
            </w:tcBorders>
          </w:tcPr>
          <w:p>
            <w:pPr>
              <w:spacing w:before="0" w:after="0"/>
              <w:jc w:val="center"/>
              <w:rPr>
                <w:sz w:val="20"/>
                <w:szCs w:val="20"/>
              </w:rPr>
            </w:pPr>
            <w:r>
              <w:rPr>
                <w:sz w:val="20"/>
                <w:szCs w:val="20"/>
              </w:rPr>
              <w:t>6.09*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pPr>
              <w:spacing w:before="0" w:after="0"/>
              <w:rPr>
                <w:b/>
                <w:bCs/>
                <w:sz w:val="20"/>
                <w:szCs w:val="20"/>
              </w:rPr>
            </w:pPr>
            <w:r>
              <w:rPr>
                <w:b/>
                <w:bCs/>
                <w:sz w:val="20"/>
                <w:szCs w:val="20"/>
              </w:rPr>
              <w:t>right Hb</w:t>
            </w:r>
          </w:p>
        </w:tc>
        <w:tc>
          <w:tcPr>
            <w:tcW w:w="2130" w:type="dxa"/>
          </w:tcPr>
          <w:p>
            <w:pPr>
              <w:spacing w:before="0" w:after="0"/>
              <w:rPr>
                <w:sz w:val="20"/>
                <w:szCs w:val="20"/>
              </w:rPr>
            </w:pPr>
            <w:r>
              <w:rPr>
                <w:rFonts w:hint="eastAsia"/>
                <w:sz w:val="20"/>
                <w:szCs w:val="20"/>
              </w:rPr>
              <w:t>3</w:t>
            </w:r>
            <w:r>
              <w:rPr>
                <w:sz w:val="20"/>
                <w:szCs w:val="20"/>
              </w:rPr>
              <w:t>4.99</w:t>
            </w:r>
            <w:r>
              <w:rPr>
                <w:sz w:val="20"/>
                <w:szCs w:val="20"/>
              </w:rPr>
              <w:sym w:font="Symbol" w:char="F0B1"/>
            </w:r>
            <w:r>
              <w:rPr>
                <w:sz w:val="20"/>
                <w:szCs w:val="20"/>
              </w:rPr>
              <w:t>21.16</w:t>
            </w:r>
          </w:p>
        </w:tc>
        <w:tc>
          <w:tcPr>
            <w:tcW w:w="2131" w:type="dxa"/>
          </w:tcPr>
          <w:p>
            <w:pPr>
              <w:spacing w:before="0" w:after="0"/>
              <w:rPr>
                <w:sz w:val="20"/>
                <w:szCs w:val="20"/>
              </w:rPr>
            </w:pPr>
            <w:r>
              <w:rPr>
                <w:rFonts w:hint="eastAsia"/>
                <w:sz w:val="20"/>
                <w:szCs w:val="20"/>
              </w:rPr>
              <w:t>4</w:t>
            </w:r>
            <w:r>
              <w:rPr>
                <w:sz w:val="20"/>
                <w:szCs w:val="20"/>
              </w:rPr>
              <w:t>8.21</w:t>
            </w:r>
            <w:r>
              <w:rPr>
                <w:sz w:val="20"/>
                <w:szCs w:val="20"/>
              </w:rPr>
              <w:sym w:font="Symbol" w:char="F0B1"/>
            </w:r>
            <w:r>
              <w:rPr>
                <w:sz w:val="20"/>
                <w:szCs w:val="20"/>
              </w:rPr>
              <w:t>18.11</w:t>
            </w:r>
          </w:p>
        </w:tc>
        <w:tc>
          <w:tcPr>
            <w:tcW w:w="2131" w:type="dxa"/>
          </w:tcPr>
          <w:p>
            <w:pPr>
              <w:spacing w:before="0" w:after="0"/>
              <w:jc w:val="center"/>
              <w:rPr>
                <w:sz w:val="20"/>
                <w:szCs w:val="20"/>
              </w:rPr>
            </w:pPr>
            <w:r>
              <w:rPr>
                <w:sz w:val="20"/>
                <w:szCs w:val="20"/>
              </w:rPr>
              <w:t>10.04**</w:t>
            </w:r>
          </w:p>
        </w:tc>
      </w:tr>
    </w:tbl>
    <w:p>
      <w:pPr>
        <w:spacing w:before="0" w:after="0"/>
        <w:rPr>
          <w:rFonts w:eastAsia="宋体"/>
          <w:sz w:val="20"/>
          <w:szCs w:val="20"/>
          <w:lang w:eastAsia="zh-CN"/>
        </w:rPr>
      </w:pPr>
      <w:r>
        <w:rPr>
          <w:rFonts w:hint="eastAsia" w:eastAsia="宋体"/>
          <w:b/>
          <w:bCs/>
          <w:i/>
          <w:iCs/>
          <w:sz w:val="20"/>
          <w:szCs w:val="20"/>
          <w:lang w:eastAsia="zh-CN"/>
        </w:rPr>
        <w:t>Notes.</w:t>
      </w:r>
      <w:r>
        <w:rPr>
          <w:rFonts w:hint="eastAsia" w:eastAsia="宋体"/>
          <w:i/>
          <w:iCs/>
          <w:sz w:val="20"/>
          <w:szCs w:val="20"/>
          <w:lang w:eastAsia="zh-CN"/>
        </w:rPr>
        <w:t xml:space="preserve"> </w:t>
      </w:r>
      <w:r>
        <w:rPr>
          <w:rFonts w:hint="eastAsia" w:eastAsia="宋体"/>
          <w:sz w:val="20"/>
          <w:szCs w:val="20"/>
          <w:lang w:eastAsia="zh-CN"/>
        </w:rPr>
        <w:t>GMV,</w:t>
      </w:r>
      <w:r>
        <w:rPr>
          <w:rFonts w:eastAsia="宋体"/>
          <w:sz w:val="20"/>
          <w:szCs w:val="20"/>
          <w:lang w:eastAsia="zh-CN"/>
        </w:rPr>
        <w:t xml:space="preserve"> </w:t>
      </w:r>
      <w:r>
        <w:rPr>
          <w:rFonts w:hint="eastAsia" w:eastAsia="宋体"/>
          <w:sz w:val="20"/>
          <w:szCs w:val="20"/>
          <w:lang w:eastAsia="zh-CN"/>
        </w:rPr>
        <w:t>gray matter volume.</w:t>
      </w:r>
      <w:r>
        <w:rPr>
          <w:rFonts w:eastAsia="宋体"/>
          <w:sz w:val="20"/>
          <w:szCs w:val="20"/>
          <w:lang w:eastAsia="zh-CN"/>
        </w:rPr>
        <w:t xml:space="preserve"> </w:t>
      </w:r>
      <w:bookmarkStart w:id="8" w:name="_Hlk143767411"/>
      <w:r>
        <w:rPr>
          <w:rFonts w:eastAsia="宋体"/>
          <w:sz w:val="20"/>
          <w:szCs w:val="20"/>
          <w:lang w:eastAsia="zh-CN"/>
        </w:rPr>
        <w:t>*</w:t>
      </w:r>
      <w:r>
        <w:rPr>
          <w:sz w:val="20"/>
          <w:szCs w:val="20"/>
        </w:rPr>
        <w:t xml:space="preserve">Significance </w:t>
      </w:r>
      <w:r>
        <w:rPr>
          <w:rFonts w:hint="eastAsia"/>
          <w:sz w:val="20"/>
          <w:szCs w:val="20"/>
          <w:lang w:eastAsia="zh-CN"/>
        </w:rPr>
        <w:t>level</w:t>
      </w:r>
      <w:r>
        <w:rPr>
          <w:sz w:val="20"/>
          <w:szCs w:val="20"/>
        </w:rPr>
        <w:t xml:space="preserve"> of</w:t>
      </w:r>
      <w:bookmarkEnd w:id="8"/>
      <w:r>
        <w:rPr>
          <w:sz w:val="20"/>
          <w:szCs w:val="20"/>
        </w:rPr>
        <w:t xml:space="preserve"> 0.05; **Significance </w:t>
      </w:r>
      <w:r>
        <w:rPr>
          <w:rFonts w:hint="eastAsia"/>
          <w:sz w:val="20"/>
          <w:szCs w:val="20"/>
          <w:lang w:eastAsia="zh-CN"/>
        </w:rPr>
        <w:t>level</w:t>
      </w:r>
      <w:r>
        <w:rPr>
          <w:sz w:val="20"/>
          <w:szCs w:val="20"/>
        </w:rPr>
        <w:t xml:space="preserve"> of 0.01.</w:t>
      </w:r>
    </w:p>
    <w:p>
      <w:pPr>
        <w:spacing w:before="0" w:after="0"/>
        <w:rPr>
          <w:i/>
          <w:iCs/>
          <w:sz w:val="20"/>
          <w:szCs w:val="20"/>
        </w:rPr>
      </w:pPr>
    </w:p>
    <w:p>
      <w:pPr>
        <w:spacing w:before="0" w:after="0" w:line="480" w:lineRule="auto"/>
        <w:rPr>
          <w:i/>
          <w:iCs/>
          <w:sz w:val="20"/>
          <w:szCs w:val="20"/>
        </w:rPr>
      </w:pPr>
      <w:r>
        <w:rPr>
          <w:i/>
          <w:iCs/>
          <w:sz w:val="20"/>
          <w:szCs w:val="20"/>
        </w:rPr>
        <w:t xml:space="preserve">Functional connectivity of the </w:t>
      </w:r>
      <w:r>
        <w:rPr>
          <w:rFonts w:hint="eastAsia"/>
          <w:i/>
          <w:iCs/>
          <w:sz w:val="20"/>
          <w:szCs w:val="20"/>
        </w:rPr>
        <w:t>habenula</w:t>
      </w:r>
    </w:p>
    <w:p>
      <w:pPr>
        <w:spacing w:before="0" w:after="0" w:line="480" w:lineRule="auto"/>
        <w:ind w:firstLine="400" w:firstLineChars="200"/>
      </w:pPr>
      <w:r>
        <w:rPr>
          <w:rFonts w:hint="eastAsia"/>
          <w:sz w:val="20"/>
          <w:szCs w:val="20"/>
        </w:rPr>
        <w:t xml:space="preserve">ROI analysis showed that </w:t>
      </w:r>
      <w:r>
        <w:rPr>
          <w:sz w:val="20"/>
          <w:szCs w:val="20"/>
        </w:rPr>
        <w:t>patients with OCD showed significantly increased FC of right Hb-right hippocampus</w:t>
      </w:r>
      <w:r>
        <w:rPr>
          <w:rFonts w:hint="eastAsia"/>
          <w:sz w:val="20"/>
          <w:szCs w:val="20"/>
        </w:rPr>
        <w:t xml:space="preserve"> </w:t>
      </w:r>
      <w:r>
        <w:rPr>
          <w:sz w:val="20"/>
          <w:szCs w:val="20"/>
        </w:rPr>
        <w:t xml:space="preserve">([26, -126, -18], voxels=53, T=4.80, </w:t>
      </w:r>
      <w:r>
        <w:rPr>
          <w:i/>
          <w:iCs/>
          <w:sz w:val="20"/>
          <w:szCs w:val="20"/>
        </w:rPr>
        <w:t>p</w:t>
      </w:r>
      <w:r>
        <w:rPr>
          <w:sz w:val="20"/>
          <w:szCs w:val="20"/>
        </w:rPr>
        <w:t>=0.001, SVC) (</w:t>
      </w:r>
      <w:r>
        <w:rPr>
          <w:rFonts w:hint="eastAsia"/>
          <w:sz w:val="20"/>
          <w:szCs w:val="20"/>
        </w:rPr>
        <w:t xml:space="preserve">see Figure </w:t>
      </w:r>
      <w:r>
        <w:rPr>
          <w:sz w:val="20"/>
          <w:szCs w:val="20"/>
        </w:rPr>
        <w:t>S3</w:t>
      </w:r>
      <w:r>
        <w:rPr>
          <w:rFonts w:hint="eastAsia"/>
          <w:sz w:val="20"/>
          <w:szCs w:val="20"/>
        </w:rPr>
        <w:t>)</w:t>
      </w:r>
      <w:r>
        <w:rPr>
          <w:sz w:val="20"/>
          <w:szCs w:val="20"/>
        </w:rPr>
        <w:t xml:space="preserve">. No </w:t>
      </w:r>
      <w:r>
        <w:rPr>
          <w:rFonts w:hint="eastAsia"/>
          <w:sz w:val="20"/>
          <w:szCs w:val="20"/>
        </w:rPr>
        <w:t>other</w:t>
      </w:r>
      <w:r>
        <w:rPr>
          <w:sz w:val="20"/>
          <w:szCs w:val="20"/>
        </w:rPr>
        <w:t xml:space="preserve"> significant difference </w:t>
      </w:r>
      <w:r>
        <w:rPr>
          <w:rFonts w:hint="eastAsia"/>
          <w:sz w:val="20"/>
          <w:szCs w:val="20"/>
        </w:rPr>
        <w:t xml:space="preserve">in FC between </w:t>
      </w:r>
      <w:r>
        <w:rPr>
          <w:sz w:val="20"/>
          <w:szCs w:val="20"/>
        </w:rPr>
        <w:t>the OCD group and HCs w</w:t>
      </w:r>
      <w:r>
        <w:rPr>
          <w:rFonts w:hint="eastAsia"/>
          <w:sz w:val="20"/>
          <w:szCs w:val="20"/>
        </w:rPr>
        <w:t>as</w:t>
      </w:r>
      <w:r>
        <w:rPr>
          <w:sz w:val="20"/>
          <w:szCs w:val="20"/>
        </w:rPr>
        <w:t xml:space="preserve"> detected.</w:t>
      </w:r>
    </w:p>
    <w:p>
      <w:pPr>
        <w:widowControl w:val="0"/>
        <w:spacing w:before="0" w:after="0"/>
        <w:ind w:firstLine="400" w:firstLineChars="200"/>
        <w:rPr>
          <w:rFonts w:eastAsia="宋体"/>
          <w:kern w:val="2"/>
          <w:sz w:val="20"/>
          <w:szCs w:val="20"/>
          <w:lang w:eastAsia="zh-CN"/>
        </w:rPr>
      </w:pPr>
      <w:r>
        <w:rPr>
          <w:rFonts w:eastAsia="宋体"/>
          <w:kern w:val="2"/>
          <w:sz w:val="20"/>
          <w:szCs w:val="20"/>
          <w:lang w:eastAsia="zh-CN"/>
        </w:rPr>
        <w:drawing>
          <wp:inline distT="0" distB="0" distL="0" distR="0">
            <wp:extent cx="5274310" cy="1624965"/>
            <wp:effectExtent l="0" t="0" r="2540" b="0"/>
            <wp:docPr id="1630567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67274"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1624965"/>
                    </a:xfrm>
                    <a:prstGeom prst="rect">
                      <a:avLst/>
                    </a:prstGeom>
                  </pic:spPr>
                </pic:pic>
              </a:graphicData>
            </a:graphic>
          </wp:inline>
        </w:drawing>
      </w:r>
      <w:r>
        <w:rPr>
          <w:rFonts w:hint="eastAsia" w:eastAsia="宋体"/>
          <w:b/>
          <w:bCs/>
          <w:kern w:val="2"/>
          <w:sz w:val="20"/>
          <w:szCs w:val="20"/>
          <w:lang w:eastAsia="zh-CN"/>
        </w:rPr>
        <w:t>Figure</w:t>
      </w:r>
      <w:r>
        <w:rPr>
          <w:rFonts w:eastAsia="宋体"/>
          <w:b/>
          <w:bCs/>
          <w:kern w:val="2"/>
          <w:sz w:val="20"/>
          <w:szCs w:val="20"/>
          <w:lang w:eastAsia="zh-CN"/>
        </w:rPr>
        <w:t xml:space="preserve"> S3</w:t>
      </w:r>
      <w:r>
        <w:rPr>
          <w:rFonts w:eastAsia="宋体"/>
          <w:kern w:val="2"/>
          <w:sz w:val="20"/>
          <w:szCs w:val="20"/>
          <w:lang w:eastAsia="zh-CN"/>
        </w:rPr>
        <w:t xml:space="preserve"> </w:t>
      </w:r>
      <w:r>
        <w:rPr>
          <w:b/>
          <w:bCs/>
          <w:sz w:val="20"/>
          <w:szCs w:val="20"/>
        </w:rPr>
        <w:t>Group difference in functional connectivity of the right Hb by ROI analysis</w:t>
      </w:r>
    </w:p>
    <w:p>
      <w:pPr>
        <w:spacing w:before="0" w:after="0"/>
        <w:jc w:val="both"/>
        <w:rPr>
          <w:sz w:val="18"/>
          <w:szCs w:val="18"/>
        </w:rPr>
      </w:pPr>
      <w:r>
        <w:rPr>
          <w:sz w:val="18"/>
          <w:szCs w:val="18"/>
        </w:rPr>
        <w:t>E</w:t>
      </w:r>
      <w:r>
        <w:rPr>
          <w:rFonts w:hint="eastAsia"/>
          <w:sz w:val="18"/>
          <w:szCs w:val="18"/>
        </w:rPr>
        <w:t>nhanced</w:t>
      </w:r>
      <w:r>
        <w:rPr>
          <w:sz w:val="18"/>
          <w:szCs w:val="18"/>
        </w:rPr>
        <w:t xml:space="preserve"> </w:t>
      </w:r>
      <w:r>
        <w:rPr>
          <w:rFonts w:hint="eastAsia"/>
          <w:sz w:val="18"/>
          <w:szCs w:val="18"/>
        </w:rPr>
        <w:t xml:space="preserve">resting-state functional connectivity (rsFC) of the </w:t>
      </w:r>
      <w:r>
        <w:rPr>
          <w:sz w:val="18"/>
          <w:szCs w:val="18"/>
        </w:rPr>
        <w:t xml:space="preserve">right </w:t>
      </w:r>
      <w:r>
        <w:rPr>
          <w:rFonts w:hint="eastAsia"/>
          <w:sz w:val="18"/>
          <w:szCs w:val="18"/>
        </w:rPr>
        <w:t>habenula</w:t>
      </w:r>
      <w:r>
        <w:rPr>
          <w:sz w:val="18"/>
          <w:szCs w:val="18"/>
        </w:rPr>
        <w:t>-right hippocampus</w:t>
      </w:r>
      <w:r>
        <w:rPr>
          <w:rFonts w:hint="eastAsia"/>
          <w:sz w:val="18"/>
          <w:szCs w:val="18"/>
        </w:rPr>
        <w:t xml:space="preserve"> were found</w:t>
      </w:r>
      <w:r>
        <w:rPr>
          <w:sz w:val="18"/>
          <w:szCs w:val="18"/>
        </w:rPr>
        <w:t xml:space="preserve"> </w:t>
      </w:r>
      <w:r>
        <w:rPr>
          <w:rFonts w:hint="eastAsia"/>
          <w:sz w:val="18"/>
          <w:szCs w:val="18"/>
        </w:rPr>
        <w:t xml:space="preserve">in patients with </w:t>
      </w:r>
      <w:r>
        <w:rPr>
          <w:sz w:val="18"/>
          <w:szCs w:val="18"/>
        </w:rPr>
        <w:t>obsessive-compulsive disorder</w:t>
      </w:r>
      <w:r>
        <w:rPr>
          <w:rFonts w:hint="eastAsia"/>
          <w:sz w:val="18"/>
          <w:szCs w:val="18"/>
        </w:rPr>
        <w:t xml:space="preserve"> (</w:t>
      </w:r>
      <w:r>
        <w:rPr>
          <w:sz w:val="18"/>
          <w:szCs w:val="18"/>
        </w:rPr>
        <w:t>OCD</w:t>
      </w:r>
      <w:r>
        <w:rPr>
          <w:rFonts w:hint="eastAsia"/>
          <w:sz w:val="18"/>
          <w:szCs w:val="18"/>
        </w:rPr>
        <w:t xml:space="preserve">) when compared to healthy controls. The connectivity values were obtained from small-volume correction analyses. </w:t>
      </w:r>
      <w:r>
        <w:rPr>
          <w:sz w:val="18"/>
          <w:szCs w:val="18"/>
        </w:rPr>
        <w:t>T</w:t>
      </w:r>
      <w:r>
        <w:rPr>
          <w:rFonts w:hint="eastAsia"/>
          <w:sz w:val="18"/>
          <w:szCs w:val="18"/>
        </w:rPr>
        <w:t>he</w:t>
      </w:r>
      <w:r>
        <w:rPr>
          <w:sz w:val="18"/>
          <w:szCs w:val="18"/>
        </w:rPr>
        <w:t xml:space="preserve"> color bar represents the T value. </w:t>
      </w:r>
      <w:r>
        <w:rPr>
          <w:b/>
          <w:bCs/>
          <w:i/>
          <w:iCs/>
          <w:color w:val="333333"/>
          <w:sz w:val="18"/>
          <w:szCs w:val="18"/>
          <w:shd w:val="clear" w:color="auto" w:fill="FFFFFF"/>
        </w:rPr>
        <w:t>A</w:t>
      </w:r>
      <w:r>
        <w:rPr>
          <w:rFonts w:eastAsia="Cambria"/>
          <w:b/>
          <w:bCs/>
          <w:i/>
          <w:iCs/>
          <w:color w:val="333333"/>
          <w:sz w:val="18"/>
          <w:szCs w:val="18"/>
          <w:shd w:val="clear" w:color="auto" w:fill="FFFFFF"/>
        </w:rPr>
        <w:t>bbreviation</w:t>
      </w:r>
      <w:r>
        <w:rPr>
          <w:rFonts w:hint="eastAsia"/>
          <w:b/>
          <w:bCs/>
          <w:i/>
          <w:iCs/>
          <w:color w:val="333333"/>
          <w:sz w:val="18"/>
          <w:szCs w:val="18"/>
          <w:shd w:val="clear" w:color="auto" w:fill="FFFFFF"/>
        </w:rPr>
        <w:t>s</w:t>
      </w:r>
      <w:r>
        <w:rPr>
          <w:rFonts w:hint="eastAsia"/>
          <w:i/>
          <w:iCs/>
          <w:color w:val="333333"/>
          <w:sz w:val="18"/>
          <w:szCs w:val="18"/>
          <w:shd w:val="clear" w:color="auto" w:fill="FFFFFF"/>
        </w:rPr>
        <w:t>:</w:t>
      </w:r>
      <w:r>
        <w:rPr>
          <w:i/>
          <w:iCs/>
          <w:color w:val="333333"/>
          <w:sz w:val="18"/>
          <w:szCs w:val="18"/>
          <w:shd w:val="clear" w:color="auto" w:fill="FFFFFF"/>
        </w:rPr>
        <w:t xml:space="preserve"> </w:t>
      </w:r>
      <w:r>
        <w:rPr>
          <w:color w:val="333333"/>
          <w:sz w:val="18"/>
          <w:szCs w:val="18"/>
          <w:shd w:val="clear" w:color="auto" w:fill="FFFFFF"/>
        </w:rPr>
        <w:t>L, left;</w:t>
      </w:r>
      <w:r>
        <w:rPr>
          <w:i/>
          <w:iCs/>
          <w:color w:val="333333"/>
          <w:sz w:val="18"/>
          <w:szCs w:val="18"/>
          <w:shd w:val="clear" w:color="auto" w:fill="FFFFFF"/>
        </w:rPr>
        <w:t xml:space="preserve"> </w:t>
      </w:r>
      <w:r>
        <w:rPr>
          <w:rFonts w:hint="eastAsia"/>
          <w:sz w:val="18"/>
          <w:szCs w:val="18"/>
        </w:rPr>
        <w:t>R,</w:t>
      </w:r>
      <w:r>
        <w:rPr>
          <w:sz w:val="18"/>
          <w:szCs w:val="18"/>
        </w:rPr>
        <w:t xml:space="preserve"> </w:t>
      </w:r>
      <w:r>
        <w:rPr>
          <w:rFonts w:hint="eastAsia"/>
          <w:sz w:val="18"/>
          <w:szCs w:val="18"/>
        </w:rPr>
        <w:t>right</w:t>
      </w:r>
      <w:r>
        <w:rPr>
          <w:sz w:val="18"/>
          <w:szCs w:val="18"/>
        </w:rPr>
        <w:t xml:space="preserve">. </w:t>
      </w:r>
    </w:p>
    <w:p>
      <w:pPr>
        <w:spacing w:before="0" w:after="0" w:line="480" w:lineRule="auto"/>
        <w:rPr>
          <w:i/>
          <w:iCs/>
          <w:sz w:val="20"/>
          <w:szCs w:val="20"/>
        </w:rPr>
      </w:pPr>
      <w:r>
        <w:rPr>
          <w:rFonts w:hint="eastAsia"/>
          <w:i/>
          <w:iCs/>
          <w:sz w:val="20"/>
          <w:szCs w:val="20"/>
        </w:rPr>
        <w:t>Effective connectivity of the habenula</w:t>
      </w:r>
    </w:p>
    <w:p>
      <w:pPr>
        <w:spacing w:before="0" w:after="0" w:line="480" w:lineRule="auto"/>
        <w:ind w:firstLine="400" w:firstLineChars="200"/>
        <w:jc w:val="both"/>
        <w:rPr>
          <w:rFonts w:eastAsia="宋体"/>
          <w:kern w:val="2"/>
          <w:sz w:val="20"/>
          <w:szCs w:val="20"/>
          <w:lang w:eastAsia="zh-CN"/>
        </w:rPr>
      </w:pPr>
      <w:r>
        <w:rPr>
          <w:rFonts w:eastAsia="宋体"/>
          <w:kern w:val="2"/>
          <w:sz w:val="20"/>
          <w:szCs w:val="20"/>
          <w:lang w:eastAsia="zh-CN"/>
        </w:rPr>
        <w:t xml:space="preserve">The fully connected model between right habenula and right hippocampus was established in the DCM analysis. The winning model at the group level were presented in Figure S4. </w:t>
      </w:r>
      <w:bookmarkStart w:id="9" w:name="_Hlk143873556"/>
      <w:r>
        <w:rPr>
          <w:rFonts w:eastAsia="宋体"/>
          <w:kern w:val="2"/>
          <w:sz w:val="20"/>
          <w:szCs w:val="20"/>
          <w:lang w:eastAsia="zh-CN"/>
        </w:rPr>
        <w:t>The between-group comparisons revealed that patients with OCD had an increased effective connectivity from the right hippocampus to the right habenula and increased self-inhibition of the right habenula (see Figure S4-(3)).</w:t>
      </w:r>
      <w:bookmarkEnd w:id="9"/>
    </w:p>
    <w:p>
      <w:pPr>
        <w:spacing w:before="0" w:after="0" w:line="480" w:lineRule="auto"/>
        <w:ind w:firstLine="400" w:firstLineChars="200"/>
        <w:rPr>
          <w:rFonts w:eastAsia="宋体"/>
          <w:kern w:val="2"/>
          <w:sz w:val="20"/>
          <w:szCs w:val="20"/>
          <w:lang w:eastAsia="zh-CN"/>
        </w:rPr>
      </w:pPr>
    </w:p>
    <w:p>
      <w:pPr>
        <w:spacing w:before="0" w:after="0" w:line="480" w:lineRule="auto"/>
        <w:ind w:firstLine="400" w:firstLineChars="200"/>
        <w:rPr>
          <w:rFonts w:eastAsia="宋体"/>
          <w:kern w:val="2"/>
          <w:sz w:val="20"/>
          <w:szCs w:val="20"/>
          <w:lang w:eastAsia="zh-CN"/>
        </w:rPr>
      </w:pPr>
    </w:p>
    <w:p>
      <w:pPr>
        <w:spacing w:before="0" w:after="0" w:line="480" w:lineRule="auto"/>
        <w:ind w:firstLine="400" w:firstLineChars="200"/>
        <w:rPr>
          <w:rFonts w:eastAsia="宋体"/>
          <w:kern w:val="2"/>
          <w:sz w:val="20"/>
          <w:szCs w:val="20"/>
          <w:lang w:eastAsia="zh-CN"/>
        </w:rPr>
      </w:pPr>
    </w:p>
    <w:p>
      <w:pPr>
        <w:spacing w:before="0" w:after="0" w:line="480" w:lineRule="auto"/>
        <w:ind w:firstLine="400" w:firstLineChars="200"/>
        <w:rPr>
          <w:rFonts w:eastAsia="宋体"/>
          <w:kern w:val="2"/>
          <w:sz w:val="20"/>
          <w:szCs w:val="20"/>
          <w:lang w:eastAsia="zh-CN"/>
        </w:rPr>
      </w:pPr>
    </w:p>
    <w:p>
      <w:pPr>
        <w:spacing w:before="0" w:after="0" w:line="480" w:lineRule="auto"/>
        <w:ind w:firstLine="400" w:firstLineChars="200"/>
        <w:rPr>
          <w:i/>
          <w:iCs/>
          <w:sz w:val="20"/>
          <w:szCs w:val="20"/>
        </w:rPr>
      </w:pPr>
    </w:p>
    <w:p>
      <w:pPr>
        <w:widowControl w:val="0"/>
        <w:spacing w:before="0" w:after="0" w:line="480" w:lineRule="auto"/>
        <w:ind w:firstLine="400" w:firstLineChars="200"/>
        <w:jc w:val="center"/>
        <w:rPr>
          <w:rFonts w:eastAsia="宋体"/>
          <w:kern w:val="2"/>
          <w:sz w:val="20"/>
          <w:szCs w:val="20"/>
          <w:lang w:eastAsia="zh-CN"/>
        </w:rPr>
      </w:pPr>
      <w:r>
        <w:rPr>
          <w:rFonts w:eastAsia="宋体"/>
          <w:kern w:val="2"/>
          <w:sz w:val="20"/>
          <w:szCs w:val="20"/>
          <w:lang w:eastAsia="zh-CN"/>
        </w:rPr>
        <w:drawing>
          <wp:inline distT="0" distB="0" distL="0" distR="0">
            <wp:extent cx="3702685" cy="2239645"/>
            <wp:effectExtent l="0" t="0" r="0" b="8255"/>
            <wp:docPr id="1933012046" name="图片 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12046" name="图片 1" descr="图片包含 背景图案&#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901" cy="2247009"/>
                    </a:xfrm>
                    <a:prstGeom prst="rect">
                      <a:avLst/>
                    </a:prstGeom>
                  </pic:spPr>
                </pic:pic>
              </a:graphicData>
            </a:graphic>
          </wp:inline>
        </w:drawing>
      </w:r>
    </w:p>
    <w:p>
      <w:pPr>
        <w:spacing w:before="0" w:after="0"/>
        <w:rPr>
          <w:rFonts w:eastAsia="宋体"/>
          <w:b/>
          <w:bCs/>
          <w:sz w:val="20"/>
          <w:szCs w:val="20"/>
        </w:rPr>
      </w:pPr>
      <w:r>
        <w:rPr>
          <w:rFonts w:hint="eastAsia" w:eastAsia="宋体"/>
          <w:b/>
          <w:bCs/>
          <w:kern w:val="2"/>
          <w:sz w:val="20"/>
          <w:szCs w:val="20"/>
          <w:lang w:eastAsia="zh-CN"/>
        </w:rPr>
        <w:t>F</w:t>
      </w:r>
      <w:r>
        <w:rPr>
          <w:rFonts w:eastAsia="宋体"/>
          <w:b/>
          <w:bCs/>
          <w:kern w:val="2"/>
          <w:sz w:val="20"/>
          <w:szCs w:val="20"/>
          <w:lang w:eastAsia="zh-CN"/>
        </w:rPr>
        <w:t>igure S</w:t>
      </w:r>
      <w:bookmarkStart w:id="10" w:name="_Hlk143558759"/>
      <w:r>
        <w:rPr>
          <w:rFonts w:eastAsia="宋体"/>
          <w:b/>
          <w:bCs/>
          <w:kern w:val="2"/>
          <w:sz w:val="20"/>
          <w:szCs w:val="20"/>
          <w:lang w:eastAsia="zh-CN"/>
        </w:rPr>
        <w:t>4</w:t>
      </w:r>
      <w:r>
        <w:rPr>
          <w:rFonts w:hint="eastAsia"/>
          <w:b/>
          <w:bCs/>
          <w:sz w:val="20"/>
          <w:szCs w:val="20"/>
        </w:rPr>
        <w:t xml:space="preserve"> The DCM model</w:t>
      </w:r>
      <w:r>
        <w:rPr>
          <w:b/>
          <w:bCs/>
          <w:sz w:val="20"/>
          <w:szCs w:val="20"/>
        </w:rPr>
        <w:t>s</w:t>
      </w:r>
    </w:p>
    <w:p>
      <w:pPr>
        <w:jc w:val="both"/>
        <w:rPr>
          <w:sz w:val="18"/>
          <w:szCs w:val="18"/>
        </w:rPr>
      </w:pPr>
      <w:r>
        <w:rPr>
          <w:rFonts w:hint="eastAsia"/>
          <w:b/>
          <w:bCs/>
          <w:sz w:val="18"/>
          <w:szCs w:val="18"/>
        </w:rPr>
        <w:t>(</w:t>
      </w:r>
      <w:r>
        <w:rPr>
          <w:b/>
          <w:bCs/>
          <w:sz w:val="18"/>
          <w:szCs w:val="18"/>
        </w:rPr>
        <w:t xml:space="preserve">1) </w:t>
      </w:r>
      <w:r>
        <w:rPr>
          <w:sz w:val="18"/>
          <w:szCs w:val="18"/>
        </w:rPr>
        <w:t>The fully connected model between the habenula and hippocampus was established in the DCM analysis. (2)</w:t>
      </w:r>
      <w:r>
        <w:rPr>
          <w:rFonts w:hint="eastAsia"/>
          <w:sz w:val="18"/>
          <w:szCs w:val="18"/>
        </w:rPr>
        <w:t xml:space="preserve"> </w:t>
      </w:r>
      <w:r>
        <w:rPr>
          <w:sz w:val="18"/>
          <w:szCs w:val="18"/>
        </w:rPr>
        <w:t>The DCM model in healthy controls.</w:t>
      </w:r>
      <w:r>
        <w:rPr>
          <w:color w:val="333333"/>
          <w:sz w:val="18"/>
          <w:szCs w:val="18"/>
          <w:shd w:val="clear" w:color="auto" w:fill="FFFFFF"/>
        </w:rPr>
        <w:t xml:space="preserve"> B</w:t>
      </w:r>
      <w:r>
        <w:rPr>
          <w:rFonts w:eastAsia="Cambria"/>
          <w:color w:val="333333"/>
          <w:sz w:val="18"/>
          <w:szCs w:val="18"/>
          <w:shd w:val="clear" w:color="auto" w:fill="FFFFFF"/>
        </w:rPr>
        <w:t xml:space="preserve">lue one-way arrows and values are inhibitory modulation. </w:t>
      </w:r>
      <w:r>
        <w:rPr>
          <w:color w:val="333333"/>
          <w:sz w:val="18"/>
          <w:szCs w:val="18"/>
          <w:shd w:val="clear" w:color="auto" w:fill="FFFFFF"/>
        </w:rPr>
        <w:t>B</w:t>
      </w:r>
      <w:r>
        <w:rPr>
          <w:rFonts w:eastAsia="Cambria"/>
          <w:color w:val="333333"/>
          <w:sz w:val="18"/>
          <w:szCs w:val="18"/>
          <w:shd w:val="clear" w:color="auto" w:fill="FFFFFF"/>
        </w:rPr>
        <w:t>lue bidirectional arrows and values are self-inhibition</w:t>
      </w:r>
      <w:r>
        <w:rPr>
          <w:sz w:val="18"/>
          <w:szCs w:val="18"/>
        </w:rPr>
        <w:t xml:space="preserve"> (3)</w:t>
      </w:r>
      <w:r>
        <w:rPr>
          <w:rFonts w:hint="eastAsia"/>
          <w:sz w:val="18"/>
          <w:szCs w:val="18"/>
        </w:rPr>
        <w:t xml:space="preserve"> </w:t>
      </w:r>
      <w:r>
        <w:rPr>
          <w:sz w:val="18"/>
          <w:szCs w:val="18"/>
        </w:rPr>
        <w:t xml:space="preserve">The DCM model in patients with OCD. </w:t>
      </w:r>
      <w:r>
        <w:rPr>
          <w:color w:val="333333"/>
          <w:sz w:val="18"/>
          <w:szCs w:val="18"/>
          <w:shd w:val="clear" w:color="auto" w:fill="FFFFFF"/>
        </w:rPr>
        <w:t>B</w:t>
      </w:r>
      <w:r>
        <w:rPr>
          <w:rFonts w:eastAsia="Cambria"/>
          <w:color w:val="333333"/>
          <w:sz w:val="18"/>
          <w:szCs w:val="18"/>
          <w:shd w:val="clear" w:color="auto" w:fill="FFFFFF"/>
        </w:rPr>
        <w:t>lue one-way arrows and values are inhibitory modulation.</w:t>
      </w:r>
      <w:r>
        <w:rPr>
          <w:color w:val="333333"/>
          <w:sz w:val="18"/>
          <w:szCs w:val="18"/>
          <w:shd w:val="clear" w:color="auto" w:fill="FFFFFF"/>
        </w:rPr>
        <w:t xml:space="preserve"> O</w:t>
      </w:r>
      <w:r>
        <w:rPr>
          <w:rFonts w:eastAsiaTheme="minorEastAsia"/>
          <w:color w:val="333333"/>
          <w:sz w:val="18"/>
          <w:szCs w:val="18"/>
          <w:shd w:val="clear" w:color="auto" w:fill="FFFFFF"/>
          <w:lang w:eastAsia="zh-CN"/>
        </w:rPr>
        <w:t>range</w:t>
      </w:r>
      <w:r>
        <w:rPr>
          <w:color w:val="333333"/>
          <w:sz w:val="18"/>
          <w:szCs w:val="18"/>
          <w:shd w:val="clear" w:color="auto" w:fill="FFFFFF"/>
        </w:rPr>
        <w:t xml:space="preserve"> one-way arrows indicate decreased inhibition. The red dots represent the significant group difference between healthy controls and patients with OCD. The between-group comparisons revealed that patients with OCD had an increased effective connectivity from the right hippocampus to the right habenula and increased self-inhibition of the right habenula. </w:t>
      </w:r>
      <w:r>
        <w:rPr>
          <w:sz w:val="18"/>
          <w:szCs w:val="18"/>
        </w:rPr>
        <w:t xml:space="preserve">These models were </w:t>
      </w:r>
      <w:r>
        <w:rPr>
          <w:rFonts w:hint="eastAsia"/>
          <w:sz w:val="18"/>
          <w:szCs w:val="18"/>
        </w:rPr>
        <w:t xml:space="preserve">thresholded at 0.95 posterior probability after exhaustive Bayesian Model Reduction (BMR) and Bayesian Model Averaging (BMA). </w:t>
      </w:r>
      <w:r>
        <w:rPr>
          <w:color w:val="333333"/>
          <w:sz w:val="18"/>
          <w:szCs w:val="18"/>
          <w:shd w:val="clear" w:color="auto" w:fill="FFFFFF"/>
        </w:rPr>
        <w:t xml:space="preserve"> </w:t>
      </w:r>
      <w:r>
        <w:rPr>
          <w:b/>
          <w:bCs/>
          <w:i/>
          <w:iCs/>
          <w:color w:val="333333"/>
          <w:sz w:val="18"/>
          <w:szCs w:val="18"/>
          <w:shd w:val="clear" w:color="auto" w:fill="FFFFFF"/>
        </w:rPr>
        <w:t>A</w:t>
      </w:r>
      <w:r>
        <w:rPr>
          <w:rFonts w:eastAsia="Cambria"/>
          <w:b/>
          <w:bCs/>
          <w:i/>
          <w:iCs/>
          <w:color w:val="333333"/>
          <w:sz w:val="18"/>
          <w:szCs w:val="18"/>
          <w:shd w:val="clear" w:color="auto" w:fill="FFFFFF"/>
        </w:rPr>
        <w:t>bbreviation</w:t>
      </w:r>
      <w:r>
        <w:rPr>
          <w:rFonts w:hint="eastAsia"/>
          <w:b/>
          <w:bCs/>
          <w:i/>
          <w:iCs/>
          <w:color w:val="333333"/>
          <w:sz w:val="18"/>
          <w:szCs w:val="18"/>
          <w:shd w:val="clear" w:color="auto" w:fill="FFFFFF"/>
        </w:rPr>
        <w:t>s</w:t>
      </w:r>
      <w:r>
        <w:rPr>
          <w:rFonts w:hint="eastAsia"/>
          <w:color w:val="333333"/>
          <w:sz w:val="18"/>
          <w:szCs w:val="18"/>
          <w:shd w:val="clear" w:color="auto" w:fill="FFFFFF"/>
        </w:rPr>
        <w:t>:</w:t>
      </w:r>
      <w:r>
        <w:rPr>
          <w:i/>
          <w:iCs/>
          <w:color w:val="333333"/>
          <w:sz w:val="18"/>
          <w:szCs w:val="18"/>
          <w:shd w:val="clear" w:color="auto" w:fill="FFFFFF"/>
        </w:rPr>
        <w:t xml:space="preserve"> </w:t>
      </w:r>
      <w:r>
        <w:rPr>
          <w:rFonts w:hint="eastAsia"/>
          <w:sz w:val="18"/>
          <w:szCs w:val="18"/>
        </w:rPr>
        <w:t>OCD</w:t>
      </w:r>
      <w:r>
        <w:rPr>
          <w:sz w:val="18"/>
          <w:szCs w:val="18"/>
        </w:rPr>
        <w:t xml:space="preserve">, </w:t>
      </w:r>
      <w:r>
        <w:rPr>
          <w:rFonts w:hint="eastAsia"/>
          <w:sz w:val="18"/>
          <w:szCs w:val="18"/>
        </w:rPr>
        <w:t>obsessive-compulsive disorder</w:t>
      </w:r>
      <w:r>
        <w:rPr>
          <w:sz w:val="18"/>
          <w:szCs w:val="18"/>
        </w:rPr>
        <w:t xml:space="preserve">; </w:t>
      </w:r>
      <w:r>
        <w:rPr>
          <w:rFonts w:hint="eastAsia"/>
          <w:sz w:val="18"/>
          <w:szCs w:val="18"/>
        </w:rPr>
        <w:t>HC, healthy controls</w:t>
      </w:r>
      <w:r>
        <w:rPr>
          <w:sz w:val="18"/>
          <w:szCs w:val="18"/>
        </w:rPr>
        <w:t xml:space="preserve">; </w:t>
      </w:r>
      <w:r>
        <w:rPr>
          <w:rFonts w:hint="eastAsia"/>
          <w:sz w:val="18"/>
          <w:szCs w:val="18"/>
        </w:rPr>
        <w:t>HPC</w:t>
      </w:r>
      <w:r>
        <w:rPr>
          <w:sz w:val="18"/>
          <w:szCs w:val="18"/>
        </w:rPr>
        <w:t xml:space="preserve">, </w:t>
      </w:r>
      <w:r>
        <w:rPr>
          <w:rFonts w:hint="eastAsia"/>
          <w:sz w:val="18"/>
          <w:szCs w:val="18"/>
        </w:rPr>
        <w:t>hippocampus</w:t>
      </w:r>
      <w:r>
        <w:rPr>
          <w:sz w:val="18"/>
          <w:szCs w:val="18"/>
        </w:rPr>
        <w:t>; Hb, habenula</w:t>
      </w:r>
      <w:r>
        <w:rPr>
          <w:rFonts w:hint="eastAsia"/>
          <w:sz w:val="18"/>
          <w:szCs w:val="18"/>
        </w:rPr>
        <w:t xml:space="preserve">. </w:t>
      </w:r>
    </w:p>
    <w:bookmarkEnd w:id="10"/>
    <w:p>
      <w:pPr>
        <w:widowControl w:val="0"/>
        <w:spacing w:before="0" w:after="0" w:line="480" w:lineRule="auto"/>
        <w:ind w:firstLine="400" w:firstLineChars="200"/>
        <w:jc w:val="center"/>
        <w:rPr>
          <w:rFonts w:eastAsia="宋体"/>
          <w:kern w:val="2"/>
          <w:sz w:val="20"/>
          <w:szCs w:val="20"/>
          <w:lang w:eastAsia="zh-CN"/>
        </w:rPr>
      </w:pPr>
    </w:p>
    <w:p>
      <w:pPr>
        <w:spacing w:before="0" w:after="0"/>
        <w:ind w:firstLine="402" w:firstLineChars="200"/>
        <w:rPr>
          <w:rFonts w:eastAsia="宋体"/>
          <w:b/>
          <w:bCs/>
          <w:sz w:val="20"/>
          <w:szCs w:val="20"/>
          <w:lang w:eastAsia="zh-CN"/>
        </w:rPr>
      </w:pPr>
    </w:p>
    <w:p>
      <w:pPr>
        <w:spacing w:before="0" w:after="0"/>
        <w:ind w:firstLine="400" w:firstLineChars="200"/>
        <w:rPr>
          <w:rFonts w:eastAsia="宋体"/>
          <w:sz w:val="20"/>
          <w:szCs w:val="2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0" w:usb3="00000000" w:csb0="0002009F" w:csb1="00000000"/>
  </w:font>
  <w:font w:name="Cambria">
    <w:panose1 w:val="02040503050406030204"/>
    <w:charset w:val="00"/>
    <w:family w:val="roman"/>
    <w:pitch w:val="default"/>
    <w:sig w:usb0="E00006FF" w:usb1="420024FF" w:usb2="02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jMGYxNDY4NzMwYmU3NThjODdiNzFhMzRmMTU5MzAifQ=="/>
    <w:docVar w:name="KSO_WPS_MARK_KEY" w:val="923e50c0-3284-46e5-a794-ff11f045f2ed"/>
  </w:docVars>
  <w:rsids>
    <w:rsidRoot w:val="00E145A0"/>
    <w:rsid w:val="00005510"/>
    <w:rsid w:val="00030765"/>
    <w:rsid w:val="00036522"/>
    <w:rsid w:val="00054919"/>
    <w:rsid w:val="000677F3"/>
    <w:rsid w:val="00085475"/>
    <w:rsid w:val="0008721A"/>
    <w:rsid w:val="000877EB"/>
    <w:rsid w:val="000C6F99"/>
    <w:rsid w:val="00166A27"/>
    <w:rsid w:val="00191649"/>
    <w:rsid w:val="001A7B11"/>
    <w:rsid w:val="001C7E1C"/>
    <w:rsid w:val="002100DB"/>
    <w:rsid w:val="00214D70"/>
    <w:rsid w:val="0023264D"/>
    <w:rsid w:val="0023280C"/>
    <w:rsid w:val="0026253F"/>
    <w:rsid w:val="002F79DB"/>
    <w:rsid w:val="0036387D"/>
    <w:rsid w:val="00406368"/>
    <w:rsid w:val="0041012A"/>
    <w:rsid w:val="00453FF0"/>
    <w:rsid w:val="00460AA8"/>
    <w:rsid w:val="004858D1"/>
    <w:rsid w:val="004D3621"/>
    <w:rsid w:val="00542459"/>
    <w:rsid w:val="00553FDF"/>
    <w:rsid w:val="005626B3"/>
    <w:rsid w:val="005730BA"/>
    <w:rsid w:val="005774DE"/>
    <w:rsid w:val="00583530"/>
    <w:rsid w:val="005F3FA0"/>
    <w:rsid w:val="0060586E"/>
    <w:rsid w:val="0063276D"/>
    <w:rsid w:val="00636FA2"/>
    <w:rsid w:val="00656929"/>
    <w:rsid w:val="00665BD4"/>
    <w:rsid w:val="00676124"/>
    <w:rsid w:val="0068059C"/>
    <w:rsid w:val="006B12B4"/>
    <w:rsid w:val="006C56E3"/>
    <w:rsid w:val="006E534A"/>
    <w:rsid w:val="00722339"/>
    <w:rsid w:val="00774BA8"/>
    <w:rsid w:val="00796138"/>
    <w:rsid w:val="007E3604"/>
    <w:rsid w:val="00863F75"/>
    <w:rsid w:val="008B3CB5"/>
    <w:rsid w:val="008C37DA"/>
    <w:rsid w:val="008F0DFE"/>
    <w:rsid w:val="009115F5"/>
    <w:rsid w:val="009208F0"/>
    <w:rsid w:val="0095053C"/>
    <w:rsid w:val="00952897"/>
    <w:rsid w:val="009A4698"/>
    <w:rsid w:val="009D6BC1"/>
    <w:rsid w:val="00A0353D"/>
    <w:rsid w:val="00A15663"/>
    <w:rsid w:val="00A83185"/>
    <w:rsid w:val="00AD3808"/>
    <w:rsid w:val="00B1584D"/>
    <w:rsid w:val="00B55A27"/>
    <w:rsid w:val="00BF1C13"/>
    <w:rsid w:val="00C274F9"/>
    <w:rsid w:val="00C3272A"/>
    <w:rsid w:val="00CA78EB"/>
    <w:rsid w:val="00CB26DB"/>
    <w:rsid w:val="00D208DB"/>
    <w:rsid w:val="00DA6DE6"/>
    <w:rsid w:val="00DF7D32"/>
    <w:rsid w:val="00E145A0"/>
    <w:rsid w:val="00E2695A"/>
    <w:rsid w:val="00E33CB0"/>
    <w:rsid w:val="00EA0468"/>
    <w:rsid w:val="00EA260C"/>
    <w:rsid w:val="00EE3C6D"/>
    <w:rsid w:val="00EE6BC0"/>
    <w:rsid w:val="00F21EC6"/>
    <w:rsid w:val="00F33896"/>
    <w:rsid w:val="00F410BD"/>
    <w:rsid w:val="00F7322A"/>
    <w:rsid w:val="00FC154E"/>
    <w:rsid w:val="00FE49F8"/>
    <w:rsid w:val="024C5DF2"/>
    <w:rsid w:val="177F4AF5"/>
    <w:rsid w:val="68860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before="120" w:after="240"/>
    </w:pPr>
    <w:rPr>
      <w:rFonts w:ascii="Times New Roman" w:hAnsi="Times New Roman" w:eastAsia="Calibri" w:cs="Times New Roman"/>
      <w:sz w:val="24"/>
      <w:szCs w:val="22"/>
      <w:lang w:val="en-US" w:eastAsia="en-US"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pPr>
    <w:rPr>
      <w:sz w:val="18"/>
      <w:szCs w:val="18"/>
    </w:rPr>
  </w:style>
  <w:style w:type="paragraph" w:styleId="3">
    <w:name w:val="header"/>
    <w:basedOn w:val="1"/>
    <w:link w:val="9"/>
    <w:autoRedefine/>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autoRedefine/>
    <w:unhideWhenUsed/>
    <w:qFormat/>
    <w:uiPriority w:val="99"/>
    <w:rPr>
      <w:color w:val="0563C1" w:themeColor="hyperlink"/>
      <w:u w:val="single"/>
      <w14:textFill>
        <w14:solidFill>
          <w14:schemeClr w14:val="hlink"/>
        </w14:solidFill>
      </w14:textFill>
    </w:rPr>
  </w:style>
  <w:style w:type="character" w:styleId="8">
    <w:name w:val="annotation reference"/>
    <w:basedOn w:val="6"/>
    <w:autoRedefine/>
    <w:unhideWhenUsed/>
    <w:qFormat/>
    <w:uiPriority w:val="99"/>
    <w:rPr>
      <w:sz w:val="21"/>
      <w:szCs w:val="21"/>
    </w:rPr>
  </w:style>
  <w:style w:type="character" w:customStyle="1" w:styleId="9">
    <w:name w:val="页眉 字符"/>
    <w:basedOn w:val="6"/>
    <w:link w:val="3"/>
    <w:autoRedefine/>
    <w:qFormat/>
    <w:uiPriority w:val="0"/>
    <w:rPr>
      <w:rFonts w:ascii="Times New Roman" w:hAnsi="Times New Roman" w:eastAsia="Calibri" w:cs="Times New Roman"/>
      <w:sz w:val="18"/>
      <w:szCs w:val="18"/>
      <w:lang w:eastAsia="en-US"/>
    </w:rPr>
  </w:style>
  <w:style w:type="character" w:customStyle="1" w:styleId="10">
    <w:name w:val="页脚 字符"/>
    <w:basedOn w:val="6"/>
    <w:link w:val="2"/>
    <w:autoRedefine/>
    <w:qFormat/>
    <w:uiPriority w:val="0"/>
    <w:rPr>
      <w:rFonts w:ascii="Times New Roman" w:hAnsi="Times New Roman" w:eastAsia="Calibri" w:cs="Times New Roman"/>
      <w:sz w:val="18"/>
      <w:szCs w:val="18"/>
      <w:lang w:eastAsia="en-US"/>
    </w:rPr>
  </w:style>
  <w:style w:type="character" w:customStyle="1" w:styleId="11">
    <w:name w:val="未处理的提及1"/>
    <w:basedOn w:val="6"/>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7003B-1127-4C5D-8C4D-64A0975F2089}">
  <ds:schemaRefs/>
</ds:datastoreItem>
</file>

<file path=docProps/app.xml><?xml version="1.0" encoding="utf-8"?>
<Properties xmlns="http://schemas.openxmlformats.org/officeDocument/2006/extended-properties" xmlns:vt="http://schemas.openxmlformats.org/officeDocument/2006/docPropsVTypes">
  <Template>Normal.dotm</Template>
  <Pages>8</Pages>
  <Words>4120</Words>
  <Characters>23488</Characters>
  <Lines>195</Lines>
  <Paragraphs>55</Paragraphs>
  <TotalTime>0</TotalTime>
  <ScaleCrop>false</ScaleCrop>
  <LinksUpToDate>false</LinksUpToDate>
  <CharactersWithSpaces>27553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2023-01-09T05:22:00Z</dcterms:created>
  <dc:creator>lyra</dc:creator>
  <cp:lastModifiedBy>liuqian</cp:lastModifiedBy>
  <dcterms:modified xsi:type="dcterms:W3CDTF">2024-03-02T03:18:34Z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352E426D3B4444C3928576D28EE43FEF</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http://www.zotero.org/styles/apa-6th-edition</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http://www.zotero.org/styles/chinese-gb7714-2005-numeric</vt:lpwstr>
  </property>
  <property fmtid="{D5CDD505-2E9C-101B-9397-08002B2CF9AE}" pid="15" name="Mendeley Recent Style Name 5_1">
    <vt:lpwstr>China National Standard GB/T 7714-2005 (numeric, Chinese)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http://www.zotero.org/styles/frontiers-in-psychiatry</vt:lpwstr>
  </property>
  <property fmtid="{D5CDD505-2E9C-101B-9397-08002B2CF9AE}" pid="19" name="Mendeley Recent Style Name 7_1">
    <vt:lpwstr>Frontiers in Psychiatry</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http://www.zotero.org/styles/journal-of-affective-disorders</vt:lpwstr>
  </property>
  <property fmtid="{D5CDD505-2E9C-101B-9397-08002B2CF9AE}" pid="23" name="Mendeley Recent Style Name 9_1">
    <vt:lpwstr>Journal of Affective Disorders</vt:lpwstr>
  </property>
  <property fmtid="{D5CDD505-2E9C-101B-9397-08002B2CF9AE}" pid="24" name="Mendeley Document_1">
    <vt:lpwstr>True</vt:lpwstr>
  </property>
  <property fmtid="{D5CDD505-2E9C-101B-9397-08002B2CF9AE}" pid="25" name="Mendeley Unique User Id_1">
    <vt:lpwstr>6c24ccca-6448-3453-b0e3-ca0936015ac3</vt:lpwstr>
  </property>
  <property fmtid="{D5CDD505-2E9C-101B-9397-08002B2CF9AE}" pid="26" name="Mendeley Citation Style_1">
    <vt:lpwstr>http://www.zotero.org/styles/apa</vt:lpwstr>
  </property>
</Properties>
</file>