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46F460" w14:textId="1F342CBB" w:rsidR="002A3DF4" w:rsidRDefault="002A3DF4" w:rsidP="001A3EFC">
      <w:pPr>
        <w:jc w:val="center"/>
        <w:rPr>
          <w:b/>
          <w:lang w:val="en-GB"/>
        </w:rPr>
      </w:pPr>
      <w:r w:rsidRPr="00A9276E">
        <w:rPr>
          <w:b/>
          <w:lang w:val="en-GB"/>
        </w:rPr>
        <w:t xml:space="preserve">Supplementary </w:t>
      </w:r>
      <w:r w:rsidR="00DC7947">
        <w:rPr>
          <w:b/>
          <w:lang w:val="en-GB"/>
        </w:rPr>
        <w:t>information</w:t>
      </w:r>
    </w:p>
    <w:p w14:paraId="268DA12A" w14:textId="77777777" w:rsidR="00002D8B" w:rsidRPr="00A9276E" w:rsidRDefault="00002D8B" w:rsidP="00E41BCD">
      <w:pPr>
        <w:jc w:val="both"/>
        <w:rPr>
          <w:b/>
          <w:lang w:val="en-GB"/>
        </w:rPr>
      </w:pPr>
    </w:p>
    <w:p w14:paraId="5019E06A" w14:textId="2EFAB05B" w:rsidR="002A3DF4" w:rsidRPr="00002D8B" w:rsidRDefault="00002D8B" w:rsidP="00E41BCD">
      <w:pPr>
        <w:jc w:val="both"/>
        <w:rPr>
          <w:b/>
          <w:lang w:val="en-GB"/>
        </w:rPr>
      </w:pPr>
      <w:r w:rsidRPr="00002D8B">
        <w:rPr>
          <w:b/>
          <w:lang w:val="en-GB"/>
        </w:rPr>
        <w:t>Supplementary methods</w:t>
      </w:r>
    </w:p>
    <w:p w14:paraId="0BC31EAC" w14:textId="36F0FA4D" w:rsidR="002A3DF4" w:rsidRPr="00002D8B" w:rsidRDefault="002A3DF4" w:rsidP="00E41BCD">
      <w:pPr>
        <w:jc w:val="both"/>
        <w:rPr>
          <w:u w:val="single"/>
          <w:lang w:val="en-GB"/>
        </w:rPr>
      </w:pPr>
      <w:r w:rsidRPr="00002D8B">
        <w:rPr>
          <w:u w:val="single"/>
          <w:lang w:val="en-GB"/>
        </w:rPr>
        <w:t>Study population</w:t>
      </w:r>
    </w:p>
    <w:p w14:paraId="258BE29E" w14:textId="5FF3531A" w:rsidR="00A9276E" w:rsidRDefault="00EA72E8" w:rsidP="60D9286C">
      <w:pPr>
        <w:jc w:val="both"/>
        <w:rPr>
          <w:lang w:val="en-GB"/>
        </w:rPr>
      </w:pPr>
      <w:r w:rsidRPr="00EA72E8">
        <w:rPr>
          <w:lang w:val="en-GB"/>
        </w:rPr>
        <w:t>The first set of 52,000 participants were recruited over 10-year period (2002-2011). The collection of samples and health data was set up consisting of GP’s and other medical personnel in private practices and hospitals or in the recruitment offices of the Estonian Genome Centre of University of Tartu (EGCUT)</w:t>
      </w:r>
      <w:r w:rsidR="00905C52">
        <w:rPr>
          <w:lang w:val="en-GB"/>
        </w:rPr>
        <w:t xml:space="preserve"> </w:t>
      </w:r>
      <w:r w:rsidR="00905C52">
        <w:rPr>
          <w:lang w:val="en-GB"/>
        </w:rPr>
        <w:fldChar w:fldCharType="begin"/>
      </w:r>
      <w:r w:rsidR="00905C52">
        <w:rPr>
          <w:lang w:val="en-GB"/>
        </w:rPr>
        <w:instrText xml:space="preserve"> ADDIN ZOTERO_ITEM CSL_CITATION {"citationID":"bRHnqfde","properties":{"formattedCitation":"(1)","plainCitation":"(1)","noteIndex":0},"citationItems":[{"id":36,"uris":["http://zotero.org/users/8392737/items/FIT2ECVD"],"itemData":{"id":36,"type":"article-journal","abstract":"The Estonian Biobank cohort is a volunteer-based sample of the Estonian resident adult population (aged ≥18 years). The current number of participants-close to 52000--represents a large proportion, 5%, of the Estonian adult population, making it ideally suited to population-based studies. General practitioners (GPs) and medical personnel in the special recruitment offices have recruited participants throughout the country. At baseline, the GPs performed a standardized health examination of the participants, who also donated blood samples for DNA, white blood cells and plasma tests and filled out a 16-module questionnaire on health-related topics such as lifestyle, diet and clinical diagnoses described in WHO ICD-10. A significant part of the cohort has whole genome sequencing (100), genome-wide single nucleotide polymorphism (SNP) array data (20 000) and/or NMR metabolome data (11 000) available (http://www.geenivaramu.ee/for-scientists/data-release/). The data are continuously updated through periodical linking to national electronic databases and registries. A part of the cohort has been re-contacted for follow-up purposes and resampling, and targeted invitations are possible for specific purposes, for example people with a specific diagnosis. The Estonian Genome Center of the University of Tartu is actively collaborating with many universities, research institutes and consortia and encourages fellow scientists worldwide to co-initiate new academic or industrial joint projects with us.","container-title":"International Journal of Epidemiology","DOI":"10.1093/ije/dyt268","ISSN":"1464-3685","issue":"4","journalAbbreviation":"Int J Epidemiol","language":"eng","note":"PMID: 24518929","page":"1137-1147","source":"PubMed","title":"Cohort Profile: Estonian Biobank of the Estonian Genome Center, University of Tartu","title-short":"Cohort Profile","volume":"44","author":[{"family":"Leitsalu","given":"Liis"},{"family":"Haller","given":"Toomas"},{"family":"Esko","given":"Tõnu"},{"family":"Tammesoo","given":"Mari-Liis"},{"family":"Alavere","given":"Helene"},{"family":"Snieder","given":"Harold"},{"family":"Perola","given":"Markus"},{"family":"Ng","given":"Pauline C."},{"family":"Mägi","given":"Reedik"},{"family":"Milani","given":"Lili"},{"family":"Fischer","given":"Krista"},{"family":"Metspalu","given":"Andres"}],"issued":{"date-parts":[["2015",8]]}}}],"schema":"https://github.com/citation-style-language/schema/raw/master/csl-citation.json"} </w:instrText>
      </w:r>
      <w:r w:rsidR="00905C52">
        <w:rPr>
          <w:lang w:val="en-GB"/>
        </w:rPr>
        <w:fldChar w:fldCharType="separate"/>
      </w:r>
      <w:r w:rsidR="00905C52" w:rsidRPr="00905C52">
        <w:rPr>
          <w:rFonts w:ascii="Calibri" w:hAnsi="Calibri" w:cs="Calibri"/>
        </w:rPr>
        <w:t>(1)</w:t>
      </w:r>
      <w:r w:rsidR="00905C52">
        <w:rPr>
          <w:lang w:val="en-GB"/>
        </w:rPr>
        <w:fldChar w:fldCharType="end"/>
      </w:r>
      <w:r w:rsidRPr="00EA72E8">
        <w:rPr>
          <w:lang w:val="en-GB"/>
        </w:rPr>
        <w:t xml:space="preserve">. The recruitment of next set of 150,000 participants started in 2018. </w:t>
      </w:r>
      <w:r>
        <w:rPr>
          <w:lang w:val="en-GB"/>
        </w:rPr>
        <w:t>P</w:t>
      </w:r>
      <w:r w:rsidR="00A9276E" w:rsidRPr="60D9286C">
        <w:rPr>
          <w:lang w:val="en-GB"/>
        </w:rPr>
        <w:t xml:space="preserve">articipants were recruited during promotion events, media campaigns, as well as through visiting GP´s and hospitals. Data collection was also conducted via questionnaire, which consists of 330 questions that gathered information about participant’s lifestyle, education, occupation, as well as anthropometric characteristics. However, through linkage with electronic health records and national registries, EstBB provides extensive follow-up data, which means that phenotype data can be periodically updated. </w:t>
      </w:r>
      <w:r w:rsidR="0362B29B" w:rsidRPr="60D9286C">
        <w:rPr>
          <w:lang w:val="en-GB"/>
        </w:rPr>
        <w:t xml:space="preserve">The recruitment of participants is ongoing in a smaller scale and current available sample size is approximately 210,000. </w:t>
      </w:r>
    </w:p>
    <w:p w14:paraId="5D1B6CA3" w14:textId="0023993D" w:rsidR="00FC61C7" w:rsidRDefault="00FC61C7" w:rsidP="00E41BCD">
      <w:pPr>
        <w:jc w:val="both"/>
        <w:rPr>
          <w:bCs/>
          <w:lang w:val="en-GB"/>
        </w:rPr>
      </w:pPr>
    </w:p>
    <w:p w14:paraId="70BA5B7A" w14:textId="5238A989" w:rsidR="00FC61C7" w:rsidRPr="00FC61C7" w:rsidRDefault="00FC61C7" w:rsidP="00E41BCD">
      <w:pPr>
        <w:jc w:val="both"/>
        <w:rPr>
          <w:bCs/>
          <w:u w:val="single"/>
          <w:lang w:val="en-GB"/>
        </w:rPr>
      </w:pPr>
      <w:r w:rsidRPr="00FC61C7">
        <w:rPr>
          <w:bCs/>
          <w:u w:val="single"/>
          <w:lang w:val="en-GB"/>
        </w:rPr>
        <w:t>Genotyping and imputation</w:t>
      </w:r>
    </w:p>
    <w:p w14:paraId="378FC47B" w14:textId="7FE969DA" w:rsidR="00DA604B" w:rsidRPr="00981E42" w:rsidRDefault="00FC61C7" w:rsidP="00E41BCD">
      <w:pPr>
        <w:pStyle w:val="Bibliography"/>
        <w:ind w:left="0" w:firstLine="0"/>
        <w:jc w:val="both"/>
        <w:rPr>
          <w:bCs/>
          <w:lang w:val="en-GB"/>
        </w:rPr>
      </w:pPr>
      <w:r w:rsidRPr="00981E42">
        <w:rPr>
          <w:lang w:val="en-GB"/>
        </w:rPr>
        <w:t>All 200,000 EstBB participants have been genotyped using the Global Screening Array (GSA) from</w:t>
      </w:r>
      <w:r w:rsidR="00CD1044" w:rsidRPr="00981E42">
        <w:rPr>
          <w:lang w:val="en-GB"/>
        </w:rPr>
        <w:t xml:space="preserve"> </w:t>
      </w:r>
      <w:r w:rsidRPr="00981E42">
        <w:rPr>
          <w:lang w:val="en-GB"/>
        </w:rPr>
        <w:t xml:space="preserve">Illumina. The genotype calling for the GSA arrays was performed with the Illumina’s GenomeStudio V2010.3 software. The genotype calls for rare variants on the GSA array were corrected using the zCall software (version May 8th, 2012). After variant calling, the data was filtered using PLINK (v.1.90) by sample (call rate &gt;95%, no sex mismatches between phenotype and genotype data, heterozygosity &lt; mean +-3 SE) and marker (HWE p-value &gt;1×10-6, call rate &gt;95%, and additionally by Illumina GenomeStudio GenTrain score &gt;0.6, Cluster Separation Score &gt;0.4). Before the imputation, variants with MAF &lt;1% and C/G or T/A polymorphisms, as well as indels were removed, as these genotype calls do not allow precise phasing and imputation </w:t>
      </w:r>
      <w:r w:rsidRPr="00981E42">
        <w:rPr>
          <w:lang w:val="en-GB"/>
        </w:rPr>
        <w:fldChar w:fldCharType="begin"/>
      </w:r>
      <w:r w:rsidR="00905C52">
        <w:rPr>
          <w:lang w:val="en-GB"/>
        </w:rPr>
        <w:instrText xml:space="preserve"> ADDIN ZOTERO_ITEM CSL_CITATION {"citationID":"ILjTFvnj","properties":{"formattedCitation":"(2)","plainCitation":"(2)","noteIndex":0},"citationItems":[{"id":39,"uris":["http://zotero.org/users/8392737/items/SACJ52WN"],"itemData":{"id":39,"type":"article-journal","abstract":"Biomedical databases combining electronic medical records and phenotypic and genomic data constitute a powerful resource for the personalization of treatment. To leverage the wealth of information provided, algorithms are required that systematically translate the contained information into treatment recommendations based on existing genotype–phenotype associations.","container-title":"Genetics in Medicine","DOI":"10.1038/s41436-018-0337-5","ISSN":"1530-0366","issue":"6","journalAbbreviation":"Genet Med","language":"en","license":"2018 The Author(s)","note":"Bandiera_abtest: a\nCc_license_type: cc_by\nCg_type: Nature Research Journals\nnumber: 6\nPrimary_atype: Research\npublisher: Nature Publishing Group","page":"1345-1354","source":"www.nature.com","title":"Translating genotype data of 44,000 biobank participants into clinical pharmacogenetic recommendations: challenges and solutions","title-short":"Translating genotype data of 44,000 biobank participants into clinical pharmacogenetic recommendations","volume":"21","author":[{"family":"Reisberg","given":"Sulev"},{"family":"Krebs","given":"Kristi"},{"family":"Lepamets","given":"Maarja"},{"family":"Kals","given":"Mart"},{"family":"Mägi","given":"Reedik"},{"family":"Metsalu","given":"Kristjan"},{"family":"Lauschke","given":"Volker M."},{"family":"Vilo","given":"Jaak"},{"family":"Milani","given":"Lili"}],"issued":{"date-parts":[["2019",6]]}}}],"schema":"https://github.com/citation-style-language/schema/raw/master/csl-citation.json"} </w:instrText>
      </w:r>
      <w:r w:rsidRPr="00981E42">
        <w:rPr>
          <w:lang w:val="en-GB"/>
        </w:rPr>
        <w:fldChar w:fldCharType="separate"/>
      </w:r>
      <w:r w:rsidR="00905C52" w:rsidRPr="00905C52">
        <w:rPr>
          <w:rFonts w:ascii="Calibri" w:hAnsi="Calibri" w:cs="Calibri"/>
        </w:rPr>
        <w:t>(2)</w:t>
      </w:r>
      <w:r w:rsidRPr="00981E42">
        <w:rPr>
          <w:lang w:val="en-GB"/>
        </w:rPr>
        <w:fldChar w:fldCharType="end"/>
      </w:r>
      <w:r w:rsidRPr="00981E42">
        <w:rPr>
          <w:lang w:val="en-GB"/>
        </w:rPr>
        <w:t xml:space="preserve">. Prephasing was carried out using the Eagle v2.3 software </w:t>
      </w:r>
      <w:r w:rsidRPr="00981E42">
        <w:rPr>
          <w:lang w:val="en-GB"/>
        </w:rPr>
        <w:fldChar w:fldCharType="begin"/>
      </w:r>
      <w:r w:rsidR="00905C52">
        <w:rPr>
          <w:lang w:val="en-GB"/>
        </w:rPr>
        <w:instrText xml:space="preserve"> ADDIN ZOTERO_ITEM CSL_CITATION {"citationID":"QbmByZSv","properties":{"formattedCitation":"(3)","plainCitation":"(3)","noteIndex":0},"citationItems":[{"id":140,"uris":["http://zotero.org/users/8392737/items/5NAD2A8W"],"itemData":{"id":140,"type":"article-journal","abstract":"Haplotype phasing is a fundamental problem in medical and population genetics. Phasing is generally performed via statistical phasing within a genotyped cohort, an approach that can attain high accuracy in very large cohorts but attains lower accuracy in smaller cohorts. Here, we instead explore the paradigm of reference-based phasing. We introduce a new phasing algorithm, Eagle2, that attains high accuracy across a broad range of cohort sizes by efficiently leveraging information from large external reference panels (such as the Haplotype Reference Consortium, HRC) using a new data structure based on the positional Burrows-Wheeler transform. We demonstrate that Eagle2 attains a ≈20x speedup and ≈10% increase in accuracy compared to reference-based phasing using SHAPEIT2. On European-ancestry samples, Eagle2 with the HRC panel achieves &gt;2x the accuracy of 1000 Genomes-based phasing. Eagle2 is open source and freely available for HRC-based phasing via the Sanger Imputation Service and the Michigan Imputation Server.","container-title":"Nature genetics","DOI":"10.1038/ng.3679","ISSN":"1061-4036","issue":"11","journalAbbreviation":"Nat Genet","note":"PMID: 27694958\nPMCID: PMC5096458","page":"1443-1448","source":"PubMed Central","title":"Reference-based phasing using the Haplotype Reference Consortium panel","volume":"48","author":[{"family":"Loh","given":"Po-Ru"},{"family":"Danecek","given":"Petr"},{"family":"Palamara","given":"Pier Francesco"},{"family":"Fuchsberger","given":"Christian"},{"family":"Reshef","given":"Yakir A"},{"family":"Finucane","given":"Hilary K"},{"family":"Schoenherr","given":"Sebastian"},{"family":"Forer","given":"Lukas"},{"family":"McCarthy","given":"Shane"},{"family":"Abecasis","given":"Goncalo R"},{"family":"Durbin","given":"Richard"},{"family":"Price","given":"Alkes L"}],"issued":{"date-parts":[["2016",11]]}}}],"schema":"https://github.com/citation-style-language/schema/raw/master/csl-citation.json"} </w:instrText>
      </w:r>
      <w:r w:rsidRPr="00981E42">
        <w:rPr>
          <w:lang w:val="en-GB"/>
        </w:rPr>
        <w:fldChar w:fldCharType="separate"/>
      </w:r>
      <w:r w:rsidR="00905C52" w:rsidRPr="00905C52">
        <w:rPr>
          <w:rFonts w:ascii="Calibri" w:hAnsi="Calibri" w:cs="Calibri"/>
        </w:rPr>
        <w:t>(3)</w:t>
      </w:r>
      <w:r w:rsidRPr="00981E42">
        <w:rPr>
          <w:lang w:val="en-GB"/>
        </w:rPr>
        <w:fldChar w:fldCharType="end"/>
      </w:r>
      <w:r w:rsidRPr="00981E42">
        <w:rPr>
          <w:lang w:val="en-GB"/>
        </w:rPr>
        <w:t xml:space="preserve"> (number of conditioning haplotypes Eagle2 uses when phasing each sample was set to: --Kpbwt=20000) and imputation was executed using Beagle v.28Sep18.</w:t>
      </w:r>
      <w:r w:rsidR="00CD1044" w:rsidRPr="00981E42">
        <w:rPr>
          <w:lang w:val="en-GB"/>
        </w:rPr>
        <w:t xml:space="preserve">793 </w:t>
      </w:r>
      <w:r w:rsidRPr="00981E42">
        <w:rPr>
          <w:bCs/>
          <w:lang w:val="en-GB"/>
        </w:rPr>
        <w:t>with an effective population size ne=20,000</w:t>
      </w:r>
      <w:r w:rsidR="00111AFD" w:rsidRPr="00981E42">
        <w:rPr>
          <w:bCs/>
          <w:lang w:val="en-GB"/>
        </w:rPr>
        <w:t xml:space="preserve"> </w:t>
      </w:r>
      <w:r w:rsidR="00111AFD" w:rsidRPr="00981E42">
        <w:rPr>
          <w:bCs/>
          <w:lang w:val="en-GB"/>
        </w:rPr>
        <w:fldChar w:fldCharType="begin"/>
      </w:r>
      <w:r w:rsidR="00905C52">
        <w:rPr>
          <w:bCs/>
          <w:lang w:val="en-GB"/>
        </w:rPr>
        <w:instrText xml:space="preserve"> ADDIN ZOTERO_ITEM CSL_CITATION {"citationID":"DArR3RKX","properties":{"formattedCitation":"(4,5)","plainCitation":"(4,5)","noteIndex":0},"citationItems":[{"id":143,"uris":["http://zotero.org/users/8392737/items/DQPWHJTM"],"itemData":{"id":143,"type":"article-journal","abstract":"Genotype imputation is commonly performed in genome-wide association studies because it greatly increases the number of markers that can be tested for association with a trait. In general, one should perform genotype imputation using the largest reference panel that is available because the number of accurately imputed variants increases with reference panel size. However, one impediment to using larger reference panels is the increased computational cost of imputation. We present a new genotype imputation method, Beagle 5.0, which greatly reduces the computational cost of imputation from large reference panels. We compare Beagle 5.0 with Beagle 4.1, Impute4, Minimac3, and Minimac4 using 1000 Genomes Project data, Haplotype Reference Consortium data, and simulated data for 10k, 100k, 1M, and 10M reference samples. All methods produce nearly identical accuracy, but Beagle 5.0 has the lowest computation time and the best scaling of computation time with increasing reference panel size. For 10k, 100k, 1M, and 10M reference samples and 1,000 phased target samples, Beagle 5.0’s computation time is 3× (10k), 12× (100k), 43× (1M), and 533× (10M) faster than the fastest alternative method. Cost data from the Amazon Elastic Compute Cloud show that Beagle 5.0 can perform genome-wide imputation from 10M reference samples into 1,000 phased target samples at a cost of less than one US cent per sample.","container-title":"American Journal of Human Genetics","DOI":"10.1016/j.ajhg.2018.07.015","ISSN":"0002-9297","issue":"3","journalAbbreviation":"Am J Hum Genet","note":"PMID: 30100085\nPMCID: PMC6128308","page":"338-348","source":"PubMed Central","title":"A One-Penny Imputed Genome from Next-Generation Reference Panels","volume":"103","author":[{"family":"Browning","given":"Brian L."},{"family":"Zhou","given":"Ying"},{"family":"Browning","given":"Sharon R."}],"issued":{"date-parts":[["2018",9,6]]}}},{"id":149,"uris":["http://zotero.org/users/8392737/items/D23ZMG54"],"itemData":{"id":149,"type":"article-journal","abstract":"Whole-genome association studies present many new statistical and computational challenges due to the large quantity of data obtained. One of these challenges is haplotype inference; methods for haplotype inference designed for small data sets from candidate-gene studies do not scale well to the large number of individuals genotyped in whole-genome association studies. We present a new method and software for inference of haplotype phase and missing data that can accurately phase data from whole-genome association studies, and we present the first comparison of haplotype-inference methods for real and simulated data sets with thousands of genotyped individuals. We find that our method outperforms existing methods in terms of both speed and accuracy for large data sets with thousands of individuals and densely spaced genetic markers, and we use our method to phase a real data set of 3,002 individuals genotyped for 490,032 markers in 3.1 days of computing time, with 99% of masked alleles imputed correctly. Our method is implemented in the Beagle software package, which is freely available.","container-title":"American Journal of Human Genetics","ISSN":"0002-9297","issue":"5","journalAbbreviation":"Am J Hum Genet","note":"PMID: 17924348\nPMCID: PMC2265661","page":"1084-1097","source":"PubMed Central","title":"Rapid and Accurate Haplotype Phasing and Missing-Data Inference for Whole-Genome Association Studies By Use of Localized Haplotype Clustering","volume":"81","author":[{"family":"Browning","given":"S. R.","suffix":""},{"family":"Browning, B. R.","given":""}],"issued":{"date-parts":[["2007",11]]}}}],"schema":"https://github.com/citation-style-language/schema/raw/master/csl-citation.json"} </w:instrText>
      </w:r>
      <w:r w:rsidR="00111AFD" w:rsidRPr="00981E42">
        <w:rPr>
          <w:bCs/>
          <w:lang w:val="en-GB"/>
        </w:rPr>
        <w:fldChar w:fldCharType="separate"/>
      </w:r>
      <w:r w:rsidR="00905C52" w:rsidRPr="00905C52">
        <w:rPr>
          <w:rFonts w:ascii="Calibri" w:hAnsi="Calibri" w:cs="Calibri"/>
        </w:rPr>
        <w:t>(4,5)</w:t>
      </w:r>
      <w:r w:rsidR="00111AFD" w:rsidRPr="00981E42">
        <w:rPr>
          <w:bCs/>
          <w:lang w:val="en-GB"/>
        </w:rPr>
        <w:fldChar w:fldCharType="end"/>
      </w:r>
      <w:r w:rsidRPr="00981E42">
        <w:rPr>
          <w:bCs/>
          <w:lang w:val="en-GB"/>
        </w:rPr>
        <w:t xml:space="preserve">. As a reference, the Estonian population specific imputation reference of 2297 WGS samples was used </w:t>
      </w:r>
      <w:r w:rsidRPr="00981E42">
        <w:rPr>
          <w:bCs/>
          <w:lang w:val="en-GB"/>
        </w:rPr>
        <w:fldChar w:fldCharType="begin"/>
      </w:r>
      <w:r w:rsidR="00905C52">
        <w:rPr>
          <w:bCs/>
          <w:lang w:val="en-GB"/>
        </w:rPr>
        <w:instrText xml:space="preserve"> ADDIN ZOTERO_ITEM CSL_CITATION {"citationID":"Po5hC3CV","properties":{"formattedCitation":"(6)","plainCitation":"(6)","noteIndex":0},"citationItems":[{"id":146,"uris":["http://zotero.org/users/8392737/items/PSPD95LA"],"itemData":{"id":146,"type":"article-journal","abstract":"Genetic imputation is a cost-efficient way to improve the power and resolution of genome-wide association (GWA) studies. Current publicly accessible imputation reference panels accurately predict genotypes for common variants with minor allele frequency (MAF)≥5% and low-frequency variants (0.5≤MAF&lt;5%) across diverse populations, but the imputation of rare variation (MAF&lt;0.5%) is still rather limited. In the current study, we evaluate imputation accuracy achieved with reference panels from diverse populations with a population-specific high-coverage (30 ×) whole-genome sequencing (WGS) based reference panel, comprising of 2244 Estonian individuals (0.25% of adult Estonians). Although the Estonian-specific panel contains fewer haplotypes and variants, the imputation confidence and accuracy of imputed low-frequency and rare variants was significantly higher. The results indicate the utility of population-specific reference panels for human genetic studies.","container-title":"European Journal of Human Genetics","DOI":"10.1038/ejhg.2017.51","ISSN":"1018-4813","issue":"7","journalAbbreviation":"Eur J Hum Genet","note":"PMID: 28401899\nPMCID: PMC5520064","page":"869-876","source":"PubMed Central","title":"Improved imputation accuracy of rare and low-frequency variants using population-specific high-coverage WGS-based imputation reference panel","volume":"25","author":[{"family":"Mitt","given":"Mario"},{"family":"Kals","given":"Mart"},{"family":"Pärn","given":"Kalle"},{"family":"Gabriel","given":"Stacey B"},{"family":"Lander","given":"Eric S"},{"family":"Palotie","given":"Aarno"},{"family":"Ripatti","given":"Samuli"},{"family":"Morris","given":"Andrew P"},{"family":"Metspalu","given":"Andres"},{"family":"Esko","given":"Tõnu"},{"family":"Mägi","given":"Reedik"},{"family":"Palta","given":"Priit"}],"issued":{"date-parts":[["2017",7]]}}}],"schema":"https://github.com/citation-style-language/schema/raw/master/csl-citation.json"} </w:instrText>
      </w:r>
      <w:r w:rsidRPr="00981E42">
        <w:rPr>
          <w:bCs/>
          <w:lang w:val="en-GB"/>
        </w:rPr>
        <w:fldChar w:fldCharType="separate"/>
      </w:r>
      <w:r w:rsidR="00905C52" w:rsidRPr="00905C52">
        <w:rPr>
          <w:rFonts w:ascii="Calibri" w:hAnsi="Calibri" w:cs="Calibri"/>
        </w:rPr>
        <w:t>(6)</w:t>
      </w:r>
      <w:r w:rsidRPr="00981E42">
        <w:rPr>
          <w:bCs/>
          <w:lang w:val="en-GB"/>
        </w:rPr>
        <w:fldChar w:fldCharType="end"/>
      </w:r>
      <w:r w:rsidRPr="00981E42">
        <w:rPr>
          <w:bCs/>
          <w:lang w:val="en-GB"/>
        </w:rPr>
        <w:t xml:space="preserve">. </w:t>
      </w:r>
    </w:p>
    <w:p w14:paraId="40DCBCD5" w14:textId="77777777" w:rsidR="001267CE" w:rsidRDefault="001267CE">
      <w:pPr>
        <w:rPr>
          <w:lang w:val="en-GB"/>
        </w:rPr>
      </w:pPr>
      <w:r>
        <w:rPr>
          <w:lang w:val="en-GB"/>
        </w:rPr>
        <w:br w:type="page"/>
      </w:r>
    </w:p>
    <w:p w14:paraId="5BB14BAD" w14:textId="6CC67886" w:rsidR="00E83EC0" w:rsidRPr="00E83EC0" w:rsidRDefault="00E83EC0" w:rsidP="00E83EC0">
      <w:pPr>
        <w:ind w:firstLine="708"/>
        <w:rPr>
          <w:b/>
          <w:lang w:val="en-GB"/>
        </w:rPr>
      </w:pPr>
    </w:p>
    <w:p w14:paraId="282DAA4C" w14:textId="50A7572B" w:rsidR="00E83EC0" w:rsidRDefault="00E83EC0" w:rsidP="001267CE">
      <w:pPr>
        <w:ind w:firstLine="708"/>
        <w:rPr>
          <w:b/>
        </w:rPr>
      </w:pPr>
    </w:p>
    <w:p w14:paraId="18E88413" w14:textId="3433DFCF" w:rsidR="00E83EC0" w:rsidRDefault="00E83EC0">
      <w:pPr>
        <w:rPr>
          <w:b/>
        </w:rPr>
      </w:pPr>
    </w:p>
    <w:p w14:paraId="5C365624" w14:textId="22C0D5FC" w:rsidR="001267CE" w:rsidRPr="007B43C8" w:rsidRDefault="001267CE" w:rsidP="001267CE">
      <w:pPr>
        <w:ind w:firstLine="708"/>
        <w:rPr>
          <w:b/>
        </w:rPr>
      </w:pPr>
      <w:r w:rsidRPr="007B43C8">
        <w:rPr>
          <w:b/>
        </w:rPr>
        <w:t xml:space="preserve">Supplementary Figure </w:t>
      </w:r>
      <w:r w:rsidR="004B5B21">
        <w:rPr>
          <w:b/>
        </w:rPr>
        <w:t>1</w:t>
      </w:r>
      <w:r w:rsidRPr="007B43C8">
        <w:rPr>
          <w:b/>
        </w:rPr>
        <w:t>. Associations between PRS</w:t>
      </w:r>
      <w:r>
        <w:rPr>
          <w:b/>
          <w:vertAlign w:val="subscript"/>
        </w:rPr>
        <w:t>ADHD</w:t>
      </w:r>
      <w:r w:rsidRPr="007B43C8">
        <w:rPr>
          <w:b/>
        </w:rPr>
        <w:t xml:space="preserve"> and ICD-10 codes in women</w:t>
      </w:r>
    </w:p>
    <w:p w14:paraId="2B9393B2" w14:textId="77777777" w:rsidR="001267CE" w:rsidRDefault="001267CE" w:rsidP="001267CE">
      <w:pPr>
        <w:ind w:firstLine="708"/>
      </w:pPr>
    </w:p>
    <w:p w14:paraId="5795EDBA" w14:textId="77777777" w:rsidR="001267CE" w:rsidRDefault="001267CE" w:rsidP="001267CE">
      <w:pPr>
        <w:ind w:firstLine="708"/>
      </w:pPr>
      <w:r>
        <w:rPr>
          <w:noProof/>
        </w:rPr>
        <w:drawing>
          <wp:inline distT="0" distB="0" distL="0" distR="0" wp14:anchorId="0A3C3DE5" wp14:editId="441F4139">
            <wp:extent cx="5731510" cy="2668905"/>
            <wp:effectExtent l="0" t="0" r="2540" b="0"/>
            <wp:docPr id="7571" name="Picture 7571"/>
            <wp:cNvGraphicFramePr/>
            <a:graphic xmlns:a="http://schemas.openxmlformats.org/drawingml/2006/main">
              <a:graphicData uri="http://schemas.openxmlformats.org/drawingml/2006/picture">
                <pic:pic xmlns:pic="http://schemas.openxmlformats.org/drawingml/2006/picture">
                  <pic:nvPicPr>
                    <pic:cNvPr id="7571" name="Picture 7571"/>
                    <pic:cNvPicPr/>
                  </pic:nvPicPr>
                  <pic:blipFill>
                    <a:blip r:embed="rId7"/>
                    <a:stretch>
                      <a:fillRect/>
                    </a:stretch>
                  </pic:blipFill>
                  <pic:spPr>
                    <a:xfrm>
                      <a:off x="0" y="0"/>
                      <a:ext cx="5731510" cy="2668905"/>
                    </a:xfrm>
                    <a:prstGeom prst="rect">
                      <a:avLst/>
                    </a:prstGeom>
                  </pic:spPr>
                </pic:pic>
              </a:graphicData>
            </a:graphic>
          </wp:inline>
        </w:drawing>
      </w:r>
    </w:p>
    <w:p w14:paraId="2DCDDF26" w14:textId="77777777" w:rsidR="001267CE" w:rsidRDefault="001267CE" w:rsidP="001267CE">
      <w:pPr>
        <w:ind w:firstLine="708"/>
      </w:pPr>
    </w:p>
    <w:p w14:paraId="4DF681D5" w14:textId="77777777" w:rsidR="001267CE" w:rsidRPr="00524CD6" w:rsidRDefault="001267CE" w:rsidP="001267CE">
      <w:pPr>
        <w:ind w:left="708" w:firstLine="1"/>
        <w:rPr>
          <w:i/>
          <w:sz w:val="18"/>
          <w:szCs w:val="18"/>
        </w:rPr>
      </w:pPr>
      <w:r w:rsidRPr="00524CD6">
        <w:rPr>
          <w:i/>
          <w:sz w:val="18"/>
          <w:szCs w:val="18"/>
        </w:rPr>
        <w:t xml:space="preserve">Note: </w:t>
      </w:r>
      <w:r w:rsidRPr="00323DF4">
        <w:rPr>
          <w:i/>
          <w:sz w:val="18"/>
          <w:lang w:val="en-GB"/>
        </w:rPr>
        <w:t>The X axis indicates groups of ICD10 maincodes coloured respectively and Y axis −log10 of the p values. Each triangle in the plot represents one ICD10 main code and the direction of the triangle represents direction of effect. Red line— Bonferroni-corrected significance level (3.3x10</w:t>
      </w:r>
      <w:r w:rsidRPr="00323DF4">
        <w:rPr>
          <w:i/>
          <w:sz w:val="18"/>
          <w:vertAlign w:val="superscript"/>
          <w:lang w:val="en-GB"/>
        </w:rPr>
        <w:t>-5</w:t>
      </w:r>
      <w:r w:rsidRPr="00323DF4">
        <w:rPr>
          <w:i/>
          <w:sz w:val="18"/>
          <w:lang w:val="en-GB"/>
        </w:rPr>
        <w:t>)</w:t>
      </w:r>
      <w:r>
        <w:rPr>
          <w:i/>
          <w:sz w:val="18"/>
          <w:lang w:val="en-GB"/>
        </w:rPr>
        <w:t>. Phenotypes passed the Bonferroni correction:</w:t>
      </w:r>
      <w:r>
        <w:rPr>
          <w:i/>
          <w:sz w:val="18"/>
          <w:szCs w:val="18"/>
        </w:rPr>
        <w:t xml:space="preserve"> </w:t>
      </w:r>
      <w:r w:rsidRPr="00524CD6">
        <w:rPr>
          <w:i/>
          <w:sz w:val="18"/>
          <w:szCs w:val="18"/>
        </w:rPr>
        <w:t>E66-Obesity; M54-Dorsalgia; M15-Polyarthrosis; O04-Medical abortion; R51-Headache; F32-Depressive episoode; G56-Mononeuropathies of upper limb; M75-Shoulder lesions; F41-Other anxiety disorders; M77-Other enthesopathies; E11-Non-insulin-dependent diabetes mellitus; M79-Other soft tissue disorders, not elsewhere classified; J20-Acute bronchitis; K21-Gastro-oesophageal reflux disease; I10-Essential (primary) hypertension; M51-Other intervertebral disc disorders; G43-Migraine; J03-Acute tonsillitis; M25-Other joint disorders, not elsewhere classified; G47-Sleep disorders; K29-Gastritis and duodenitis; M19-Other arthrosis; M70-Soft tissue disorders related to use, overuse and pressure; J44-Other chronic obstructive pulmonary disease; M48-Other spondylopathies; I11-Hypertensive heart disease; R10-Abdominal and pelvic pain; G44-Other headache syndromes; N30-Cystitis; A56-Other sexually transmitted chlamydial diseases; D22-Melanocytic naevi; J45-Asthma; J04-Acute laryngitis and tracheitis; M16-Coxarthrosis [arthrosis of hip]; M50-Cervical disc disorders; A63-Other predominantly sexually transmitted diseases, not elsewhere classified; F10-Mental and behavioural disorders due to use of alcohol; B86-Scabies; K80-Cholelithiasis; K59-Other functional intestinal disorders; N71-Inflammatory disease of uterus, except cervix; N76-Other inflammation of vagina and vulva; K30-Dyspepsia; N92-Excessive, frequent and irregular menstruation; O2-Haemorrhage in early pregnancy; K04-Diseases of pulp and periapical tissues; R11-Nausea and vomiting; F33-Recurrent depressive disorder; O99-Other maternal diseases classifiable elsewhere but complicating pregnancy, childbirth and the puerperium; F43-Reaction to severe stress, and adjustment disorders; M17-Gonarthrosis [arthrosis of knee]; M10-Gout; L82-Seborrhoeic keratosis; N70-Salpingitis and oophoritis; M47-Spondylosis; L02-Cutaneous abscess, furuncle and carbuncle; O26-Maternal care for other conditions predominantly related to pregnancy; O23-Infections of genitourinary tract in pregnancy; K05-Gingivitis and periodontal diseases; O47-False labour; M13-Other arthritis; I50-Heart failure; O00-Ectopic pregnancy; M6-Synovitis and tenosynovitis; M06-Other rheumatoid arthritis; Z88-Personal history of allergy to drugs, medicaments and biological substances; T43-Poisoning by psychotropic drugs, not elsewhere classified</w:t>
      </w:r>
    </w:p>
    <w:p w14:paraId="04DF97BB" w14:textId="77777777" w:rsidR="001267CE" w:rsidRDefault="001267CE" w:rsidP="001267CE">
      <w:pPr>
        <w:ind w:firstLine="708"/>
      </w:pPr>
    </w:p>
    <w:p w14:paraId="10CCA220" w14:textId="77777777" w:rsidR="001267CE" w:rsidRDefault="001267CE" w:rsidP="001267CE">
      <w:pPr>
        <w:ind w:firstLine="708"/>
      </w:pPr>
    </w:p>
    <w:p w14:paraId="15745A27" w14:textId="77777777" w:rsidR="001267CE" w:rsidRDefault="001267CE" w:rsidP="001267CE">
      <w:pPr>
        <w:ind w:firstLine="708"/>
        <w:sectPr w:rsidR="001267CE">
          <w:pgSz w:w="11906" w:h="16838"/>
          <w:pgMar w:top="1440" w:right="1440" w:bottom="1440" w:left="1440" w:header="708" w:footer="708" w:gutter="0"/>
          <w:cols w:space="708"/>
          <w:docGrid w:linePitch="360"/>
        </w:sectPr>
      </w:pPr>
    </w:p>
    <w:p w14:paraId="2BB34A4F" w14:textId="24FF5124" w:rsidR="001267CE" w:rsidRPr="007B43C8" w:rsidRDefault="001267CE" w:rsidP="001267CE">
      <w:pPr>
        <w:ind w:firstLine="708"/>
        <w:rPr>
          <w:b/>
        </w:rPr>
      </w:pPr>
      <w:r w:rsidRPr="007B43C8">
        <w:rPr>
          <w:b/>
        </w:rPr>
        <w:lastRenderedPageBreak/>
        <w:t xml:space="preserve">Supplementary Figure </w:t>
      </w:r>
      <w:r w:rsidR="004B5B21">
        <w:rPr>
          <w:b/>
        </w:rPr>
        <w:t>2</w:t>
      </w:r>
      <w:r w:rsidRPr="007B43C8">
        <w:rPr>
          <w:b/>
        </w:rPr>
        <w:t>. Associations between PRS</w:t>
      </w:r>
      <w:r>
        <w:rPr>
          <w:b/>
          <w:vertAlign w:val="subscript"/>
        </w:rPr>
        <w:t>ADHD</w:t>
      </w:r>
      <w:r w:rsidRPr="007B43C8">
        <w:rPr>
          <w:b/>
        </w:rPr>
        <w:t xml:space="preserve"> and ICD-10 codes in men</w:t>
      </w:r>
    </w:p>
    <w:p w14:paraId="18367EC3" w14:textId="77777777" w:rsidR="001267CE" w:rsidRDefault="001267CE" w:rsidP="001267CE">
      <w:pPr>
        <w:ind w:firstLine="708"/>
      </w:pPr>
    </w:p>
    <w:p w14:paraId="7DA9ABF1" w14:textId="77777777" w:rsidR="001267CE" w:rsidRDefault="001267CE" w:rsidP="001267CE">
      <w:pPr>
        <w:ind w:firstLine="708"/>
      </w:pPr>
      <w:r>
        <w:rPr>
          <w:noProof/>
        </w:rPr>
        <w:drawing>
          <wp:inline distT="0" distB="0" distL="0" distR="0" wp14:anchorId="7E160909" wp14:editId="2E659C9A">
            <wp:extent cx="5731510" cy="2668905"/>
            <wp:effectExtent l="0" t="0" r="2540" b="0"/>
            <wp:docPr id="6688" name="Picture 6688"/>
            <wp:cNvGraphicFramePr/>
            <a:graphic xmlns:a="http://schemas.openxmlformats.org/drawingml/2006/main">
              <a:graphicData uri="http://schemas.openxmlformats.org/drawingml/2006/picture">
                <pic:pic xmlns:pic="http://schemas.openxmlformats.org/drawingml/2006/picture">
                  <pic:nvPicPr>
                    <pic:cNvPr id="6688" name="Picture 6688"/>
                    <pic:cNvPicPr/>
                  </pic:nvPicPr>
                  <pic:blipFill>
                    <a:blip r:embed="rId8"/>
                    <a:stretch>
                      <a:fillRect/>
                    </a:stretch>
                  </pic:blipFill>
                  <pic:spPr>
                    <a:xfrm>
                      <a:off x="0" y="0"/>
                      <a:ext cx="5731510" cy="2668905"/>
                    </a:xfrm>
                    <a:prstGeom prst="rect">
                      <a:avLst/>
                    </a:prstGeom>
                  </pic:spPr>
                </pic:pic>
              </a:graphicData>
            </a:graphic>
          </wp:inline>
        </w:drawing>
      </w:r>
    </w:p>
    <w:p w14:paraId="71364A16" w14:textId="77777777" w:rsidR="001267CE" w:rsidRPr="00425663" w:rsidRDefault="001267CE" w:rsidP="001267CE">
      <w:pPr>
        <w:ind w:left="709" w:hanging="1"/>
        <w:rPr>
          <w:i/>
          <w:sz w:val="18"/>
        </w:rPr>
      </w:pPr>
      <w:r w:rsidRPr="00425663">
        <w:rPr>
          <w:i/>
          <w:sz w:val="18"/>
        </w:rPr>
        <w:t xml:space="preserve">Note: </w:t>
      </w:r>
      <w:r w:rsidRPr="00411B73">
        <w:rPr>
          <w:i/>
          <w:sz w:val="18"/>
          <w:lang w:val="en-GB"/>
        </w:rPr>
        <w:t>The X axis indicates groups of ICD10 maincodes coloured respectively and Y axis −log10 of the p values. Each triangle in the plot represents one ICD10 main code and the direction of the triangle represents direction of effect. Red line— Bonferroni-corrected significance level (3.3x10</w:t>
      </w:r>
      <w:r w:rsidRPr="00411B73">
        <w:rPr>
          <w:i/>
          <w:sz w:val="18"/>
          <w:vertAlign w:val="superscript"/>
          <w:lang w:val="en-GB"/>
        </w:rPr>
        <w:t>-5</w:t>
      </w:r>
      <w:r w:rsidRPr="00411B73">
        <w:rPr>
          <w:i/>
          <w:sz w:val="18"/>
          <w:lang w:val="en-GB"/>
        </w:rPr>
        <w:t xml:space="preserve">). Phenotypes passed the Bonferroni correction: </w:t>
      </w:r>
      <w:r w:rsidRPr="00425663">
        <w:rPr>
          <w:i/>
          <w:sz w:val="18"/>
        </w:rPr>
        <w:t>J44-Other chronic obstructive pulmonary disease; E66-Obesity; M54-Dorsalgia; F10-Mental and behavioural disorders due to use of alcohol; E11-Non-insulin-dependent diabetes mellitus; D22-Melanocytic naevi</w:t>
      </w:r>
    </w:p>
    <w:p w14:paraId="4AC532D7" w14:textId="77777777" w:rsidR="001267CE" w:rsidRPr="006359B7" w:rsidRDefault="001267CE" w:rsidP="001267CE"/>
    <w:p w14:paraId="55BF3F67" w14:textId="4B48BF39" w:rsidR="00CD1044" w:rsidRDefault="00CD1044">
      <w:pPr>
        <w:rPr>
          <w:lang w:val="en-GB"/>
        </w:rPr>
      </w:pPr>
      <w:r>
        <w:rPr>
          <w:lang w:val="en-GB"/>
        </w:rPr>
        <w:br w:type="page"/>
      </w:r>
    </w:p>
    <w:p w14:paraId="577C6FFE" w14:textId="456F3F1E" w:rsidR="002A3DF4" w:rsidRDefault="00FC61C7">
      <w:pPr>
        <w:rPr>
          <w:u w:val="single"/>
        </w:rPr>
      </w:pPr>
      <w:r w:rsidRPr="00CD1044">
        <w:rPr>
          <w:u w:val="single"/>
        </w:rPr>
        <w:lastRenderedPageBreak/>
        <w:t>References</w:t>
      </w:r>
    </w:p>
    <w:p w14:paraId="57D528B4" w14:textId="77777777" w:rsidR="00CD1044" w:rsidRPr="00CD1044" w:rsidRDefault="00CD1044">
      <w:pPr>
        <w:rPr>
          <w:u w:val="single"/>
        </w:rPr>
      </w:pPr>
    </w:p>
    <w:p w14:paraId="546119E5" w14:textId="77777777" w:rsidR="00905C52" w:rsidRPr="00905C52" w:rsidRDefault="00CD1044" w:rsidP="00905C52">
      <w:pPr>
        <w:pStyle w:val="Bibliography"/>
        <w:rPr>
          <w:rFonts w:ascii="Calibri" w:hAnsi="Calibri" w:cs="Calibri"/>
        </w:rPr>
      </w:pPr>
      <w:r w:rsidRPr="00FC61C7">
        <w:t xml:space="preserve"> </w:t>
      </w:r>
      <w:r>
        <w:fldChar w:fldCharType="begin"/>
      </w:r>
      <w:r w:rsidR="00643029">
        <w:instrText xml:space="preserve"> ADDIN ZOTERO_BIBL {"uncited":[],"omitted":[],"custom":[]} CSL_BIBLIOGRAPHY </w:instrText>
      </w:r>
      <w:r>
        <w:fldChar w:fldCharType="separate"/>
      </w:r>
      <w:r w:rsidR="00905C52" w:rsidRPr="00905C52">
        <w:rPr>
          <w:rFonts w:ascii="Calibri" w:hAnsi="Calibri" w:cs="Calibri"/>
        </w:rPr>
        <w:t>1.</w:t>
      </w:r>
      <w:r w:rsidR="00905C52" w:rsidRPr="00905C52">
        <w:rPr>
          <w:rFonts w:ascii="Calibri" w:hAnsi="Calibri" w:cs="Calibri"/>
        </w:rPr>
        <w:tab/>
        <w:t xml:space="preserve">Leitsalu L, Haller T, Esko T, Tammesoo ML, Alavere H, Snieder H, et al. Cohort Profile: Estonian Biobank of the Estonian Genome Center, University of Tartu. Int J Epidemiol. 2015 Aug;44(4):1137–47. </w:t>
      </w:r>
    </w:p>
    <w:p w14:paraId="2C2B4A39" w14:textId="77777777" w:rsidR="00905C52" w:rsidRPr="00905C52" w:rsidRDefault="00905C52" w:rsidP="00905C52">
      <w:pPr>
        <w:pStyle w:val="Bibliography"/>
        <w:rPr>
          <w:rFonts w:ascii="Calibri" w:hAnsi="Calibri" w:cs="Calibri"/>
        </w:rPr>
      </w:pPr>
      <w:r w:rsidRPr="00905C52">
        <w:rPr>
          <w:rFonts w:ascii="Calibri" w:hAnsi="Calibri" w:cs="Calibri"/>
        </w:rPr>
        <w:t>2.</w:t>
      </w:r>
      <w:r w:rsidRPr="00905C52">
        <w:rPr>
          <w:rFonts w:ascii="Calibri" w:hAnsi="Calibri" w:cs="Calibri"/>
        </w:rPr>
        <w:tab/>
        <w:t xml:space="preserve">Reisberg S, Krebs K, Lepamets M, Kals M, Mägi R, Metsalu K, et al. Translating genotype data of 44,000 biobank participants into clinical pharmacogenetic recommendations: challenges and solutions. Genet Med. 2019 Jun;21(6):1345–54. </w:t>
      </w:r>
    </w:p>
    <w:p w14:paraId="13CB32FE" w14:textId="77777777" w:rsidR="00905C52" w:rsidRPr="00905C52" w:rsidRDefault="00905C52" w:rsidP="00905C52">
      <w:pPr>
        <w:pStyle w:val="Bibliography"/>
        <w:rPr>
          <w:rFonts w:ascii="Calibri" w:hAnsi="Calibri" w:cs="Calibri"/>
        </w:rPr>
      </w:pPr>
      <w:r w:rsidRPr="00905C52">
        <w:rPr>
          <w:rFonts w:ascii="Calibri" w:hAnsi="Calibri" w:cs="Calibri"/>
        </w:rPr>
        <w:t>3.</w:t>
      </w:r>
      <w:r w:rsidRPr="00905C52">
        <w:rPr>
          <w:rFonts w:ascii="Calibri" w:hAnsi="Calibri" w:cs="Calibri"/>
        </w:rPr>
        <w:tab/>
        <w:t xml:space="preserve">Loh PR, Danecek P, Palamara PF, Fuchsberger C, Reshef YA, Finucane HK, et al. Reference-based phasing using the Haplotype Reference Consortium panel. Nat Genet. 2016 Nov;48(11):1443–8. </w:t>
      </w:r>
    </w:p>
    <w:p w14:paraId="756FFC48" w14:textId="77777777" w:rsidR="00905C52" w:rsidRPr="00905C52" w:rsidRDefault="00905C52" w:rsidP="00905C52">
      <w:pPr>
        <w:pStyle w:val="Bibliography"/>
        <w:rPr>
          <w:rFonts w:ascii="Calibri" w:hAnsi="Calibri" w:cs="Calibri"/>
        </w:rPr>
      </w:pPr>
      <w:r w:rsidRPr="00905C52">
        <w:rPr>
          <w:rFonts w:ascii="Calibri" w:hAnsi="Calibri" w:cs="Calibri"/>
        </w:rPr>
        <w:t>4.</w:t>
      </w:r>
      <w:r w:rsidRPr="00905C52">
        <w:rPr>
          <w:rFonts w:ascii="Calibri" w:hAnsi="Calibri" w:cs="Calibri"/>
        </w:rPr>
        <w:tab/>
        <w:t xml:space="preserve">Browning BL, Zhou Y, Browning SR. A One-Penny Imputed Genome from Next-Generation Reference Panels. Am J Hum Genet. 2018 Sep 6;103(3):338–48. </w:t>
      </w:r>
    </w:p>
    <w:p w14:paraId="642E5755" w14:textId="77777777" w:rsidR="00905C52" w:rsidRPr="00905C52" w:rsidRDefault="00905C52" w:rsidP="00905C52">
      <w:pPr>
        <w:pStyle w:val="Bibliography"/>
        <w:rPr>
          <w:rFonts w:ascii="Calibri" w:hAnsi="Calibri" w:cs="Calibri"/>
        </w:rPr>
      </w:pPr>
      <w:r w:rsidRPr="00905C52">
        <w:rPr>
          <w:rFonts w:ascii="Calibri" w:hAnsi="Calibri" w:cs="Calibri"/>
        </w:rPr>
        <w:t>5.</w:t>
      </w:r>
      <w:r w:rsidRPr="00905C52">
        <w:rPr>
          <w:rFonts w:ascii="Calibri" w:hAnsi="Calibri" w:cs="Calibri"/>
        </w:rPr>
        <w:tab/>
        <w:t xml:space="preserve">Browning SR, Browning, B. R. Rapid and Accurate Haplotype Phasing and Missing-Data Inference for Whole-Genome Association Studies By Use of Localized Haplotype Clustering. Am J Hum Genet. 2007 Nov;81(5):1084–97. </w:t>
      </w:r>
    </w:p>
    <w:p w14:paraId="60D93769" w14:textId="77777777" w:rsidR="00905C52" w:rsidRPr="00905C52" w:rsidRDefault="00905C52" w:rsidP="00905C52">
      <w:pPr>
        <w:pStyle w:val="Bibliography"/>
        <w:rPr>
          <w:rFonts w:ascii="Calibri" w:hAnsi="Calibri" w:cs="Calibri"/>
        </w:rPr>
      </w:pPr>
      <w:r w:rsidRPr="00905C52">
        <w:rPr>
          <w:rFonts w:ascii="Calibri" w:hAnsi="Calibri" w:cs="Calibri"/>
        </w:rPr>
        <w:t>6.</w:t>
      </w:r>
      <w:r w:rsidRPr="00905C52">
        <w:rPr>
          <w:rFonts w:ascii="Calibri" w:hAnsi="Calibri" w:cs="Calibri"/>
        </w:rPr>
        <w:tab/>
        <w:t xml:space="preserve">Mitt M, Kals M, Pärn K, Gabriel SB, Lander ES, Palotie A, et al. Improved imputation accuracy of rare and low-frequency variants using population-specific high-coverage WGS-based imputation reference panel. Eur J Hum Genet. 2017 Jul;25(7):869–76. </w:t>
      </w:r>
    </w:p>
    <w:p w14:paraId="435CEB6D" w14:textId="082FA7B1" w:rsidR="00FC61C7" w:rsidRDefault="00CD1044" w:rsidP="00CD1044">
      <w:r>
        <w:rPr>
          <w:bCs/>
        </w:rPr>
        <w:fldChar w:fldCharType="end"/>
      </w:r>
    </w:p>
    <w:sectPr w:rsidR="00FC61C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DF4"/>
    <w:rsid w:val="00002D8B"/>
    <w:rsid w:val="000502A3"/>
    <w:rsid w:val="00111AFD"/>
    <w:rsid w:val="001267CE"/>
    <w:rsid w:val="001A3EFC"/>
    <w:rsid w:val="00221F70"/>
    <w:rsid w:val="002A3DF4"/>
    <w:rsid w:val="004B5B21"/>
    <w:rsid w:val="00643029"/>
    <w:rsid w:val="0077234E"/>
    <w:rsid w:val="007900FF"/>
    <w:rsid w:val="00905C52"/>
    <w:rsid w:val="00956390"/>
    <w:rsid w:val="00967B5C"/>
    <w:rsid w:val="00981E42"/>
    <w:rsid w:val="00A639B5"/>
    <w:rsid w:val="00A9276E"/>
    <w:rsid w:val="00CD1044"/>
    <w:rsid w:val="00DA604B"/>
    <w:rsid w:val="00DC7947"/>
    <w:rsid w:val="00E41BCD"/>
    <w:rsid w:val="00E83EC0"/>
    <w:rsid w:val="00EA72E8"/>
    <w:rsid w:val="00F056E4"/>
    <w:rsid w:val="00FC61C7"/>
    <w:rsid w:val="0362B29B"/>
    <w:rsid w:val="16B864AD"/>
    <w:rsid w:val="2E186491"/>
    <w:rsid w:val="2FF32F5A"/>
    <w:rsid w:val="42A2C064"/>
    <w:rsid w:val="4DF8C03E"/>
    <w:rsid w:val="57C12B37"/>
    <w:rsid w:val="60D9286C"/>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F2177"/>
  <w15:chartTrackingRefBased/>
  <w15:docId w15:val="{F9B7981A-C28C-4769-A6AB-FC00E98A7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C61C7"/>
    <w:rPr>
      <w:sz w:val="16"/>
      <w:szCs w:val="16"/>
    </w:rPr>
  </w:style>
  <w:style w:type="paragraph" w:styleId="CommentText">
    <w:name w:val="annotation text"/>
    <w:basedOn w:val="Normal"/>
    <w:link w:val="CommentTextChar"/>
    <w:uiPriority w:val="99"/>
    <w:semiHidden/>
    <w:unhideWhenUsed/>
    <w:rsid w:val="00FC61C7"/>
    <w:pPr>
      <w:spacing w:line="240" w:lineRule="auto"/>
    </w:pPr>
    <w:rPr>
      <w:sz w:val="20"/>
      <w:szCs w:val="20"/>
    </w:rPr>
  </w:style>
  <w:style w:type="character" w:customStyle="1" w:styleId="CommentTextChar">
    <w:name w:val="Comment Text Char"/>
    <w:basedOn w:val="DefaultParagraphFont"/>
    <w:link w:val="CommentText"/>
    <w:uiPriority w:val="99"/>
    <w:semiHidden/>
    <w:rsid w:val="00FC61C7"/>
    <w:rPr>
      <w:sz w:val="20"/>
      <w:szCs w:val="20"/>
    </w:rPr>
  </w:style>
  <w:style w:type="paragraph" w:styleId="BalloonText">
    <w:name w:val="Balloon Text"/>
    <w:basedOn w:val="Normal"/>
    <w:link w:val="BalloonTextChar"/>
    <w:uiPriority w:val="99"/>
    <w:semiHidden/>
    <w:unhideWhenUsed/>
    <w:rsid w:val="00FC61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61C7"/>
    <w:rPr>
      <w:rFonts w:ascii="Segoe UI" w:hAnsi="Segoe UI" w:cs="Segoe UI"/>
      <w:sz w:val="18"/>
      <w:szCs w:val="18"/>
    </w:rPr>
  </w:style>
  <w:style w:type="paragraph" w:styleId="Bibliography">
    <w:name w:val="Bibliography"/>
    <w:basedOn w:val="Normal"/>
    <w:next w:val="Normal"/>
    <w:uiPriority w:val="37"/>
    <w:unhideWhenUsed/>
    <w:rsid w:val="00CD1044"/>
    <w:pPr>
      <w:tabs>
        <w:tab w:val="left" w:pos="264"/>
      </w:tabs>
      <w:spacing w:after="240" w:line="240" w:lineRule="auto"/>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33A7BE741D98B5439AA2498196DC6C73" ma:contentTypeVersion="13" ma:contentTypeDescription="Loo uus dokument" ma:contentTypeScope="" ma:versionID="23a661056d12ab1279ffb9f0676ab3ee">
  <xsd:schema xmlns:xsd="http://www.w3.org/2001/XMLSchema" xmlns:xs="http://www.w3.org/2001/XMLSchema" xmlns:p="http://schemas.microsoft.com/office/2006/metadata/properties" xmlns:ns3="58dd0cb3-3780-46ea-b6d1-22e35fbe1334" xmlns:ns4="7150c2ef-e1f8-4308-9fb1-31f16df7cbb1" targetNamespace="http://schemas.microsoft.com/office/2006/metadata/properties" ma:root="true" ma:fieldsID="4812aad93fa75f09c46d3eefd3d28591" ns3:_="" ns4:_="">
    <xsd:import namespace="58dd0cb3-3780-46ea-b6d1-22e35fbe1334"/>
    <xsd:import namespace="7150c2ef-e1f8-4308-9fb1-31f16df7cbb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dd0cb3-3780-46ea-b6d1-22e35fbe13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50c2ef-e1f8-4308-9fb1-31f16df7cbb1" elementFormDefault="qualified">
    <xsd:import namespace="http://schemas.microsoft.com/office/2006/documentManagement/types"/>
    <xsd:import namespace="http://schemas.microsoft.com/office/infopath/2007/PartnerControls"/>
    <xsd:element name="SharedWithUsers" ma:index="12"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Ühiskasutusse andmise üksikasjad" ma:internalName="SharedWithDetails" ma:readOnly="true">
      <xsd:simpleType>
        <xsd:restriction base="dms:Note">
          <xsd:maxLength value="255"/>
        </xsd:restriction>
      </xsd:simpleType>
    </xsd:element>
    <xsd:element name="SharingHintHash" ma:index="14" nillable="true" ma:displayName="Vihjeräsi jagami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427129-EEB2-4D88-A1A6-3198C56EBE63}">
  <ds:schemaRefs>
    <ds:schemaRef ds:uri="http://purl.org/dc/dcmitype/"/>
    <ds:schemaRef ds:uri="http://schemas.microsoft.com/office/infopath/2007/PartnerControls"/>
    <ds:schemaRef ds:uri="http://www.w3.org/XML/1998/namespace"/>
    <ds:schemaRef ds:uri="http://purl.org/dc/terms/"/>
    <ds:schemaRef ds:uri="http://purl.org/dc/elements/1.1/"/>
    <ds:schemaRef ds:uri="7150c2ef-e1f8-4308-9fb1-31f16df7cbb1"/>
    <ds:schemaRef ds:uri="http://schemas.microsoft.com/office/2006/metadata/properties"/>
    <ds:schemaRef ds:uri="http://schemas.microsoft.com/office/2006/documentManagement/types"/>
    <ds:schemaRef ds:uri="58dd0cb3-3780-46ea-b6d1-22e35fbe1334"/>
    <ds:schemaRef ds:uri="http://schemas.openxmlformats.org/package/2006/metadata/core-properties"/>
  </ds:schemaRefs>
</ds:datastoreItem>
</file>

<file path=customXml/itemProps2.xml><?xml version="1.0" encoding="utf-8"?>
<ds:datastoreItem xmlns:ds="http://schemas.openxmlformats.org/officeDocument/2006/customXml" ds:itemID="{3C27C8D6-208E-4884-92F6-CFE0CE6509C9}">
  <ds:schemaRefs>
    <ds:schemaRef ds:uri="http://schemas.microsoft.com/sharepoint/v3/contenttype/forms"/>
  </ds:schemaRefs>
</ds:datastoreItem>
</file>

<file path=customXml/itemProps3.xml><?xml version="1.0" encoding="utf-8"?>
<ds:datastoreItem xmlns:ds="http://schemas.openxmlformats.org/officeDocument/2006/customXml" ds:itemID="{D32E7EE6-D4F3-4F2C-ABB9-5B109C55AF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dd0cb3-3780-46ea-b6d1-22e35fbe1334"/>
    <ds:schemaRef ds:uri="7150c2ef-e1f8-4308-9fb1-31f16df7c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3004</Words>
  <Characters>17128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 Haan</dc:creator>
  <cp:keywords/>
  <dc:description/>
  <cp:lastModifiedBy>NANITHA L.</cp:lastModifiedBy>
  <cp:revision>4</cp:revision>
  <dcterms:created xsi:type="dcterms:W3CDTF">2022-11-28T15:38:00Z</dcterms:created>
  <dcterms:modified xsi:type="dcterms:W3CDTF">2024-03-25T11:50:00Z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0x01010033A7BE741D98B5439AA2498196DC6C73</vt:lpwstr>
  </property>
  <property fmtid="{D5CDD505-2E9C-101B-9397-08002B2CF9AE}" pid="3" name="ZOTERO_PREF_1">
    <vt:lpwstr>&lt;data data-version="3" zotero-version="6.0.16"&gt;&lt;session id="cxKprXeq"/&gt;&lt;style id="http://www.zotero.org/styles/vancouver" locale="en-GB" hasBibliography="1" bibliographyStyleHasBeenSet="1"/&gt;&lt;prefs&gt;&lt;pref name="fieldType" value="Field"/&gt;&lt;pref name="automati</vt:lpwstr>
  </property>
  <property fmtid="{D5CDD505-2E9C-101B-9397-08002B2CF9AE}" pid="4" name="ZOTERO_PREF_2">
    <vt:lpwstr>cJournalAbbreviations" value="true"/&gt;&lt;/prefs&gt;&lt;/data&gt;</vt:lpwstr>
  </property>
</Properties>
</file>