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90285C" w14:textId="648625F0" w:rsidR="00DB2B8B" w:rsidRDefault="00F34901" w:rsidP="00CA2AF7">
      <w:pPr>
        <w:autoSpaceDE w:val="0"/>
        <w:autoSpaceDN w:val="0"/>
        <w:adjustRightInd w:val="0"/>
        <w:spacing w:line="480" w:lineRule="auto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Supplemental Figure </w:t>
      </w:r>
      <w:r>
        <w:rPr>
          <w:rFonts w:ascii="Arial" w:hAnsi="Arial" w:cs="Arial"/>
          <w:color w:val="000000"/>
          <w:sz w:val="22"/>
          <w:szCs w:val="22"/>
        </w:rPr>
        <w:t>1</w:t>
      </w:r>
      <w:r>
        <w:rPr>
          <w:rFonts w:ascii="Arial" w:hAnsi="Arial" w:cs="Arial"/>
          <w:color w:val="000000"/>
          <w:sz w:val="22"/>
          <w:szCs w:val="22"/>
        </w:rPr>
        <w:t xml:space="preserve">.  </w:t>
      </w:r>
      <w:r w:rsidR="006773DF">
        <w:rPr>
          <w:rFonts w:ascii="Arial" w:hAnsi="Arial" w:cs="Arial"/>
          <w:color w:val="000000"/>
          <w:sz w:val="22"/>
          <w:szCs w:val="22"/>
        </w:rPr>
        <w:t xml:space="preserve">Diagonal matrix of correlations </w:t>
      </w:r>
      <w:r>
        <w:rPr>
          <w:rFonts w:ascii="Arial" w:hAnsi="Arial" w:cs="Arial"/>
          <w:color w:val="000000"/>
          <w:sz w:val="22"/>
          <w:szCs w:val="22"/>
        </w:rPr>
        <w:t>between</w:t>
      </w:r>
      <w:r w:rsidR="006773DF">
        <w:rPr>
          <w:rFonts w:ascii="Arial" w:hAnsi="Arial" w:cs="Arial"/>
          <w:color w:val="000000"/>
          <w:sz w:val="22"/>
          <w:szCs w:val="22"/>
        </w:rPr>
        <w:t xml:space="preserve"> TCT performance metrics</w:t>
      </w:r>
      <w:r>
        <w:rPr>
          <w:rFonts w:ascii="Arial" w:hAnsi="Arial" w:cs="Arial"/>
          <w:color w:val="000000"/>
          <w:sz w:val="22"/>
          <w:szCs w:val="22"/>
        </w:rPr>
        <w:t>.</w:t>
      </w:r>
      <w:r>
        <w:rPr>
          <w:rFonts w:ascii="Arial" w:hAnsi="Arial" w:cs="Arial"/>
          <w:color w:val="000000"/>
          <w:sz w:val="22"/>
          <w:szCs w:val="22"/>
        </w:rPr>
        <w:t xml:space="preserve"> Pearson’s correlation coefficients are shown.</w:t>
      </w:r>
    </w:p>
    <w:p w14:paraId="744B8FA6" w14:textId="60CAA3DF" w:rsidR="00F34901" w:rsidRDefault="00F34901" w:rsidP="00CA2AF7">
      <w:pPr>
        <w:autoSpaceDE w:val="0"/>
        <w:autoSpaceDN w:val="0"/>
        <w:adjustRightInd w:val="0"/>
        <w:spacing w:line="480" w:lineRule="auto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noProof/>
          <w:color w:val="000000"/>
          <w:sz w:val="22"/>
          <w:szCs w:val="22"/>
        </w:rPr>
        <w:drawing>
          <wp:inline distT="0" distB="0" distL="0" distR="0" wp14:anchorId="58FD96E6" wp14:editId="752AD5E1">
            <wp:extent cx="5943600" cy="4934585"/>
            <wp:effectExtent l="0" t="0" r="0" b="5715"/>
            <wp:docPr id="1176250472" name="Picture 1" descr="A graph of different colored squar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250472" name="Picture 2" descr="A graph of different colored squares&#10;&#10;Description automatically generated with medium confidence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3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1C301" w14:textId="075C0F0E" w:rsidR="00F34901" w:rsidRDefault="00F34901">
      <w:pPr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br w:type="page"/>
      </w:r>
    </w:p>
    <w:p w14:paraId="221BDD44" w14:textId="33D9B96F" w:rsidR="00CA2AF7" w:rsidRDefault="00CA2AF7" w:rsidP="00CA2AF7">
      <w:pPr>
        <w:autoSpaceDE w:val="0"/>
        <w:autoSpaceDN w:val="0"/>
        <w:adjustRightInd w:val="0"/>
        <w:spacing w:line="480" w:lineRule="auto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lastRenderedPageBreak/>
        <w:t xml:space="preserve">Supplemental Figure </w:t>
      </w:r>
      <w:r w:rsidR="00F34901">
        <w:rPr>
          <w:rFonts w:ascii="Arial" w:hAnsi="Arial" w:cs="Arial"/>
          <w:color w:val="000000"/>
          <w:sz w:val="22"/>
          <w:szCs w:val="22"/>
        </w:rPr>
        <w:t>2</w:t>
      </w:r>
      <w:r>
        <w:rPr>
          <w:rFonts w:ascii="Arial" w:hAnsi="Arial" w:cs="Arial"/>
          <w:color w:val="000000"/>
          <w:sz w:val="22"/>
          <w:szCs w:val="22"/>
        </w:rPr>
        <w:t xml:space="preserve">.  Associations between putative target engagement measures from all exercises and TCT-related neurocognitive outcomes. Pearson’s correlation coefficients are shown. </w:t>
      </w:r>
      <w:r>
        <w:rPr>
          <w:rFonts w:ascii="Arial" w:hAnsi="Arial" w:cs="Arial"/>
          <w:noProof/>
          <w:color w:val="000000"/>
          <w:sz w:val="22"/>
          <w:szCs w:val="22"/>
        </w:rPr>
        <w:drawing>
          <wp:inline distT="0" distB="0" distL="0" distR="0" wp14:anchorId="28C28E03" wp14:editId="384E6D82">
            <wp:extent cx="5943600" cy="3853180"/>
            <wp:effectExtent l="0" t="0" r="0" b="0"/>
            <wp:docPr id="9853677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36771" name="Picture 9853677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5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FB55B" w14:textId="22043619" w:rsidR="002C448C" w:rsidRDefault="002C448C"/>
    <w:p w14:paraId="169C1FFF" w14:textId="77777777" w:rsidR="00CA2AF7" w:rsidRDefault="00CA2AF7"/>
    <w:sectPr w:rsidR="00CA2AF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2AF7"/>
    <w:rsid w:val="002C448C"/>
    <w:rsid w:val="006773DF"/>
    <w:rsid w:val="00CA2AF7"/>
    <w:rsid w:val="00DB2B8B"/>
    <w:rsid w:val="00F349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25FD4A0"/>
  <w15:chartTrackingRefBased/>
  <w15:docId w15:val="{8B0DEA1F-A446-684E-AB06-DF6385114B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A2AF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49</Words>
  <Characters>281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Juan Molina</dc:creator>
  <cp:keywords/>
  <dc:description/>
  <cp:lastModifiedBy>Juan Molina</cp:lastModifiedBy>
  <cp:revision>2</cp:revision>
  <dcterms:created xsi:type="dcterms:W3CDTF">2023-11-20T06:20:00Z</dcterms:created>
  <dcterms:modified xsi:type="dcterms:W3CDTF">2023-11-20T06:20:00Z</dcterms:modified>
</cp:coreProperties>
</file>