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3412" w14:textId="314B94C5" w:rsidR="00555767" w:rsidRPr="000976AC" w:rsidRDefault="00555767" w:rsidP="00B2687D">
      <w:pPr>
        <w:spacing w:line="480" w:lineRule="auto"/>
        <w:rPr>
          <w:rFonts w:ascii="Times New Roman" w:hAnsi="Times New Roman" w:cs="Times New Roman"/>
          <w:b/>
          <w:bCs/>
        </w:rPr>
      </w:pPr>
      <w:r w:rsidRPr="000976AC">
        <w:rPr>
          <w:rFonts w:ascii="Times New Roman" w:hAnsi="Times New Roman" w:cs="Times New Roman"/>
          <w:b/>
          <w:bCs/>
        </w:rPr>
        <w:t>SUPPLEMENTAL MATERIALS</w:t>
      </w:r>
    </w:p>
    <w:p w14:paraId="67D25334" w14:textId="59997795" w:rsidR="009C0A8B" w:rsidRPr="000A7ED7" w:rsidRDefault="006E093E" w:rsidP="009C0A8B">
      <w:pPr>
        <w:spacing w:line="480" w:lineRule="auto"/>
        <w:rPr>
          <w:rFonts w:ascii="Times New Roman" w:hAnsi="Times New Roman" w:cs="Times New Roman"/>
          <w:b/>
          <w:bCs/>
        </w:rPr>
      </w:pPr>
      <w:r w:rsidRPr="000976AC">
        <w:rPr>
          <w:rFonts w:ascii="Times New Roman" w:hAnsi="Times New Roman" w:cs="Times New Roman"/>
          <w:b/>
          <w:bCs/>
        </w:rPr>
        <w:t xml:space="preserve">Additional </w:t>
      </w:r>
      <w:r w:rsidR="00947B50" w:rsidRPr="000976AC">
        <w:rPr>
          <w:rFonts w:ascii="Times New Roman" w:hAnsi="Times New Roman" w:cs="Times New Roman"/>
          <w:b/>
          <w:bCs/>
        </w:rPr>
        <w:t>Methods</w:t>
      </w:r>
      <w:r w:rsidRPr="000976AC">
        <w:rPr>
          <w:rFonts w:ascii="Times New Roman" w:hAnsi="Times New Roman" w:cs="Times New Roman"/>
          <w:b/>
          <w:bCs/>
        </w:rPr>
        <w:t xml:space="preserve">: </w:t>
      </w:r>
      <w:r w:rsidR="002F3241" w:rsidRPr="000976AC">
        <w:rPr>
          <w:rFonts w:ascii="Times New Roman" w:hAnsi="Times New Roman" w:cs="Times New Roman"/>
          <w:b/>
          <w:bCs/>
        </w:rPr>
        <w:t>Full</w:t>
      </w:r>
      <w:r w:rsidR="00947B50" w:rsidRPr="000976AC">
        <w:rPr>
          <w:rFonts w:ascii="Times New Roman" w:hAnsi="Times New Roman" w:cs="Times New Roman"/>
          <w:b/>
          <w:bCs/>
        </w:rPr>
        <w:t xml:space="preserve"> Details for </w:t>
      </w:r>
      <w:r w:rsidR="009C0A8B" w:rsidRPr="000976AC">
        <w:rPr>
          <w:rFonts w:ascii="Times New Roman" w:hAnsi="Times New Roman" w:cs="Times New Roman"/>
          <w:b/>
          <w:bCs/>
        </w:rPr>
        <w:t>Machine Learning Analysis</w:t>
      </w:r>
    </w:p>
    <w:p w14:paraId="77C57E60" w14:textId="628EDEF6" w:rsidR="009C0A8B" w:rsidRPr="000976AC" w:rsidRDefault="002F3241" w:rsidP="000A7ED7">
      <w:pPr>
        <w:spacing w:line="480" w:lineRule="auto"/>
        <w:ind w:firstLine="720"/>
        <w:rPr>
          <w:rFonts w:ascii="Times New Roman" w:hAnsi="Times New Roman" w:cs="Times New Roman"/>
        </w:rPr>
      </w:pPr>
      <w:r w:rsidRPr="000976AC">
        <w:rPr>
          <w:rFonts w:ascii="Times New Roman" w:hAnsi="Times New Roman" w:cs="Times New Roman"/>
        </w:rPr>
        <w:t xml:space="preserve">For the machine learning analyses, we used demographic and clinical measures from the baseline timepoint to predict the time to remission for the 137 participants with follow-up data. The predictors were selected based on our goals for machine learning. </w:t>
      </w:r>
      <w:r w:rsidR="009C0A8B" w:rsidRPr="000976AC">
        <w:rPr>
          <w:rFonts w:ascii="Times New Roman" w:hAnsi="Times New Roman" w:cs="Times New Roman"/>
        </w:rPr>
        <w:t xml:space="preserve">From a statistical perspective, our goal was to pose a well-defined prediction problem, which necessarily limited the number of predictors we could include given the sample size and the prevalence of censoring for the outcome of interest. From a practical </w:t>
      </w:r>
      <w:r w:rsidR="00214D96">
        <w:rPr>
          <w:rFonts w:ascii="Times New Roman" w:hAnsi="Times New Roman" w:cs="Times New Roman"/>
        </w:rPr>
        <w:t xml:space="preserve">and more important </w:t>
      </w:r>
      <w:r w:rsidR="009C0A8B" w:rsidRPr="000976AC">
        <w:rPr>
          <w:rFonts w:ascii="Times New Roman" w:hAnsi="Times New Roman" w:cs="Times New Roman"/>
        </w:rPr>
        <w:t xml:space="preserve">perspective, our goal was to predict time to remission using common and easily collected demographic and clinical measures. Due to these statistical and practical goals, we made three exceptions to our general principle of including all demographic and clinical information collected at baseline. First, we excluded as predictors those binary variables (i.e., </w:t>
      </w:r>
      <w:r w:rsidR="00F34021">
        <w:rPr>
          <w:rFonts w:ascii="Times New Roman" w:hAnsi="Times New Roman" w:cs="Times New Roman"/>
        </w:rPr>
        <w:t>E</w:t>
      </w:r>
      <w:r w:rsidR="009C0A8B" w:rsidRPr="000976AC">
        <w:rPr>
          <w:rFonts w:ascii="Times New Roman" w:hAnsi="Times New Roman" w:cs="Times New Roman"/>
        </w:rPr>
        <w:t xml:space="preserve">thnicity and </w:t>
      </w:r>
      <w:r w:rsidR="00F34021">
        <w:rPr>
          <w:rFonts w:ascii="Times New Roman" w:hAnsi="Times New Roman" w:cs="Times New Roman"/>
        </w:rPr>
        <w:t>P</w:t>
      </w:r>
      <w:r w:rsidR="009C0A8B" w:rsidRPr="000976AC">
        <w:rPr>
          <w:rFonts w:ascii="Times New Roman" w:hAnsi="Times New Roman" w:cs="Times New Roman"/>
        </w:rPr>
        <w:t xml:space="preserve">ast </w:t>
      </w:r>
      <w:r w:rsidR="00F34021">
        <w:rPr>
          <w:rFonts w:ascii="Times New Roman" w:hAnsi="Times New Roman" w:cs="Times New Roman"/>
        </w:rPr>
        <w:t>A</w:t>
      </w:r>
      <w:r w:rsidR="009C0A8B" w:rsidRPr="000976AC">
        <w:rPr>
          <w:rFonts w:ascii="Times New Roman" w:hAnsi="Times New Roman" w:cs="Times New Roman"/>
        </w:rPr>
        <w:t xml:space="preserve">norexia </w:t>
      </w:r>
      <w:r w:rsidR="00F34021">
        <w:rPr>
          <w:rFonts w:ascii="Times New Roman" w:hAnsi="Times New Roman" w:cs="Times New Roman"/>
        </w:rPr>
        <w:t>N</w:t>
      </w:r>
      <w:r w:rsidR="009C0A8B" w:rsidRPr="000976AC">
        <w:rPr>
          <w:rFonts w:ascii="Times New Roman" w:hAnsi="Times New Roman" w:cs="Times New Roman"/>
        </w:rPr>
        <w:t xml:space="preserve">ervosa) with low frequencies (&lt; 5) in one category, due to the limited data available to inform prediction for these categories. Second, we used BMI </w:t>
      </w:r>
      <w:r w:rsidR="001E12E5">
        <w:rPr>
          <w:rFonts w:ascii="Times New Roman" w:hAnsi="Times New Roman" w:cs="Times New Roman"/>
        </w:rPr>
        <w:t>S</w:t>
      </w:r>
      <w:r w:rsidR="009C0A8B" w:rsidRPr="000976AC">
        <w:rPr>
          <w:rFonts w:ascii="Times New Roman" w:hAnsi="Times New Roman" w:cs="Times New Roman"/>
        </w:rPr>
        <w:t xml:space="preserve">uppression (i.e., </w:t>
      </w:r>
      <w:r w:rsidR="00A047FB">
        <w:rPr>
          <w:rFonts w:ascii="Times New Roman" w:hAnsi="Times New Roman" w:cs="Times New Roman"/>
        </w:rPr>
        <w:t>H</w:t>
      </w:r>
      <w:r w:rsidR="009C0A8B" w:rsidRPr="000976AC">
        <w:rPr>
          <w:rFonts w:ascii="Times New Roman" w:hAnsi="Times New Roman" w:cs="Times New Roman"/>
        </w:rPr>
        <w:t xml:space="preserve">ighest </w:t>
      </w:r>
      <w:r w:rsidR="001E12E5">
        <w:rPr>
          <w:rFonts w:ascii="Times New Roman" w:hAnsi="Times New Roman" w:cs="Times New Roman"/>
        </w:rPr>
        <w:t>L</w:t>
      </w:r>
      <w:r w:rsidR="009C0A8B" w:rsidRPr="000976AC">
        <w:rPr>
          <w:rFonts w:ascii="Times New Roman" w:hAnsi="Times New Roman" w:cs="Times New Roman"/>
        </w:rPr>
        <w:t xml:space="preserve">ifetime BMI </w:t>
      </w:r>
      <w:r w:rsidR="001E12E5">
        <w:rPr>
          <w:rFonts w:ascii="Times New Roman" w:hAnsi="Times New Roman" w:cs="Times New Roman"/>
        </w:rPr>
        <w:t>-</w:t>
      </w:r>
      <w:r w:rsidR="009C0A8B" w:rsidRPr="000976AC">
        <w:rPr>
          <w:rFonts w:ascii="Times New Roman" w:hAnsi="Times New Roman" w:cs="Times New Roman"/>
        </w:rPr>
        <w:t xml:space="preserve"> </w:t>
      </w:r>
      <w:r w:rsidR="00A047FB">
        <w:rPr>
          <w:rFonts w:ascii="Times New Roman" w:hAnsi="Times New Roman" w:cs="Times New Roman"/>
        </w:rPr>
        <w:t>Current</w:t>
      </w:r>
      <w:r w:rsidR="009C0A8B" w:rsidRPr="000976AC">
        <w:rPr>
          <w:rFonts w:ascii="Times New Roman" w:hAnsi="Times New Roman" w:cs="Times New Roman"/>
        </w:rPr>
        <w:t xml:space="preserve"> BMI), rather than </w:t>
      </w:r>
      <w:r w:rsidR="00093009">
        <w:rPr>
          <w:rFonts w:ascii="Times New Roman" w:hAnsi="Times New Roman" w:cs="Times New Roman"/>
        </w:rPr>
        <w:t>H</w:t>
      </w:r>
      <w:r w:rsidR="009C0A8B" w:rsidRPr="000976AC">
        <w:rPr>
          <w:rFonts w:ascii="Times New Roman" w:hAnsi="Times New Roman" w:cs="Times New Roman"/>
        </w:rPr>
        <w:t xml:space="preserve">ighest </w:t>
      </w:r>
      <w:r w:rsidR="00093009">
        <w:rPr>
          <w:rFonts w:ascii="Times New Roman" w:hAnsi="Times New Roman" w:cs="Times New Roman"/>
        </w:rPr>
        <w:t>L</w:t>
      </w:r>
      <w:r w:rsidR="009C0A8B" w:rsidRPr="000976AC">
        <w:rPr>
          <w:rFonts w:ascii="Times New Roman" w:hAnsi="Times New Roman" w:cs="Times New Roman"/>
        </w:rPr>
        <w:t xml:space="preserve">ifetime BMI, as a predictor because BMI </w:t>
      </w:r>
      <w:r w:rsidR="00093009">
        <w:rPr>
          <w:rFonts w:ascii="Times New Roman" w:hAnsi="Times New Roman" w:cs="Times New Roman"/>
        </w:rPr>
        <w:t>S</w:t>
      </w:r>
      <w:r w:rsidR="009C0A8B" w:rsidRPr="000976AC">
        <w:rPr>
          <w:rFonts w:ascii="Times New Roman" w:hAnsi="Times New Roman" w:cs="Times New Roman"/>
        </w:rPr>
        <w:t xml:space="preserve">uppression had a much lower correlation with </w:t>
      </w:r>
      <w:r w:rsidR="00093009">
        <w:rPr>
          <w:rFonts w:ascii="Times New Roman" w:hAnsi="Times New Roman" w:cs="Times New Roman"/>
        </w:rPr>
        <w:t>Current</w:t>
      </w:r>
      <w:r w:rsidR="009C0A8B" w:rsidRPr="000976AC">
        <w:rPr>
          <w:rFonts w:ascii="Times New Roman" w:hAnsi="Times New Roman" w:cs="Times New Roman"/>
        </w:rPr>
        <w:t xml:space="preserve"> BMI (-0.05 vs. 0.87) and because weight suppression has predicted worse outcomes for eating disorders in some (but not all) other studies </w:t>
      </w:r>
      <w:r w:rsidR="009C0A8B" w:rsidRPr="000976AC">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{"citationID":"iYvQyAtn","properties":{"formattedCitation":"(Gorrell, Reilly, Schaumberg, Anderson, &amp; Donahue, 2019)","plainCitation":"(Gorrell, Reilly, Schaumberg, Anderson, &amp; Donahue, 2019)","noteIndex":0},"citationItems":[{"id":17652,"uris":["http://zotero.org/users/3816538/items/MDV2QE6L"],"itemData":{"id":17652,"type":"article-journal","abstract":"Weight suppression (WS) refers to the discrepancy between highest adult weight and current weight, and has been examined as a key construct related to both: eating pathology and weight management. However, despite increasing interest in WS, findings regarding the clinical implications of WS are often conflicting. For instance, WS has been associated with both adaptive and maladaptive outcomes across various populations. Moreover, results regarding the predictive utility of WS within clinical samples have been inconsistent. The current paper aims to provide a narrative review of existing investigation related to WS, highlight gaps in the field’s understanding of this construct, and outline recommendations for future study.","container-title":"Eating Disorders","DOI":"10.1080/10640266.2018.1499297","ISSN":"1064-0266, 1532-530X","issue":"1","journalAbbreviation":"Eating Disorders","language":"en","page":"52-81","source":"DOI.org (Crossref)","title":"Weight suppression and its relation to eating disorder and weight outcomes: a narrative review","title-short":"Weight suppression and its relation to eating disorder and weight outcomes","volume":"27","author":[{"family":"Gorrell","given":"Sasha"},{"family":"Reilly","given":"Erin E."},{"family":"Schaumberg","given":"Katherine"},{"family":"Anderson","given":"Lisa M."},{"family":"Donahue","given":"Joseph M."}],"issued":{"date-parts":[["2019",1,2]]}}}],"schema":"https://github.com/citation-style-language/schema/raw/master/csl-citation.json"} </w:instrText>
      </w:r>
      <w:r w:rsidR="009C0A8B" w:rsidRPr="000976AC">
        <w:rPr>
          <w:rFonts w:ascii="Times New Roman" w:hAnsi="Times New Roman" w:cs="Times New Roman"/>
        </w:rPr>
        <w:fldChar w:fldCharType="separate"/>
      </w:r>
      <w:r w:rsidR="009C0A8B" w:rsidRPr="000976AC">
        <w:rPr>
          <w:rFonts w:ascii="Times New Roman" w:hAnsi="Times New Roman" w:cs="Times New Roman"/>
          <w:noProof/>
        </w:rPr>
        <w:t>(Gorrell, Reilly, Schaumberg, Anderson, &amp; Donahue, 2019)</w:t>
      </w:r>
      <w:r w:rsidR="009C0A8B" w:rsidRPr="000976AC">
        <w:rPr>
          <w:rFonts w:ascii="Times New Roman" w:hAnsi="Times New Roman" w:cs="Times New Roman"/>
        </w:rPr>
        <w:fldChar w:fldCharType="end"/>
      </w:r>
      <w:r w:rsidR="009C0A8B" w:rsidRPr="000976AC">
        <w:rPr>
          <w:rFonts w:ascii="Times New Roman" w:hAnsi="Times New Roman" w:cs="Times New Roman"/>
        </w:rPr>
        <w:t xml:space="preserve">. Third, for the SCID-IV, we included as predictors several pre-specified summary measures based on diagnostic class (e.g., any lifetime major mood disorder, any lifetime substance use disorder, etc.), instead of all items generated by the SCID-IV because these </w:t>
      </w:r>
      <w:r w:rsidR="001E63C0">
        <w:rPr>
          <w:rFonts w:ascii="Times New Roman" w:hAnsi="Times New Roman" w:cs="Times New Roman"/>
        </w:rPr>
        <w:t xml:space="preserve">latter </w:t>
      </w:r>
      <w:r w:rsidR="009C0A8B" w:rsidRPr="000976AC">
        <w:rPr>
          <w:rFonts w:ascii="Times New Roman" w:hAnsi="Times New Roman" w:cs="Times New Roman"/>
        </w:rPr>
        <w:t xml:space="preserve">items are not common clinical measures and </w:t>
      </w:r>
      <w:r w:rsidR="000565BE" w:rsidRPr="000976AC">
        <w:rPr>
          <w:rFonts w:ascii="Times New Roman" w:hAnsi="Times New Roman" w:cs="Times New Roman"/>
        </w:rPr>
        <w:t xml:space="preserve">because </w:t>
      </w:r>
      <w:r w:rsidR="009C0A8B" w:rsidRPr="000976AC">
        <w:rPr>
          <w:rFonts w:ascii="Times New Roman" w:hAnsi="Times New Roman" w:cs="Times New Roman"/>
        </w:rPr>
        <w:t xml:space="preserve">many of them have little variation and/or are highly correlated with other items. Notably, our data reduction strategy for the SCID-IV was consistent with the approach taken in a recent study using machine </w:t>
      </w:r>
      <w:r w:rsidR="009C0A8B" w:rsidRPr="000976AC">
        <w:rPr>
          <w:rFonts w:ascii="Times New Roman" w:hAnsi="Times New Roman" w:cs="Times New Roman"/>
        </w:rPr>
        <w:lastRenderedPageBreak/>
        <w:t xml:space="preserve">learning to predict remission from binge eating at the end of treatment for </w:t>
      </w:r>
      <w:r w:rsidR="003E0AE7">
        <w:rPr>
          <w:rFonts w:ascii="Times New Roman" w:hAnsi="Times New Roman" w:cs="Times New Roman"/>
        </w:rPr>
        <w:t>BED</w:t>
      </w:r>
      <w:r w:rsidR="009C0A8B" w:rsidRPr="000976AC">
        <w:rPr>
          <w:rFonts w:ascii="Times New Roman" w:hAnsi="Times New Roman" w:cs="Times New Roman"/>
        </w:rPr>
        <w:t xml:space="preserve"> </w:t>
      </w:r>
      <w:r w:rsidR="009C0A8B" w:rsidRPr="000976AC">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{"citationID":"9CBWKOco","properties":{"formattedCitation":"(Forrest, Ivezaj, &amp; Grilo, 2023)","plainCitation":"(Forrest, Ivezaj, &amp; Grilo, 2023)","noteIndex":0},"citationItems":[{"id":16368,"uris":["http://zotero.org/users/3816538/items/RYY44JKH"],"itemData":{"id":16368,"type":"article-journal","abstract":"Background. While effective treatments exist for binge-eating disorder (BED), prediction of treatment outcomes has proven difficult, and few reliable predictors have been identified. Machine learning is a promising method for improving the accuracy of difficult-to-predict outcomes. We compared the accuracy of traditional and machine-learning approaches for predicting BED treatment outcomes.\nMethods. Participants were 191 adults with BED in a randomized controlled trial testing 6-month behavioral and stepped-care treatments. Outcomes, determined by independent assessors, were binge-eating (% reduction, abstinence), eating-disorder psychopathology, and weight loss (% loss, </w:instrText>
      </w:r>
      <w:r w:rsidR="00F75C68">
        <w:rPr>
          <w:rFonts w:ascii="Cambria Math" w:hAnsi="Cambria Math" w:cs="Cambria Math"/>
        </w:rPr>
        <w:instrText>⩾</w:instrText>
      </w:r>
      <w:r w:rsidR="00F75C68">
        <w:rPr>
          <w:rFonts w:ascii="Times New Roman" w:hAnsi="Times New Roman" w:cs="Times New Roman"/>
        </w:rPr>
        <w:instrText xml:space="preserve">5% loss). Predictors included treatment condition, demographic information, and baseline clinical characteristics. Traditional models were logistic/linear regressions. Machine-learning models were elastic net regressions and random forests. Predictive accuracy was indicated by the area under receiver operator characteristic curve (AUC), root mean square error (RMSE), and R2. Confidence intervals were used to compare accuracy across models.\nResults. Across outcomes, AUC ranged from very poor to fair (0.49–0.73) for logistic regressions, elastic nets, and random forests, with few significant differences across model types. RMSE was significantly lower for elastic nets and random forests v. linear regressions but R2 values were low (0.01–0.23).\nConclusions. Different analytic approaches revealed some predictors of key treatment outcomes, but accuracy was limited. Machine-learning models with unbiased resampling methods provided a minimal advantage over traditional models in predictive accuracy for treatment outcomes.","container-title":"Psychological Medicine","DOI":"10.1017/S0033291721004748","ISSN":"0033-2917, 1469-8978","issue":"7","journalAbbreviation":"Psychol. Med.","language":"en","page":"2777-2788","source":"DOI.org (Crossref)","title":"Machine learning &lt;i&gt;v.&lt;/i&gt; traditional regression models predicting treatment outcomes for binge-eating disorder from a randomized controlled trial","volume":"53","author":[{"family":"Forrest","given":"Lauren N."},{"family":"Ivezaj","given":"Valentina"},{"family":"Grilo","given":"Carlos M."}],"issued":{"date-parts":[["2023",5]]}}}],"schema":"https://github.com/citation-style-language/schema/raw/master/csl-citation.json"} </w:instrText>
      </w:r>
      <w:r w:rsidR="009C0A8B" w:rsidRPr="000976AC">
        <w:rPr>
          <w:rFonts w:ascii="Times New Roman" w:hAnsi="Times New Roman" w:cs="Times New Roman"/>
        </w:rPr>
        <w:fldChar w:fldCharType="separate"/>
      </w:r>
      <w:r w:rsidR="009C0A8B" w:rsidRPr="000976AC">
        <w:rPr>
          <w:rFonts w:ascii="Times New Roman" w:hAnsi="Times New Roman" w:cs="Times New Roman"/>
          <w:noProof/>
        </w:rPr>
        <w:t>(Forrest, Ivezaj, &amp; Grilo, 2023)</w:t>
      </w:r>
      <w:r w:rsidR="009C0A8B" w:rsidRPr="000976AC">
        <w:rPr>
          <w:rFonts w:ascii="Times New Roman" w:hAnsi="Times New Roman" w:cs="Times New Roman"/>
        </w:rPr>
        <w:fldChar w:fldCharType="end"/>
      </w:r>
      <w:r w:rsidR="009C0A8B" w:rsidRPr="000976AC">
        <w:rPr>
          <w:rFonts w:ascii="Times New Roman" w:hAnsi="Times New Roman" w:cs="Times New Roman"/>
        </w:rPr>
        <w:t xml:space="preserve">, enhancing the comparability of our results. Finally, we standardized all continuous measures, and we coded all categorical measures (the vast majority of which were binary) as dummy variables with the most prevalent category as the reference category.          </w:t>
      </w:r>
    </w:p>
    <w:p w14:paraId="147152E3" w14:textId="217B1C31" w:rsidR="006C52E2" w:rsidRDefault="00947B50" w:rsidP="002F3241">
      <w:pPr>
        <w:spacing w:line="480" w:lineRule="auto"/>
        <w:ind w:firstLine="720"/>
        <w:rPr>
          <w:rFonts w:ascii="Times New Roman" w:hAnsi="Times New Roman" w:cs="Times New Roman"/>
        </w:rPr>
      </w:pPr>
      <w:r w:rsidRPr="000976AC">
        <w:rPr>
          <w:rFonts w:ascii="Times New Roman" w:hAnsi="Times New Roman" w:cs="Times New Roman"/>
        </w:rPr>
        <w:t xml:space="preserve">For the </w:t>
      </w:r>
      <w:r w:rsidR="0060354B" w:rsidRPr="000976AC">
        <w:rPr>
          <w:rFonts w:ascii="Times New Roman" w:hAnsi="Times New Roman" w:cs="Times New Roman"/>
        </w:rPr>
        <w:t xml:space="preserve">main </w:t>
      </w:r>
      <w:r w:rsidRPr="000976AC">
        <w:rPr>
          <w:rFonts w:ascii="Times New Roman" w:hAnsi="Times New Roman" w:cs="Times New Roman"/>
        </w:rPr>
        <w:t xml:space="preserve">machine learning analyses, we considered four machine learning methods: standard Cox </w:t>
      </w:r>
      <w:r w:rsidR="00521336">
        <w:rPr>
          <w:rFonts w:ascii="Times New Roman" w:hAnsi="Times New Roman" w:cs="Times New Roman"/>
        </w:rPr>
        <w:t>proportional hazards model (i.e., Cox regression)</w:t>
      </w:r>
      <w:r w:rsidRPr="000976AC">
        <w:rPr>
          <w:rFonts w:ascii="Times New Roman" w:hAnsi="Times New Roman" w:cs="Times New Roman"/>
        </w:rPr>
        <w:t xml:space="preserve"> from the </w:t>
      </w:r>
      <w:r w:rsidRPr="000976AC">
        <w:rPr>
          <w:rFonts w:ascii="Times New Roman" w:hAnsi="Times New Roman" w:cs="Times New Roman"/>
          <w:i/>
          <w:iCs/>
        </w:rPr>
        <w:t>survival</w:t>
      </w:r>
      <w:r w:rsidRPr="000976AC">
        <w:rPr>
          <w:rFonts w:ascii="Times New Roman" w:hAnsi="Times New Roman" w:cs="Times New Roman"/>
        </w:rPr>
        <w:t xml:space="preserve"> package; penalized Cox regression with lasso or elastic</w:t>
      </w:r>
      <w:r w:rsidR="00C82F53" w:rsidRPr="000976AC">
        <w:rPr>
          <w:rFonts w:ascii="Times New Roman" w:hAnsi="Times New Roman" w:cs="Times New Roman"/>
        </w:rPr>
        <w:t>-</w:t>
      </w:r>
      <w:r w:rsidRPr="000976AC">
        <w:rPr>
          <w:rFonts w:ascii="Times New Roman" w:hAnsi="Times New Roman" w:cs="Times New Roman"/>
        </w:rPr>
        <w:t xml:space="preserve">net penalties from the </w:t>
      </w:r>
      <w:r w:rsidRPr="000976AC">
        <w:rPr>
          <w:rFonts w:ascii="Times New Roman" w:hAnsi="Times New Roman" w:cs="Times New Roman"/>
          <w:i/>
          <w:iCs/>
        </w:rPr>
        <w:t>glmnet</w:t>
      </w:r>
      <w:r w:rsidRPr="000976AC">
        <w:rPr>
          <w:rFonts w:ascii="Times New Roman" w:hAnsi="Times New Roman" w:cs="Times New Roman"/>
        </w:rPr>
        <w:t xml:space="preserve"> package; and random survival forests from the </w:t>
      </w:r>
      <w:r w:rsidRPr="000976AC">
        <w:rPr>
          <w:rFonts w:ascii="Times New Roman" w:hAnsi="Times New Roman" w:cs="Times New Roman"/>
          <w:i/>
          <w:iCs/>
        </w:rPr>
        <w:t>randomForestSRC</w:t>
      </w:r>
      <w:r w:rsidRPr="000976AC">
        <w:rPr>
          <w:rFonts w:ascii="Times New Roman" w:hAnsi="Times New Roman" w:cs="Times New Roman"/>
        </w:rPr>
        <w:t xml:space="preserve"> package.</w:t>
      </w:r>
      <w:r w:rsidR="00FB6B27" w:rsidRPr="008B585E">
        <w:rPr>
          <w:rStyle w:val="FootnoteReference"/>
          <w:rFonts w:ascii="Times New Roman" w:hAnsi="Times New Roman" w:cs="Times New Roman"/>
        </w:rPr>
        <w:footnoteReference w:id="1"/>
      </w:r>
      <w:r w:rsidRPr="008B585E">
        <w:rPr>
          <w:rFonts w:ascii="Times New Roman" w:hAnsi="Times New Roman" w:cs="Times New Roman"/>
        </w:rPr>
        <w:t xml:space="preserve"> </w:t>
      </w:r>
      <w:r w:rsidRPr="000976AC">
        <w:rPr>
          <w:rFonts w:ascii="Times New Roman" w:hAnsi="Times New Roman" w:cs="Times New Roman"/>
        </w:rPr>
        <w:t xml:space="preserve">We did not account for family clustering in these </w:t>
      </w:r>
      <w:r w:rsidR="00D45278" w:rsidRPr="000976AC">
        <w:rPr>
          <w:rFonts w:ascii="Times New Roman" w:hAnsi="Times New Roman" w:cs="Times New Roman"/>
        </w:rPr>
        <w:t xml:space="preserve">machine learning </w:t>
      </w:r>
      <w:r w:rsidRPr="000976AC">
        <w:rPr>
          <w:rFonts w:ascii="Times New Roman" w:hAnsi="Times New Roman" w:cs="Times New Roman"/>
        </w:rPr>
        <w:t>methods because</w:t>
      </w:r>
      <w:r w:rsidR="00C82F53" w:rsidRPr="000976AC">
        <w:rPr>
          <w:rFonts w:ascii="Times New Roman" w:hAnsi="Times New Roman" w:cs="Times New Roman"/>
        </w:rPr>
        <w:t xml:space="preserve"> the main goals of</w:t>
      </w:r>
      <w:r w:rsidRPr="000976AC">
        <w:rPr>
          <w:rFonts w:ascii="Times New Roman" w:hAnsi="Times New Roman" w:cs="Times New Roman"/>
        </w:rPr>
        <w:t xml:space="preserve"> </w:t>
      </w:r>
      <w:r w:rsidR="00C82F53" w:rsidRPr="000976AC">
        <w:rPr>
          <w:rFonts w:ascii="Times New Roman" w:hAnsi="Times New Roman" w:cs="Times New Roman"/>
        </w:rPr>
        <w:t>these methods are prediction</w:t>
      </w:r>
      <w:r w:rsidRPr="000976AC">
        <w:rPr>
          <w:rFonts w:ascii="Times New Roman" w:hAnsi="Times New Roman" w:cs="Times New Roman"/>
        </w:rPr>
        <w:t xml:space="preserve">, rather than statistical inference, and ignoring clustering effectively amounts to assuming an independence working covariance matrix, which is a reasonable assumption </w:t>
      </w:r>
      <w:r w:rsidR="00D45278" w:rsidRPr="000976AC">
        <w:rPr>
          <w:rFonts w:ascii="Times New Roman" w:hAnsi="Times New Roman" w:cs="Times New Roman"/>
        </w:rPr>
        <w:t>given that</w:t>
      </w:r>
      <w:r w:rsidRPr="000976AC">
        <w:rPr>
          <w:rFonts w:ascii="Times New Roman" w:hAnsi="Times New Roman" w:cs="Times New Roman"/>
        </w:rPr>
        <w:t xml:space="preserve"> accounting for clustering in survival curves and standard Cox </w:t>
      </w:r>
      <w:r w:rsidR="00F102C8">
        <w:rPr>
          <w:rFonts w:ascii="Times New Roman" w:hAnsi="Times New Roman" w:cs="Times New Roman"/>
        </w:rPr>
        <w:t>regression</w:t>
      </w:r>
      <w:r w:rsidRPr="000976AC">
        <w:rPr>
          <w:rFonts w:ascii="Times New Roman" w:hAnsi="Times New Roman" w:cs="Times New Roman"/>
        </w:rPr>
        <w:t xml:space="preserve">s had a trivial effect </w:t>
      </w:r>
      <w:r w:rsidR="00E02C36">
        <w:rPr>
          <w:rFonts w:ascii="Times New Roman" w:hAnsi="Times New Roman" w:cs="Times New Roman"/>
        </w:rPr>
        <w:t>in our sample</w:t>
      </w:r>
      <w:r w:rsidRPr="000976AC">
        <w:rPr>
          <w:rFonts w:ascii="Times New Roman" w:hAnsi="Times New Roman" w:cs="Times New Roman"/>
        </w:rPr>
        <w:t>. For the main analys</w:t>
      </w:r>
      <w:r w:rsidR="00D23A21">
        <w:rPr>
          <w:rFonts w:ascii="Times New Roman" w:hAnsi="Times New Roman" w:cs="Times New Roman"/>
        </w:rPr>
        <w:t>e</w:t>
      </w:r>
      <w:r w:rsidRPr="000976AC">
        <w:rPr>
          <w:rFonts w:ascii="Times New Roman" w:hAnsi="Times New Roman" w:cs="Times New Roman"/>
        </w:rPr>
        <w:t xml:space="preserve">s, we included 38 demographic and clinical predictors (see Supplemental Table </w:t>
      </w:r>
      <w:r w:rsidR="00FB470A">
        <w:rPr>
          <w:rFonts w:ascii="Times New Roman" w:hAnsi="Times New Roman" w:cs="Times New Roman"/>
        </w:rPr>
        <w:t>S</w:t>
      </w:r>
      <w:r w:rsidRPr="000976AC">
        <w:rPr>
          <w:rFonts w:ascii="Times New Roman" w:hAnsi="Times New Roman" w:cs="Times New Roman"/>
        </w:rPr>
        <w:t xml:space="preserve">1 for a list of all predictors), selected as described above. </w:t>
      </w:r>
      <w:r w:rsidRPr="00D164E7">
        <w:rPr>
          <w:rFonts w:ascii="Times New Roman" w:hAnsi="Times New Roman" w:cs="Times New Roman"/>
        </w:rPr>
        <w:t>Because 1.</w:t>
      </w:r>
      <w:r w:rsidR="000976AC" w:rsidRPr="00D164E7">
        <w:rPr>
          <w:rFonts w:ascii="Times New Roman" w:hAnsi="Times New Roman" w:cs="Times New Roman"/>
        </w:rPr>
        <w:t>0</w:t>
      </w:r>
      <w:r w:rsidRPr="00D164E7">
        <w:rPr>
          <w:rFonts w:ascii="Times New Roman" w:hAnsi="Times New Roman" w:cs="Times New Roman"/>
        </w:rPr>
        <w:t xml:space="preserve">% of the predictor values were missing, we first used the </w:t>
      </w:r>
      <w:r w:rsidRPr="00D164E7">
        <w:rPr>
          <w:rFonts w:ascii="Times New Roman" w:hAnsi="Times New Roman"/>
          <w:i/>
        </w:rPr>
        <w:t>mice</w:t>
      </w:r>
      <w:r w:rsidRPr="00D164E7">
        <w:rPr>
          <w:rFonts w:ascii="Times New Roman" w:hAnsi="Times New Roman" w:cs="Times New Roman"/>
        </w:rPr>
        <w:t xml:space="preserve"> package </w:t>
      </w:r>
      <w:r w:rsidR="009D29D9" w:rsidRPr="00D164E7">
        <w:rPr>
          <w:rFonts w:ascii="Times New Roman" w:hAnsi="Times New Roman" w:cs="Times New Roman"/>
        </w:rPr>
        <w:t xml:space="preserve">with </w:t>
      </w:r>
      <w:r w:rsidR="000976AC" w:rsidRPr="00D164E7">
        <w:rPr>
          <w:rFonts w:ascii="Times New Roman" w:hAnsi="Times New Roman" w:cs="Times New Roman"/>
        </w:rPr>
        <w:t>predictive mean matching (predictors with missing values were all numeric)</w:t>
      </w:r>
      <w:r w:rsidR="009D29D9" w:rsidRPr="00D164E7">
        <w:rPr>
          <w:rFonts w:ascii="Times New Roman" w:hAnsi="Times New Roman" w:cs="Times New Roman"/>
        </w:rPr>
        <w:t xml:space="preserve"> </w:t>
      </w:r>
      <w:r w:rsidRPr="00D164E7">
        <w:rPr>
          <w:rFonts w:ascii="Times New Roman" w:hAnsi="Times New Roman" w:cs="Times New Roman"/>
        </w:rPr>
        <w:t>to create five imputed datasets.</w:t>
      </w:r>
      <w:r w:rsidRPr="000976AC">
        <w:rPr>
          <w:rFonts w:ascii="Times New Roman" w:hAnsi="Times New Roman" w:cs="Times New Roman"/>
        </w:rPr>
        <w:t xml:space="preserve"> Then, for each imputed dataset, we performed 100 replicates of 5-fold cross-validation with pre-selected seeds to examine the performance of the four methods. For a given seed, we used the </w:t>
      </w:r>
      <w:r w:rsidRPr="000976AC">
        <w:rPr>
          <w:rFonts w:ascii="Times New Roman" w:hAnsi="Times New Roman"/>
          <w:i/>
        </w:rPr>
        <w:t>caret</w:t>
      </w:r>
      <w:r w:rsidRPr="000976AC">
        <w:rPr>
          <w:rFonts w:ascii="Times New Roman" w:hAnsi="Times New Roman" w:cs="Times New Roman"/>
        </w:rPr>
        <w:t xml:space="preserve"> package to create folds. We </w:t>
      </w:r>
      <w:r w:rsidR="000B69DB" w:rsidRPr="000976AC">
        <w:rPr>
          <w:rFonts w:ascii="Times New Roman" w:hAnsi="Times New Roman" w:cs="Times New Roman"/>
        </w:rPr>
        <w:t xml:space="preserve">used 5-fold nested cross-validation to </w:t>
      </w:r>
      <w:r w:rsidRPr="000976AC">
        <w:rPr>
          <w:rFonts w:ascii="Times New Roman" w:hAnsi="Times New Roman" w:cs="Times New Roman"/>
        </w:rPr>
        <w:t>tune the hyper-parameters for penalized Cox regression and random survival forests. To evaluate the prediction performance, we used</w:t>
      </w:r>
      <w:r w:rsidR="00651642" w:rsidRPr="000976AC">
        <w:rPr>
          <w:rFonts w:ascii="Times New Roman" w:hAnsi="Times New Roman" w:cs="Times New Roman"/>
        </w:rPr>
        <w:t xml:space="preserve"> </w:t>
      </w:r>
      <w:r w:rsidR="00651642" w:rsidRPr="000976AC">
        <w:rPr>
          <w:rFonts w:ascii="Times New Roman" w:hAnsi="Times New Roman" w:cs="Times New Roman"/>
        </w:rPr>
        <w:lastRenderedPageBreak/>
        <w:t>both</w:t>
      </w:r>
      <w:r w:rsidRPr="000976AC">
        <w:rPr>
          <w:rFonts w:ascii="Times New Roman" w:hAnsi="Times New Roman" w:cs="Times New Roman"/>
        </w:rPr>
        <w:t xml:space="preserve"> the concordance index (i.e., C-index)</w:t>
      </w:r>
      <w:r w:rsidR="00347869" w:rsidRPr="000976AC">
        <w:rPr>
          <w:rFonts w:ascii="Times New Roman" w:hAnsi="Times New Roman" w:cs="Times New Roman"/>
        </w:rPr>
        <w:t xml:space="preserve"> and R</w:t>
      </w:r>
      <w:r w:rsidR="00347869" w:rsidRPr="000976AC">
        <w:rPr>
          <w:rFonts w:ascii="Times New Roman" w:hAnsi="Times New Roman" w:cs="Times New Roman"/>
          <w:vertAlign w:val="superscript"/>
        </w:rPr>
        <w:t xml:space="preserve">2 </w:t>
      </w:r>
      <w:r w:rsidR="000E40DC" w:rsidRPr="000976AC">
        <w:rPr>
          <w:rFonts w:ascii="Times New Roman" w:hAnsi="Times New Roman" w:cs="Times New Roman"/>
        </w:rPr>
        <w:t xml:space="preserve">based on </w:t>
      </w:r>
      <w:r w:rsidR="00651642" w:rsidRPr="000976AC">
        <w:rPr>
          <w:rFonts w:ascii="Times New Roman" w:hAnsi="Times New Roman" w:cs="Times New Roman"/>
        </w:rPr>
        <w:t>Schmid’s</w:t>
      </w:r>
      <w:r w:rsidR="000E40DC" w:rsidRPr="000976AC">
        <w:rPr>
          <w:rFonts w:ascii="Times New Roman" w:hAnsi="Times New Roman" w:cs="Times New Roman"/>
        </w:rPr>
        <w:t xml:space="preserve"> </w:t>
      </w:r>
      <w:r w:rsidR="004903EB" w:rsidRPr="000976AC">
        <w:rPr>
          <w:rFonts w:ascii="Times New Roman" w:hAnsi="Times New Roman" w:cs="Times New Roman"/>
        </w:rPr>
        <w:t xml:space="preserve">robust estimate of </w:t>
      </w:r>
      <w:r w:rsidR="000E40DC" w:rsidRPr="000976AC">
        <w:rPr>
          <w:rFonts w:ascii="Times New Roman" w:hAnsi="Times New Roman" w:cs="Times New Roman"/>
        </w:rPr>
        <w:t>prediction erro</w:t>
      </w:r>
      <w:r w:rsidR="00651642" w:rsidRPr="000976AC">
        <w:rPr>
          <w:rFonts w:ascii="Times New Roman" w:hAnsi="Times New Roman" w:cs="Times New Roman"/>
        </w:rPr>
        <w:t xml:space="preserve">r </w:t>
      </w:r>
      <w:r w:rsidR="00010003" w:rsidRPr="000976AC">
        <w:rPr>
          <w:rFonts w:ascii="Times New Roman" w:hAnsi="Times New Roman" w:cs="Times New Roman"/>
        </w:rPr>
        <w:t>(i.e., R</w:t>
      </w:r>
      <w:r w:rsidR="00010003" w:rsidRPr="000976AC">
        <w:rPr>
          <w:rFonts w:ascii="Times New Roman" w:hAnsi="Times New Roman" w:cs="Times New Roman"/>
          <w:vertAlign w:val="superscript"/>
        </w:rPr>
        <w:t xml:space="preserve">2 </w:t>
      </w:r>
      <w:r w:rsidR="00010003" w:rsidRPr="000976AC">
        <w:rPr>
          <w:rFonts w:ascii="Times New Roman" w:hAnsi="Times New Roman" w:cs="Times New Roman"/>
        </w:rPr>
        <w:t xml:space="preserve">(Schmid)) </w:t>
      </w:r>
      <w:r w:rsidR="004903EB" w:rsidRPr="000976AC">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{"citationID":"Rj4drZmy","properties":{"formattedCitation":"(Rahman, Ambler, Choodari-Oskooei, &amp; Omar, 2017; Schmid, Hielscher, Augustin, &amp; Gefeller, 2011)","plainCitation":"(Rahman, Ambler, Choodari-Oskooei, &amp; Omar, 2017; Schmid, Hielscher, Augustin, &amp; Gefeller, 2011)","noteIndex":0},"citationItems":[{"id":16367,"uris":["http://zotero.org/users/3816538/items/XJ2CRVN6"],"itemData":{"id":16367,"type":"article-journal","abstract":"Background: When developing a prediction model for survival data it is essential to validate its performance in external validation settings using appropriate performance measures. Although a number of such measures have been proposed, there is only limited guidance regarding their use in the context of model validation. This paper reviewed and evaluated a wide range of performance measures to provide some guidelines for their use in practice.\nMethods: An extensive simulation study based on two clinical datasets was conducted to investigate the performance of the measures in external validation settings. Measures were selected from categories that assess the overall performance, discrimination and calibration of a survival prediction model. Some of these have been modified to allow their use with validation data, and a case study is provided to describe how these measures can be estimated in practice. The measures were evaluated with respect to their robustness to censoring and ease of interpretation. All measures are implemented, or are straightforward to implement, in statistical software.\nResults: Most of the performance measures were reasonably robust to moderate levels of censoring. One exception was Harrell’s concordance measure which tended to increase as censoring increased.\nConclusions: We recommend that Uno’s concordance measure is used to quantify concordance when there are moderate levels of censoring. Alternatively, Gönen and Heller’s measure could be considered, especially if censoring is very high, but we suggest that the prediction model is re-calibrated first. We also recommend that Royston’s D is routinely reported to assess discrimination since it has an appealing interpretation. The calibration slope is useful for both internal and external validation settings and recommended to report routinely. Our recommendation would be to use any of the predictive accuracy measures and provide the corresponding predictive accuracy curves. In addition, we recommend to investigate the characteristics of the validation data such as the level of censoring and the distribution of the prognostic index derived in the validation setting before choosing the performance measures.","container-title":"BMC Medical Research Methodology","DOI":"10.1186/s12874-017-0336-2","ISSN":"1471-2288","issue":"1","journalAbbreviation":"BMC Med Res Methodol","language":"en","page":"Article 60","source":"DOI.org (Crossref)","title":"Review and evaluation of performance measures for survival prediction models in external validation settings","volume":"17","author":[{"family":"Rahman","given":"M. Shafiqur"},{"family":"Ambler","given":"Gareth"},{"family":"Choodari-Oskooei","given":"Babak"},{"family":"Omar","given":"Rumana Z."}],"issued":{"date-parts":[["2017",12]]}}},{"id":16366,"uris":["http://zotero.org/users/3816538/items/4YHPS5H7"],"itemData":{"id":16366,"type":"article-journal","abstract":"In clinical applications, the prediction error of survival models has to be taken into consideration to assess the practical suitability of conclusions drawn from these models. Diﬀerent approaches to evaluate the predictive performance of survival models have been suggested in the literature. In this article, we analyze the properties of the estimator of prediction error developed by Schemper and Henderson (2000, Biometrics 56, 249–255), which quantiﬁes the absolute distance between predicted and observed survival functions. We provide a formal proof that the estimator proposed by Schemper and Henderson is not robust against misspeciﬁcation of the survival model, that is, the estimator will only be meaningful if the model family used for deriving predictions has been speciﬁed correctly. To remedy this problem, we construct a new estimator of the absolute distance between predicted and observed survival functions. We show that this modiﬁed Schemper–Henderson estimator is robust against model misspeciﬁcation, allowing its practical application to a wide class of survival models. The properties of the Schemper–Henderson estimator and its new modiﬁcation are illustrated by means of a simulation study and the analysis of two clinical data sets.","container-title":"Biometrics","DOI":"10.1111/j.1541-0420.2010.01459.x","ISSN":"0006341X","issue":"2","language":"en","page":"524-535","source":"DOI.org (Crossref)","title":"A robust alternative to the Schemper-Henderson estimator of prediction error","volume":"67","author":[{"family":"Schmid","given":"Matthias"},{"family":"Hielscher","given":"Thomas"},{"family":"Augustin","given":"Thomas"},{"family":"Gefeller","given":"Olaf"}],"issued":{"date-parts":[["2011",6]]}}}],"schema":"https://github.com/citation-style-language/schema/raw/master/csl-citation.json"} </w:instrText>
      </w:r>
      <w:r w:rsidR="004903EB" w:rsidRPr="000976AC">
        <w:rPr>
          <w:rFonts w:ascii="Times New Roman" w:hAnsi="Times New Roman" w:cs="Times New Roman"/>
        </w:rPr>
        <w:fldChar w:fldCharType="separate"/>
      </w:r>
      <w:r w:rsidR="004903EB" w:rsidRPr="000976AC">
        <w:rPr>
          <w:rFonts w:ascii="Times New Roman" w:hAnsi="Times New Roman" w:cs="Times New Roman"/>
          <w:noProof/>
        </w:rPr>
        <w:t>(Rahman, Ambler, Choodari-Oskooei, &amp; Omar, 2017; Schmid, Hielscher, Augustin, &amp; Gefeller, 2011)</w:t>
      </w:r>
      <w:r w:rsidR="004903EB" w:rsidRPr="000976AC">
        <w:rPr>
          <w:rFonts w:ascii="Times New Roman" w:hAnsi="Times New Roman" w:cs="Times New Roman"/>
        </w:rPr>
        <w:fldChar w:fldCharType="end"/>
      </w:r>
      <w:r w:rsidR="00651642" w:rsidRPr="000976AC">
        <w:rPr>
          <w:rFonts w:ascii="Times New Roman" w:hAnsi="Times New Roman" w:cs="Times New Roman"/>
        </w:rPr>
        <w:t>.</w:t>
      </w:r>
      <w:r w:rsidR="00AF620B" w:rsidRPr="006F1CF3">
        <w:rPr>
          <w:rStyle w:val="FootnoteReference"/>
          <w:rFonts w:ascii="Times New Roman" w:hAnsi="Times New Roman" w:cs="Times New Roman"/>
        </w:rPr>
        <w:footnoteReference w:id="2"/>
      </w:r>
      <w:r w:rsidR="00651642" w:rsidRPr="000976AC">
        <w:rPr>
          <w:rFonts w:ascii="Times New Roman" w:hAnsi="Times New Roman" w:cs="Times New Roman"/>
        </w:rPr>
        <w:t xml:space="preserve"> </w:t>
      </w:r>
      <w:r w:rsidR="00F9031F" w:rsidRPr="000976AC">
        <w:rPr>
          <w:rFonts w:ascii="Times New Roman" w:hAnsi="Times New Roman" w:cs="Times New Roman"/>
        </w:rPr>
        <w:t xml:space="preserve"> To obtain a summary of our chosen performance statistics, we then calculated the mean of the 500 performance statistics (5 folds times 100 replicates) for each method for a given imputed dataset, and then took the median of the mean </w:t>
      </w:r>
      <w:r w:rsidR="009D29D9" w:rsidRPr="000976AC">
        <w:rPr>
          <w:rFonts w:ascii="Times New Roman" w:hAnsi="Times New Roman" w:cs="Times New Roman"/>
        </w:rPr>
        <w:t>performance statistic</w:t>
      </w:r>
      <w:r w:rsidR="00F9031F" w:rsidRPr="000976AC">
        <w:rPr>
          <w:rFonts w:ascii="Times New Roman" w:hAnsi="Times New Roman" w:cs="Times New Roman"/>
        </w:rPr>
        <w:t xml:space="preserve"> for each method across imputations </w:t>
      </w:r>
      <w:r w:rsidR="00F9031F" w:rsidRPr="000976AC">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{"citationID":"s0uYkqUN","properties":{"formattedCitation":"(Marshall, Altman, Holder, &amp; Royston, 2009; Wood, Royston, &amp; White, 2015)","plainCitation":"(Marshall, Altman, Holder, &amp; Royston, 2009; Wood, Royston, &amp; White, 2015)","noteIndex":0},"citationItems":[{"id":12917,"uris":["http://zotero.org/users/3816538/items/M8JZ6M2A"],"itemData":{"id":12917,"type":"article-journal","container-title":"Biometrical Journal","DOI":"10.1002/bimj.201400004","ISSN":"0323-3847, 1521-4036","issue":"4","journalAbbreviation":"Biom. J.","language":"en","page":"614-632","source":"DOI.org (Crossref)","title":"The estimation and use of predictions for the assessment of model performance using large samples with multiply imputed data","volume":"57","author":[{"family":"Wood","given":"Angela M."},{"family":"Royston","given":"Patrick"},{"family":"White","given":"Ian R."}],"issued":{"date-parts":[["2015",7]]}}},{"id":12916,"uris":["http://zotero.org/users/3816538/items/NWAZP7GL"],"itemData":{"id":12916,"type":"article-journal","abstract":"Background: Multiple imputation (MI) provides an effective approach to handle missing covariate data within prognostic modelling studies, as it can properly account for the missing data uncertainty. The multiply imputed datasets are each analysed using standard prognostic modelling techniques to obtain the estimates of interest. The estimates from each imputed dataset are then combined into one overall estimate and variance, incorporating both the within and between imputation variability. Rubin's rules for combining these multiply imputed estimates are based on asymptotic theory. The resulting combined estimates may be more accurate if the posterior distribution of the population parameter of interest is better approximated by the normal distribution. However, the normality assumption may not be appropriate for all the parameters of interest when analysing prognostic modelling studies, such as predicted survival probabilities and model performance measures.\nMethods: Guidelines for combining the estimates of interest when analysing prognostic modelling studies are provided. A literature review is performed to identify current practice for combining such estimates in prognostic modelling studies.\nResults: Methods for combining all reported estimates after MI were not well reported in the current literature. Rubin's rules without applying any transformations were the standard approach used, when any method was stated.\nConclusion: The proposed simple guidelines for combining estimates after MI may lead to a wider and more appropriate use of MI in future prognostic modelling studies.","container-title":"BMC Medical Research Methodology","DOI":"10.1186/1471-2288-9-57","ISSN":"1471-2288","issue":"1","journalAbbreviation":"BMC Med Res Methodol","language":"en","page":"57","source":"DOI.org (Crossref)","title":"Combining estimates of interest in prognostic modelling studies after multiple imputation: current practice and guidelines","title-short":"Combining estimates of interest in prognostic modelling studies after multiple imputation","volume":"9","author":[{"family":"Marshall","given":"Andrea"},{"family":"Altman","given":"Douglas G"},{"family":"Holder","given":"Roger L"},{"family":"Royston","given":"Patrick"}],"issued":{"date-parts":[["2009",12]]}}}],"schema":"https://github.com/citation-style-language/schema/raw/master/csl-citation.json"} </w:instrText>
      </w:r>
      <w:r w:rsidR="00F9031F" w:rsidRPr="000976AC">
        <w:rPr>
          <w:rFonts w:ascii="Times New Roman" w:hAnsi="Times New Roman" w:cs="Times New Roman"/>
        </w:rPr>
        <w:fldChar w:fldCharType="separate"/>
      </w:r>
      <w:r w:rsidR="00F9031F" w:rsidRPr="000976AC">
        <w:rPr>
          <w:rFonts w:ascii="Times New Roman" w:hAnsi="Times New Roman" w:cs="Times New Roman"/>
        </w:rPr>
        <w:t>(Marshall, Altman, Holder, &amp; Royston, 2009; Wood, Royston, &amp; White, 2015)</w:t>
      </w:r>
      <w:r w:rsidR="00F9031F" w:rsidRPr="000976AC">
        <w:rPr>
          <w:rFonts w:ascii="Times New Roman" w:hAnsi="Times New Roman" w:cs="Times New Roman"/>
        </w:rPr>
        <w:fldChar w:fldCharType="end"/>
      </w:r>
      <w:r w:rsidRPr="000976AC">
        <w:rPr>
          <w:rFonts w:ascii="Times New Roman" w:hAnsi="Times New Roman" w:cs="Times New Roman"/>
        </w:rPr>
        <w:t xml:space="preserve">. </w:t>
      </w:r>
    </w:p>
    <w:p w14:paraId="124CF7E8" w14:textId="655C23EC" w:rsidR="00D76B27" w:rsidRPr="000976AC" w:rsidRDefault="00947B50" w:rsidP="00156BD3">
      <w:pPr>
        <w:keepLines/>
        <w:spacing w:line="480" w:lineRule="auto"/>
        <w:ind w:firstLine="720"/>
        <w:rPr>
          <w:rFonts w:ascii="Times New Roman" w:hAnsi="Times New Roman" w:cs="Times New Roman"/>
        </w:rPr>
      </w:pPr>
      <w:r w:rsidRPr="000976AC">
        <w:rPr>
          <w:rFonts w:ascii="Times New Roman" w:hAnsi="Times New Roman" w:cs="Times New Roman"/>
        </w:rPr>
        <w:t xml:space="preserve">For all four methods, we performed sensitivity analyses by </w:t>
      </w:r>
      <w:r w:rsidRPr="007A30C9">
        <w:rPr>
          <w:rFonts w:ascii="Times New Roman" w:hAnsi="Times New Roman" w:cs="Times New Roman"/>
        </w:rPr>
        <w:t>repeating the procedures for the main analys</w:t>
      </w:r>
      <w:r w:rsidR="00A02B95">
        <w:rPr>
          <w:rFonts w:ascii="Times New Roman" w:hAnsi="Times New Roman" w:cs="Times New Roman"/>
        </w:rPr>
        <w:t>e</w:t>
      </w:r>
      <w:r w:rsidRPr="007A30C9">
        <w:rPr>
          <w:rFonts w:ascii="Times New Roman" w:hAnsi="Times New Roman" w:cs="Times New Roman"/>
        </w:rPr>
        <w:t>s (described above), but</w:t>
      </w:r>
      <w:r w:rsidR="00AA782B" w:rsidRPr="007A30C9">
        <w:rPr>
          <w:rFonts w:ascii="Times New Roman" w:hAnsi="Times New Roman" w:cs="Times New Roman"/>
        </w:rPr>
        <w:t>:</w:t>
      </w:r>
      <w:r w:rsidRPr="007A30C9">
        <w:rPr>
          <w:rFonts w:ascii="Times New Roman" w:hAnsi="Times New Roman" w:cs="Times New Roman"/>
        </w:rPr>
        <w:t xml:space="preserve"> (1) using 10-fold (rather than 5-fold) cross-validation</w:t>
      </w:r>
      <w:r w:rsidR="00AA782B" w:rsidRPr="007A30C9">
        <w:rPr>
          <w:rFonts w:ascii="Times New Roman" w:hAnsi="Times New Roman" w:cs="Times New Roman"/>
        </w:rPr>
        <w:t>;</w:t>
      </w:r>
      <w:r w:rsidRPr="007A30C9">
        <w:rPr>
          <w:rFonts w:ascii="Times New Roman" w:hAnsi="Times New Roman" w:cs="Times New Roman"/>
        </w:rPr>
        <w:t xml:space="preserve"> </w:t>
      </w:r>
      <w:r w:rsidR="00F9031F" w:rsidRPr="007A30C9">
        <w:rPr>
          <w:rFonts w:ascii="Times New Roman" w:hAnsi="Times New Roman" w:cs="Times New Roman"/>
        </w:rPr>
        <w:t>(2) using 10-fold (rather than 5-fold) nested cross-validation to select hyperparameters</w:t>
      </w:r>
      <w:r w:rsidR="00AA782B" w:rsidRPr="007A30C9">
        <w:rPr>
          <w:rFonts w:ascii="Times New Roman" w:hAnsi="Times New Roman" w:cs="Times New Roman"/>
        </w:rPr>
        <w:t>;</w:t>
      </w:r>
      <w:r w:rsidR="00F9031F" w:rsidRPr="007A30C9">
        <w:rPr>
          <w:rFonts w:ascii="Times New Roman" w:hAnsi="Times New Roman" w:cs="Times New Roman"/>
        </w:rPr>
        <w:t xml:space="preserve"> </w:t>
      </w:r>
      <w:r w:rsidRPr="007A30C9">
        <w:rPr>
          <w:rFonts w:ascii="Times New Roman" w:hAnsi="Times New Roman" w:cs="Times New Roman"/>
        </w:rPr>
        <w:t>(</w:t>
      </w:r>
      <w:r w:rsidR="00F9031F" w:rsidRPr="007A30C9">
        <w:rPr>
          <w:rFonts w:ascii="Times New Roman" w:hAnsi="Times New Roman" w:cs="Times New Roman"/>
        </w:rPr>
        <w:t>3</w:t>
      </w:r>
      <w:r w:rsidRPr="007A30C9">
        <w:rPr>
          <w:rFonts w:ascii="Times New Roman" w:hAnsi="Times New Roman" w:cs="Times New Roman"/>
        </w:rPr>
        <w:t xml:space="preserve">) using a subset of 27 variables (rather than all </w:t>
      </w:r>
      <w:r w:rsidR="00AA782B" w:rsidRPr="007A30C9">
        <w:rPr>
          <w:rFonts w:ascii="Times New Roman" w:hAnsi="Times New Roman" w:cs="Times New Roman"/>
        </w:rPr>
        <w:t>38</w:t>
      </w:r>
      <w:r w:rsidRPr="007A30C9">
        <w:rPr>
          <w:rFonts w:ascii="Times New Roman" w:hAnsi="Times New Roman" w:cs="Times New Roman"/>
        </w:rPr>
        <w:t xml:space="preserve"> variables</w:t>
      </w:r>
      <w:r w:rsidR="00606601" w:rsidRPr="007A30C9">
        <w:rPr>
          <w:rFonts w:ascii="Times New Roman" w:hAnsi="Times New Roman" w:cs="Times New Roman"/>
        </w:rPr>
        <w:t xml:space="preserve">) </w:t>
      </w:r>
      <w:r w:rsidRPr="007A30C9">
        <w:rPr>
          <w:rFonts w:ascii="Times New Roman" w:hAnsi="Times New Roman" w:cs="Times New Roman"/>
        </w:rPr>
        <w:t xml:space="preserve">as predictors, </w:t>
      </w:r>
      <w:r w:rsidR="00D36168" w:rsidRPr="007A30C9">
        <w:rPr>
          <w:rFonts w:ascii="Times New Roman" w:hAnsi="Times New Roman" w:cs="Times New Roman"/>
        </w:rPr>
        <w:t>with that subset selected</w:t>
      </w:r>
      <w:r w:rsidR="00606601" w:rsidRPr="007A30C9">
        <w:rPr>
          <w:rFonts w:ascii="Times New Roman" w:hAnsi="Times New Roman" w:cs="Times New Roman"/>
        </w:rPr>
        <w:t xml:space="preserve"> by retaining</w:t>
      </w:r>
      <w:r w:rsidR="00B70525" w:rsidRPr="007A30C9">
        <w:rPr>
          <w:rFonts w:ascii="Times New Roman" w:hAnsi="Times New Roman" w:cs="Times New Roman"/>
        </w:rPr>
        <w:t xml:space="preserve"> only one variable</w:t>
      </w:r>
      <w:r w:rsidRPr="007A30C9">
        <w:rPr>
          <w:rFonts w:ascii="Times New Roman" w:hAnsi="Times New Roman" w:cs="Times New Roman"/>
        </w:rPr>
        <w:t xml:space="preserve"> </w:t>
      </w:r>
      <w:r w:rsidR="009D29D9" w:rsidRPr="007A30C9">
        <w:rPr>
          <w:rFonts w:ascii="Times New Roman" w:hAnsi="Times New Roman" w:cs="Times New Roman"/>
        </w:rPr>
        <w:t xml:space="preserve">in </w:t>
      </w:r>
      <w:r w:rsidRPr="007A30C9">
        <w:rPr>
          <w:rFonts w:ascii="Times New Roman" w:hAnsi="Times New Roman" w:cs="Times New Roman"/>
        </w:rPr>
        <w:t>each variable pair with Pearson correlations above 0.4</w:t>
      </w:r>
      <w:r w:rsidR="001871E1" w:rsidRPr="00B62493">
        <w:rPr>
          <w:rStyle w:val="FootnoteReference"/>
          <w:rFonts w:ascii="Times New Roman" w:hAnsi="Times New Roman" w:cs="Times New Roman"/>
        </w:rPr>
        <w:footnoteReference w:id="3"/>
      </w:r>
      <w:r w:rsidR="00606601" w:rsidRPr="00B62493">
        <w:rPr>
          <w:rFonts w:ascii="Times New Roman" w:hAnsi="Times New Roman" w:cs="Times New Roman"/>
        </w:rPr>
        <w:t xml:space="preserve"> </w:t>
      </w:r>
      <w:r w:rsidR="00606601" w:rsidRPr="007A30C9">
        <w:rPr>
          <w:rFonts w:ascii="Times New Roman" w:hAnsi="Times New Roman" w:cs="Times New Roman"/>
        </w:rPr>
        <w:t>(</w:t>
      </w:r>
      <w:r w:rsidR="001871E1">
        <w:rPr>
          <w:rFonts w:ascii="Times New Roman" w:hAnsi="Times New Roman" w:cs="Times New Roman"/>
        </w:rPr>
        <w:t xml:space="preserve">see footnote 3 and the * </w:t>
      </w:r>
      <w:r w:rsidR="00B02FBE" w:rsidRPr="007A30C9">
        <w:rPr>
          <w:rFonts w:ascii="Times New Roman" w:hAnsi="Times New Roman" w:cs="Times New Roman"/>
        </w:rPr>
        <w:t>in Table S1</w:t>
      </w:r>
      <w:r w:rsidR="001871E1">
        <w:rPr>
          <w:rFonts w:ascii="Times New Roman" w:hAnsi="Times New Roman" w:cs="Times New Roman"/>
        </w:rPr>
        <w:t xml:space="preserve"> for information on the</w:t>
      </w:r>
      <w:r w:rsidR="00606601" w:rsidRPr="007A30C9">
        <w:rPr>
          <w:rFonts w:ascii="Times New Roman" w:hAnsi="Times New Roman" w:cs="Times New Roman"/>
        </w:rPr>
        <w:t xml:space="preserve"> 27 retained </w:t>
      </w:r>
      <w:r w:rsidR="00776D2D" w:rsidRPr="007A30C9">
        <w:rPr>
          <w:rFonts w:ascii="Times New Roman" w:hAnsi="Times New Roman" w:cs="Times New Roman"/>
        </w:rPr>
        <w:t>variables</w:t>
      </w:r>
      <w:r w:rsidR="00606601" w:rsidRPr="007A30C9">
        <w:rPr>
          <w:rFonts w:ascii="Times New Roman" w:hAnsi="Times New Roman" w:cs="Times New Roman"/>
        </w:rPr>
        <w:t>)</w:t>
      </w:r>
      <w:r w:rsidRPr="007A30C9">
        <w:rPr>
          <w:rFonts w:ascii="Times New Roman" w:hAnsi="Times New Roman" w:cs="Times New Roman"/>
        </w:rPr>
        <w:t>; or (</w:t>
      </w:r>
      <w:r w:rsidR="0031435C" w:rsidRPr="007A30C9">
        <w:rPr>
          <w:rFonts w:ascii="Times New Roman" w:hAnsi="Times New Roman" w:cs="Times New Roman"/>
        </w:rPr>
        <w:t>4</w:t>
      </w:r>
      <w:r w:rsidRPr="007A30C9">
        <w:rPr>
          <w:rFonts w:ascii="Times New Roman" w:hAnsi="Times New Roman" w:cs="Times New Roman"/>
        </w:rPr>
        <w:t xml:space="preserve">) using </w:t>
      </w:r>
      <w:r w:rsidR="00B70525" w:rsidRPr="007A30C9">
        <w:rPr>
          <w:rFonts w:ascii="Times New Roman" w:hAnsi="Times New Roman" w:cs="Times New Roman"/>
        </w:rPr>
        <w:t xml:space="preserve">38 </w:t>
      </w:r>
      <w:r w:rsidRPr="007A30C9">
        <w:rPr>
          <w:rFonts w:ascii="Times New Roman" w:hAnsi="Times New Roman" w:cs="Times New Roman"/>
        </w:rPr>
        <w:t>scores from a principal components analysis of the 38 baseline variables (rather than the 38 variables themselves) as predictors. For the random survival forests, we performed additional sensitivity analyses (5) by using (a) log-rank score splitting or (b) gradient-based Brier score</w:t>
      </w:r>
      <w:r w:rsidRPr="000976AC">
        <w:rPr>
          <w:rFonts w:ascii="Times New Roman" w:hAnsi="Times New Roman" w:cs="Times New Roman"/>
        </w:rPr>
        <w:t xml:space="preserve"> splitting </w:t>
      </w:r>
      <w:r w:rsidR="00435B2B">
        <w:rPr>
          <w:rFonts w:ascii="Times New Roman" w:hAnsi="Times New Roman" w:cs="Times New Roman"/>
        </w:rPr>
        <w:t xml:space="preserve">(rather than log-rank splitting) </w:t>
      </w:r>
      <w:r w:rsidRPr="000976AC">
        <w:rPr>
          <w:rFonts w:ascii="Times New Roman" w:hAnsi="Times New Roman" w:cs="Times New Roman"/>
        </w:rPr>
        <w:t xml:space="preserve">for the splitting rule. </w:t>
      </w:r>
    </w:p>
    <w:p w14:paraId="19157BFB" w14:textId="77777777" w:rsidR="00692184" w:rsidRPr="000976AC" w:rsidRDefault="00692184">
      <w:pPr>
        <w:rPr>
          <w:rFonts w:ascii="Times New Roman" w:hAnsi="Times New Roman" w:cs="Times New Roman"/>
          <w:b/>
          <w:bCs/>
        </w:rPr>
      </w:pPr>
      <w:r w:rsidRPr="000976AC">
        <w:rPr>
          <w:rFonts w:ascii="Times New Roman" w:hAnsi="Times New Roman" w:cs="Times New Roman"/>
          <w:b/>
          <w:bCs/>
        </w:rPr>
        <w:lastRenderedPageBreak/>
        <w:br w:type="page"/>
      </w:r>
    </w:p>
    <w:p w14:paraId="3E0D348D" w14:textId="52FD7449" w:rsidR="00DD1C55" w:rsidRPr="000976AC" w:rsidRDefault="00D76B27" w:rsidP="00DD1C55">
      <w:pPr>
        <w:spacing w:line="480" w:lineRule="auto"/>
        <w:rPr>
          <w:rFonts w:ascii="Times New Roman" w:hAnsi="Times New Roman" w:cs="Times New Roman"/>
          <w:b/>
          <w:bCs/>
        </w:rPr>
      </w:pPr>
      <w:r w:rsidRPr="000A7ED7">
        <w:rPr>
          <w:rFonts w:ascii="Times New Roman" w:hAnsi="Times New Roman" w:cs="Times New Roman"/>
          <w:b/>
          <w:bCs/>
        </w:rPr>
        <w:lastRenderedPageBreak/>
        <w:t>References</w:t>
      </w:r>
    </w:p>
    <w:p w14:paraId="023F01F6" w14:textId="77777777" w:rsidR="00F75C68" w:rsidRPr="00F75C68" w:rsidRDefault="00DD1C55" w:rsidP="00F75C68">
      <w:pPr>
        <w:pStyle w:val="Bibliography"/>
        <w:rPr>
          <w:rFonts w:ascii="Times New Roman" w:hAnsi="Times New Roman" w:cs="Times New Roman"/>
        </w:rPr>
      </w:pPr>
      <w:r w:rsidRPr="000976AC">
        <w:rPr>
          <w:b/>
          <w:bCs/>
        </w:rPr>
        <w:fldChar w:fldCharType="begin"/>
      </w:r>
      <w:r w:rsidRPr="000976AC">
        <w:rPr>
          <w:b/>
          <w:bCs/>
        </w:rPr>
        <w:instrText xml:space="preserve"> ADDIN ZOTERO_BIBL {"uncited":[],"omitted":[],"custom":[]} CSL_BIBLIOGRAPHY </w:instrText>
      </w:r>
      <w:r w:rsidRPr="000976AC">
        <w:rPr>
          <w:b/>
          <w:bCs/>
        </w:rPr>
        <w:fldChar w:fldCharType="separate"/>
      </w:r>
      <w:r w:rsidR="00F75C68" w:rsidRPr="00F75C68">
        <w:rPr>
          <w:rFonts w:ascii="Times New Roman" w:hAnsi="Times New Roman" w:cs="Times New Roman"/>
        </w:rPr>
        <w:t xml:space="preserve">Cachelin, F. M., Striegel-Moore, R. H., Elder, K. A., Pike, K. M., Wilfley, D. E., &amp; Fairburn, C. G. (1999). Natural course of a community sample of women with binge eating disorder. </w:t>
      </w:r>
      <w:r w:rsidR="00F75C68" w:rsidRPr="00F75C68">
        <w:rPr>
          <w:rFonts w:ascii="Times New Roman" w:hAnsi="Times New Roman" w:cs="Times New Roman"/>
          <w:i/>
          <w:iCs/>
        </w:rPr>
        <w:t>International Journal of Eating Disorders</w:t>
      </w:r>
      <w:r w:rsidR="00F75C68" w:rsidRPr="00F75C68">
        <w:rPr>
          <w:rFonts w:ascii="Times New Roman" w:hAnsi="Times New Roman" w:cs="Times New Roman"/>
        </w:rPr>
        <w:t xml:space="preserve">, </w:t>
      </w:r>
      <w:r w:rsidR="00F75C68" w:rsidRPr="00F75C68">
        <w:rPr>
          <w:rFonts w:ascii="Times New Roman" w:hAnsi="Times New Roman" w:cs="Times New Roman"/>
          <w:i/>
          <w:iCs/>
        </w:rPr>
        <w:t>25</w:t>
      </w:r>
      <w:r w:rsidR="00F75C68" w:rsidRPr="00F75C68">
        <w:rPr>
          <w:rFonts w:ascii="Times New Roman" w:hAnsi="Times New Roman" w:cs="Times New Roman"/>
        </w:rPr>
        <w:t>, 45–54. doi:10.1002/(SICI)1098-108X(199901)25:1&lt;45::AID-EAT6&gt;3.0.CO;2-3</w:t>
      </w:r>
    </w:p>
    <w:p w14:paraId="463AD8B7"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t xml:space="preserve">Forrest, L. N., Ivezaj, V., &amp; Grilo, C. M. (2023). Machine learning </w:t>
      </w:r>
      <w:r w:rsidRPr="00F75C68">
        <w:rPr>
          <w:rFonts w:ascii="Times New Roman" w:hAnsi="Times New Roman" w:cs="Times New Roman"/>
          <w:i/>
          <w:iCs/>
        </w:rPr>
        <w:t>v.</w:t>
      </w:r>
      <w:r w:rsidRPr="00F75C68">
        <w:rPr>
          <w:rFonts w:ascii="Times New Roman" w:hAnsi="Times New Roman" w:cs="Times New Roman"/>
        </w:rPr>
        <w:t xml:space="preserve"> traditional regression models predicting treatment outcomes for binge-eating disorder from a randomized controlled trial. </w:t>
      </w:r>
      <w:r w:rsidRPr="00F75C68">
        <w:rPr>
          <w:rFonts w:ascii="Times New Roman" w:hAnsi="Times New Roman" w:cs="Times New Roman"/>
          <w:i/>
          <w:iCs/>
        </w:rPr>
        <w:t>Psychological Medicine</w:t>
      </w:r>
      <w:r w:rsidRPr="00F75C68">
        <w:rPr>
          <w:rFonts w:ascii="Times New Roman" w:hAnsi="Times New Roman" w:cs="Times New Roman"/>
        </w:rPr>
        <w:t xml:space="preserve">, </w:t>
      </w:r>
      <w:r w:rsidRPr="00F75C68">
        <w:rPr>
          <w:rFonts w:ascii="Times New Roman" w:hAnsi="Times New Roman" w:cs="Times New Roman"/>
          <w:i/>
          <w:iCs/>
        </w:rPr>
        <w:t>53</w:t>
      </w:r>
      <w:r w:rsidRPr="00F75C68">
        <w:rPr>
          <w:rFonts w:ascii="Times New Roman" w:hAnsi="Times New Roman" w:cs="Times New Roman"/>
        </w:rPr>
        <w:t>, 2777–2788. doi:10.1017/S0033291721004748</w:t>
      </w:r>
    </w:p>
    <w:p w14:paraId="5A98AD9D"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t xml:space="preserve">Gorrell, S., Reilly, E. E., Schaumberg, K., Anderson, L. M., &amp; Donahue, J. M. (2019). Weight suppression and its relation to eating disorder and weight outcomes: A narrative review. </w:t>
      </w:r>
      <w:r w:rsidRPr="00F75C68">
        <w:rPr>
          <w:rFonts w:ascii="Times New Roman" w:hAnsi="Times New Roman" w:cs="Times New Roman"/>
          <w:i/>
          <w:iCs/>
        </w:rPr>
        <w:t>Eating Disorders</w:t>
      </w:r>
      <w:r w:rsidRPr="00F75C68">
        <w:rPr>
          <w:rFonts w:ascii="Times New Roman" w:hAnsi="Times New Roman" w:cs="Times New Roman"/>
        </w:rPr>
        <w:t xml:space="preserve">, </w:t>
      </w:r>
      <w:r w:rsidRPr="00F75C68">
        <w:rPr>
          <w:rFonts w:ascii="Times New Roman" w:hAnsi="Times New Roman" w:cs="Times New Roman"/>
          <w:i/>
          <w:iCs/>
        </w:rPr>
        <w:t>27</w:t>
      </w:r>
      <w:r w:rsidRPr="00F75C68">
        <w:rPr>
          <w:rFonts w:ascii="Times New Roman" w:hAnsi="Times New Roman" w:cs="Times New Roman"/>
        </w:rPr>
        <w:t>, 52–81. doi:10.1080/10640266.2018.1499297</w:t>
      </w:r>
    </w:p>
    <w:p w14:paraId="2E49354E"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t xml:space="preserve">Harrell, F. E., Califf, R. M., Pryor, D. B., Lee, K. L., &amp; Rosati, R. A. (1982). Evaluating the yield of medical tests. </w:t>
      </w:r>
      <w:r w:rsidRPr="00F75C68">
        <w:rPr>
          <w:rFonts w:ascii="Times New Roman" w:hAnsi="Times New Roman" w:cs="Times New Roman"/>
          <w:i/>
          <w:iCs/>
        </w:rPr>
        <w:t>Journal of the American Medical Association</w:t>
      </w:r>
      <w:r w:rsidRPr="00F75C68">
        <w:rPr>
          <w:rFonts w:ascii="Times New Roman" w:hAnsi="Times New Roman" w:cs="Times New Roman"/>
        </w:rPr>
        <w:t xml:space="preserve">, </w:t>
      </w:r>
      <w:r w:rsidRPr="00F75C68">
        <w:rPr>
          <w:rFonts w:ascii="Times New Roman" w:hAnsi="Times New Roman" w:cs="Times New Roman"/>
          <w:i/>
          <w:iCs/>
        </w:rPr>
        <w:t>247</w:t>
      </w:r>
      <w:r w:rsidRPr="00F75C68">
        <w:rPr>
          <w:rFonts w:ascii="Times New Roman" w:hAnsi="Times New Roman" w:cs="Times New Roman"/>
        </w:rPr>
        <w:t>, 2543–2546.</w:t>
      </w:r>
    </w:p>
    <w:p w14:paraId="498EBFEF"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t xml:space="preserve">Marshall, A., Altman, D. G., Holder, R. L., &amp; Royston, P. (2009). Combining estimates of interest in prognostic modelling studies after multiple imputation: Current practice and guidelines. </w:t>
      </w:r>
      <w:r w:rsidRPr="00F75C68">
        <w:rPr>
          <w:rFonts w:ascii="Times New Roman" w:hAnsi="Times New Roman" w:cs="Times New Roman"/>
          <w:i/>
          <w:iCs/>
        </w:rPr>
        <w:t>BMC Medical Research Methodology</w:t>
      </w:r>
      <w:r w:rsidRPr="00F75C68">
        <w:rPr>
          <w:rFonts w:ascii="Times New Roman" w:hAnsi="Times New Roman" w:cs="Times New Roman"/>
        </w:rPr>
        <w:t xml:space="preserve">, </w:t>
      </w:r>
      <w:r w:rsidRPr="00F75C68">
        <w:rPr>
          <w:rFonts w:ascii="Times New Roman" w:hAnsi="Times New Roman" w:cs="Times New Roman"/>
          <w:i/>
          <w:iCs/>
        </w:rPr>
        <w:t>9</w:t>
      </w:r>
      <w:r w:rsidRPr="00F75C68">
        <w:rPr>
          <w:rFonts w:ascii="Times New Roman" w:hAnsi="Times New Roman" w:cs="Times New Roman"/>
        </w:rPr>
        <w:t>, 57. doi:10.1186/1471-2288-9-57</w:t>
      </w:r>
    </w:p>
    <w:p w14:paraId="0466226C"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t xml:space="preserve">Rahman, M. S., Ambler, G., Choodari-Oskooei, B., &amp; Omar, R. Z. (2017). Review and evaluation of performance measures for survival prediction models in external validation settings. </w:t>
      </w:r>
      <w:r w:rsidRPr="00F75C68">
        <w:rPr>
          <w:rFonts w:ascii="Times New Roman" w:hAnsi="Times New Roman" w:cs="Times New Roman"/>
          <w:i/>
          <w:iCs/>
        </w:rPr>
        <w:t>BMC Medical Research Methodology</w:t>
      </w:r>
      <w:r w:rsidRPr="00F75C68">
        <w:rPr>
          <w:rFonts w:ascii="Times New Roman" w:hAnsi="Times New Roman" w:cs="Times New Roman"/>
        </w:rPr>
        <w:t xml:space="preserve">, </w:t>
      </w:r>
      <w:r w:rsidRPr="00F75C68">
        <w:rPr>
          <w:rFonts w:ascii="Times New Roman" w:hAnsi="Times New Roman" w:cs="Times New Roman"/>
          <w:i/>
          <w:iCs/>
        </w:rPr>
        <w:t>17</w:t>
      </w:r>
      <w:r w:rsidRPr="00F75C68">
        <w:rPr>
          <w:rFonts w:ascii="Times New Roman" w:hAnsi="Times New Roman" w:cs="Times New Roman"/>
        </w:rPr>
        <w:t>, Article 60. doi:10.1186/s12874-017-0336-2</w:t>
      </w:r>
    </w:p>
    <w:p w14:paraId="5D43409B"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lastRenderedPageBreak/>
        <w:t xml:space="preserve">Schmid, M., Hielscher, T., Augustin, T., &amp; Gefeller, O. (2011). A robust alternative to the Schemper-Henderson estimator of prediction error. </w:t>
      </w:r>
      <w:r w:rsidRPr="00F75C68">
        <w:rPr>
          <w:rFonts w:ascii="Times New Roman" w:hAnsi="Times New Roman" w:cs="Times New Roman"/>
          <w:i/>
          <w:iCs/>
        </w:rPr>
        <w:t>Biometrics</w:t>
      </w:r>
      <w:r w:rsidRPr="00F75C68">
        <w:rPr>
          <w:rFonts w:ascii="Times New Roman" w:hAnsi="Times New Roman" w:cs="Times New Roman"/>
        </w:rPr>
        <w:t xml:space="preserve">, </w:t>
      </w:r>
      <w:r w:rsidRPr="00F75C68">
        <w:rPr>
          <w:rFonts w:ascii="Times New Roman" w:hAnsi="Times New Roman" w:cs="Times New Roman"/>
          <w:i/>
          <w:iCs/>
        </w:rPr>
        <w:t>67</w:t>
      </w:r>
      <w:r w:rsidRPr="00F75C68">
        <w:rPr>
          <w:rFonts w:ascii="Times New Roman" w:hAnsi="Times New Roman" w:cs="Times New Roman"/>
        </w:rPr>
        <w:t>, 524–535. doi:10.1111/j.1541-0420.2010.01459.x</w:t>
      </w:r>
    </w:p>
    <w:p w14:paraId="78125D10"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t xml:space="preserve">Uno, H., Cai, T., Pencina, M. J., D’Agostino, R. B., &amp; Wei, L. J. (2011). On the C‐statistics for evaluating overall adequacy of risk prediction procedures with censored survival data. </w:t>
      </w:r>
      <w:r w:rsidRPr="00F75C68">
        <w:rPr>
          <w:rFonts w:ascii="Times New Roman" w:hAnsi="Times New Roman" w:cs="Times New Roman"/>
          <w:i/>
          <w:iCs/>
        </w:rPr>
        <w:t>Statistics in Medicine</w:t>
      </w:r>
      <w:r w:rsidRPr="00F75C68">
        <w:rPr>
          <w:rFonts w:ascii="Times New Roman" w:hAnsi="Times New Roman" w:cs="Times New Roman"/>
        </w:rPr>
        <w:t xml:space="preserve">, </w:t>
      </w:r>
      <w:r w:rsidRPr="00F75C68">
        <w:rPr>
          <w:rFonts w:ascii="Times New Roman" w:hAnsi="Times New Roman" w:cs="Times New Roman"/>
          <w:i/>
          <w:iCs/>
        </w:rPr>
        <w:t>30</w:t>
      </w:r>
      <w:r w:rsidRPr="00F75C68">
        <w:rPr>
          <w:rFonts w:ascii="Times New Roman" w:hAnsi="Times New Roman" w:cs="Times New Roman"/>
        </w:rPr>
        <w:t>, 1105–1117. doi:10.1002/sim.4154</w:t>
      </w:r>
    </w:p>
    <w:p w14:paraId="73891815" w14:textId="77777777" w:rsidR="00F75C68" w:rsidRPr="00F75C68" w:rsidRDefault="00F75C68" w:rsidP="00F75C68">
      <w:pPr>
        <w:pStyle w:val="Bibliography"/>
        <w:rPr>
          <w:rFonts w:ascii="Times New Roman" w:hAnsi="Times New Roman" w:cs="Times New Roman"/>
        </w:rPr>
      </w:pPr>
      <w:r w:rsidRPr="00F75C68">
        <w:rPr>
          <w:rFonts w:ascii="Times New Roman" w:hAnsi="Times New Roman" w:cs="Times New Roman"/>
        </w:rPr>
        <w:t xml:space="preserve">Wood, A. M., Royston, P., &amp; White, I. R. (2015). The estimation and use of predictions for the assessment of model performance using large samples with multiply imputed data. </w:t>
      </w:r>
      <w:r w:rsidRPr="00F75C68">
        <w:rPr>
          <w:rFonts w:ascii="Times New Roman" w:hAnsi="Times New Roman" w:cs="Times New Roman"/>
          <w:i/>
          <w:iCs/>
        </w:rPr>
        <w:t>Biometrical Journal</w:t>
      </w:r>
      <w:r w:rsidRPr="00F75C68">
        <w:rPr>
          <w:rFonts w:ascii="Times New Roman" w:hAnsi="Times New Roman" w:cs="Times New Roman"/>
        </w:rPr>
        <w:t xml:space="preserve">, </w:t>
      </w:r>
      <w:r w:rsidRPr="00F75C68">
        <w:rPr>
          <w:rFonts w:ascii="Times New Roman" w:hAnsi="Times New Roman" w:cs="Times New Roman"/>
          <w:i/>
          <w:iCs/>
        </w:rPr>
        <w:t>57</w:t>
      </w:r>
      <w:r w:rsidRPr="00F75C68">
        <w:rPr>
          <w:rFonts w:ascii="Times New Roman" w:hAnsi="Times New Roman" w:cs="Times New Roman"/>
        </w:rPr>
        <w:t>, 614–632. doi:10.1002/bimj.201400004</w:t>
      </w:r>
    </w:p>
    <w:p w14:paraId="1B60EE61" w14:textId="2C14B86B" w:rsidR="00DD1C55" w:rsidRPr="000976AC" w:rsidRDefault="00DD1C55" w:rsidP="000A7ED7">
      <w:pPr>
        <w:spacing w:line="480" w:lineRule="auto"/>
        <w:rPr>
          <w:rFonts w:ascii="Times New Roman" w:hAnsi="Times New Roman" w:cs="Times New Roman"/>
          <w:b/>
          <w:bCs/>
        </w:rPr>
        <w:sectPr w:rsidR="00DD1C55" w:rsidRPr="000976AC" w:rsidSect="00174EEA">
          <w:footerReference w:type="even" r:id="rId7"/>
          <w:footerReference w:type="default" r:id="rId8"/>
          <w:pgSz w:w="12240" w:h="15840"/>
          <w:pgMar w:top="1440" w:right="1440" w:bottom="1440" w:left="1440" w:header="720" w:footer="720" w:gutter="0"/>
          <w:cols w:space="720"/>
          <w:docGrid w:linePitch="360"/>
        </w:sectPr>
      </w:pPr>
      <w:r w:rsidRPr="000976AC">
        <w:rPr>
          <w:rFonts w:ascii="Times New Roman" w:hAnsi="Times New Roman" w:cs="Times New Roman"/>
          <w:b/>
          <w:bCs/>
        </w:rPr>
        <w:fldChar w:fldCharType="end"/>
      </w:r>
    </w:p>
    <w:p w14:paraId="7A663634" w14:textId="7E44DA38" w:rsidR="00D46DDF" w:rsidRPr="000976AC" w:rsidRDefault="00D46DDF" w:rsidP="00D46DDF">
      <w:pPr>
        <w:spacing w:line="480" w:lineRule="auto"/>
        <w:rPr>
          <w:rFonts w:ascii="Times New Roman" w:hAnsi="Times New Roman" w:cs="Times New Roman"/>
          <w:b/>
          <w:bCs/>
          <w:vertAlign w:val="superscript"/>
        </w:rPr>
      </w:pPr>
      <w:r w:rsidRPr="000976AC">
        <w:rPr>
          <w:rFonts w:ascii="Times New Roman" w:hAnsi="Times New Roman" w:cs="Times New Roman"/>
          <w:b/>
          <w:bCs/>
        </w:rPr>
        <w:lastRenderedPageBreak/>
        <w:t xml:space="preserve">Table </w:t>
      </w:r>
      <w:r w:rsidR="004804A3">
        <w:rPr>
          <w:rFonts w:ascii="Times New Roman" w:hAnsi="Times New Roman" w:cs="Times New Roman"/>
          <w:b/>
          <w:bCs/>
        </w:rPr>
        <w:t>S</w:t>
      </w:r>
      <w:r w:rsidRPr="000976AC">
        <w:rPr>
          <w:rFonts w:ascii="Times New Roman" w:hAnsi="Times New Roman" w:cs="Times New Roman"/>
          <w:b/>
          <w:bCs/>
        </w:rPr>
        <w:t>1. Baseline Variables Included as Predictors in Machine Learning Main Analyses</w:t>
      </w:r>
      <w:r w:rsidR="004F76AA" w:rsidRPr="000976AC">
        <w:rPr>
          <w:rFonts w:ascii="Times New Roman" w:hAnsi="Times New Roman" w:cs="Times New Roman"/>
          <w:b/>
          <w:bCs/>
        </w:rPr>
        <w:t>, With Results for Univaria</w:t>
      </w:r>
      <w:r w:rsidR="00316D2B">
        <w:rPr>
          <w:rFonts w:ascii="Times New Roman" w:hAnsi="Times New Roman" w:cs="Times New Roman"/>
          <w:b/>
          <w:bCs/>
        </w:rPr>
        <w:t>ble</w:t>
      </w:r>
      <w:r w:rsidR="004F76AA" w:rsidRPr="000976AC">
        <w:rPr>
          <w:rFonts w:ascii="Times New Roman" w:hAnsi="Times New Roman" w:cs="Times New Roman"/>
          <w:b/>
          <w:bCs/>
        </w:rPr>
        <w:t xml:space="preserve"> Cox </w:t>
      </w:r>
      <w:r w:rsidR="00F102C8">
        <w:rPr>
          <w:rFonts w:ascii="Times New Roman" w:hAnsi="Times New Roman" w:cs="Times New Roman"/>
          <w:b/>
          <w:bCs/>
        </w:rPr>
        <w:t>Regression</w:t>
      </w:r>
      <w:r w:rsidR="004F76AA" w:rsidRPr="000976AC">
        <w:rPr>
          <w:rFonts w:ascii="Times New Roman" w:hAnsi="Times New Roman" w:cs="Times New Roman"/>
          <w:b/>
          <w:bCs/>
        </w:rPr>
        <w:t>s for Time to Remission</w:t>
      </w:r>
      <w:r w:rsidR="003D6A68" w:rsidRPr="000976AC">
        <w:rPr>
          <w:rFonts w:ascii="Times New Roman" w:hAnsi="Times New Roman" w:cs="Times New Roman"/>
          <w:b/>
          <w:bCs/>
        </w:rPr>
        <w:t xml:space="preserve"> in 137 Participants with Follow-Up Data</w:t>
      </w:r>
    </w:p>
    <w:tbl>
      <w:tblPr>
        <w:tblStyle w:val="TableGrid"/>
        <w:tblW w:w="13225" w:type="dxa"/>
        <w:tblLook w:val="04A0" w:firstRow="1" w:lastRow="0" w:firstColumn="1" w:lastColumn="0" w:noHBand="0" w:noVBand="1"/>
      </w:tblPr>
      <w:tblGrid>
        <w:gridCol w:w="7285"/>
        <w:gridCol w:w="1188"/>
        <w:gridCol w:w="1188"/>
        <w:gridCol w:w="1188"/>
        <w:gridCol w:w="1188"/>
        <w:gridCol w:w="1188"/>
      </w:tblGrid>
      <w:tr w:rsidR="00326A9C" w:rsidRPr="000976AC" w14:paraId="4514848D" w14:textId="77777777" w:rsidTr="00326A9C">
        <w:tc>
          <w:tcPr>
            <w:tcW w:w="7285" w:type="dxa"/>
          </w:tcPr>
          <w:p w14:paraId="484D6279" w14:textId="77777777" w:rsidR="00326A9C" w:rsidRPr="000976AC" w:rsidRDefault="00326A9C" w:rsidP="00756812">
            <w:pPr>
              <w:spacing w:line="480" w:lineRule="auto"/>
              <w:rPr>
                <w:rFonts w:ascii="Times New Roman" w:hAnsi="Times New Roman" w:cs="Times New Roman"/>
                <w:b/>
                <w:bCs/>
                <w:sz w:val="20"/>
                <w:szCs w:val="20"/>
              </w:rPr>
            </w:pPr>
          </w:p>
        </w:tc>
        <w:tc>
          <w:tcPr>
            <w:tcW w:w="5940" w:type="dxa"/>
            <w:gridSpan w:val="5"/>
            <w:vAlign w:val="bottom"/>
          </w:tcPr>
          <w:p w14:paraId="0EF76CC5" w14:textId="3AF1AAF0" w:rsidR="00326A9C" w:rsidRPr="000A7ED7" w:rsidRDefault="00326A9C" w:rsidP="000A7ED7">
            <w:pPr>
              <w:spacing w:line="480" w:lineRule="auto"/>
              <w:jc w:val="center"/>
              <w:rPr>
                <w:rFonts w:ascii="Times New Roman" w:hAnsi="Times New Roman" w:cs="Times New Roman"/>
                <w:b/>
                <w:bCs/>
                <w:color w:val="000000"/>
                <w:sz w:val="20"/>
                <w:szCs w:val="20"/>
              </w:rPr>
            </w:pPr>
            <w:r w:rsidRPr="000976AC">
              <w:rPr>
                <w:rFonts w:ascii="Times New Roman" w:hAnsi="Times New Roman" w:cs="Times New Roman"/>
                <w:b/>
                <w:bCs/>
                <w:sz w:val="20"/>
                <w:szCs w:val="20"/>
              </w:rPr>
              <w:t>Univaria</w:t>
            </w:r>
            <w:r w:rsidR="00AF17E1">
              <w:rPr>
                <w:rFonts w:ascii="Times New Roman" w:hAnsi="Times New Roman" w:cs="Times New Roman"/>
                <w:b/>
                <w:bCs/>
                <w:sz w:val="20"/>
                <w:szCs w:val="20"/>
              </w:rPr>
              <w:t>ble</w:t>
            </w:r>
            <w:r w:rsidRPr="000976AC">
              <w:rPr>
                <w:rFonts w:ascii="Times New Roman" w:hAnsi="Times New Roman" w:cs="Times New Roman"/>
                <w:b/>
                <w:bCs/>
                <w:sz w:val="20"/>
                <w:szCs w:val="20"/>
              </w:rPr>
              <w:t xml:space="preserve"> Cox </w:t>
            </w:r>
            <w:r w:rsidR="00F102C8">
              <w:rPr>
                <w:rFonts w:ascii="Times New Roman" w:hAnsi="Times New Roman" w:cs="Times New Roman"/>
                <w:b/>
                <w:bCs/>
                <w:sz w:val="20"/>
                <w:szCs w:val="20"/>
              </w:rPr>
              <w:t>Regression</w:t>
            </w:r>
            <w:r w:rsidRPr="000976AC">
              <w:rPr>
                <w:rFonts w:ascii="Times New Roman" w:hAnsi="Times New Roman" w:cs="Times New Roman"/>
                <w:b/>
                <w:bCs/>
                <w:sz w:val="20"/>
                <w:szCs w:val="20"/>
              </w:rPr>
              <w:t xml:space="preserve"> Results for Time to Remission as a Function of </w:t>
            </w:r>
            <w:r w:rsidR="006805E0">
              <w:rPr>
                <w:rFonts w:ascii="Times New Roman" w:hAnsi="Times New Roman" w:cs="Times New Roman"/>
                <w:b/>
                <w:bCs/>
                <w:sz w:val="20"/>
                <w:szCs w:val="20"/>
              </w:rPr>
              <w:t xml:space="preserve">Each </w:t>
            </w:r>
            <w:r w:rsidRPr="000976AC">
              <w:rPr>
                <w:rFonts w:ascii="Times New Roman" w:hAnsi="Times New Roman" w:cs="Times New Roman"/>
                <w:b/>
                <w:bCs/>
                <w:sz w:val="20"/>
                <w:szCs w:val="20"/>
              </w:rPr>
              <w:t>Predictor</w:t>
            </w:r>
          </w:p>
        </w:tc>
      </w:tr>
      <w:tr w:rsidR="00326A9C" w:rsidRPr="000976AC" w14:paraId="624EAA7F" w14:textId="63BB26D0" w:rsidTr="00326A9C">
        <w:tc>
          <w:tcPr>
            <w:tcW w:w="7285" w:type="dxa"/>
          </w:tcPr>
          <w:p w14:paraId="3E3A6C04" w14:textId="77777777" w:rsidR="00326A9C" w:rsidRPr="000976AC" w:rsidRDefault="00326A9C" w:rsidP="00756812">
            <w:pPr>
              <w:spacing w:line="480" w:lineRule="auto"/>
              <w:rPr>
                <w:rFonts w:ascii="Times New Roman" w:hAnsi="Times New Roman" w:cs="Times New Roman"/>
                <w:b/>
                <w:bCs/>
                <w:sz w:val="20"/>
                <w:szCs w:val="20"/>
                <w:vertAlign w:val="superscript"/>
              </w:rPr>
            </w:pPr>
            <w:proofErr w:type="spellStart"/>
            <w:r w:rsidRPr="000976AC">
              <w:rPr>
                <w:rFonts w:ascii="Times New Roman" w:hAnsi="Times New Roman" w:cs="Times New Roman"/>
                <w:b/>
                <w:bCs/>
                <w:sz w:val="20"/>
                <w:szCs w:val="20"/>
              </w:rPr>
              <w:t>Predictor</w:t>
            </w:r>
            <w:r w:rsidRPr="000976AC">
              <w:rPr>
                <w:rFonts w:ascii="Times New Roman" w:hAnsi="Times New Roman" w:cs="Times New Roman"/>
                <w:b/>
                <w:bCs/>
                <w:sz w:val="20"/>
                <w:szCs w:val="20"/>
                <w:vertAlign w:val="superscript"/>
              </w:rPr>
              <w:t>a</w:t>
            </w:r>
            <w:proofErr w:type="spellEnd"/>
          </w:p>
        </w:tc>
        <w:tc>
          <w:tcPr>
            <w:tcW w:w="1188" w:type="dxa"/>
            <w:vAlign w:val="bottom"/>
          </w:tcPr>
          <w:p w14:paraId="3EBB7F1C" w14:textId="641F8580" w:rsidR="00326A9C" w:rsidRPr="000976AC" w:rsidRDefault="00326A9C" w:rsidP="000A7ED7">
            <w:pPr>
              <w:spacing w:line="480" w:lineRule="auto"/>
              <w:jc w:val="center"/>
              <w:rPr>
                <w:rFonts w:ascii="Times New Roman" w:hAnsi="Times New Roman" w:cs="Times New Roman"/>
                <w:b/>
                <w:bCs/>
                <w:sz w:val="20"/>
                <w:szCs w:val="20"/>
              </w:rPr>
            </w:pPr>
            <w:proofErr w:type="spellStart"/>
            <w:r w:rsidRPr="000A7ED7">
              <w:rPr>
                <w:rFonts w:ascii="Times New Roman" w:hAnsi="Times New Roman" w:cs="Times New Roman"/>
                <w:b/>
                <w:bCs/>
                <w:color w:val="000000"/>
                <w:sz w:val="20"/>
                <w:szCs w:val="20"/>
              </w:rPr>
              <w:t>Coef</w:t>
            </w:r>
            <w:proofErr w:type="spellEnd"/>
          </w:p>
        </w:tc>
        <w:tc>
          <w:tcPr>
            <w:tcW w:w="1188" w:type="dxa"/>
            <w:vAlign w:val="bottom"/>
          </w:tcPr>
          <w:p w14:paraId="22DC67EF" w14:textId="66D047C7" w:rsidR="00326A9C" w:rsidRPr="000976AC" w:rsidRDefault="00326A9C" w:rsidP="000A7ED7">
            <w:pPr>
              <w:spacing w:line="480" w:lineRule="auto"/>
              <w:jc w:val="center"/>
              <w:rPr>
                <w:rFonts w:ascii="Times New Roman" w:hAnsi="Times New Roman" w:cs="Times New Roman"/>
                <w:b/>
                <w:bCs/>
                <w:sz w:val="20"/>
                <w:szCs w:val="20"/>
              </w:rPr>
            </w:pPr>
            <w:proofErr w:type="gramStart"/>
            <w:r w:rsidRPr="000A7ED7">
              <w:rPr>
                <w:rFonts w:ascii="Times New Roman" w:hAnsi="Times New Roman" w:cs="Times New Roman"/>
                <w:b/>
                <w:bCs/>
                <w:color w:val="000000"/>
                <w:sz w:val="20"/>
                <w:szCs w:val="20"/>
              </w:rPr>
              <w:t>exp(</w:t>
            </w:r>
            <w:proofErr w:type="spellStart"/>
            <w:proofErr w:type="gramEnd"/>
            <w:r w:rsidRPr="000A7ED7">
              <w:rPr>
                <w:rFonts w:ascii="Times New Roman" w:hAnsi="Times New Roman" w:cs="Times New Roman"/>
                <w:b/>
                <w:bCs/>
                <w:color w:val="000000"/>
                <w:sz w:val="20"/>
                <w:szCs w:val="20"/>
              </w:rPr>
              <w:t>Coef</w:t>
            </w:r>
            <w:proofErr w:type="spellEnd"/>
            <w:r w:rsidRPr="000A7ED7">
              <w:rPr>
                <w:rFonts w:ascii="Times New Roman" w:hAnsi="Times New Roman" w:cs="Times New Roman"/>
                <w:b/>
                <w:bCs/>
                <w:color w:val="000000"/>
                <w:sz w:val="20"/>
                <w:szCs w:val="20"/>
              </w:rPr>
              <w:t>)</w:t>
            </w:r>
          </w:p>
        </w:tc>
        <w:tc>
          <w:tcPr>
            <w:tcW w:w="1188" w:type="dxa"/>
            <w:vAlign w:val="bottom"/>
          </w:tcPr>
          <w:p w14:paraId="086834EC" w14:textId="3688D9FA" w:rsidR="00326A9C" w:rsidRPr="000976AC" w:rsidRDefault="00326A9C" w:rsidP="000A7ED7">
            <w:pPr>
              <w:spacing w:line="480" w:lineRule="auto"/>
              <w:jc w:val="center"/>
              <w:rPr>
                <w:rFonts w:ascii="Times New Roman" w:hAnsi="Times New Roman" w:cs="Times New Roman"/>
                <w:b/>
                <w:bCs/>
                <w:sz w:val="20"/>
                <w:szCs w:val="20"/>
              </w:rPr>
            </w:pPr>
            <w:r w:rsidRPr="000A7ED7">
              <w:rPr>
                <w:rFonts w:ascii="Times New Roman" w:hAnsi="Times New Roman" w:cs="Times New Roman"/>
                <w:b/>
                <w:bCs/>
                <w:color w:val="000000"/>
                <w:sz w:val="20"/>
                <w:szCs w:val="20"/>
              </w:rPr>
              <w:t>Robust SE</w:t>
            </w:r>
          </w:p>
        </w:tc>
        <w:tc>
          <w:tcPr>
            <w:tcW w:w="1188" w:type="dxa"/>
            <w:vAlign w:val="bottom"/>
          </w:tcPr>
          <w:p w14:paraId="353EA77B" w14:textId="42496BED" w:rsidR="00326A9C" w:rsidRPr="000A7ED7" w:rsidRDefault="00326A9C" w:rsidP="000A7ED7">
            <w:pPr>
              <w:spacing w:line="480" w:lineRule="auto"/>
              <w:jc w:val="center"/>
              <w:rPr>
                <w:rFonts w:ascii="Times New Roman" w:hAnsi="Times New Roman" w:cs="Times New Roman"/>
                <w:b/>
                <w:bCs/>
                <w:i/>
                <w:iCs/>
                <w:sz w:val="20"/>
                <w:szCs w:val="20"/>
              </w:rPr>
            </w:pPr>
            <w:r w:rsidRPr="000A7ED7">
              <w:rPr>
                <w:rFonts w:ascii="Times New Roman" w:hAnsi="Times New Roman" w:cs="Times New Roman"/>
                <w:b/>
                <w:bCs/>
                <w:i/>
                <w:iCs/>
                <w:color w:val="000000"/>
                <w:sz w:val="20"/>
                <w:szCs w:val="20"/>
              </w:rPr>
              <w:t>z</w:t>
            </w:r>
          </w:p>
        </w:tc>
        <w:tc>
          <w:tcPr>
            <w:tcW w:w="1188" w:type="dxa"/>
            <w:vAlign w:val="bottom"/>
          </w:tcPr>
          <w:p w14:paraId="1DCCEBE8" w14:textId="15BE2B09" w:rsidR="00326A9C" w:rsidRPr="000976AC" w:rsidRDefault="00326A9C" w:rsidP="000A7ED7">
            <w:pPr>
              <w:spacing w:line="480" w:lineRule="auto"/>
              <w:jc w:val="center"/>
              <w:rPr>
                <w:rFonts w:ascii="Times New Roman" w:hAnsi="Times New Roman" w:cs="Times New Roman"/>
                <w:b/>
                <w:bCs/>
                <w:sz w:val="20"/>
                <w:szCs w:val="20"/>
              </w:rPr>
            </w:pPr>
            <w:proofErr w:type="spellStart"/>
            <w:r w:rsidRPr="000A7ED7">
              <w:rPr>
                <w:rFonts w:ascii="Times New Roman" w:hAnsi="Times New Roman" w:cs="Times New Roman"/>
                <w:b/>
                <w:bCs/>
                <w:color w:val="000000"/>
                <w:sz w:val="20"/>
                <w:szCs w:val="20"/>
              </w:rPr>
              <w:t>Pr</w:t>
            </w:r>
            <w:proofErr w:type="spellEnd"/>
            <w:r w:rsidRPr="000A7ED7">
              <w:rPr>
                <w:rFonts w:ascii="Times New Roman" w:hAnsi="Times New Roman" w:cs="Times New Roman"/>
                <w:b/>
                <w:bCs/>
                <w:color w:val="000000"/>
                <w:sz w:val="20"/>
                <w:szCs w:val="20"/>
              </w:rPr>
              <w:t>(&gt;|</w:t>
            </w:r>
            <w:r w:rsidRPr="000A7ED7">
              <w:rPr>
                <w:rFonts w:ascii="Times New Roman" w:hAnsi="Times New Roman" w:cs="Times New Roman"/>
                <w:b/>
                <w:bCs/>
                <w:i/>
                <w:iCs/>
                <w:color w:val="000000"/>
                <w:sz w:val="20"/>
                <w:szCs w:val="20"/>
              </w:rPr>
              <w:t>z</w:t>
            </w:r>
            <w:r w:rsidRPr="000A7ED7">
              <w:rPr>
                <w:rFonts w:ascii="Times New Roman" w:hAnsi="Times New Roman" w:cs="Times New Roman"/>
                <w:b/>
                <w:bCs/>
                <w:color w:val="000000"/>
                <w:sz w:val="20"/>
                <w:szCs w:val="20"/>
              </w:rPr>
              <w:t>|)</w:t>
            </w:r>
          </w:p>
        </w:tc>
      </w:tr>
      <w:tr w:rsidR="00326A9C" w:rsidRPr="000976AC" w14:paraId="4B6114C2" w14:textId="5982DDCD" w:rsidTr="00326A9C">
        <w:tc>
          <w:tcPr>
            <w:tcW w:w="7285" w:type="dxa"/>
          </w:tcPr>
          <w:p w14:paraId="7EEFAA31" w14:textId="78A45C97"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Sex [</w:t>
            </w:r>
            <w:r>
              <w:rPr>
                <w:rFonts w:ascii="Times New Roman" w:hAnsi="Times New Roman" w:cs="Times New Roman"/>
                <w:sz w:val="20"/>
                <w:szCs w:val="20"/>
              </w:rPr>
              <w:t>M</w:t>
            </w:r>
            <w:r w:rsidRPr="000976AC">
              <w:rPr>
                <w:rFonts w:ascii="Times New Roman" w:hAnsi="Times New Roman" w:cs="Times New Roman"/>
                <w:sz w:val="20"/>
                <w:szCs w:val="20"/>
              </w:rPr>
              <w:t xml:space="preserve">ale vs. </w:t>
            </w:r>
            <w:proofErr w:type="gramStart"/>
            <w:r>
              <w:rPr>
                <w:rFonts w:ascii="Times New Roman" w:hAnsi="Times New Roman" w:cs="Times New Roman"/>
                <w:sz w:val="20"/>
                <w:szCs w:val="20"/>
              </w:rPr>
              <w:t>F</w:t>
            </w:r>
            <w:r w:rsidRPr="000976AC">
              <w:rPr>
                <w:rFonts w:ascii="Times New Roman" w:hAnsi="Times New Roman" w:cs="Times New Roman"/>
                <w:sz w:val="20"/>
                <w:szCs w:val="20"/>
              </w:rPr>
              <w:t>emale]</w:t>
            </w:r>
            <w:r>
              <w:rPr>
                <w:rFonts w:ascii="Times New Roman" w:hAnsi="Times New Roman" w:cs="Times New Roman"/>
                <w:sz w:val="20"/>
                <w:szCs w:val="20"/>
              </w:rPr>
              <w:t>*</w:t>
            </w:r>
            <w:proofErr w:type="gramEnd"/>
          </w:p>
        </w:tc>
        <w:tc>
          <w:tcPr>
            <w:tcW w:w="1188" w:type="dxa"/>
            <w:vAlign w:val="bottom"/>
          </w:tcPr>
          <w:p w14:paraId="63DB7BF9" w14:textId="60A7817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0.08</w:t>
            </w:r>
          </w:p>
        </w:tc>
        <w:tc>
          <w:tcPr>
            <w:tcW w:w="1188" w:type="dxa"/>
            <w:vAlign w:val="bottom"/>
          </w:tcPr>
          <w:p w14:paraId="24A0D283" w14:textId="151F59F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1.08</w:t>
            </w:r>
          </w:p>
        </w:tc>
        <w:tc>
          <w:tcPr>
            <w:tcW w:w="1188" w:type="dxa"/>
            <w:vAlign w:val="bottom"/>
          </w:tcPr>
          <w:p w14:paraId="723A6ACE" w14:textId="0F807C8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41489D42" w14:textId="4F36F53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0.55</w:t>
            </w:r>
          </w:p>
        </w:tc>
        <w:tc>
          <w:tcPr>
            <w:tcW w:w="1188" w:type="dxa"/>
            <w:vAlign w:val="bottom"/>
          </w:tcPr>
          <w:p w14:paraId="0C83D5FF" w14:textId="0A6AA14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0.58</w:t>
            </w:r>
          </w:p>
        </w:tc>
      </w:tr>
      <w:tr w:rsidR="00326A9C" w:rsidRPr="000976AC" w14:paraId="79C5A02E" w14:textId="38B546EB" w:rsidTr="00326A9C">
        <w:tc>
          <w:tcPr>
            <w:tcW w:w="7285" w:type="dxa"/>
          </w:tcPr>
          <w:p w14:paraId="66663329" w14:textId="151B146D"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Race [</w:t>
            </w:r>
            <w:r>
              <w:rPr>
                <w:rFonts w:ascii="Times New Roman" w:hAnsi="Times New Roman" w:cs="Times New Roman"/>
                <w:sz w:val="20"/>
                <w:szCs w:val="20"/>
              </w:rPr>
              <w:t>B</w:t>
            </w:r>
            <w:r w:rsidRPr="000976AC">
              <w:rPr>
                <w:rFonts w:ascii="Times New Roman" w:hAnsi="Times New Roman" w:cs="Times New Roman"/>
                <w:sz w:val="20"/>
                <w:szCs w:val="20"/>
              </w:rPr>
              <w:t xml:space="preserve">lack vs. </w:t>
            </w:r>
            <w:proofErr w:type="gramStart"/>
            <w:r>
              <w:rPr>
                <w:rFonts w:ascii="Times New Roman" w:hAnsi="Times New Roman" w:cs="Times New Roman"/>
                <w:sz w:val="20"/>
                <w:szCs w:val="20"/>
              </w:rPr>
              <w:t>W</w:t>
            </w:r>
            <w:r w:rsidRPr="000976AC">
              <w:rPr>
                <w:rFonts w:ascii="Times New Roman" w:hAnsi="Times New Roman" w:cs="Times New Roman"/>
                <w:sz w:val="20"/>
                <w:szCs w:val="20"/>
              </w:rPr>
              <w:t>hite]</w:t>
            </w:r>
            <w:r>
              <w:rPr>
                <w:rFonts w:ascii="Times New Roman" w:hAnsi="Times New Roman" w:cs="Times New Roman"/>
                <w:sz w:val="20"/>
                <w:szCs w:val="20"/>
              </w:rPr>
              <w:t>*</w:t>
            </w:r>
            <w:proofErr w:type="gramEnd"/>
          </w:p>
        </w:tc>
        <w:tc>
          <w:tcPr>
            <w:tcW w:w="1188" w:type="dxa"/>
            <w:vAlign w:val="bottom"/>
          </w:tcPr>
          <w:p w14:paraId="2511C5E3" w14:textId="37B9767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-0.28</w:t>
            </w:r>
          </w:p>
        </w:tc>
        <w:tc>
          <w:tcPr>
            <w:tcW w:w="1188" w:type="dxa"/>
            <w:vAlign w:val="bottom"/>
          </w:tcPr>
          <w:p w14:paraId="6DF49E42" w14:textId="61024EA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0.76</w:t>
            </w:r>
          </w:p>
        </w:tc>
        <w:tc>
          <w:tcPr>
            <w:tcW w:w="1188" w:type="dxa"/>
            <w:vAlign w:val="bottom"/>
          </w:tcPr>
          <w:p w14:paraId="5FDEF4EB" w14:textId="2A4B0B1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0.16</w:t>
            </w:r>
          </w:p>
        </w:tc>
        <w:tc>
          <w:tcPr>
            <w:tcW w:w="1188" w:type="dxa"/>
            <w:vAlign w:val="bottom"/>
          </w:tcPr>
          <w:p w14:paraId="54912447" w14:textId="1BF5140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-1.72</w:t>
            </w:r>
          </w:p>
        </w:tc>
        <w:tc>
          <w:tcPr>
            <w:tcW w:w="1188" w:type="dxa"/>
            <w:vAlign w:val="bottom"/>
          </w:tcPr>
          <w:p w14:paraId="1D6E7074" w14:textId="240EEE0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0.09</w:t>
            </w:r>
          </w:p>
        </w:tc>
      </w:tr>
      <w:tr w:rsidR="00326A9C" w:rsidRPr="000976AC" w14:paraId="48025CF6" w14:textId="30DCC5C4" w:rsidTr="00326A9C">
        <w:tc>
          <w:tcPr>
            <w:tcW w:w="7285" w:type="dxa"/>
          </w:tcPr>
          <w:p w14:paraId="2D9F0151" w14:textId="328A350E"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Age (years</w:t>
            </w:r>
            <w:r w:rsidR="00192732">
              <w:rPr>
                <w:rFonts w:ascii="Times New Roman" w:hAnsi="Times New Roman" w:cs="Times New Roman"/>
                <w:sz w:val="20"/>
                <w:szCs w:val="20"/>
              </w:rPr>
              <w:t>;</w:t>
            </w:r>
            <w:r w:rsidRPr="000976AC">
              <w:rPr>
                <w:rFonts w:ascii="Times New Roman" w:hAnsi="Times New Roman" w:cs="Times New Roman"/>
                <w:sz w:val="20"/>
                <w:szCs w:val="20"/>
              </w:rPr>
              <w:t xml:space="preserve"> </w:t>
            </w:r>
            <w:proofErr w:type="gramStart"/>
            <w:r w:rsidRPr="000976AC">
              <w:rPr>
                <w:rFonts w:ascii="Times New Roman" w:hAnsi="Times New Roman" w:cs="Times New Roman"/>
                <w:sz w:val="20"/>
                <w:szCs w:val="20"/>
              </w:rPr>
              <w:t>standardized)</w:t>
            </w:r>
            <w:r>
              <w:rPr>
                <w:rFonts w:ascii="Times New Roman" w:hAnsi="Times New Roman" w:cs="Times New Roman"/>
                <w:sz w:val="20"/>
                <w:szCs w:val="20"/>
              </w:rPr>
              <w:t>*</w:t>
            </w:r>
            <w:proofErr w:type="gramEnd"/>
          </w:p>
        </w:tc>
        <w:tc>
          <w:tcPr>
            <w:tcW w:w="1188" w:type="dxa"/>
            <w:vAlign w:val="bottom"/>
          </w:tcPr>
          <w:p w14:paraId="20A680FB" w14:textId="6BCE119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0.01</w:t>
            </w:r>
          </w:p>
        </w:tc>
        <w:tc>
          <w:tcPr>
            <w:tcW w:w="1188" w:type="dxa"/>
            <w:vAlign w:val="bottom"/>
          </w:tcPr>
          <w:p w14:paraId="2706E310" w14:textId="5B862E5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1.01</w:t>
            </w:r>
          </w:p>
        </w:tc>
        <w:tc>
          <w:tcPr>
            <w:tcW w:w="1188" w:type="dxa"/>
            <w:vAlign w:val="bottom"/>
          </w:tcPr>
          <w:p w14:paraId="0B4DFE44" w14:textId="0AA6EF2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5854AA91" w14:textId="41318E7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0.05</w:t>
            </w:r>
          </w:p>
        </w:tc>
        <w:tc>
          <w:tcPr>
            <w:tcW w:w="1188" w:type="dxa"/>
            <w:vAlign w:val="bottom"/>
          </w:tcPr>
          <w:p w14:paraId="209BCFD0" w14:textId="25329F1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0.97</w:t>
            </w:r>
          </w:p>
        </w:tc>
      </w:tr>
      <w:tr w:rsidR="00326A9C" w:rsidRPr="000976AC" w14:paraId="4AF48454" w14:textId="14802FB6" w:rsidTr="00326A9C">
        <w:tc>
          <w:tcPr>
            <w:tcW w:w="7285" w:type="dxa"/>
          </w:tcPr>
          <w:p w14:paraId="1DB52FB9" w14:textId="75FDF53F"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Education [</w:t>
            </w:r>
            <w:r>
              <w:rPr>
                <w:rFonts w:ascii="Times New Roman" w:hAnsi="Times New Roman" w:cs="Times New Roman"/>
                <w:sz w:val="20"/>
                <w:szCs w:val="20"/>
              </w:rPr>
              <w:t>S</w:t>
            </w:r>
            <w:r w:rsidRPr="000976AC">
              <w:rPr>
                <w:rFonts w:ascii="Times New Roman" w:hAnsi="Times New Roman" w:cs="Times New Roman"/>
                <w:sz w:val="20"/>
                <w:szCs w:val="20"/>
              </w:rPr>
              <w:t xml:space="preserve">eventh to </w:t>
            </w:r>
            <w:r>
              <w:rPr>
                <w:rFonts w:ascii="Times New Roman" w:hAnsi="Times New Roman" w:cs="Times New Roman"/>
                <w:sz w:val="20"/>
                <w:szCs w:val="20"/>
              </w:rPr>
              <w:t>T</w:t>
            </w:r>
            <w:r w:rsidRPr="000976AC">
              <w:rPr>
                <w:rFonts w:ascii="Times New Roman" w:hAnsi="Times New Roman" w:cs="Times New Roman"/>
                <w:sz w:val="20"/>
                <w:szCs w:val="20"/>
              </w:rPr>
              <w:t xml:space="preserve">welfth </w:t>
            </w:r>
            <w:r>
              <w:rPr>
                <w:rFonts w:ascii="Times New Roman" w:hAnsi="Times New Roman" w:cs="Times New Roman"/>
                <w:sz w:val="20"/>
                <w:szCs w:val="20"/>
              </w:rPr>
              <w:t>G</w:t>
            </w:r>
            <w:r w:rsidRPr="000976AC">
              <w:rPr>
                <w:rFonts w:ascii="Times New Roman" w:hAnsi="Times New Roman" w:cs="Times New Roman"/>
                <w:sz w:val="20"/>
                <w:szCs w:val="20"/>
              </w:rPr>
              <w:t xml:space="preserve">rade </w:t>
            </w:r>
            <w:r>
              <w:rPr>
                <w:rFonts w:ascii="Times New Roman" w:hAnsi="Times New Roman" w:cs="Times New Roman"/>
                <w:sz w:val="20"/>
                <w:szCs w:val="20"/>
              </w:rPr>
              <w:t>W</w:t>
            </w:r>
            <w:r w:rsidRPr="000976AC">
              <w:rPr>
                <w:rFonts w:ascii="Times New Roman" w:hAnsi="Times New Roman" w:cs="Times New Roman"/>
                <w:sz w:val="20"/>
                <w:szCs w:val="20"/>
              </w:rPr>
              <w:t xml:space="preserve">ithout </w:t>
            </w:r>
            <w:r>
              <w:rPr>
                <w:rFonts w:ascii="Times New Roman" w:hAnsi="Times New Roman" w:cs="Times New Roman"/>
                <w:sz w:val="20"/>
                <w:szCs w:val="20"/>
              </w:rPr>
              <w:t>H</w:t>
            </w:r>
            <w:r w:rsidRPr="000976AC">
              <w:rPr>
                <w:rFonts w:ascii="Times New Roman" w:hAnsi="Times New Roman" w:cs="Times New Roman"/>
                <w:sz w:val="20"/>
                <w:szCs w:val="20"/>
              </w:rPr>
              <w:t xml:space="preserve">igh </w:t>
            </w:r>
            <w:r>
              <w:rPr>
                <w:rFonts w:ascii="Times New Roman" w:hAnsi="Times New Roman" w:cs="Times New Roman"/>
                <w:sz w:val="20"/>
                <w:szCs w:val="20"/>
              </w:rPr>
              <w:t>S</w:t>
            </w:r>
            <w:r w:rsidRPr="000976AC">
              <w:rPr>
                <w:rFonts w:ascii="Times New Roman" w:hAnsi="Times New Roman" w:cs="Times New Roman"/>
                <w:sz w:val="20"/>
                <w:szCs w:val="20"/>
              </w:rPr>
              <w:t xml:space="preserve">chool </w:t>
            </w:r>
            <w:r>
              <w:rPr>
                <w:rFonts w:ascii="Times New Roman" w:hAnsi="Times New Roman" w:cs="Times New Roman"/>
                <w:sz w:val="20"/>
                <w:szCs w:val="20"/>
              </w:rPr>
              <w:t>D</w:t>
            </w:r>
            <w:r w:rsidRPr="000976AC">
              <w:rPr>
                <w:rFonts w:ascii="Times New Roman" w:hAnsi="Times New Roman" w:cs="Times New Roman"/>
                <w:sz w:val="20"/>
                <w:szCs w:val="20"/>
              </w:rPr>
              <w:t xml:space="preserve">egree vs. </w:t>
            </w:r>
            <w:r>
              <w:rPr>
                <w:rFonts w:ascii="Times New Roman" w:hAnsi="Times New Roman" w:cs="Times New Roman"/>
                <w:sz w:val="20"/>
                <w:szCs w:val="20"/>
              </w:rPr>
              <w:t>P</w:t>
            </w:r>
            <w:r w:rsidRPr="000976AC">
              <w:rPr>
                <w:rFonts w:ascii="Times New Roman" w:hAnsi="Times New Roman" w:cs="Times New Roman"/>
                <w:sz w:val="20"/>
                <w:szCs w:val="20"/>
              </w:rPr>
              <w:t xml:space="preserve">artial </w:t>
            </w:r>
            <w:r>
              <w:rPr>
                <w:rFonts w:ascii="Times New Roman" w:hAnsi="Times New Roman" w:cs="Times New Roman"/>
                <w:sz w:val="20"/>
                <w:szCs w:val="20"/>
              </w:rPr>
              <w:t>C</w:t>
            </w:r>
            <w:r w:rsidRPr="000976AC">
              <w:rPr>
                <w:rFonts w:ascii="Times New Roman" w:hAnsi="Times New Roman" w:cs="Times New Roman"/>
                <w:sz w:val="20"/>
                <w:szCs w:val="20"/>
              </w:rPr>
              <w:t>ollege]</w:t>
            </w:r>
          </w:p>
        </w:tc>
        <w:tc>
          <w:tcPr>
            <w:tcW w:w="1188" w:type="dxa"/>
            <w:vAlign w:val="bottom"/>
          </w:tcPr>
          <w:p w14:paraId="0678D330" w14:textId="220E93A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-0.04</w:t>
            </w:r>
          </w:p>
        </w:tc>
        <w:tc>
          <w:tcPr>
            <w:tcW w:w="1188" w:type="dxa"/>
            <w:vAlign w:val="bottom"/>
          </w:tcPr>
          <w:p w14:paraId="49E957C3" w14:textId="2443DE31"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0.96</w:t>
            </w:r>
          </w:p>
        </w:tc>
        <w:tc>
          <w:tcPr>
            <w:tcW w:w="1188" w:type="dxa"/>
            <w:vAlign w:val="bottom"/>
          </w:tcPr>
          <w:p w14:paraId="4EFC1883" w14:textId="21927E1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4BA96BDB" w14:textId="0BFB38E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-0.29</w:t>
            </w:r>
          </w:p>
        </w:tc>
        <w:tc>
          <w:tcPr>
            <w:tcW w:w="1188" w:type="dxa"/>
            <w:vAlign w:val="bottom"/>
          </w:tcPr>
          <w:p w14:paraId="14B32818" w14:textId="3FC2D0E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0.77</w:t>
            </w:r>
          </w:p>
        </w:tc>
      </w:tr>
      <w:tr w:rsidR="00326A9C" w:rsidRPr="000976AC" w14:paraId="15AFA580" w14:textId="3815E56E" w:rsidTr="00326A9C">
        <w:tc>
          <w:tcPr>
            <w:tcW w:w="7285" w:type="dxa"/>
          </w:tcPr>
          <w:p w14:paraId="2185663B" w14:textId="5ACD0F9E"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Education [</w:t>
            </w:r>
            <w:r>
              <w:rPr>
                <w:rFonts w:ascii="Times New Roman" w:hAnsi="Times New Roman" w:cs="Times New Roman"/>
                <w:sz w:val="20"/>
                <w:szCs w:val="20"/>
              </w:rPr>
              <w:t>C</w:t>
            </w:r>
            <w:r w:rsidRPr="000976AC">
              <w:rPr>
                <w:rFonts w:ascii="Times New Roman" w:hAnsi="Times New Roman" w:cs="Times New Roman"/>
                <w:sz w:val="20"/>
                <w:szCs w:val="20"/>
              </w:rPr>
              <w:t xml:space="preserve">ompleted </w:t>
            </w:r>
            <w:r>
              <w:rPr>
                <w:rFonts w:ascii="Times New Roman" w:hAnsi="Times New Roman" w:cs="Times New Roman"/>
                <w:sz w:val="20"/>
                <w:szCs w:val="20"/>
              </w:rPr>
              <w:t>H</w:t>
            </w:r>
            <w:r w:rsidRPr="000976AC">
              <w:rPr>
                <w:rFonts w:ascii="Times New Roman" w:hAnsi="Times New Roman" w:cs="Times New Roman"/>
                <w:sz w:val="20"/>
                <w:szCs w:val="20"/>
              </w:rPr>
              <w:t xml:space="preserve">igh </w:t>
            </w:r>
            <w:r>
              <w:rPr>
                <w:rFonts w:ascii="Times New Roman" w:hAnsi="Times New Roman" w:cs="Times New Roman"/>
                <w:sz w:val="20"/>
                <w:szCs w:val="20"/>
              </w:rPr>
              <w:t>S</w:t>
            </w:r>
            <w:r w:rsidRPr="000976AC">
              <w:rPr>
                <w:rFonts w:ascii="Times New Roman" w:hAnsi="Times New Roman" w:cs="Times New Roman"/>
                <w:sz w:val="20"/>
                <w:szCs w:val="20"/>
              </w:rPr>
              <w:t xml:space="preserve">chool or </w:t>
            </w:r>
            <w:r>
              <w:rPr>
                <w:rFonts w:ascii="Times New Roman" w:hAnsi="Times New Roman" w:cs="Times New Roman"/>
                <w:sz w:val="20"/>
                <w:szCs w:val="20"/>
              </w:rPr>
              <w:t>E</w:t>
            </w:r>
            <w:r w:rsidRPr="000976AC">
              <w:rPr>
                <w:rFonts w:ascii="Times New Roman" w:hAnsi="Times New Roman" w:cs="Times New Roman"/>
                <w:sz w:val="20"/>
                <w:szCs w:val="20"/>
              </w:rPr>
              <w:t xml:space="preserve">quivalent vs. </w:t>
            </w:r>
            <w:r>
              <w:rPr>
                <w:rFonts w:ascii="Times New Roman" w:hAnsi="Times New Roman" w:cs="Times New Roman"/>
                <w:sz w:val="20"/>
                <w:szCs w:val="20"/>
              </w:rPr>
              <w:t>P</w:t>
            </w:r>
            <w:r w:rsidRPr="000976AC">
              <w:rPr>
                <w:rFonts w:ascii="Times New Roman" w:hAnsi="Times New Roman" w:cs="Times New Roman"/>
                <w:sz w:val="20"/>
                <w:szCs w:val="20"/>
              </w:rPr>
              <w:t xml:space="preserve">artial </w:t>
            </w:r>
            <w:proofErr w:type="gramStart"/>
            <w:r>
              <w:rPr>
                <w:rFonts w:ascii="Times New Roman" w:hAnsi="Times New Roman" w:cs="Times New Roman"/>
                <w:sz w:val="20"/>
                <w:szCs w:val="20"/>
              </w:rPr>
              <w:t>C</w:t>
            </w:r>
            <w:r w:rsidRPr="000976AC">
              <w:rPr>
                <w:rFonts w:ascii="Times New Roman" w:hAnsi="Times New Roman" w:cs="Times New Roman"/>
                <w:sz w:val="20"/>
                <w:szCs w:val="20"/>
              </w:rPr>
              <w:t>ollege]</w:t>
            </w:r>
            <w:r>
              <w:rPr>
                <w:rFonts w:ascii="Times New Roman" w:hAnsi="Times New Roman" w:cs="Times New Roman"/>
                <w:sz w:val="20"/>
                <w:szCs w:val="20"/>
              </w:rPr>
              <w:t>*</w:t>
            </w:r>
            <w:proofErr w:type="gramEnd"/>
          </w:p>
        </w:tc>
        <w:tc>
          <w:tcPr>
            <w:tcW w:w="1188" w:type="dxa"/>
            <w:vAlign w:val="bottom"/>
          </w:tcPr>
          <w:p w14:paraId="1A006C07" w14:textId="2FD4353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-0.30</w:t>
            </w:r>
          </w:p>
        </w:tc>
        <w:tc>
          <w:tcPr>
            <w:tcW w:w="1188" w:type="dxa"/>
            <w:vAlign w:val="bottom"/>
          </w:tcPr>
          <w:p w14:paraId="6F85D2A1" w14:textId="7B0A1A8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0.74</w:t>
            </w:r>
          </w:p>
        </w:tc>
        <w:tc>
          <w:tcPr>
            <w:tcW w:w="1188" w:type="dxa"/>
            <w:vAlign w:val="bottom"/>
          </w:tcPr>
          <w:p w14:paraId="525FAE4C" w14:textId="7CA398B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0.19</w:t>
            </w:r>
          </w:p>
        </w:tc>
        <w:tc>
          <w:tcPr>
            <w:tcW w:w="1188" w:type="dxa"/>
            <w:vAlign w:val="bottom"/>
          </w:tcPr>
          <w:p w14:paraId="14528EA2" w14:textId="2B258F1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-1.59</w:t>
            </w:r>
          </w:p>
        </w:tc>
        <w:tc>
          <w:tcPr>
            <w:tcW w:w="1188" w:type="dxa"/>
            <w:vAlign w:val="bottom"/>
          </w:tcPr>
          <w:p w14:paraId="3B0F7617" w14:textId="5AEE9E8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0.12</w:t>
            </w:r>
          </w:p>
        </w:tc>
      </w:tr>
      <w:tr w:rsidR="00326A9C" w:rsidRPr="000976AC" w14:paraId="01A41E73" w14:textId="5B3234FC" w:rsidTr="00326A9C">
        <w:tc>
          <w:tcPr>
            <w:tcW w:w="7285" w:type="dxa"/>
          </w:tcPr>
          <w:p w14:paraId="0E6CDE98" w14:textId="602D6D32"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Education [</w:t>
            </w:r>
            <w:r>
              <w:rPr>
                <w:rFonts w:ascii="Times New Roman" w:hAnsi="Times New Roman" w:cs="Times New Roman"/>
                <w:sz w:val="20"/>
                <w:szCs w:val="20"/>
              </w:rPr>
              <w:t>C</w:t>
            </w:r>
            <w:r w:rsidRPr="000976AC">
              <w:rPr>
                <w:rFonts w:ascii="Times New Roman" w:hAnsi="Times New Roman" w:cs="Times New Roman"/>
                <w:sz w:val="20"/>
                <w:szCs w:val="20"/>
              </w:rPr>
              <w:t xml:space="preserve">ompleted </w:t>
            </w:r>
            <w:r>
              <w:rPr>
                <w:rFonts w:ascii="Times New Roman" w:hAnsi="Times New Roman" w:cs="Times New Roman"/>
                <w:sz w:val="20"/>
                <w:szCs w:val="20"/>
              </w:rPr>
              <w:t>T</w:t>
            </w:r>
            <w:r w:rsidRPr="000976AC">
              <w:rPr>
                <w:rFonts w:ascii="Times New Roman" w:hAnsi="Times New Roman" w:cs="Times New Roman"/>
                <w:sz w:val="20"/>
                <w:szCs w:val="20"/>
              </w:rPr>
              <w:t>wo-</w:t>
            </w:r>
            <w:r>
              <w:rPr>
                <w:rFonts w:ascii="Times New Roman" w:hAnsi="Times New Roman" w:cs="Times New Roman"/>
                <w:sz w:val="20"/>
                <w:szCs w:val="20"/>
              </w:rPr>
              <w:t>Y</w:t>
            </w:r>
            <w:r w:rsidRPr="000976AC">
              <w:rPr>
                <w:rFonts w:ascii="Times New Roman" w:hAnsi="Times New Roman" w:cs="Times New Roman"/>
                <w:sz w:val="20"/>
                <w:szCs w:val="20"/>
              </w:rPr>
              <w:t xml:space="preserve">ear </w:t>
            </w:r>
            <w:r>
              <w:rPr>
                <w:rFonts w:ascii="Times New Roman" w:hAnsi="Times New Roman" w:cs="Times New Roman"/>
                <w:sz w:val="20"/>
                <w:szCs w:val="20"/>
              </w:rPr>
              <w:t>C</w:t>
            </w:r>
            <w:r w:rsidRPr="000976AC">
              <w:rPr>
                <w:rFonts w:ascii="Times New Roman" w:hAnsi="Times New Roman" w:cs="Times New Roman"/>
                <w:sz w:val="20"/>
                <w:szCs w:val="20"/>
              </w:rPr>
              <w:t xml:space="preserve">ollege vs. </w:t>
            </w:r>
            <w:r>
              <w:rPr>
                <w:rFonts w:ascii="Times New Roman" w:hAnsi="Times New Roman" w:cs="Times New Roman"/>
                <w:sz w:val="20"/>
                <w:szCs w:val="20"/>
              </w:rPr>
              <w:t>P</w:t>
            </w:r>
            <w:r w:rsidRPr="000976AC">
              <w:rPr>
                <w:rFonts w:ascii="Times New Roman" w:hAnsi="Times New Roman" w:cs="Times New Roman"/>
                <w:sz w:val="20"/>
                <w:szCs w:val="20"/>
              </w:rPr>
              <w:t xml:space="preserve">artial </w:t>
            </w:r>
            <w:proofErr w:type="gramStart"/>
            <w:r>
              <w:rPr>
                <w:rFonts w:ascii="Times New Roman" w:hAnsi="Times New Roman" w:cs="Times New Roman"/>
                <w:sz w:val="20"/>
                <w:szCs w:val="20"/>
              </w:rPr>
              <w:t>C</w:t>
            </w:r>
            <w:r w:rsidRPr="000976AC">
              <w:rPr>
                <w:rFonts w:ascii="Times New Roman" w:hAnsi="Times New Roman" w:cs="Times New Roman"/>
                <w:sz w:val="20"/>
                <w:szCs w:val="20"/>
              </w:rPr>
              <w:t>ollege]</w:t>
            </w:r>
            <w:r>
              <w:rPr>
                <w:rFonts w:ascii="Times New Roman" w:hAnsi="Times New Roman" w:cs="Times New Roman"/>
                <w:sz w:val="20"/>
                <w:szCs w:val="20"/>
              </w:rPr>
              <w:t>*</w:t>
            </w:r>
            <w:proofErr w:type="gramEnd"/>
          </w:p>
        </w:tc>
        <w:tc>
          <w:tcPr>
            <w:tcW w:w="1188" w:type="dxa"/>
            <w:vAlign w:val="bottom"/>
          </w:tcPr>
          <w:p w14:paraId="4AF5B6F3" w14:textId="0F45481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-0.21</w:t>
            </w:r>
          </w:p>
        </w:tc>
        <w:tc>
          <w:tcPr>
            <w:tcW w:w="1188" w:type="dxa"/>
            <w:vAlign w:val="bottom"/>
          </w:tcPr>
          <w:p w14:paraId="0271D1A5" w14:textId="6FEC3F8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0.81</w:t>
            </w:r>
          </w:p>
        </w:tc>
        <w:tc>
          <w:tcPr>
            <w:tcW w:w="1188" w:type="dxa"/>
            <w:vAlign w:val="bottom"/>
          </w:tcPr>
          <w:p w14:paraId="2CFA86B0" w14:textId="4C484D6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0.21</w:t>
            </w:r>
          </w:p>
        </w:tc>
        <w:tc>
          <w:tcPr>
            <w:tcW w:w="1188" w:type="dxa"/>
            <w:vAlign w:val="bottom"/>
          </w:tcPr>
          <w:p w14:paraId="4FE6C5B1" w14:textId="0CCDD6E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-0.99</w:t>
            </w:r>
          </w:p>
        </w:tc>
        <w:tc>
          <w:tcPr>
            <w:tcW w:w="1188" w:type="dxa"/>
            <w:vAlign w:val="bottom"/>
          </w:tcPr>
          <w:p w14:paraId="30277F37" w14:textId="4FB988F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0.33</w:t>
            </w:r>
          </w:p>
        </w:tc>
      </w:tr>
      <w:tr w:rsidR="00326A9C" w:rsidRPr="000976AC" w14:paraId="3E6339EA" w14:textId="76482862" w:rsidTr="00326A9C">
        <w:tc>
          <w:tcPr>
            <w:tcW w:w="7285" w:type="dxa"/>
          </w:tcPr>
          <w:p w14:paraId="1030E238" w14:textId="0D2BFFA8"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Education [</w:t>
            </w:r>
            <w:r>
              <w:rPr>
                <w:rFonts w:ascii="Times New Roman" w:hAnsi="Times New Roman" w:cs="Times New Roman"/>
                <w:sz w:val="20"/>
                <w:szCs w:val="20"/>
              </w:rPr>
              <w:t>C</w:t>
            </w:r>
            <w:r w:rsidRPr="000976AC">
              <w:rPr>
                <w:rFonts w:ascii="Times New Roman" w:hAnsi="Times New Roman" w:cs="Times New Roman"/>
                <w:sz w:val="20"/>
                <w:szCs w:val="20"/>
              </w:rPr>
              <w:t xml:space="preserve">ompleted </w:t>
            </w:r>
            <w:r>
              <w:rPr>
                <w:rFonts w:ascii="Times New Roman" w:hAnsi="Times New Roman" w:cs="Times New Roman"/>
                <w:sz w:val="20"/>
                <w:szCs w:val="20"/>
              </w:rPr>
              <w:t>F</w:t>
            </w:r>
            <w:r w:rsidRPr="000976AC">
              <w:rPr>
                <w:rFonts w:ascii="Times New Roman" w:hAnsi="Times New Roman" w:cs="Times New Roman"/>
                <w:sz w:val="20"/>
                <w:szCs w:val="20"/>
              </w:rPr>
              <w:t>our-</w:t>
            </w:r>
            <w:r>
              <w:rPr>
                <w:rFonts w:ascii="Times New Roman" w:hAnsi="Times New Roman" w:cs="Times New Roman"/>
                <w:sz w:val="20"/>
                <w:szCs w:val="20"/>
              </w:rPr>
              <w:t>Y</w:t>
            </w:r>
            <w:r w:rsidRPr="000976AC">
              <w:rPr>
                <w:rFonts w:ascii="Times New Roman" w:hAnsi="Times New Roman" w:cs="Times New Roman"/>
                <w:sz w:val="20"/>
                <w:szCs w:val="20"/>
              </w:rPr>
              <w:t xml:space="preserve">ear </w:t>
            </w:r>
            <w:r>
              <w:rPr>
                <w:rFonts w:ascii="Times New Roman" w:hAnsi="Times New Roman" w:cs="Times New Roman"/>
                <w:sz w:val="20"/>
                <w:szCs w:val="20"/>
              </w:rPr>
              <w:t>C</w:t>
            </w:r>
            <w:r w:rsidRPr="000976AC">
              <w:rPr>
                <w:rFonts w:ascii="Times New Roman" w:hAnsi="Times New Roman" w:cs="Times New Roman"/>
                <w:sz w:val="20"/>
                <w:szCs w:val="20"/>
              </w:rPr>
              <w:t xml:space="preserve">ollege vs. </w:t>
            </w:r>
            <w:r>
              <w:rPr>
                <w:rFonts w:ascii="Times New Roman" w:hAnsi="Times New Roman" w:cs="Times New Roman"/>
                <w:sz w:val="20"/>
                <w:szCs w:val="20"/>
              </w:rPr>
              <w:t>P</w:t>
            </w:r>
            <w:r w:rsidRPr="000976AC">
              <w:rPr>
                <w:rFonts w:ascii="Times New Roman" w:hAnsi="Times New Roman" w:cs="Times New Roman"/>
                <w:sz w:val="20"/>
                <w:szCs w:val="20"/>
              </w:rPr>
              <w:t xml:space="preserve">artial </w:t>
            </w:r>
            <w:proofErr w:type="gramStart"/>
            <w:r>
              <w:rPr>
                <w:rFonts w:ascii="Times New Roman" w:hAnsi="Times New Roman" w:cs="Times New Roman"/>
                <w:sz w:val="20"/>
                <w:szCs w:val="20"/>
              </w:rPr>
              <w:t>C</w:t>
            </w:r>
            <w:r w:rsidRPr="000976AC">
              <w:rPr>
                <w:rFonts w:ascii="Times New Roman" w:hAnsi="Times New Roman" w:cs="Times New Roman"/>
                <w:sz w:val="20"/>
                <w:szCs w:val="20"/>
              </w:rPr>
              <w:t>ollege]</w:t>
            </w:r>
            <w:r>
              <w:rPr>
                <w:rFonts w:ascii="Times New Roman" w:hAnsi="Times New Roman" w:cs="Times New Roman"/>
                <w:sz w:val="20"/>
                <w:szCs w:val="20"/>
              </w:rPr>
              <w:t>*</w:t>
            </w:r>
            <w:proofErr w:type="gramEnd"/>
          </w:p>
        </w:tc>
        <w:tc>
          <w:tcPr>
            <w:tcW w:w="1188" w:type="dxa"/>
            <w:vAlign w:val="bottom"/>
          </w:tcPr>
          <w:p w14:paraId="58366C1F" w14:textId="1BC88F6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0.22</w:t>
            </w:r>
          </w:p>
        </w:tc>
        <w:tc>
          <w:tcPr>
            <w:tcW w:w="1188" w:type="dxa"/>
            <w:vAlign w:val="bottom"/>
          </w:tcPr>
          <w:p w14:paraId="658823D2" w14:textId="7831245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1.24</w:t>
            </w:r>
          </w:p>
        </w:tc>
        <w:tc>
          <w:tcPr>
            <w:tcW w:w="1188" w:type="dxa"/>
            <w:vAlign w:val="bottom"/>
          </w:tcPr>
          <w:p w14:paraId="05882843" w14:textId="37673F5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6ADC7A3C" w14:textId="0EF5431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1.66</w:t>
            </w:r>
          </w:p>
        </w:tc>
        <w:tc>
          <w:tcPr>
            <w:tcW w:w="1188" w:type="dxa"/>
            <w:vAlign w:val="bottom"/>
          </w:tcPr>
          <w:p w14:paraId="49423BC6" w14:textId="721BD7C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0.10</w:t>
            </w:r>
          </w:p>
        </w:tc>
      </w:tr>
      <w:tr w:rsidR="00326A9C" w:rsidRPr="000976AC" w14:paraId="5A9A9D0F" w14:textId="0CFC04A8" w:rsidTr="00326A9C">
        <w:tc>
          <w:tcPr>
            <w:tcW w:w="7285" w:type="dxa"/>
          </w:tcPr>
          <w:p w14:paraId="7FB1947E" w14:textId="5A1A075B"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Education [</w:t>
            </w:r>
            <w:r>
              <w:rPr>
                <w:rFonts w:ascii="Times New Roman" w:hAnsi="Times New Roman" w:cs="Times New Roman"/>
                <w:sz w:val="20"/>
                <w:szCs w:val="20"/>
              </w:rPr>
              <w:t>P</w:t>
            </w:r>
            <w:r w:rsidRPr="000976AC">
              <w:rPr>
                <w:rFonts w:ascii="Times New Roman" w:hAnsi="Times New Roman" w:cs="Times New Roman"/>
                <w:sz w:val="20"/>
                <w:szCs w:val="20"/>
              </w:rPr>
              <w:t xml:space="preserve">artial </w:t>
            </w:r>
            <w:r>
              <w:rPr>
                <w:rFonts w:ascii="Times New Roman" w:hAnsi="Times New Roman" w:cs="Times New Roman"/>
                <w:sz w:val="20"/>
                <w:szCs w:val="20"/>
              </w:rPr>
              <w:t>G</w:t>
            </w:r>
            <w:r w:rsidRPr="000976AC">
              <w:rPr>
                <w:rFonts w:ascii="Times New Roman" w:hAnsi="Times New Roman" w:cs="Times New Roman"/>
                <w:sz w:val="20"/>
                <w:szCs w:val="20"/>
              </w:rPr>
              <w:t xml:space="preserve">raduate or </w:t>
            </w:r>
            <w:r>
              <w:rPr>
                <w:rFonts w:ascii="Times New Roman" w:hAnsi="Times New Roman" w:cs="Times New Roman"/>
                <w:sz w:val="20"/>
                <w:szCs w:val="20"/>
              </w:rPr>
              <w:t>P</w:t>
            </w:r>
            <w:r w:rsidRPr="000976AC">
              <w:rPr>
                <w:rFonts w:ascii="Times New Roman" w:hAnsi="Times New Roman" w:cs="Times New Roman"/>
                <w:sz w:val="20"/>
                <w:szCs w:val="20"/>
              </w:rPr>
              <w:t xml:space="preserve">rofessional </w:t>
            </w:r>
            <w:r>
              <w:rPr>
                <w:rFonts w:ascii="Times New Roman" w:hAnsi="Times New Roman" w:cs="Times New Roman"/>
                <w:sz w:val="20"/>
                <w:szCs w:val="20"/>
              </w:rPr>
              <w:t>S</w:t>
            </w:r>
            <w:r w:rsidRPr="000976AC">
              <w:rPr>
                <w:rFonts w:ascii="Times New Roman" w:hAnsi="Times New Roman" w:cs="Times New Roman"/>
                <w:sz w:val="20"/>
                <w:szCs w:val="20"/>
              </w:rPr>
              <w:t xml:space="preserve">chool vs. </w:t>
            </w:r>
            <w:r>
              <w:rPr>
                <w:rFonts w:ascii="Times New Roman" w:hAnsi="Times New Roman" w:cs="Times New Roman"/>
                <w:sz w:val="20"/>
                <w:szCs w:val="20"/>
              </w:rPr>
              <w:t>P</w:t>
            </w:r>
            <w:r w:rsidRPr="000976AC">
              <w:rPr>
                <w:rFonts w:ascii="Times New Roman" w:hAnsi="Times New Roman" w:cs="Times New Roman"/>
                <w:sz w:val="20"/>
                <w:szCs w:val="20"/>
              </w:rPr>
              <w:t xml:space="preserve">artial </w:t>
            </w:r>
            <w:proofErr w:type="gramStart"/>
            <w:r>
              <w:rPr>
                <w:rFonts w:ascii="Times New Roman" w:hAnsi="Times New Roman" w:cs="Times New Roman"/>
                <w:sz w:val="20"/>
                <w:szCs w:val="20"/>
              </w:rPr>
              <w:t>C</w:t>
            </w:r>
            <w:r w:rsidRPr="000976AC">
              <w:rPr>
                <w:rFonts w:ascii="Times New Roman" w:hAnsi="Times New Roman" w:cs="Times New Roman"/>
                <w:sz w:val="20"/>
                <w:szCs w:val="20"/>
              </w:rPr>
              <w:t>ollege]</w:t>
            </w:r>
            <w:r>
              <w:rPr>
                <w:rFonts w:ascii="Times New Roman" w:hAnsi="Times New Roman" w:cs="Times New Roman"/>
                <w:sz w:val="20"/>
                <w:szCs w:val="20"/>
              </w:rPr>
              <w:t>*</w:t>
            </w:r>
            <w:proofErr w:type="gramEnd"/>
          </w:p>
        </w:tc>
        <w:tc>
          <w:tcPr>
            <w:tcW w:w="1188" w:type="dxa"/>
            <w:vAlign w:val="bottom"/>
          </w:tcPr>
          <w:p w14:paraId="0F54D3C2" w14:textId="31326C0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0.09</w:t>
            </w:r>
          </w:p>
        </w:tc>
        <w:tc>
          <w:tcPr>
            <w:tcW w:w="1188" w:type="dxa"/>
            <w:vAlign w:val="bottom"/>
          </w:tcPr>
          <w:p w14:paraId="6A61AB7D" w14:textId="7667F86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1.09</w:t>
            </w:r>
          </w:p>
        </w:tc>
        <w:tc>
          <w:tcPr>
            <w:tcW w:w="1188" w:type="dxa"/>
            <w:vAlign w:val="bottom"/>
          </w:tcPr>
          <w:p w14:paraId="057C70AA" w14:textId="43DC3DB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0.12</w:t>
            </w:r>
          </w:p>
        </w:tc>
        <w:tc>
          <w:tcPr>
            <w:tcW w:w="1188" w:type="dxa"/>
            <w:vAlign w:val="bottom"/>
          </w:tcPr>
          <w:p w14:paraId="6614A28A" w14:textId="7337FA5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0.74</w:t>
            </w:r>
          </w:p>
        </w:tc>
        <w:tc>
          <w:tcPr>
            <w:tcW w:w="1188" w:type="dxa"/>
            <w:vAlign w:val="bottom"/>
          </w:tcPr>
          <w:p w14:paraId="3B4B5FD2" w14:textId="458C585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0.47</w:t>
            </w:r>
          </w:p>
        </w:tc>
      </w:tr>
      <w:tr w:rsidR="00326A9C" w:rsidRPr="000976AC" w14:paraId="1A95372D" w14:textId="55A7DD5F" w:rsidTr="00326A9C">
        <w:tc>
          <w:tcPr>
            <w:tcW w:w="7285" w:type="dxa"/>
          </w:tcPr>
          <w:p w14:paraId="788828E1" w14:textId="1E3715E5"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Education [</w:t>
            </w:r>
            <w:r>
              <w:rPr>
                <w:rFonts w:ascii="Times New Roman" w:hAnsi="Times New Roman" w:cs="Times New Roman"/>
                <w:sz w:val="20"/>
                <w:szCs w:val="20"/>
              </w:rPr>
              <w:t>C</w:t>
            </w:r>
            <w:r w:rsidRPr="000976AC">
              <w:rPr>
                <w:rFonts w:ascii="Times New Roman" w:hAnsi="Times New Roman" w:cs="Times New Roman"/>
                <w:sz w:val="20"/>
                <w:szCs w:val="20"/>
              </w:rPr>
              <w:t xml:space="preserve">ompleted </w:t>
            </w:r>
            <w:r>
              <w:rPr>
                <w:rFonts w:ascii="Times New Roman" w:hAnsi="Times New Roman" w:cs="Times New Roman"/>
                <w:sz w:val="20"/>
                <w:szCs w:val="20"/>
              </w:rPr>
              <w:t>G</w:t>
            </w:r>
            <w:r w:rsidRPr="000976AC">
              <w:rPr>
                <w:rFonts w:ascii="Times New Roman" w:hAnsi="Times New Roman" w:cs="Times New Roman"/>
                <w:sz w:val="20"/>
                <w:szCs w:val="20"/>
              </w:rPr>
              <w:t xml:space="preserve">raduate or </w:t>
            </w:r>
            <w:r>
              <w:rPr>
                <w:rFonts w:ascii="Times New Roman" w:hAnsi="Times New Roman" w:cs="Times New Roman"/>
                <w:sz w:val="20"/>
                <w:szCs w:val="20"/>
              </w:rPr>
              <w:t>P</w:t>
            </w:r>
            <w:r w:rsidRPr="000976AC">
              <w:rPr>
                <w:rFonts w:ascii="Times New Roman" w:hAnsi="Times New Roman" w:cs="Times New Roman"/>
                <w:sz w:val="20"/>
                <w:szCs w:val="20"/>
              </w:rPr>
              <w:t xml:space="preserve">rofessional </w:t>
            </w:r>
            <w:r>
              <w:rPr>
                <w:rFonts w:ascii="Times New Roman" w:hAnsi="Times New Roman" w:cs="Times New Roman"/>
                <w:sz w:val="20"/>
                <w:szCs w:val="20"/>
              </w:rPr>
              <w:t>S</w:t>
            </w:r>
            <w:r w:rsidRPr="000976AC">
              <w:rPr>
                <w:rFonts w:ascii="Times New Roman" w:hAnsi="Times New Roman" w:cs="Times New Roman"/>
                <w:sz w:val="20"/>
                <w:szCs w:val="20"/>
              </w:rPr>
              <w:t xml:space="preserve">chool vs. </w:t>
            </w:r>
            <w:r>
              <w:rPr>
                <w:rFonts w:ascii="Times New Roman" w:hAnsi="Times New Roman" w:cs="Times New Roman"/>
                <w:sz w:val="20"/>
                <w:szCs w:val="20"/>
              </w:rPr>
              <w:t>P</w:t>
            </w:r>
            <w:r w:rsidRPr="000976AC">
              <w:rPr>
                <w:rFonts w:ascii="Times New Roman" w:hAnsi="Times New Roman" w:cs="Times New Roman"/>
                <w:sz w:val="20"/>
                <w:szCs w:val="20"/>
              </w:rPr>
              <w:t xml:space="preserve">artial </w:t>
            </w:r>
            <w:proofErr w:type="gramStart"/>
            <w:r>
              <w:rPr>
                <w:rFonts w:ascii="Times New Roman" w:hAnsi="Times New Roman" w:cs="Times New Roman"/>
                <w:sz w:val="20"/>
                <w:szCs w:val="20"/>
              </w:rPr>
              <w:t>C</w:t>
            </w:r>
            <w:r w:rsidRPr="000976AC">
              <w:rPr>
                <w:rFonts w:ascii="Times New Roman" w:hAnsi="Times New Roman" w:cs="Times New Roman"/>
                <w:sz w:val="20"/>
                <w:szCs w:val="20"/>
              </w:rPr>
              <w:t>ollege]</w:t>
            </w:r>
            <w:r>
              <w:rPr>
                <w:rFonts w:ascii="Times New Roman" w:hAnsi="Times New Roman" w:cs="Times New Roman"/>
                <w:sz w:val="20"/>
                <w:szCs w:val="20"/>
              </w:rPr>
              <w:t>*</w:t>
            </w:r>
            <w:proofErr w:type="gramEnd"/>
          </w:p>
        </w:tc>
        <w:tc>
          <w:tcPr>
            <w:tcW w:w="1188" w:type="dxa"/>
            <w:vAlign w:val="bottom"/>
          </w:tcPr>
          <w:p w14:paraId="4175AFE7" w14:textId="3425CF0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0.10</w:t>
            </w:r>
          </w:p>
        </w:tc>
        <w:tc>
          <w:tcPr>
            <w:tcW w:w="1188" w:type="dxa"/>
            <w:vAlign w:val="bottom"/>
          </w:tcPr>
          <w:p w14:paraId="5DA16127" w14:textId="29834B8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1.11</w:t>
            </w:r>
          </w:p>
        </w:tc>
        <w:tc>
          <w:tcPr>
            <w:tcW w:w="1188" w:type="dxa"/>
            <w:vAlign w:val="bottom"/>
          </w:tcPr>
          <w:p w14:paraId="61BDE4AE" w14:textId="01D5932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33425C15" w14:textId="797BAD8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0.79</w:t>
            </w:r>
          </w:p>
        </w:tc>
        <w:tc>
          <w:tcPr>
            <w:tcW w:w="1188" w:type="dxa"/>
            <w:vAlign w:val="bottom"/>
          </w:tcPr>
          <w:p w14:paraId="23E45670" w14:textId="18BC731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0.44</w:t>
            </w:r>
          </w:p>
        </w:tc>
      </w:tr>
      <w:tr w:rsidR="00326A9C" w:rsidRPr="000976AC" w14:paraId="68DF08A1" w14:textId="09D4C0C3" w:rsidTr="00326A9C">
        <w:tc>
          <w:tcPr>
            <w:tcW w:w="7285" w:type="dxa"/>
          </w:tcPr>
          <w:p w14:paraId="69728180" w14:textId="393269EF"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 xml:space="preserve">Marital </w:t>
            </w:r>
            <w:r>
              <w:rPr>
                <w:rFonts w:ascii="Times New Roman" w:hAnsi="Times New Roman" w:cs="Times New Roman"/>
                <w:sz w:val="20"/>
                <w:szCs w:val="20"/>
              </w:rPr>
              <w:t>S</w:t>
            </w:r>
            <w:r w:rsidRPr="000976AC">
              <w:rPr>
                <w:rFonts w:ascii="Times New Roman" w:hAnsi="Times New Roman" w:cs="Times New Roman"/>
                <w:sz w:val="20"/>
                <w:szCs w:val="20"/>
              </w:rPr>
              <w:t>tatus [</w:t>
            </w:r>
            <w:r>
              <w:rPr>
                <w:rFonts w:ascii="Times New Roman" w:hAnsi="Times New Roman" w:cs="Times New Roman"/>
                <w:sz w:val="20"/>
                <w:szCs w:val="20"/>
              </w:rPr>
              <w:t>W</w:t>
            </w:r>
            <w:r w:rsidRPr="000976AC">
              <w:rPr>
                <w:rFonts w:ascii="Times New Roman" w:hAnsi="Times New Roman" w:cs="Times New Roman"/>
                <w:sz w:val="20"/>
                <w:szCs w:val="20"/>
              </w:rPr>
              <w:t xml:space="preserve">idowed vs. </w:t>
            </w:r>
            <w:proofErr w:type="gramStart"/>
            <w:r>
              <w:rPr>
                <w:rFonts w:ascii="Times New Roman" w:hAnsi="Times New Roman" w:cs="Times New Roman"/>
                <w:sz w:val="20"/>
                <w:szCs w:val="20"/>
              </w:rPr>
              <w:t>M</w:t>
            </w:r>
            <w:r w:rsidRPr="000976AC">
              <w:rPr>
                <w:rFonts w:ascii="Times New Roman" w:hAnsi="Times New Roman" w:cs="Times New Roman"/>
                <w:sz w:val="20"/>
                <w:szCs w:val="20"/>
              </w:rPr>
              <w:t>arried]</w:t>
            </w:r>
            <w:r>
              <w:rPr>
                <w:rFonts w:ascii="Times New Roman" w:hAnsi="Times New Roman" w:cs="Times New Roman"/>
                <w:sz w:val="20"/>
                <w:szCs w:val="20"/>
              </w:rPr>
              <w:t>*</w:t>
            </w:r>
            <w:proofErr w:type="gramEnd"/>
          </w:p>
        </w:tc>
        <w:tc>
          <w:tcPr>
            <w:tcW w:w="1188" w:type="dxa"/>
            <w:vAlign w:val="bottom"/>
          </w:tcPr>
          <w:p w14:paraId="5D5B60CA" w14:textId="109793D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-0.02</w:t>
            </w:r>
          </w:p>
        </w:tc>
        <w:tc>
          <w:tcPr>
            <w:tcW w:w="1188" w:type="dxa"/>
            <w:vAlign w:val="bottom"/>
          </w:tcPr>
          <w:p w14:paraId="3FCF434D" w14:textId="220E92B1"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0.98</w:t>
            </w:r>
          </w:p>
        </w:tc>
        <w:tc>
          <w:tcPr>
            <w:tcW w:w="1188" w:type="dxa"/>
            <w:vAlign w:val="bottom"/>
          </w:tcPr>
          <w:p w14:paraId="4DFA5CCB" w14:textId="3B9612E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3019946A" w14:textId="075EE93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-0.16</w:t>
            </w:r>
          </w:p>
        </w:tc>
        <w:tc>
          <w:tcPr>
            <w:tcW w:w="1188" w:type="dxa"/>
            <w:vAlign w:val="bottom"/>
          </w:tcPr>
          <w:p w14:paraId="41F3A38D" w14:textId="5F26255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0.88</w:t>
            </w:r>
          </w:p>
        </w:tc>
      </w:tr>
      <w:tr w:rsidR="00326A9C" w:rsidRPr="000976AC" w14:paraId="6E9DABAF" w14:textId="3AD6203B" w:rsidTr="00326A9C">
        <w:tc>
          <w:tcPr>
            <w:tcW w:w="7285" w:type="dxa"/>
          </w:tcPr>
          <w:p w14:paraId="4F5AEF5D" w14:textId="7F37E968"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Marital Status [</w:t>
            </w:r>
            <w:r>
              <w:rPr>
                <w:rFonts w:ascii="Times New Roman" w:hAnsi="Times New Roman" w:cs="Times New Roman"/>
                <w:sz w:val="20"/>
                <w:szCs w:val="20"/>
              </w:rPr>
              <w:t>D</w:t>
            </w:r>
            <w:r w:rsidRPr="000976AC">
              <w:rPr>
                <w:rFonts w:ascii="Times New Roman" w:hAnsi="Times New Roman" w:cs="Times New Roman"/>
                <w:sz w:val="20"/>
                <w:szCs w:val="20"/>
              </w:rPr>
              <w:t xml:space="preserve">ivorced vs. </w:t>
            </w:r>
            <w:proofErr w:type="gramStart"/>
            <w:r>
              <w:rPr>
                <w:rFonts w:ascii="Times New Roman" w:hAnsi="Times New Roman" w:cs="Times New Roman"/>
                <w:sz w:val="20"/>
                <w:szCs w:val="20"/>
              </w:rPr>
              <w:t>M</w:t>
            </w:r>
            <w:r w:rsidRPr="000976AC">
              <w:rPr>
                <w:rFonts w:ascii="Times New Roman" w:hAnsi="Times New Roman" w:cs="Times New Roman"/>
                <w:sz w:val="20"/>
                <w:szCs w:val="20"/>
              </w:rPr>
              <w:t>arried</w:t>
            </w:r>
            <w:r>
              <w:rPr>
                <w:rFonts w:ascii="Times New Roman" w:hAnsi="Times New Roman" w:cs="Times New Roman"/>
                <w:sz w:val="20"/>
                <w:szCs w:val="20"/>
              </w:rPr>
              <w:t>]*</w:t>
            </w:r>
            <w:proofErr w:type="gramEnd"/>
          </w:p>
        </w:tc>
        <w:tc>
          <w:tcPr>
            <w:tcW w:w="1188" w:type="dxa"/>
            <w:vAlign w:val="bottom"/>
          </w:tcPr>
          <w:p w14:paraId="43A4779F" w14:textId="5573818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-0.24</w:t>
            </w:r>
          </w:p>
        </w:tc>
        <w:tc>
          <w:tcPr>
            <w:tcW w:w="1188" w:type="dxa"/>
            <w:vAlign w:val="bottom"/>
          </w:tcPr>
          <w:p w14:paraId="2E879CBE" w14:textId="4B3DDD3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0.79</w:t>
            </w:r>
          </w:p>
        </w:tc>
        <w:tc>
          <w:tcPr>
            <w:tcW w:w="1188" w:type="dxa"/>
            <w:vAlign w:val="bottom"/>
          </w:tcPr>
          <w:p w14:paraId="1CF8D23D" w14:textId="4ED18BE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0.16</w:t>
            </w:r>
          </w:p>
        </w:tc>
        <w:tc>
          <w:tcPr>
            <w:tcW w:w="1188" w:type="dxa"/>
            <w:vAlign w:val="bottom"/>
          </w:tcPr>
          <w:p w14:paraId="4964582B" w14:textId="57F091E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-1.52</w:t>
            </w:r>
          </w:p>
        </w:tc>
        <w:tc>
          <w:tcPr>
            <w:tcW w:w="1188" w:type="dxa"/>
            <w:vAlign w:val="bottom"/>
          </w:tcPr>
          <w:p w14:paraId="439F4044" w14:textId="431A303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r>
      <w:tr w:rsidR="00326A9C" w:rsidRPr="000976AC" w14:paraId="1CDFCA99" w14:textId="4F713975" w:rsidTr="00326A9C">
        <w:tc>
          <w:tcPr>
            <w:tcW w:w="7285" w:type="dxa"/>
          </w:tcPr>
          <w:p w14:paraId="31D03DCE" w14:textId="27851626"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Marital Status [</w:t>
            </w:r>
            <w:r>
              <w:rPr>
                <w:rFonts w:ascii="Times New Roman" w:hAnsi="Times New Roman" w:cs="Times New Roman"/>
                <w:sz w:val="20"/>
                <w:szCs w:val="20"/>
              </w:rPr>
              <w:t>S</w:t>
            </w:r>
            <w:r w:rsidRPr="000976AC">
              <w:rPr>
                <w:rFonts w:ascii="Times New Roman" w:hAnsi="Times New Roman" w:cs="Times New Roman"/>
                <w:sz w:val="20"/>
                <w:szCs w:val="20"/>
              </w:rPr>
              <w:t xml:space="preserve">eparated vs. </w:t>
            </w:r>
            <w:proofErr w:type="gramStart"/>
            <w:r>
              <w:rPr>
                <w:rFonts w:ascii="Times New Roman" w:hAnsi="Times New Roman" w:cs="Times New Roman"/>
                <w:sz w:val="20"/>
                <w:szCs w:val="20"/>
              </w:rPr>
              <w:t>M</w:t>
            </w:r>
            <w:r w:rsidRPr="000976AC">
              <w:rPr>
                <w:rFonts w:ascii="Times New Roman" w:hAnsi="Times New Roman" w:cs="Times New Roman"/>
                <w:sz w:val="20"/>
                <w:szCs w:val="20"/>
              </w:rPr>
              <w:t>arried]</w:t>
            </w:r>
            <w:r>
              <w:rPr>
                <w:rFonts w:ascii="Times New Roman" w:hAnsi="Times New Roman" w:cs="Times New Roman"/>
                <w:sz w:val="20"/>
                <w:szCs w:val="20"/>
              </w:rPr>
              <w:t>*</w:t>
            </w:r>
            <w:proofErr w:type="gramEnd"/>
          </w:p>
        </w:tc>
        <w:tc>
          <w:tcPr>
            <w:tcW w:w="1188" w:type="dxa"/>
            <w:vAlign w:val="bottom"/>
          </w:tcPr>
          <w:p w14:paraId="37808BE1" w14:textId="5EB8C45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23DD2EA9" w14:textId="7151EC7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1.14</w:t>
            </w:r>
          </w:p>
        </w:tc>
        <w:tc>
          <w:tcPr>
            <w:tcW w:w="1188" w:type="dxa"/>
            <w:vAlign w:val="bottom"/>
          </w:tcPr>
          <w:p w14:paraId="54283090" w14:textId="0CD7169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0.11</w:t>
            </w:r>
          </w:p>
        </w:tc>
        <w:tc>
          <w:tcPr>
            <w:tcW w:w="1188" w:type="dxa"/>
            <w:vAlign w:val="bottom"/>
          </w:tcPr>
          <w:p w14:paraId="2D681BFE" w14:textId="328B513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1.26</w:t>
            </w:r>
          </w:p>
        </w:tc>
        <w:tc>
          <w:tcPr>
            <w:tcW w:w="1188" w:type="dxa"/>
            <w:vAlign w:val="bottom"/>
          </w:tcPr>
          <w:p w14:paraId="45B625A7" w14:textId="25B8609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0.21</w:t>
            </w:r>
          </w:p>
        </w:tc>
      </w:tr>
      <w:tr w:rsidR="00326A9C" w:rsidRPr="000976AC" w14:paraId="5F951061" w14:textId="77CF63F0" w:rsidTr="00326A9C">
        <w:tc>
          <w:tcPr>
            <w:tcW w:w="7285" w:type="dxa"/>
          </w:tcPr>
          <w:p w14:paraId="506C235A" w14:textId="6A0EFB52"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Marital Status [</w:t>
            </w:r>
            <w:r>
              <w:rPr>
                <w:rFonts w:ascii="Times New Roman" w:hAnsi="Times New Roman" w:cs="Times New Roman"/>
                <w:sz w:val="20"/>
                <w:szCs w:val="20"/>
              </w:rPr>
              <w:t>N</w:t>
            </w:r>
            <w:r w:rsidRPr="000976AC">
              <w:rPr>
                <w:rFonts w:ascii="Times New Roman" w:hAnsi="Times New Roman" w:cs="Times New Roman"/>
                <w:sz w:val="20"/>
                <w:szCs w:val="20"/>
              </w:rPr>
              <w:t xml:space="preserve">ever </w:t>
            </w:r>
            <w:r>
              <w:rPr>
                <w:rFonts w:ascii="Times New Roman" w:hAnsi="Times New Roman" w:cs="Times New Roman"/>
                <w:sz w:val="20"/>
                <w:szCs w:val="20"/>
              </w:rPr>
              <w:t>M</w:t>
            </w:r>
            <w:r w:rsidRPr="000976AC">
              <w:rPr>
                <w:rFonts w:ascii="Times New Roman" w:hAnsi="Times New Roman" w:cs="Times New Roman"/>
                <w:sz w:val="20"/>
                <w:szCs w:val="20"/>
              </w:rPr>
              <w:t xml:space="preserve">arried vs. </w:t>
            </w:r>
            <w:r>
              <w:rPr>
                <w:rFonts w:ascii="Times New Roman" w:hAnsi="Times New Roman" w:cs="Times New Roman"/>
                <w:sz w:val="20"/>
                <w:szCs w:val="20"/>
              </w:rPr>
              <w:t>M</w:t>
            </w:r>
            <w:r w:rsidRPr="000976AC">
              <w:rPr>
                <w:rFonts w:ascii="Times New Roman" w:hAnsi="Times New Roman" w:cs="Times New Roman"/>
                <w:sz w:val="20"/>
                <w:szCs w:val="20"/>
              </w:rPr>
              <w:t>arried]</w:t>
            </w:r>
          </w:p>
        </w:tc>
        <w:tc>
          <w:tcPr>
            <w:tcW w:w="1188" w:type="dxa"/>
            <w:vAlign w:val="bottom"/>
          </w:tcPr>
          <w:p w14:paraId="14D7C72A" w14:textId="2D5E22A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0.03</w:t>
            </w:r>
          </w:p>
        </w:tc>
        <w:tc>
          <w:tcPr>
            <w:tcW w:w="1188" w:type="dxa"/>
            <w:vAlign w:val="bottom"/>
          </w:tcPr>
          <w:p w14:paraId="656A0730" w14:textId="0F64111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1.03</w:t>
            </w:r>
          </w:p>
        </w:tc>
        <w:tc>
          <w:tcPr>
            <w:tcW w:w="1188" w:type="dxa"/>
            <w:vAlign w:val="bottom"/>
          </w:tcPr>
          <w:p w14:paraId="21E92FB6" w14:textId="659BB96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33967818" w14:textId="2224B00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0.18</w:t>
            </w:r>
          </w:p>
        </w:tc>
        <w:tc>
          <w:tcPr>
            <w:tcW w:w="1188" w:type="dxa"/>
            <w:vAlign w:val="bottom"/>
          </w:tcPr>
          <w:p w14:paraId="6A39DA15" w14:textId="748125C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0.86</w:t>
            </w:r>
          </w:p>
        </w:tc>
      </w:tr>
      <w:tr w:rsidR="00326A9C" w:rsidRPr="000976AC" w14:paraId="11850A4A" w14:textId="4870470C" w:rsidTr="00326A9C">
        <w:tc>
          <w:tcPr>
            <w:tcW w:w="7285" w:type="dxa"/>
          </w:tcPr>
          <w:p w14:paraId="74A24D86" w14:textId="26CC580A"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Current BMI (kg/m</w:t>
            </w:r>
            <w:r w:rsidRPr="000976AC">
              <w:rPr>
                <w:rFonts w:ascii="Times New Roman" w:hAnsi="Times New Roman" w:cs="Times New Roman"/>
                <w:sz w:val="20"/>
                <w:szCs w:val="20"/>
                <w:vertAlign w:val="superscript"/>
              </w:rPr>
              <w:t>2</w:t>
            </w:r>
            <w:r w:rsidRPr="000976AC">
              <w:rPr>
                <w:rFonts w:ascii="Times New Roman" w:hAnsi="Times New Roman" w:cs="Times New Roman"/>
                <w:sz w:val="20"/>
                <w:szCs w:val="20"/>
              </w:rPr>
              <w:t xml:space="preserve">; </w:t>
            </w:r>
            <w:proofErr w:type="gramStart"/>
            <w:r w:rsidRPr="000976AC">
              <w:rPr>
                <w:rFonts w:ascii="Times New Roman" w:hAnsi="Times New Roman" w:cs="Times New Roman"/>
                <w:sz w:val="20"/>
                <w:szCs w:val="20"/>
              </w:rPr>
              <w:t>standardized)</w:t>
            </w:r>
            <w:r>
              <w:rPr>
                <w:rFonts w:ascii="Times New Roman" w:hAnsi="Times New Roman" w:cs="Times New Roman"/>
                <w:sz w:val="20"/>
                <w:szCs w:val="20"/>
              </w:rPr>
              <w:t>*</w:t>
            </w:r>
            <w:proofErr w:type="gramEnd"/>
          </w:p>
        </w:tc>
        <w:tc>
          <w:tcPr>
            <w:tcW w:w="1188" w:type="dxa"/>
            <w:vAlign w:val="bottom"/>
          </w:tcPr>
          <w:p w14:paraId="67C03B77" w14:textId="1993101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-0.08</w:t>
            </w:r>
          </w:p>
        </w:tc>
        <w:tc>
          <w:tcPr>
            <w:tcW w:w="1188" w:type="dxa"/>
            <w:vAlign w:val="bottom"/>
          </w:tcPr>
          <w:p w14:paraId="0C632859" w14:textId="39DD499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0.92</w:t>
            </w:r>
          </w:p>
        </w:tc>
        <w:tc>
          <w:tcPr>
            <w:tcW w:w="1188" w:type="dxa"/>
            <w:vAlign w:val="bottom"/>
          </w:tcPr>
          <w:p w14:paraId="45785A91" w14:textId="103D43E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0.17</w:t>
            </w:r>
          </w:p>
        </w:tc>
        <w:tc>
          <w:tcPr>
            <w:tcW w:w="1188" w:type="dxa"/>
            <w:vAlign w:val="bottom"/>
          </w:tcPr>
          <w:p w14:paraId="0139BC53" w14:textId="1961B38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-0.48</w:t>
            </w:r>
          </w:p>
        </w:tc>
        <w:tc>
          <w:tcPr>
            <w:tcW w:w="1188" w:type="dxa"/>
            <w:vAlign w:val="bottom"/>
          </w:tcPr>
          <w:p w14:paraId="16627506" w14:textId="5431230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0.64</w:t>
            </w:r>
          </w:p>
        </w:tc>
      </w:tr>
      <w:tr w:rsidR="00326A9C" w:rsidRPr="000976AC" w14:paraId="6AF95270" w14:textId="5A301C9A" w:rsidTr="00326A9C">
        <w:tc>
          <w:tcPr>
            <w:tcW w:w="7285" w:type="dxa"/>
          </w:tcPr>
          <w:p w14:paraId="37E86F0F" w14:textId="7B957C64"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lastRenderedPageBreak/>
              <w:t xml:space="preserve">BMI </w:t>
            </w:r>
            <w:proofErr w:type="spellStart"/>
            <w:r>
              <w:rPr>
                <w:rFonts w:ascii="Times New Roman" w:hAnsi="Times New Roman" w:cs="Times New Roman"/>
                <w:sz w:val="20"/>
                <w:szCs w:val="20"/>
              </w:rPr>
              <w:t>S</w:t>
            </w:r>
            <w:r w:rsidRPr="000976AC">
              <w:rPr>
                <w:rFonts w:ascii="Times New Roman" w:hAnsi="Times New Roman" w:cs="Times New Roman"/>
                <w:sz w:val="20"/>
                <w:szCs w:val="20"/>
              </w:rPr>
              <w:t>uppression</w:t>
            </w:r>
            <w:r w:rsidR="00577D31">
              <w:rPr>
                <w:rFonts w:ascii="Times New Roman" w:hAnsi="Times New Roman" w:cs="Times New Roman"/>
                <w:sz w:val="20"/>
                <w:szCs w:val="20"/>
                <w:vertAlign w:val="superscript"/>
              </w:rPr>
              <w:t>b</w:t>
            </w:r>
            <w:proofErr w:type="spellEnd"/>
            <w:r w:rsidRPr="000976AC">
              <w:rPr>
                <w:rFonts w:ascii="Times New Roman" w:hAnsi="Times New Roman" w:cs="Times New Roman"/>
                <w:sz w:val="20"/>
                <w:szCs w:val="20"/>
              </w:rPr>
              <w:t xml:space="preserve"> (kg/m</w:t>
            </w:r>
            <w:r w:rsidRPr="000976AC">
              <w:rPr>
                <w:rFonts w:ascii="Times New Roman" w:hAnsi="Times New Roman" w:cs="Times New Roman"/>
                <w:sz w:val="20"/>
                <w:szCs w:val="20"/>
                <w:vertAlign w:val="superscript"/>
              </w:rPr>
              <w:t>2</w:t>
            </w:r>
            <w:r w:rsidRPr="000976AC">
              <w:rPr>
                <w:rFonts w:ascii="Times New Roman" w:hAnsi="Times New Roman" w:cs="Times New Roman"/>
                <w:sz w:val="20"/>
                <w:szCs w:val="20"/>
              </w:rPr>
              <w:t xml:space="preserve">; </w:t>
            </w:r>
            <w:proofErr w:type="gramStart"/>
            <w:r w:rsidRPr="000976AC">
              <w:rPr>
                <w:rFonts w:ascii="Times New Roman" w:hAnsi="Times New Roman" w:cs="Times New Roman"/>
                <w:sz w:val="20"/>
                <w:szCs w:val="20"/>
              </w:rPr>
              <w:t>standardized)</w:t>
            </w:r>
            <w:r>
              <w:rPr>
                <w:rFonts w:ascii="Times New Roman" w:hAnsi="Times New Roman" w:cs="Times New Roman"/>
                <w:sz w:val="20"/>
                <w:szCs w:val="20"/>
              </w:rPr>
              <w:t>*</w:t>
            </w:r>
            <w:proofErr w:type="gramEnd"/>
          </w:p>
        </w:tc>
        <w:tc>
          <w:tcPr>
            <w:tcW w:w="1188" w:type="dxa"/>
            <w:vAlign w:val="bottom"/>
          </w:tcPr>
          <w:p w14:paraId="6E07B808" w14:textId="7C18927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15E9946D" w14:textId="55B896E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0.87</w:t>
            </w:r>
          </w:p>
        </w:tc>
        <w:tc>
          <w:tcPr>
            <w:tcW w:w="1188" w:type="dxa"/>
            <w:vAlign w:val="bottom"/>
          </w:tcPr>
          <w:p w14:paraId="21F58605" w14:textId="3193EC4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0.17</w:t>
            </w:r>
          </w:p>
        </w:tc>
        <w:tc>
          <w:tcPr>
            <w:tcW w:w="1188" w:type="dxa"/>
            <w:vAlign w:val="bottom"/>
          </w:tcPr>
          <w:p w14:paraId="063500B6" w14:textId="12DB915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-0.85</w:t>
            </w:r>
          </w:p>
        </w:tc>
        <w:tc>
          <w:tcPr>
            <w:tcW w:w="1188" w:type="dxa"/>
            <w:vAlign w:val="bottom"/>
          </w:tcPr>
          <w:p w14:paraId="02C62D58" w14:textId="0C63AFF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0.40</w:t>
            </w:r>
          </w:p>
        </w:tc>
      </w:tr>
      <w:tr w:rsidR="00326A9C" w:rsidRPr="000976AC" w14:paraId="18EE80C6" w14:textId="07C643F1" w:rsidTr="00326A9C">
        <w:tc>
          <w:tcPr>
            <w:tcW w:w="7285" w:type="dxa"/>
          </w:tcPr>
          <w:p w14:paraId="79DC712B" w14:textId="67549292"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 xml:space="preserve">Lowest BMI </w:t>
            </w:r>
            <w:proofErr w:type="gramStart"/>
            <w:r>
              <w:rPr>
                <w:rFonts w:ascii="Times New Roman" w:hAnsi="Times New Roman" w:cs="Times New Roman"/>
                <w:sz w:val="20"/>
                <w:szCs w:val="20"/>
              </w:rPr>
              <w:t>S</w:t>
            </w:r>
            <w:r w:rsidRPr="000976AC">
              <w:rPr>
                <w:rFonts w:ascii="Times New Roman" w:hAnsi="Times New Roman" w:cs="Times New Roman"/>
                <w:sz w:val="20"/>
                <w:szCs w:val="20"/>
              </w:rPr>
              <w:t>ince</w:t>
            </w:r>
            <w:proofErr w:type="gramEnd"/>
            <w:r w:rsidRPr="000976AC">
              <w:rPr>
                <w:rFonts w:ascii="Times New Roman" w:hAnsi="Times New Roman" w:cs="Times New Roman"/>
                <w:sz w:val="20"/>
                <w:szCs w:val="20"/>
              </w:rPr>
              <w:t xml:space="preserve"> </w:t>
            </w:r>
            <w:r>
              <w:rPr>
                <w:rFonts w:ascii="Times New Roman" w:hAnsi="Times New Roman" w:cs="Times New Roman"/>
                <w:sz w:val="20"/>
                <w:szCs w:val="20"/>
              </w:rPr>
              <w:t>E</w:t>
            </w:r>
            <w:r w:rsidRPr="000976AC">
              <w:rPr>
                <w:rFonts w:ascii="Times New Roman" w:hAnsi="Times New Roman" w:cs="Times New Roman"/>
                <w:sz w:val="20"/>
                <w:szCs w:val="20"/>
              </w:rPr>
              <w:t xml:space="preserve">ighteen </w:t>
            </w:r>
            <w:r>
              <w:rPr>
                <w:rFonts w:ascii="Times New Roman" w:hAnsi="Times New Roman" w:cs="Times New Roman"/>
                <w:sz w:val="20"/>
                <w:szCs w:val="20"/>
              </w:rPr>
              <w:t>Y</w:t>
            </w:r>
            <w:r w:rsidRPr="000976AC">
              <w:rPr>
                <w:rFonts w:ascii="Times New Roman" w:hAnsi="Times New Roman" w:cs="Times New Roman"/>
                <w:sz w:val="20"/>
                <w:szCs w:val="20"/>
              </w:rPr>
              <w:t>ears (kg/m</w:t>
            </w:r>
            <w:r w:rsidRPr="000976AC">
              <w:rPr>
                <w:rFonts w:ascii="Times New Roman" w:hAnsi="Times New Roman" w:cs="Times New Roman"/>
                <w:sz w:val="20"/>
                <w:szCs w:val="20"/>
                <w:vertAlign w:val="superscript"/>
              </w:rPr>
              <w:t>2</w:t>
            </w:r>
            <w:r w:rsidRPr="000976AC">
              <w:rPr>
                <w:rFonts w:ascii="Times New Roman" w:hAnsi="Times New Roman" w:cs="Times New Roman"/>
                <w:sz w:val="20"/>
                <w:szCs w:val="20"/>
              </w:rPr>
              <w:t>; standardized)</w:t>
            </w:r>
          </w:p>
        </w:tc>
        <w:tc>
          <w:tcPr>
            <w:tcW w:w="1188" w:type="dxa"/>
            <w:vAlign w:val="bottom"/>
          </w:tcPr>
          <w:p w14:paraId="65B970B3" w14:textId="676360A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-0.02</w:t>
            </w:r>
          </w:p>
        </w:tc>
        <w:tc>
          <w:tcPr>
            <w:tcW w:w="1188" w:type="dxa"/>
            <w:vAlign w:val="bottom"/>
          </w:tcPr>
          <w:p w14:paraId="5AD9B2B0" w14:textId="6A7F445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0.98</w:t>
            </w:r>
          </w:p>
        </w:tc>
        <w:tc>
          <w:tcPr>
            <w:tcW w:w="1188" w:type="dxa"/>
            <w:vAlign w:val="bottom"/>
          </w:tcPr>
          <w:p w14:paraId="57171C87" w14:textId="2A7D481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0.12</w:t>
            </w:r>
          </w:p>
        </w:tc>
        <w:tc>
          <w:tcPr>
            <w:tcW w:w="1188" w:type="dxa"/>
            <w:vAlign w:val="bottom"/>
          </w:tcPr>
          <w:p w14:paraId="6934B2B4" w14:textId="23446E2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-0.16</w:t>
            </w:r>
          </w:p>
        </w:tc>
        <w:tc>
          <w:tcPr>
            <w:tcW w:w="1188" w:type="dxa"/>
            <w:vAlign w:val="bottom"/>
          </w:tcPr>
          <w:p w14:paraId="5C292627" w14:textId="1342C46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0.88</w:t>
            </w:r>
          </w:p>
        </w:tc>
      </w:tr>
      <w:tr w:rsidR="00326A9C" w:rsidRPr="000976AC" w14:paraId="6E4E8891" w14:textId="31A9A071" w:rsidTr="00326A9C">
        <w:tc>
          <w:tcPr>
            <w:tcW w:w="7285" w:type="dxa"/>
          </w:tcPr>
          <w:p w14:paraId="10CEF30A" w14:textId="3F6F0CAB"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 xml:space="preserve">BED </w:t>
            </w:r>
            <w:r>
              <w:rPr>
                <w:rFonts w:ascii="Times New Roman" w:hAnsi="Times New Roman" w:cs="Times New Roman"/>
                <w:sz w:val="20"/>
                <w:szCs w:val="20"/>
              </w:rPr>
              <w:t>D</w:t>
            </w:r>
            <w:r w:rsidRPr="000976AC">
              <w:rPr>
                <w:rFonts w:ascii="Times New Roman" w:hAnsi="Times New Roman" w:cs="Times New Roman"/>
                <w:sz w:val="20"/>
                <w:szCs w:val="20"/>
              </w:rPr>
              <w:t>uration (years; standardized)</w:t>
            </w:r>
          </w:p>
        </w:tc>
        <w:tc>
          <w:tcPr>
            <w:tcW w:w="1188" w:type="dxa"/>
            <w:vAlign w:val="bottom"/>
          </w:tcPr>
          <w:p w14:paraId="338AD542" w14:textId="0375956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-0.10</w:t>
            </w:r>
          </w:p>
        </w:tc>
        <w:tc>
          <w:tcPr>
            <w:tcW w:w="1188" w:type="dxa"/>
            <w:vAlign w:val="bottom"/>
          </w:tcPr>
          <w:p w14:paraId="286A819E" w14:textId="50F0B501"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0.91</w:t>
            </w:r>
          </w:p>
        </w:tc>
        <w:tc>
          <w:tcPr>
            <w:tcW w:w="1188" w:type="dxa"/>
            <w:vAlign w:val="bottom"/>
          </w:tcPr>
          <w:p w14:paraId="3529C232" w14:textId="2CB71F2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32CB650B" w14:textId="0834046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-0.66</w:t>
            </w:r>
          </w:p>
        </w:tc>
        <w:tc>
          <w:tcPr>
            <w:tcW w:w="1188" w:type="dxa"/>
            <w:vAlign w:val="bottom"/>
          </w:tcPr>
          <w:p w14:paraId="537CEA63" w14:textId="4E998AF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0.52</w:t>
            </w:r>
          </w:p>
        </w:tc>
      </w:tr>
      <w:tr w:rsidR="00326A9C" w:rsidRPr="000976AC" w14:paraId="2B92EDD5" w14:textId="7A38C1E9" w:rsidTr="00326A9C">
        <w:tc>
          <w:tcPr>
            <w:tcW w:w="7285" w:type="dxa"/>
          </w:tcPr>
          <w:p w14:paraId="55DA1CE2" w14:textId="0253B58A"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 xml:space="preserve">BED </w:t>
            </w:r>
            <w:r>
              <w:rPr>
                <w:rFonts w:ascii="Times New Roman" w:hAnsi="Times New Roman" w:cs="Times New Roman"/>
                <w:sz w:val="20"/>
                <w:szCs w:val="20"/>
              </w:rPr>
              <w:t>F</w:t>
            </w:r>
            <w:r w:rsidRPr="000976AC">
              <w:rPr>
                <w:rFonts w:ascii="Times New Roman" w:hAnsi="Times New Roman" w:cs="Times New Roman"/>
                <w:sz w:val="20"/>
                <w:szCs w:val="20"/>
              </w:rPr>
              <w:t xml:space="preserve">amily </w:t>
            </w:r>
            <w:proofErr w:type="spellStart"/>
            <w:r>
              <w:rPr>
                <w:rFonts w:ascii="Times New Roman" w:hAnsi="Times New Roman" w:cs="Times New Roman"/>
                <w:sz w:val="20"/>
                <w:szCs w:val="20"/>
              </w:rPr>
              <w:t>H</w:t>
            </w:r>
            <w:r w:rsidRPr="000976AC">
              <w:rPr>
                <w:rFonts w:ascii="Times New Roman" w:hAnsi="Times New Roman" w:cs="Times New Roman"/>
                <w:sz w:val="20"/>
                <w:szCs w:val="20"/>
              </w:rPr>
              <w:t>istory</w:t>
            </w:r>
            <w:r w:rsidR="00577D31">
              <w:rPr>
                <w:rFonts w:ascii="Times New Roman" w:hAnsi="Times New Roman" w:cs="Times New Roman"/>
                <w:sz w:val="20"/>
                <w:szCs w:val="20"/>
                <w:vertAlign w:val="superscript"/>
              </w:rPr>
              <w:t>c</w:t>
            </w:r>
            <w:proofErr w:type="spellEnd"/>
            <w:r w:rsidRPr="000976AC">
              <w:rPr>
                <w:rFonts w:ascii="Times New Roman" w:hAnsi="Times New Roman" w:cs="Times New Roman"/>
                <w:sz w:val="20"/>
                <w:szCs w:val="20"/>
              </w:rPr>
              <w:t xml:space="preserve"> (proportion with BED; </w:t>
            </w:r>
            <w:proofErr w:type="gramStart"/>
            <w:r w:rsidRPr="000976AC">
              <w:rPr>
                <w:rFonts w:ascii="Times New Roman" w:hAnsi="Times New Roman" w:cs="Times New Roman"/>
                <w:sz w:val="20"/>
                <w:szCs w:val="20"/>
              </w:rPr>
              <w:t>standardized)</w:t>
            </w:r>
            <w:r>
              <w:rPr>
                <w:rFonts w:ascii="Times New Roman" w:hAnsi="Times New Roman" w:cs="Times New Roman"/>
                <w:sz w:val="20"/>
                <w:szCs w:val="20"/>
              </w:rPr>
              <w:t>*</w:t>
            </w:r>
            <w:proofErr w:type="gramEnd"/>
          </w:p>
        </w:tc>
        <w:tc>
          <w:tcPr>
            <w:tcW w:w="1188" w:type="dxa"/>
            <w:vAlign w:val="bottom"/>
          </w:tcPr>
          <w:p w14:paraId="358B206B" w14:textId="7375956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-0.22</w:t>
            </w:r>
          </w:p>
        </w:tc>
        <w:tc>
          <w:tcPr>
            <w:tcW w:w="1188" w:type="dxa"/>
            <w:vAlign w:val="bottom"/>
          </w:tcPr>
          <w:p w14:paraId="7EE54DF8" w14:textId="00F2531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0.81</w:t>
            </w:r>
          </w:p>
        </w:tc>
        <w:tc>
          <w:tcPr>
            <w:tcW w:w="1188" w:type="dxa"/>
            <w:vAlign w:val="bottom"/>
          </w:tcPr>
          <w:p w14:paraId="44D7F54E" w14:textId="40AE9EB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7D5A6A3A" w14:textId="060C2435"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-1.43</w:t>
            </w:r>
          </w:p>
        </w:tc>
        <w:tc>
          <w:tcPr>
            <w:tcW w:w="1188" w:type="dxa"/>
            <w:vAlign w:val="bottom"/>
          </w:tcPr>
          <w:p w14:paraId="6E7401B3" w14:textId="1AD5C88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0.16</w:t>
            </w:r>
          </w:p>
        </w:tc>
      </w:tr>
      <w:tr w:rsidR="00326A9C" w:rsidRPr="000976AC" w14:paraId="20900BAB" w14:textId="73722C2E" w:rsidTr="00326A9C">
        <w:tc>
          <w:tcPr>
            <w:tcW w:w="7285" w:type="dxa"/>
          </w:tcPr>
          <w:p w14:paraId="3EBAD527" w14:textId="168026CA" w:rsidR="00326A9C" w:rsidRPr="000976AC" w:rsidRDefault="00326A9C" w:rsidP="00E579A3">
            <w:pPr>
              <w:spacing w:line="480" w:lineRule="auto"/>
              <w:rPr>
                <w:rFonts w:ascii="Times New Roman" w:hAnsi="Times New Roman" w:cs="Times New Roman"/>
                <w:sz w:val="20"/>
                <w:szCs w:val="20"/>
                <w:vertAlign w:val="superscript"/>
              </w:rPr>
            </w:pPr>
            <w:r w:rsidRPr="000976AC">
              <w:rPr>
                <w:rFonts w:ascii="Times New Roman" w:hAnsi="Times New Roman" w:cs="Times New Roman"/>
                <w:sz w:val="20"/>
                <w:szCs w:val="20"/>
              </w:rPr>
              <w:t xml:space="preserve">Past bulimia </w:t>
            </w:r>
            <w:proofErr w:type="spellStart"/>
            <w:r w:rsidRPr="000976AC">
              <w:rPr>
                <w:rFonts w:ascii="Times New Roman" w:hAnsi="Times New Roman" w:cs="Times New Roman"/>
                <w:sz w:val="20"/>
                <w:szCs w:val="20"/>
              </w:rPr>
              <w:t>nervosa</w:t>
            </w:r>
            <w:r w:rsidR="00577D31">
              <w:rPr>
                <w:rFonts w:ascii="Times New Roman" w:hAnsi="Times New Roman" w:cs="Times New Roman"/>
                <w:sz w:val="20"/>
                <w:szCs w:val="20"/>
                <w:vertAlign w:val="superscript"/>
              </w:rPr>
              <w:t>d</w:t>
            </w:r>
            <w:proofErr w:type="spellEnd"/>
            <w:r w:rsidRPr="000976AC">
              <w:rPr>
                <w:rFonts w:ascii="Times New Roman" w:hAnsi="Times New Roman" w:cs="Times New Roman"/>
                <w:sz w:val="20"/>
                <w:szCs w:val="20"/>
              </w:rPr>
              <w:t xml:space="preserve"> [present vs. </w:t>
            </w:r>
            <w:proofErr w:type="gramStart"/>
            <w:r w:rsidRPr="000976AC">
              <w:rPr>
                <w:rFonts w:ascii="Times New Roman" w:hAnsi="Times New Roman" w:cs="Times New Roman"/>
                <w:sz w:val="20"/>
                <w:szCs w:val="20"/>
              </w:rPr>
              <w:t>absent]</w:t>
            </w:r>
            <w:r>
              <w:rPr>
                <w:rFonts w:ascii="Times New Roman" w:hAnsi="Times New Roman" w:cs="Times New Roman"/>
                <w:sz w:val="20"/>
                <w:szCs w:val="20"/>
              </w:rPr>
              <w:t>*</w:t>
            </w:r>
            <w:proofErr w:type="gramEnd"/>
          </w:p>
        </w:tc>
        <w:tc>
          <w:tcPr>
            <w:tcW w:w="1188" w:type="dxa"/>
            <w:vAlign w:val="bottom"/>
          </w:tcPr>
          <w:p w14:paraId="5B653BF3" w14:textId="167B345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0.17</w:t>
            </w:r>
          </w:p>
        </w:tc>
        <w:tc>
          <w:tcPr>
            <w:tcW w:w="1188" w:type="dxa"/>
            <w:vAlign w:val="bottom"/>
          </w:tcPr>
          <w:p w14:paraId="4A22D261" w14:textId="0F92EDA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1.18</w:t>
            </w:r>
          </w:p>
        </w:tc>
        <w:tc>
          <w:tcPr>
            <w:tcW w:w="1188" w:type="dxa"/>
            <w:vAlign w:val="bottom"/>
          </w:tcPr>
          <w:p w14:paraId="5FE16F68" w14:textId="7994DF3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0.11</w:t>
            </w:r>
          </w:p>
        </w:tc>
        <w:tc>
          <w:tcPr>
            <w:tcW w:w="1188" w:type="dxa"/>
            <w:vAlign w:val="bottom"/>
          </w:tcPr>
          <w:p w14:paraId="6E919E2C" w14:textId="5F44736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1.48</w:t>
            </w:r>
          </w:p>
        </w:tc>
        <w:tc>
          <w:tcPr>
            <w:tcW w:w="1188" w:type="dxa"/>
            <w:vAlign w:val="bottom"/>
          </w:tcPr>
          <w:p w14:paraId="7E15E029" w14:textId="600B632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r>
      <w:tr w:rsidR="00326A9C" w:rsidRPr="000976AC" w14:paraId="46856A29" w14:textId="2845840D" w:rsidTr="00326A9C">
        <w:tc>
          <w:tcPr>
            <w:tcW w:w="7285" w:type="dxa"/>
          </w:tcPr>
          <w:p w14:paraId="511C5212" w14:textId="7B17B9A9" w:rsidR="00326A9C" w:rsidRPr="000976AC" w:rsidRDefault="00326A9C" w:rsidP="00E579A3">
            <w:pPr>
              <w:spacing w:line="480" w:lineRule="auto"/>
              <w:rPr>
                <w:rFonts w:ascii="Times New Roman" w:hAnsi="Times New Roman" w:cs="Times New Roman"/>
                <w:sz w:val="20"/>
                <w:szCs w:val="20"/>
                <w:vertAlign w:val="superscript"/>
              </w:rPr>
            </w:pPr>
            <w:r w:rsidRPr="000976AC">
              <w:rPr>
                <w:rFonts w:ascii="Times New Roman" w:hAnsi="Times New Roman" w:cs="Times New Roman"/>
                <w:sz w:val="20"/>
                <w:szCs w:val="20"/>
              </w:rPr>
              <w:t xml:space="preserve">Any lifetime substance use </w:t>
            </w:r>
            <w:proofErr w:type="spellStart"/>
            <w:r w:rsidRPr="000976AC">
              <w:rPr>
                <w:rFonts w:ascii="Times New Roman" w:hAnsi="Times New Roman" w:cs="Times New Roman"/>
                <w:sz w:val="20"/>
                <w:szCs w:val="20"/>
              </w:rPr>
              <w:t>disorder</w:t>
            </w:r>
            <w:r w:rsidR="00577D31">
              <w:rPr>
                <w:rFonts w:ascii="Times New Roman" w:hAnsi="Times New Roman" w:cs="Times New Roman"/>
                <w:sz w:val="20"/>
                <w:szCs w:val="20"/>
                <w:vertAlign w:val="superscript"/>
              </w:rPr>
              <w:t>e</w:t>
            </w:r>
            <w:proofErr w:type="spellEnd"/>
            <w:r w:rsidRPr="000976AC">
              <w:rPr>
                <w:rFonts w:ascii="Times New Roman" w:hAnsi="Times New Roman" w:cs="Times New Roman"/>
                <w:sz w:val="20"/>
                <w:szCs w:val="20"/>
              </w:rPr>
              <w:t xml:space="preserve"> [present vs. </w:t>
            </w:r>
            <w:proofErr w:type="gramStart"/>
            <w:r w:rsidRPr="000976AC">
              <w:rPr>
                <w:rFonts w:ascii="Times New Roman" w:hAnsi="Times New Roman" w:cs="Times New Roman"/>
                <w:sz w:val="20"/>
                <w:szCs w:val="20"/>
              </w:rPr>
              <w:t>absent]</w:t>
            </w:r>
            <w:r>
              <w:rPr>
                <w:rFonts w:ascii="Times New Roman" w:hAnsi="Times New Roman" w:cs="Times New Roman"/>
                <w:sz w:val="20"/>
                <w:szCs w:val="20"/>
              </w:rPr>
              <w:t>*</w:t>
            </w:r>
            <w:proofErr w:type="gramEnd"/>
          </w:p>
        </w:tc>
        <w:tc>
          <w:tcPr>
            <w:tcW w:w="1188" w:type="dxa"/>
            <w:vAlign w:val="bottom"/>
          </w:tcPr>
          <w:p w14:paraId="5024D70D" w14:textId="2FE8706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-0.28</w:t>
            </w:r>
          </w:p>
        </w:tc>
        <w:tc>
          <w:tcPr>
            <w:tcW w:w="1188" w:type="dxa"/>
            <w:vAlign w:val="bottom"/>
          </w:tcPr>
          <w:p w14:paraId="1BA89A5D" w14:textId="032C8B4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0.76</w:t>
            </w:r>
          </w:p>
        </w:tc>
        <w:tc>
          <w:tcPr>
            <w:tcW w:w="1188" w:type="dxa"/>
            <w:vAlign w:val="bottom"/>
          </w:tcPr>
          <w:p w14:paraId="36AF2ADF" w14:textId="6EA0C43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0E66E1A2" w14:textId="2893D73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-1.83</w:t>
            </w:r>
          </w:p>
        </w:tc>
        <w:tc>
          <w:tcPr>
            <w:tcW w:w="1188" w:type="dxa"/>
            <w:vAlign w:val="bottom"/>
          </w:tcPr>
          <w:p w14:paraId="0DE7A3A5" w14:textId="4AB4D24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0.07</w:t>
            </w:r>
          </w:p>
        </w:tc>
      </w:tr>
      <w:tr w:rsidR="00326A9C" w:rsidRPr="000976AC" w14:paraId="35472F2C" w14:textId="0A7D97E8" w:rsidTr="00326A9C">
        <w:tc>
          <w:tcPr>
            <w:tcW w:w="7285" w:type="dxa"/>
          </w:tcPr>
          <w:p w14:paraId="074676C6" w14:textId="56E7FABA" w:rsidR="00326A9C" w:rsidRPr="000976AC" w:rsidRDefault="00326A9C" w:rsidP="00E579A3">
            <w:pPr>
              <w:spacing w:line="480" w:lineRule="auto"/>
              <w:rPr>
                <w:rFonts w:ascii="Times New Roman" w:hAnsi="Times New Roman" w:cs="Times New Roman"/>
                <w:sz w:val="20"/>
                <w:szCs w:val="20"/>
                <w:vertAlign w:val="superscript"/>
              </w:rPr>
            </w:pPr>
            <w:r w:rsidRPr="000976AC">
              <w:rPr>
                <w:rFonts w:ascii="Times New Roman" w:hAnsi="Times New Roman" w:cs="Times New Roman"/>
                <w:sz w:val="20"/>
                <w:szCs w:val="20"/>
              </w:rPr>
              <w:t xml:space="preserve">Any lifetime major anxiety </w:t>
            </w:r>
            <w:proofErr w:type="spellStart"/>
            <w:r w:rsidRPr="000976AC">
              <w:rPr>
                <w:rFonts w:ascii="Times New Roman" w:hAnsi="Times New Roman" w:cs="Times New Roman"/>
                <w:sz w:val="20"/>
                <w:szCs w:val="20"/>
              </w:rPr>
              <w:t>disorder</w:t>
            </w:r>
            <w:r w:rsidR="00577D31">
              <w:rPr>
                <w:rFonts w:ascii="Times New Roman" w:hAnsi="Times New Roman" w:cs="Times New Roman"/>
                <w:sz w:val="20"/>
                <w:szCs w:val="20"/>
                <w:vertAlign w:val="superscript"/>
              </w:rPr>
              <w:t>f</w:t>
            </w:r>
            <w:proofErr w:type="spellEnd"/>
            <w:r w:rsidRPr="000976AC">
              <w:rPr>
                <w:rFonts w:ascii="Times New Roman" w:hAnsi="Times New Roman" w:cs="Times New Roman"/>
                <w:sz w:val="20"/>
                <w:szCs w:val="20"/>
              </w:rPr>
              <w:t xml:space="preserve"> [present vs. </w:t>
            </w:r>
            <w:proofErr w:type="gramStart"/>
            <w:r w:rsidRPr="000976AC">
              <w:rPr>
                <w:rFonts w:ascii="Times New Roman" w:hAnsi="Times New Roman" w:cs="Times New Roman"/>
                <w:sz w:val="20"/>
                <w:szCs w:val="20"/>
              </w:rPr>
              <w:t>absent]</w:t>
            </w:r>
            <w:r>
              <w:rPr>
                <w:rFonts w:ascii="Times New Roman" w:hAnsi="Times New Roman" w:cs="Times New Roman"/>
                <w:sz w:val="20"/>
                <w:szCs w:val="20"/>
              </w:rPr>
              <w:t>*</w:t>
            </w:r>
            <w:proofErr w:type="gramEnd"/>
          </w:p>
        </w:tc>
        <w:tc>
          <w:tcPr>
            <w:tcW w:w="1188" w:type="dxa"/>
            <w:vAlign w:val="bottom"/>
          </w:tcPr>
          <w:p w14:paraId="2DA86C00" w14:textId="15F360C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-0.18</w:t>
            </w:r>
          </w:p>
        </w:tc>
        <w:tc>
          <w:tcPr>
            <w:tcW w:w="1188" w:type="dxa"/>
            <w:vAlign w:val="bottom"/>
          </w:tcPr>
          <w:p w14:paraId="02A9733E" w14:textId="34D3B51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0.84</w:t>
            </w:r>
          </w:p>
        </w:tc>
        <w:tc>
          <w:tcPr>
            <w:tcW w:w="1188" w:type="dxa"/>
            <w:vAlign w:val="bottom"/>
          </w:tcPr>
          <w:p w14:paraId="701710F1" w14:textId="2A228B5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169C0249" w14:textId="0A49625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-1.17</w:t>
            </w:r>
          </w:p>
        </w:tc>
        <w:tc>
          <w:tcPr>
            <w:tcW w:w="1188" w:type="dxa"/>
            <w:vAlign w:val="bottom"/>
          </w:tcPr>
          <w:p w14:paraId="0F396425" w14:textId="3C4DE77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0.25</w:t>
            </w:r>
          </w:p>
        </w:tc>
      </w:tr>
      <w:tr w:rsidR="00326A9C" w:rsidRPr="000976AC" w14:paraId="436EF44E" w14:textId="27C39026" w:rsidTr="00326A9C">
        <w:tc>
          <w:tcPr>
            <w:tcW w:w="7285" w:type="dxa"/>
          </w:tcPr>
          <w:p w14:paraId="06E96907" w14:textId="24343D2F"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 xml:space="preserve">Lifetime post-traumatic stress disorder [present vs. </w:t>
            </w:r>
            <w:proofErr w:type="gramStart"/>
            <w:r w:rsidRPr="000976AC">
              <w:rPr>
                <w:rFonts w:ascii="Times New Roman" w:hAnsi="Times New Roman" w:cs="Times New Roman"/>
                <w:sz w:val="20"/>
                <w:szCs w:val="20"/>
              </w:rPr>
              <w:t>absent]</w:t>
            </w:r>
            <w:r>
              <w:rPr>
                <w:rFonts w:ascii="Times New Roman" w:hAnsi="Times New Roman" w:cs="Times New Roman"/>
                <w:sz w:val="20"/>
                <w:szCs w:val="20"/>
              </w:rPr>
              <w:t>*</w:t>
            </w:r>
            <w:proofErr w:type="gramEnd"/>
          </w:p>
        </w:tc>
        <w:tc>
          <w:tcPr>
            <w:tcW w:w="1188" w:type="dxa"/>
            <w:vAlign w:val="bottom"/>
          </w:tcPr>
          <w:p w14:paraId="17CDDB68" w14:textId="13B4930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355CAF68" w14:textId="11781C4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1.17</w:t>
            </w:r>
          </w:p>
        </w:tc>
        <w:tc>
          <w:tcPr>
            <w:tcW w:w="1188" w:type="dxa"/>
            <w:vAlign w:val="bottom"/>
          </w:tcPr>
          <w:p w14:paraId="3F745446" w14:textId="324D560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0.10</w:t>
            </w:r>
          </w:p>
        </w:tc>
        <w:tc>
          <w:tcPr>
            <w:tcW w:w="1188" w:type="dxa"/>
            <w:vAlign w:val="bottom"/>
          </w:tcPr>
          <w:p w14:paraId="624EA1A9" w14:textId="5BEA94D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1.50</w:t>
            </w:r>
          </w:p>
        </w:tc>
        <w:tc>
          <w:tcPr>
            <w:tcW w:w="1188" w:type="dxa"/>
            <w:vAlign w:val="bottom"/>
          </w:tcPr>
          <w:p w14:paraId="147DB7D5" w14:textId="515D332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r>
      <w:tr w:rsidR="00326A9C" w:rsidRPr="000976AC" w14:paraId="7ED2707E" w14:textId="3602186F" w:rsidTr="00326A9C">
        <w:tc>
          <w:tcPr>
            <w:tcW w:w="7285" w:type="dxa"/>
          </w:tcPr>
          <w:p w14:paraId="129F281C" w14:textId="7C9D0869"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 xml:space="preserve">Lifetime obsessive-compulsive disorder [present vs. </w:t>
            </w:r>
            <w:proofErr w:type="gramStart"/>
            <w:r w:rsidRPr="000976AC">
              <w:rPr>
                <w:rFonts w:ascii="Times New Roman" w:hAnsi="Times New Roman" w:cs="Times New Roman"/>
                <w:sz w:val="20"/>
                <w:szCs w:val="20"/>
              </w:rPr>
              <w:t>absent]</w:t>
            </w:r>
            <w:r>
              <w:rPr>
                <w:rFonts w:ascii="Times New Roman" w:hAnsi="Times New Roman" w:cs="Times New Roman"/>
                <w:sz w:val="20"/>
                <w:szCs w:val="20"/>
              </w:rPr>
              <w:t>*</w:t>
            </w:r>
            <w:proofErr w:type="gramEnd"/>
          </w:p>
        </w:tc>
        <w:tc>
          <w:tcPr>
            <w:tcW w:w="1188" w:type="dxa"/>
            <w:vAlign w:val="bottom"/>
          </w:tcPr>
          <w:p w14:paraId="39B0D48F" w14:textId="7F8055B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-0.07</w:t>
            </w:r>
          </w:p>
        </w:tc>
        <w:tc>
          <w:tcPr>
            <w:tcW w:w="1188" w:type="dxa"/>
            <w:vAlign w:val="bottom"/>
          </w:tcPr>
          <w:p w14:paraId="0E843B1D" w14:textId="7964C1D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0.93</w:t>
            </w:r>
          </w:p>
        </w:tc>
        <w:tc>
          <w:tcPr>
            <w:tcW w:w="1188" w:type="dxa"/>
            <w:vAlign w:val="bottom"/>
          </w:tcPr>
          <w:p w14:paraId="49F55651" w14:textId="040CC64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7E3011FC" w14:textId="791E276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-0.50</w:t>
            </w:r>
          </w:p>
        </w:tc>
        <w:tc>
          <w:tcPr>
            <w:tcW w:w="1188" w:type="dxa"/>
            <w:vAlign w:val="bottom"/>
          </w:tcPr>
          <w:p w14:paraId="09701AB1" w14:textId="14DB071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0.62</w:t>
            </w:r>
          </w:p>
        </w:tc>
      </w:tr>
      <w:tr w:rsidR="00326A9C" w:rsidRPr="000976AC" w14:paraId="2F4DEA0E" w14:textId="2CBCACE7" w:rsidTr="00326A9C">
        <w:tc>
          <w:tcPr>
            <w:tcW w:w="7285" w:type="dxa"/>
          </w:tcPr>
          <w:p w14:paraId="6A32860F" w14:textId="0BB3DA11" w:rsidR="00326A9C" w:rsidRPr="000976AC" w:rsidRDefault="00326A9C" w:rsidP="00E579A3">
            <w:pPr>
              <w:spacing w:line="480" w:lineRule="auto"/>
              <w:rPr>
                <w:rFonts w:ascii="Times New Roman" w:hAnsi="Times New Roman" w:cs="Times New Roman"/>
                <w:sz w:val="20"/>
                <w:szCs w:val="20"/>
              </w:rPr>
            </w:pPr>
            <w:r w:rsidRPr="000976AC">
              <w:rPr>
                <w:rFonts w:ascii="Times New Roman" w:hAnsi="Times New Roman" w:cs="Times New Roman"/>
                <w:sz w:val="20"/>
                <w:szCs w:val="20"/>
              </w:rPr>
              <w:t xml:space="preserve">Any lifetime major mood </w:t>
            </w:r>
            <w:proofErr w:type="spellStart"/>
            <w:r w:rsidRPr="000976AC">
              <w:rPr>
                <w:rFonts w:ascii="Times New Roman" w:hAnsi="Times New Roman" w:cs="Times New Roman"/>
                <w:sz w:val="20"/>
                <w:szCs w:val="20"/>
              </w:rPr>
              <w:t>disorder</w:t>
            </w:r>
            <w:r w:rsidR="00577D31">
              <w:rPr>
                <w:rFonts w:ascii="Times New Roman" w:hAnsi="Times New Roman" w:cs="Times New Roman"/>
                <w:sz w:val="20"/>
                <w:szCs w:val="20"/>
                <w:vertAlign w:val="superscript"/>
              </w:rPr>
              <w:t>g</w:t>
            </w:r>
            <w:proofErr w:type="spellEnd"/>
            <w:r w:rsidRPr="000976AC">
              <w:rPr>
                <w:rFonts w:ascii="Times New Roman" w:hAnsi="Times New Roman" w:cs="Times New Roman"/>
                <w:sz w:val="20"/>
                <w:szCs w:val="20"/>
              </w:rPr>
              <w:t xml:space="preserve"> [absent vs. </w:t>
            </w:r>
            <w:proofErr w:type="gramStart"/>
            <w:r w:rsidRPr="000976AC">
              <w:rPr>
                <w:rFonts w:ascii="Times New Roman" w:hAnsi="Times New Roman" w:cs="Times New Roman"/>
                <w:sz w:val="20"/>
                <w:szCs w:val="20"/>
              </w:rPr>
              <w:t>present]</w:t>
            </w:r>
            <w:r>
              <w:rPr>
                <w:rFonts w:ascii="Times New Roman" w:hAnsi="Times New Roman" w:cs="Times New Roman"/>
                <w:sz w:val="20"/>
                <w:szCs w:val="20"/>
              </w:rPr>
              <w:t>*</w:t>
            </w:r>
            <w:proofErr w:type="gramEnd"/>
          </w:p>
        </w:tc>
        <w:tc>
          <w:tcPr>
            <w:tcW w:w="1188" w:type="dxa"/>
            <w:vAlign w:val="bottom"/>
          </w:tcPr>
          <w:p w14:paraId="125DCC3B" w14:textId="31ACDC3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0.23</w:t>
            </w:r>
          </w:p>
        </w:tc>
        <w:tc>
          <w:tcPr>
            <w:tcW w:w="1188" w:type="dxa"/>
            <w:vAlign w:val="bottom"/>
          </w:tcPr>
          <w:p w14:paraId="02457551" w14:textId="4F8A284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1.26</w:t>
            </w:r>
          </w:p>
        </w:tc>
        <w:tc>
          <w:tcPr>
            <w:tcW w:w="1188" w:type="dxa"/>
            <w:vAlign w:val="bottom"/>
          </w:tcPr>
          <w:p w14:paraId="03BDBE0E" w14:textId="2771020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4183EDC7" w14:textId="3567261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1.73</w:t>
            </w:r>
          </w:p>
        </w:tc>
        <w:tc>
          <w:tcPr>
            <w:tcW w:w="1188" w:type="dxa"/>
            <w:vAlign w:val="bottom"/>
          </w:tcPr>
          <w:p w14:paraId="5D41E106" w14:textId="512D8B5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0.09</w:t>
            </w:r>
          </w:p>
        </w:tc>
      </w:tr>
      <w:tr w:rsidR="00326A9C" w:rsidRPr="000976AC" w14:paraId="67DD953E" w14:textId="43628B7B" w:rsidTr="00326A9C">
        <w:tc>
          <w:tcPr>
            <w:tcW w:w="7285" w:type="dxa"/>
          </w:tcPr>
          <w:p w14:paraId="5B18F78C" w14:textId="452C703A"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BIS–11</w:t>
            </w:r>
            <w:r w:rsidRPr="000976AC">
              <w:rPr>
                <w:rFonts w:ascii="Times New Roman" w:hAnsi="Times New Roman" w:cs="Times New Roman"/>
                <w:sz w:val="20"/>
                <w:szCs w:val="20"/>
              </w:rPr>
              <w:t xml:space="preserve"> Attentional Impulsiveness (standardized)</w:t>
            </w:r>
          </w:p>
        </w:tc>
        <w:tc>
          <w:tcPr>
            <w:tcW w:w="1188" w:type="dxa"/>
            <w:vAlign w:val="bottom"/>
          </w:tcPr>
          <w:p w14:paraId="02BD55F6" w14:textId="5B473E8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0.01</w:t>
            </w:r>
          </w:p>
        </w:tc>
        <w:tc>
          <w:tcPr>
            <w:tcW w:w="1188" w:type="dxa"/>
            <w:vAlign w:val="bottom"/>
          </w:tcPr>
          <w:p w14:paraId="7F7B4F38" w14:textId="57379F0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1.01</w:t>
            </w:r>
          </w:p>
        </w:tc>
        <w:tc>
          <w:tcPr>
            <w:tcW w:w="1188" w:type="dxa"/>
            <w:vAlign w:val="bottom"/>
          </w:tcPr>
          <w:p w14:paraId="6641D00E" w14:textId="33A726B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0.12</w:t>
            </w:r>
          </w:p>
        </w:tc>
        <w:tc>
          <w:tcPr>
            <w:tcW w:w="1188" w:type="dxa"/>
            <w:vAlign w:val="bottom"/>
          </w:tcPr>
          <w:p w14:paraId="78779D38" w14:textId="2E849205"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0.09</w:t>
            </w:r>
          </w:p>
        </w:tc>
        <w:tc>
          <w:tcPr>
            <w:tcW w:w="1188" w:type="dxa"/>
            <w:vAlign w:val="bottom"/>
          </w:tcPr>
          <w:p w14:paraId="368DC187" w14:textId="2EE2A05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0.94</w:t>
            </w:r>
          </w:p>
        </w:tc>
      </w:tr>
      <w:tr w:rsidR="00326A9C" w:rsidRPr="000976AC" w14:paraId="0BC92354" w14:textId="77463BB2" w:rsidTr="00326A9C">
        <w:tc>
          <w:tcPr>
            <w:tcW w:w="7285" w:type="dxa"/>
          </w:tcPr>
          <w:p w14:paraId="3AB34E21" w14:textId="55B0902F"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BIS–11</w:t>
            </w:r>
            <w:r w:rsidRPr="000976AC">
              <w:rPr>
                <w:rFonts w:ascii="Times New Roman" w:hAnsi="Times New Roman" w:cs="Times New Roman"/>
                <w:sz w:val="20"/>
                <w:szCs w:val="20"/>
              </w:rPr>
              <w:t xml:space="preserve"> Motor Impulsiveness</w:t>
            </w:r>
            <w:r>
              <w:rPr>
                <w:rFonts w:ascii="Times New Roman" w:hAnsi="Times New Roman" w:cs="Times New Roman"/>
                <w:sz w:val="20"/>
                <w:szCs w:val="20"/>
              </w:rPr>
              <w:t>*</w:t>
            </w:r>
            <w:r w:rsidRPr="000976AC">
              <w:rPr>
                <w:rFonts w:ascii="Times New Roman" w:hAnsi="Times New Roman" w:cs="Times New Roman"/>
                <w:sz w:val="20"/>
                <w:szCs w:val="20"/>
              </w:rPr>
              <w:t xml:space="preserve"> (standardized)</w:t>
            </w:r>
          </w:p>
        </w:tc>
        <w:tc>
          <w:tcPr>
            <w:tcW w:w="1188" w:type="dxa"/>
            <w:vAlign w:val="bottom"/>
          </w:tcPr>
          <w:p w14:paraId="2EFD53E8" w14:textId="472EBB65"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-0.10</w:t>
            </w:r>
          </w:p>
        </w:tc>
        <w:tc>
          <w:tcPr>
            <w:tcW w:w="1188" w:type="dxa"/>
            <w:vAlign w:val="bottom"/>
          </w:tcPr>
          <w:p w14:paraId="329AF3BF" w14:textId="66D7E09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0.91</w:t>
            </w:r>
          </w:p>
        </w:tc>
        <w:tc>
          <w:tcPr>
            <w:tcW w:w="1188" w:type="dxa"/>
            <w:vAlign w:val="bottom"/>
          </w:tcPr>
          <w:p w14:paraId="3B642621" w14:textId="7C8F7E9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258431C4" w14:textId="27F957A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-0.74</w:t>
            </w:r>
          </w:p>
        </w:tc>
        <w:tc>
          <w:tcPr>
            <w:tcW w:w="1188" w:type="dxa"/>
            <w:vAlign w:val="bottom"/>
          </w:tcPr>
          <w:p w14:paraId="5C6D0BD5" w14:textId="23A493F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0.46</w:t>
            </w:r>
          </w:p>
        </w:tc>
      </w:tr>
      <w:tr w:rsidR="00326A9C" w:rsidRPr="000976AC" w14:paraId="1365E625" w14:textId="5E6BC112" w:rsidTr="00326A9C">
        <w:tc>
          <w:tcPr>
            <w:tcW w:w="7285" w:type="dxa"/>
          </w:tcPr>
          <w:p w14:paraId="3E5D111A" w14:textId="76F66964"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BIS–11</w:t>
            </w:r>
            <w:r w:rsidRPr="000976AC">
              <w:rPr>
                <w:rFonts w:ascii="Times New Roman" w:hAnsi="Times New Roman" w:cs="Times New Roman"/>
                <w:sz w:val="20"/>
                <w:szCs w:val="20"/>
              </w:rPr>
              <w:t xml:space="preserve"> </w:t>
            </w:r>
            <w:proofErr w:type="spellStart"/>
            <w:r w:rsidRPr="000976AC">
              <w:rPr>
                <w:rFonts w:ascii="Times New Roman" w:hAnsi="Times New Roman" w:cs="Times New Roman"/>
                <w:sz w:val="20"/>
                <w:szCs w:val="20"/>
              </w:rPr>
              <w:t>Nonplanning</w:t>
            </w:r>
            <w:proofErr w:type="spellEnd"/>
            <w:r w:rsidRPr="000976AC">
              <w:rPr>
                <w:rFonts w:ascii="Times New Roman" w:hAnsi="Times New Roman" w:cs="Times New Roman"/>
                <w:sz w:val="20"/>
                <w:szCs w:val="20"/>
              </w:rPr>
              <w:t xml:space="preserve"> Impulsiveness (standardized)</w:t>
            </w:r>
          </w:p>
        </w:tc>
        <w:tc>
          <w:tcPr>
            <w:tcW w:w="1188" w:type="dxa"/>
            <w:vAlign w:val="bottom"/>
          </w:tcPr>
          <w:p w14:paraId="6216896D" w14:textId="7BCC11B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-0.19</w:t>
            </w:r>
          </w:p>
        </w:tc>
        <w:tc>
          <w:tcPr>
            <w:tcW w:w="1188" w:type="dxa"/>
            <w:vAlign w:val="bottom"/>
          </w:tcPr>
          <w:p w14:paraId="0C9A005C" w14:textId="5ED1584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0.83</w:t>
            </w:r>
          </w:p>
        </w:tc>
        <w:tc>
          <w:tcPr>
            <w:tcW w:w="1188" w:type="dxa"/>
            <w:vAlign w:val="bottom"/>
          </w:tcPr>
          <w:p w14:paraId="7CFFD384" w14:textId="396393F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559CB62A" w14:textId="3C3161B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-1.35</w:t>
            </w:r>
          </w:p>
        </w:tc>
        <w:tc>
          <w:tcPr>
            <w:tcW w:w="1188" w:type="dxa"/>
            <w:vAlign w:val="bottom"/>
          </w:tcPr>
          <w:p w14:paraId="66DAAF72" w14:textId="4D7FBA7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0.18</w:t>
            </w:r>
          </w:p>
        </w:tc>
      </w:tr>
      <w:tr w:rsidR="00326A9C" w:rsidRPr="000976AC" w14:paraId="35360C28" w14:textId="6E89956F" w:rsidTr="00326A9C">
        <w:tc>
          <w:tcPr>
            <w:tcW w:w="7285" w:type="dxa"/>
          </w:tcPr>
          <w:p w14:paraId="473AC8CC" w14:textId="4E0D8B56"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EDI–2</w:t>
            </w:r>
            <w:r w:rsidRPr="000976AC">
              <w:rPr>
                <w:rFonts w:ascii="Times New Roman" w:hAnsi="Times New Roman" w:cs="Times New Roman"/>
                <w:sz w:val="20"/>
                <w:szCs w:val="20"/>
              </w:rPr>
              <w:t xml:space="preserve"> Drive for Thinness (standardized)</w:t>
            </w:r>
          </w:p>
        </w:tc>
        <w:tc>
          <w:tcPr>
            <w:tcW w:w="1188" w:type="dxa"/>
            <w:vAlign w:val="bottom"/>
          </w:tcPr>
          <w:p w14:paraId="2C3128B1" w14:textId="3822795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0.01</w:t>
            </w:r>
          </w:p>
        </w:tc>
        <w:tc>
          <w:tcPr>
            <w:tcW w:w="1188" w:type="dxa"/>
            <w:vAlign w:val="bottom"/>
          </w:tcPr>
          <w:p w14:paraId="7C846E2B" w14:textId="1D97062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1.01</w:t>
            </w:r>
          </w:p>
        </w:tc>
        <w:tc>
          <w:tcPr>
            <w:tcW w:w="1188" w:type="dxa"/>
            <w:vAlign w:val="bottom"/>
          </w:tcPr>
          <w:p w14:paraId="44BC5E5D" w14:textId="15F95E1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7E7B75C6" w14:textId="1A9B265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0.04</w:t>
            </w:r>
          </w:p>
        </w:tc>
        <w:tc>
          <w:tcPr>
            <w:tcW w:w="1188" w:type="dxa"/>
            <w:vAlign w:val="bottom"/>
          </w:tcPr>
          <w:p w14:paraId="2F36A82E" w14:textId="4D1BBCB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0.97</w:t>
            </w:r>
          </w:p>
        </w:tc>
      </w:tr>
      <w:tr w:rsidR="00326A9C" w:rsidRPr="000976AC" w14:paraId="5EB69909" w14:textId="5EDEB311" w:rsidTr="00326A9C">
        <w:tc>
          <w:tcPr>
            <w:tcW w:w="7285" w:type="dxa"/>
          </w:tcPr>
          <w:p w14:paraId="757D3065" w14:textId="42A78414"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EDI–2</w:t>
            </w:r>
            <w:r w:rsidRPr="000976AC">
              <w:rPr>
                <w:rFonts w:ascii="Times New Roman" w:hAnsi="Times New Roman" w:cs="Times New Roman"/>
                <w:sz w:val="20"/>
                <w:szCs w:val="20"/>
              </w:rPr>
              <w:t xml:space="preserve"> Bulimia (standardized)</w:t>
            </w:r>
            <w:r>
              <w:rPr>
                <w:rFonts w:ascii="Times New Roman" w:hAnsi="Times New Roman" w:cs="Times New Roman"/>
                <w:sz w:val="20"/>
                <w:szCs w:val="20"/>
              </w:rPr>
              <w:t>*</w:t>
            </w:r>
          </w:p>
        </w:tc>
        <w:tc>
          <w:tcPr>
            <w:tcW w:w="1188" w:type="dxa"/>
            <w:vAlign w:val="bottom"/>
          </w:tcPr>
          <w:p w14:paraId="225985F0" w14:textId="3C2386C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-0.29</w:t>
            </w:r>
          </w:p>
        </w:tc>
        <w:tc>
          <w:tcPr>
            <w:tcW w:w="1188" w:type="dxa"/>
            <w:vAlign w:val="bottom"/>
          </w:tcPr>
          <w:p w14:paraId="6C97F966" w14:textId="39F67961"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0.75</w:t>
            </w:r>
          </w:p>
        </w:tc>
        <w:tc>
          <w:tcPr>
            <w:tcW w:w="1188" w:type="dxa"/>
            <w:vAlign w:val="bottom"/>
          </w:tcPr>
          <w:p w14:paraId="1985D8DA" w14:textId="42DCE7F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0EC07F39" w14:textId="2FBC32D2"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-2.21</w:t>
            </w:r>
          </w:p>
        </w:tc>
        <w:tc>
          <w:tcPr>
            <w:tcW w:w="1188" w:type="dxa"/>
            <w:vAlign w:val="bottom"/>
          </w:tcPr>
          <w:p w14:paraId="20888285" w14:textId="61F66353"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0.03</w:t>
            </w:r>
          </w:p>
        </w:tc>
      </w:tr>
      <w:tr w:rsidR="00326A9C" w:rsidRPr="000976AC" w14:paraId="620CBE94" w14:textId="3003FF02" w:rsidTr="00326A9C">
        <w:tc>
          <w:tcPr>
            <w:tcW w:w="7285" w:type="dxa"/>
          </w:tcPr>
          <w:p w14:paraId="1E19E256" w14:textId="45E6EECB"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EDI–2</w:t>
            </w:r>
            <w:r w:rsidRPr="000976AC">
              <w:rPr>
                <w:rFonts w:ascii="Times New Roman" w:hAnsi="Times New Roman" w:cs="Times New Roman"/>
                <w:sz w:val="20"/>
                <w:szCs w:val="20"/>
              </w:rPr>
              <w:t xml:space="preserve"> Body Dissatisfaction (standardized)</w:t>
            </w:r>
          </w:p>
        </w:tc>
        <w:tc>
          <w:tcPr>
            <w:tcW w:w="1188" w:type="dxa"/>
            <w:vAlign w:val="bottom"/>
          </w:tcPr>
          <w:p w14:paraId="02A3D6BD" w14:textId="444D5A7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-0.16</w:t>
            </w:r>
          </w:p>
        </w:tc>
        <w:tc>
          <w:tcPr>
            <w:tcW w:w="1188" w:type="dxa"/>
            <w:vAlign w:val="bottom"/>
          </w:tcPr>
          <w:p w14:paraId="64E4B584" w14:textId="669475F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0.85</w:t>
            </w:r>
          </w:p>
        </w:tc>
        <w:tc>
          <w:tcPr>
            <w:tcW w:w="1188" w:type="dxa"/>
            <w:vAlign w:val="bottom"/>
          </w:tcPr>
          <w:p w14:paraId="3969530E" w14:textId="612A758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0C987D3E" w14:textId="34EA998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-1.14</w:t>
            </w:r>
          </w:p>
        </w:tc>
        <w:tc>
          <w:tcPr>
            <w:tcW w:w="1188" w:type="dxa"/>
            <w:vAlign w:val="bottom"/>
          </w:tcPr>
          <w:p w14:paraId="245ACFA3" w14:textId="2710845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0.26</w:t>
            </w:r>
          </w:p>
        </w:tc>
      </w:tr>
      <w:tr w:rsidR="00326A9C" w:rsidRPr="000976AC" w14:paraId="526DAB1D" w14:textId="4ADC66DF" w:rsidTr="00326A9C">
        <w:tc>
          <w:tcPr>
            <w:tcW w:w="7285" w:type="dxa"/>
          </w:tcPr>
          <w:p w14:paraId="1DF81C98" w14:textId="592E6F02"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EDI–2</w:t>
            </w:r>
            <w:r w:rsidRPr="000976AC">
              <w:rPr>
                <w:rFonts w:ascii="Times New Roman" w:hAnsi="Times New Roman" w:cs="Times New Roman"/>
                <w:sz w:val="20"/>
                <w:szCs w:val="20"/>
              </w:rPr>
              <w:t xml:space="preserve"> Ineffectiveness (standardized)</w:t>
            </w:r>
            <w:r>
              <w:rPr>
                <w:rFonts w:ascii="Times New Roman" w:hAnsi="Times New Roman" w:cs="Times New Roman"/>
                <w:sz w:val="20"/>
                <w:szCs w:val="20"/>
              </w:rPr>
              <w:t>*</w:t>
            </w:r>
          </w:p>
        </w:tc>
        <w:tc>
          <w:tcPr>
            <w:tcW w:w="1188" w:type="dxa"/>
            <w:vAlign w:val="bottom"/>
          </w:tcPr>
          <w:p w14:paraId="43726DE3" w14:textId="3FB1F591"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-0.01</w:t>
            </w:r>
          </w:p>
        </w:tc>
        <w:tc>
          <w:tcPr>
            <w:tcW w:w="1188" w:type="dxa"/>
            <w:vAlign w:val="bottom"/>
          </w:tcPr>
          <w:p w14:paraId="6A32F683" w14:textId="29268E1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0.99</w:t>
            </w:r>
          </w:p>
        </w:tc>
        <w:tc>
          <w:tcPr>
            <w:tcW w:w="1188" w:type="dxa"/>
            <w:vAlign w:val="bottom"/>
          </w:tcPr>
          <w:p w14:paraId="671F51D3" w14:textId="1DC3725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701D640A" w14:textId="6E06431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-0.04</w:t>
            </w:r>
          </w:p>
        </w:tc>
        <w:tc>
          <w:tcPr>
            <w:tcW w:w="1188" w:type="dxa"/>
            <w:vAlign w:val="bottom"/>
          </w:tcPr>
          <w:p w14:paraId="04635DDF" w14:textId="014931F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0.98</w:t>
            </w:r>
          </w:p>
        </w:tc>
      </w:tr>
      <w:tr w:rsidR="00326A9C" w:rsidRPr="000976AC" w14:paraId="4506402E" w14:textId="7314D3DA" w:rsidTr="00326A9C">
        <w:tc>
          <w:tcPr>
            <w:tcW w:w="7285" w:type="dxa"/>
          </w:tcPr>
          <w:p w14:paraId="544A64B4" w14:textId="00548898"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EDI–2</w:t>
            </w:r>
            <w:r w:rsidRPr="000976AC">
              <w:rPr>
                <w:rFonts w:ascii="Times New Roman" w:hAnsi="Times New Roman" w:cs="Times New Roman"/>
                <w:sz w:val="20"/>
                <w:szCs w:val="20"/>
              </w:rPr>
              <w:t xml:space="preserve"> Perfectionism (standardized)</w:t>
            </w:r>
            <w:r>
              <w:rPr>
                <w:rFonts w:ascii="Times New Roman" w:hAnsi="Times New Roman" w:cs="Times New Roman"/>
                <w:sz w:val="20"/>
                <w:szCs w:val="20"/>
              </w:rPr>
              <w:t>*</w:t>
            </w:r>
          </w:p>
        </w:tc>
        <w:tc>
          <w:tcPr>
            <w:tcW w:w="1188" w:type="dxa"/>
            <w:vAlign w:val="bottom"/>
          </w:tcPr>
          <w:p w14:paraId="31CB63DD" w14:textId="700D707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-0.01</w:t>
            </w:r>
          </w:p>
        </w:tc>
        <w:tc>
          <w:tcPr>
            <w:tcW w:w="1188" w:type="dxa"/>
            <w:vAlign w:val="bottom"/>
          </w:tcPr>
          <w:p w14:paraId="5528F2FC" w14:textId="4EA092D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0.99</w:t>
            </w:r>
          </w:p>
        </w:tc>
        <w:tc>
          <w:tcPr>
            <w:tcW w:w="1188" w:type="dxa"/>
            <w:vAlign w:val="bottom"/>
          </w:tcPr>
          <w:p w14:paraId="1BF347FF" w14:textId="6A27FA8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6CD6630A" w14:textId="1AC3563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-0.09</w:t>
            </w:r>
          </w:p>
        </w:tc>
        <w:tc>
          <w:tcPr>
            <w:tcW w:w="1188" w:type="dxa"/>
            <w:vAlign w:val="bottom"/>
          </w:tcPr>
          <w:p w14:paraId="011059F8" w14:textId="52CFC90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0.94</w:t>
            </w:r>
          </w:p>
        </w:tc>
      </w:tr>
      <w:tr w:rsidR="00326A9C" w:rsidRPr="000976AC" w14:paraId="703CA6C9" w14:textId="6B5837AA" w:rsidTr="00326A9C">
        <w:tc>
          <w:tcPr>
            <w:tcW w:w="7285" w:type="dxa"/>
          </w:tcPr>
          <w:p w14:paraId="1BD9090B" w14:textId="5DF35814"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EDI–2</w:t>
            </w:r>
            <w:r w:rsidRPr="000976AC">
              <w:rPr>
                <w:rFonts w:ascii="Times New Roman" w:hAnsi="Times New Roman" w:cs="Times New Roman"/>
                <w:sz w:val="20"/>
                <w:szCs w:val="20"/>
              </w:rPr>
              <w:t xml:space="preserve"> Interpersonal Distrust (standardized)</w:t>
            </w:r>
          </w:p>
        </w:tc>
        <w:tc>
          <w:tcPr>
            <w:tcW w:w="1188" w:type="dxa"/>
            <w:vAlign w:val="bottom"/>
          </w:tcPr>
          <w:p w14:paraId="6987E560" w14:textId="0861241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258E5349" w14:textId="11B1249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0.87</w:t>
            </w:r>
          </w:p>
        </w:tc>
        <w:tc>
          <w:tcPr>
            <w:tcW w:w="1188" w:type="dxa"/>
            <w:vAlign w:val="bottom"/>
          </w:tcPr>
          <w:p w14:paraId="13C513AC" w14:textId="4CAEC2A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2DEF6A7D" w14:textId="676E968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-1.01</w:t>
            </w:r>
          </w:p>
        </w:tc>
        <w:tc>
          <w:tcPr>
            <w:tcW w:w="1188" w:type="dxa"/>
            <w:vAlign w:val="bottom"/>
          </w:tcPr>
          <w:p w14:paraId="325C53EB" w14:textId="18917750"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0.32</w:t>
            </w:r>
          </w:p>
        </w:tc>
      </w:tr>
      <w:tr w:rsidR="00326A9C" w:rsidRPr="000976AC" w14:paraId="203B38D2" w14:textId="1B0C379D" w:rsidTr="00326A9C">
        <w:tc>
          <w:tcPr>
            <w:tcW w:w="7285" w:type="dxa"/>
          </w:tcPr>
          <w:p w14:paraId="61D76B46" w14:textId="5EEB40A6"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EDI–2</w:t>
            </w:r>
            <w:r w:rsidRPr="000976AC">
              <w:rPr>
                <w:rFonts w:ascii="Times New Roman" w:hAnsi="Times New Roman" w:cs="Times New Roman"/>
                <w:sz w:val="20"/>
                <w:szCs w:val="20"/>
              </w:rPr>
              <w:t xml:space="preserve"> Interoceptive Awareness (standardized)</w:t>
            </w:r>
          </w:p>
        </w:tc>
        <w:tc>
          <w:tcPr>
            <w:tcW w:w="1188" w:type="dxa"/>
            <w:vAlign w:val="bottom"/>
          </w:tcPr>
          <w:p w14:paraId="0C95D62D" w14:textId="1F9AE95E"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-0.06</w:t>
            </w:r>
          </w:p>
        </w:tc>
        <w:tc>
          <w:tcPr>
            <w:tcW w:w="1188" w:type="dxa"/>
            <w:vAlign w:val="bottom"/>
          </w:tcPr>
          <w:p w14:paraId="7506A784" w14:textId="14F7828F"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0.95</w:t>
            </w:r>
          </w:p>
        </w:tc>
        <w:tc>
          <w:tcPr>
            <w:tcW w:w="1188" w:type="dxa"/>
            <w:vAlign w:val="bottom"/>
          </w:tcPr>
          <w:p w14:paraId="62687211" w14:textId="37508F6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0C90D372" w14:textId="289ABAB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-0.37</w:t>
            </w:r>
          </w:p>
        </w:tc>
        <w:tc>
          <w:tcPr>
            <w:tcW w:w="1188" w:type="dxa"/>
            <w:vAlign w:val="bottom"/>
          </w:tcPr>
          <w:p w14:paraId="3EBE4253" w14:textId="52FAA758"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0.72</w:t>
            </w:r>
          </w:p>
        </w:tc>
      </w:tr>
      <w:tr w:rsidR="00326A9C" w:rsidRPr="000976AC" w14:paraId="57382A55" w14:textId="24033E26" w:rsidTr="00326A9C">
        <w:tc>
          <w:tcPr>
            <w:tcW w:w="7285" w:type="dxa"/>
          </w:tcPr>
          <w:p w14:paraId="1AFF8258" w14:textId="0B15388B" w:rsidR="00326A9C" w:rsidRPr="000976AC" w:rsidRDefault="00326A9C" w:rsidP="00E579A3">
            <w:pPr>
              <w:spacing w:line="480" w:lineRule="auto"/>
              <w:rPr>
                <w:rFonts w:ascii="Times New Roman" w:hAnsi="Times New Roman" w:cs="Times New Roman"/>
                <w:sz w:val="20"/>
                <w:szCs w:val="20"/>
              </w:rPr>
            </w:pPr>
            <w:r>
              <w:rPr>
                <w:rFonts w:ascii="Times New Roman" w:hAnsi="Times New Roman" w:cs="Times New Roman"/>
                <w:sz w:val="20"/>
                <w:szCs w:val="20"/>
              </w:rPr>
              <w:t>EDI–2</w:t>
            </w:r>
            <w:r w:rsidRPr="000976AC">
              <w:rPr>
                <w:rFonts w:ascii="Times New Roman" w:hAnsi="Times New Roman" w:cs="Times New Roman"/>
                <w:sz w:val="20"/>
                <w:szCs w:val="20"/>
              </w:rPr>
              <w:t xml:space="preserve"> Maturity Fears (standardized)</w:t>
            </w:r>
          </w:p>
        </w:tc>
        <w:tc>
          <w:tcPr>
            <w:tcW w:w="1188" w:type="dxa"/>
            <w:vAlign w:val="bottom"/>
          </w:tcPr>
          <w:p w14:paraId="02123BE2" w14:textId="74F2CE21"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0.06</w:t>
            </w:r>
          </w:p>
        </w:tc>
        <w:tc>
          <w:tcPr>
            <w:tcW w:w="1188" w:type="dxa"/>
            <w:vAlign w:val="bottom"/>
          </w:tcPr>
          <w:p w14:paraId="38B6B147" w14:textId="21DACF2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1.06</w:t>
            </w:r>
          </w:p>
        </w:tc>
        <w:tc>
          <w:tcPr>
            <w:tcW w:w="1188" w:type="dxa"/>
            <w:vAlign w:val="bottom"/>
          </w:tcPr>
          <w:p w14:paraId="2C477DD3" w14:textId="518B602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0.15</w:t>
            </w:r>
          </w:p>
        </w:tc>
        <w:tc>
          <w:tcPr>
            <w:tcW w:w="1188" w:type="dxa"/>
            <w:vAlign w:val="bottom"/>
          </w:tcPr>
          <w:p w14:paraId="167B1785" w14:textId="6AF58F6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0.41</w:t>
            </w:r>
          </w:p>
        </w:tc>
        <w:tc>
          <w:tcPr>
            <w:tcW w:w="1188" w:type="dxa"/>
            <w:vAlign w:val="bottom"/>
          </w:tcPr>
          <w:p w14:paraId="2B740309" w14:textId="698BB30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0.68</w:t>
            </w:r>
          </w:p>
        </w:tc>
      </w:tr>
      <w:tr w:rsidR="00326A9C" w:rsidRPr="000976AC" w14:paraId="07FDFA94" w14:textId="1CA531D6" w:rsidTr="00326A9C">
        <w:tc>
          <w:tcPr>
            <w:tcW w:w="7285" w:type="dxa"/>
          </w:tcPr>
          <w:p w14:paraId="20BCD9D8" w14:textId="32DF10B4" w:rsidR="00326A9C" w:rsidRPr="000976AC" w:rsidRDefault="008A73EA" w:rsidP="00E579A3">
            <w:pPr>
              <w:spacing w:line="480" w:lineRule="auto"/>
              <w:rPr>
                <w:rFonts w:ascii="Times New Roman" w:hAnsi="Times New Roman" w:cs="Times New Roman"/>
                <w:sz w:val="20"/>
                <w:szCs w:val="20"/>
              </w:rPr>
            </w:pPr>
            <w:r>
              <w:rPr>
                <w:rFonts w:ascii="Times New Roman" w:hAnsi="Times New Roman" w:cs="Times New Roman"/>
                <w:sz w:val="20"/>
                <w:szCs w:val="20"/>
              </w:rPr>
              <w:t>TFEQ</w:t>
            </w:r>
            <w:r w:rsidR="00326A9C" w:rsidRPr="000976AC">
              <w:rPr>
                <w:rFonts w:ascii="Times New Roman" w:hAnsi="Times New Roman" w:cs="Times New Roman"/>
                <w:sz w:val="20"/>
                <w:szCs w:val="20"/>
              </w:rPr>
              <w:t xml:space="preserve"> Dietary Restraint</w:t>
            </w:r>
            <w:r w:rsidR="00326A9C">
              <w:rPr>
                <w:rFonts w:ascii="Times New Roman" w:hAnsi="Times New Roman" w:cs="Times New Roman"/>
                <w:sz w:val="20"/>
                <w:szCs w:val="20"/>
              </w:rPr>
              <w:t xml:space="preserve"> </w:t>
            </w:r>
            <w:r w:rsidR="00326A9C" w:rsidRPr="000976AC">
              <w:rPr>
                <w:rFonts w:ascii="Times New Roman" w:hAnsi="Times New Roman" w:cs="Times New Roman"/>
                <w:sz w:val="20"/>
                <w:szCs w:val="20"/>
              </w:rPr>
              <w:t>(standardized)</w:t>
            </w:r>
            <w:r w:rsidR="00326A9C">
              <w:rPr>
                <w:rFonts w:ascii="Times New Roman" w:hAnsi="Times New Roman" w:cs="Times New Roman"/>
                <w:sz w:val="20"/>
                <w:szCs w:val="20"/>
              </w:rPr>
              <w:t>*</w:t>
            </w:r>
          </w:p>
        </w:tc>
        <w:tc>
          <w:tcPr>
            <w:tcW w:w="1188" w:type="dxa"/>
            <w:vAlign w:val="bottom"/>
          </w:tcPr>
          <w:p w14:paraId="00C07071" w14:textId="2F5F94AB"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0.09</w:t>
            </w:r>
          </w:p>
        </w:tc>
        <w:tc>
          <w:tcPr>
            <w:tcW w:w="1188" w:type="dxa"/>
            <w:vAlign w:val="bottom"/>
          </w:tcPr>
          <w:p w14:paraId="625748B1" w14:textId="00D7336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1.10</w:t>
            </w:r>
          </w:p>
        </w:tc>
        <w:tc>
          <w:tcPr>
            <w:tcW w:w="1188" w:type="dxa"/>
            <w:vAlign w:val="bottom"/>
          </w:tcPr>
          <w:p w14:paraId="62E8EBCA" w14:textId="33547E71"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01461E7C" w14:textId="4B83804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0.69</w:t>
            </w:r>
          </w:p>
        </w:tc>
        <w:tc>
          <w:tcPr>
            <w:tcW w:w="1188" w:type="dxa"/>
            <w:vAlign w:val="bottom"/>
          </w:tcPr>
          <w:p w14:paraId="08758FC0" w14:textId="0EDD0BB9"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0.49</w:t>
            </w:r>
          </w:p>
        </w:tc>
      </w:tr>
      <w:tr w:rsidR="00326A9C" w:rsidRPr="000976AC" w14:paraId="744DEA3C" w14:textId="21186449" w:rsidTr="00326A9C">
        <w:tc>
          <w:tcPr>
            <w:tcW w:w="7285" w:type="dxa"/>
          </w:tcPr>
          <w:p w14:paraId="3582C1B4" w14:textId="59CBF0AE" w:rsidR="00326A9C" w:rsidRPr="000976AC" w:rsidRDefault="008A73EA" w:rsidP="00E579A3">
            <w:pPr>
              <w:spacing w:line="480" w:lineRule="auto"/>
              <w:rPr>
                <w:rFonts w:ascii="Times New Roman" w:hAnsi="Times New Roman" w:cs="Times New Roman"/>
                <w:sz w:val="20"/>
                <w:szCs w:val="20"/>
              </w:rPr>
            </w:pPr>
            <w:r>
              <w:rPr>
                <w:rFonts w:ascii="Times New Roman" w:hAnsi="Times New Roman" w:cs="Times New Roman"/>
                <w:sz w:val="20"/>
                <w:szCs w:val="20"/>
              </w:rPr>
              <w:t>TFEQ</w:t>
            </w:r>
            <w:r w:rsidR="00326A9C" w:rsidRPr="000976AC">
              <w:rPr>
                <w:rFonts w:ascii="Times New Roman" w:hAnsi="Times New Roman" w:cs="Times New Roman"/>
                <w:sz w:val="20"/>
                <w:szCs w:val="20"/>
              </w:rPr>
              <w:t xml:space="preserve"> Disinhibition (standardized)</w:t>
            </w:r>
            <w:r w:rsidR="00326A9C">
              <w:rPr>
                <w:rFonts w:ascii="Times New Roman" w:hAnsi="Times New Roman" w:cs="Times New Roman"/>
                <w:sz w:val="20"/>
                <w:szCs w:val="20"/>
              </w:rPr>
              <w:t>*</w:t>
            </w:r>
          </w:p>
        </w:tc>
        <w:tc>
          <w:tcPr>
            <w:tcW w:w="1188" w:type="dxa"/>
            <w:vAlign w:val="bottom"/>
          </w:tcPr>
          <w:p w14:paraId="1573AE50" w14:textId="5117693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-0.16</w:t>
            </w:r>
          </w:p>
        </w:tc>
        <w:tc>
          <w:tcPr>
            <w:tcW w:w="1188" w:type="dxa"/>
            <w:vAlign w:val="bottom"/>
          </w:tcPr>
          <w:p w14:paraId="3140E861" w14:textId="0A2C0E8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0.85</w:t>
            </w:r>
          </w:p>
        </w:tc>
        <w:tc>
          <w:tcPr>
            <w:tcW w:w="1188" w:type="dxa"/>
            <w:vAlign w:val="bottom"/>
          </w:tcPr>
          <w:p w14:paraId="546B5A5C" w14:textId="4029B75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0.13</w:t>
            </w:r>
          </w:p>
        </w:tc>
        <w:tc>
          <w:tcPr>
            <w:tcW w:w="1188" w:type="dxa"/>
            <w:vAlign w:val="bottom"/>
          </w:tcPr>
          <w:p w14:paraId="423EC6E3" w14:textId="1B6ADE65"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-1.29</w:t>
            </w:r>
          </w:p>
        </w:tc>
        <w:tc>
          <w:tcPr>
            <w:tcW w:w="1188" w:type="dxa"/>
            <w:vAlign w:val="bottom"/>
          </w:tcPr>
          <w:p w14:paraId="3FCC0C73" w14:textId="6DE28A1A"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0.20</w:t>
            </w:r>
          </w:p>
        </w:tc>
      </w:tr>
      <w:tr w:rsidR="00326A9C" w:rsidRPr="000976AC" w14:paraId="1E65A319" w14:textId="12068001" w:rsidTr="00326A9C">
        <w:tc>
          <w:tcPr>
            <w:tcW w:w="7285" w:type="dxa"/>
          </w:tcPr>
          <w:p w14:paraId="6C1FE373" w14:textId="51081D41" w:rsidR="00326A9C" w:rsidRPr="000976AC" w:rsidRDefault="008A73EA" w:rsidP="00E579A3">
            <w:pPr>
              <w:spacing w:line="480" w:lineRule="auto"/>
              <w:rPr>
                <w:rFonts w:ascii="Times New Roman" w:hAnsi="Times New Roman" w:cs="Times New Roman"/>
                <w:sz w:val="20"/>
                <w:szCs w:val="20"/>
              </w:rPr>
            </w:pPr>
            <w:r>
              <w:rPr>
                <w:rFonts w:ascii="Times New Roman" w:hAnsi="Times New Roman" w:cs="Times New Roman"/>
                <w:sz w:val="20"/>
                <w:szCs w:val="20"/>
              </w:rPr>
              <w:t>TFEQ</w:t>
            </w:r>
            <w:r w:rsidR="00326A9C" w:rsidRPr="000976AC">
              <w:rPr>
                <w:rFonts w:ascii="Times New Roman" w:hAnsi="Times New Roman" w:cs="Times New Roman"/>
                <w:sz w:val="20"/>
                <w:szCs w:val="20"/>
              </w:rPr>
              <w:t xml:space="preserve"> Hunger (standardized)</w:t>
            </w:r>
            <w:r w:rsidR="00326A9C">
              <w:rPr>
                <w:rFonts w:ascii="Times New Roman" w:hAnsi="Times New Roman" w:cs="Times New Roman"/>
                <w:sz w:val="20"/>
                <w:szCs w:val="20"/>
              </w:rPr>
              <w:t>*</w:t>
            </w:r>
          </w:p>
        </w:tc>
        <w:tc>
          <w:tcPr>
            <w:tcW w:w="1188" w:type="dxa"/>
            <w:vAlign w:val="bottom"/>
          </w:tcPr>
          <w:p w14:paraId="3049395F" w14:textId="26D8F73D"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-0.11</w:t>
            </w:r>
          </w:p>
        </w:tc>
        <w:tc>
          <w:tcPr>
            <w:tcW w:w="1188" w:type="dxa"/>
            <w:vAlign w:val="bottom"/>
          </w:tcPr>
          <w:p w14:paraId="30863762" w14:textId="6C91B94C"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0.89</w:t>
            </w:r>
          </w:p>
        </w:tc>
        <w:tc>
          <w:tcPr>
            <w:tcW w:w="1188" w:type="dxa"/>
            <w:vAlign w:val="bottom"/>
          </w:tcPr>
          <w:p w14:paraId="1994A74A" w14:textId="69ED7596"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0.14</w:t>
            </w:r>
          </w:p>
        </w:tc>
        <w:tc>
          <w:tcPr>
            <w:tcW w:w="1188" w:type="dxa"/>
            <w:vAlign w:val="bottom"/>
          </w:tcPr>
          <w:p w14:paraId="026B81F7" w14:textId="55C4D927"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-0.81</w:t>
            </w:r>
          </w:p>
        </w:tc>
        <w:tc>
          <w:tcPr>
            <w:tcW w:w="1188" w:type="dxa"/>
            <w:vAlign w:val="bottom"/>
          </w:tcPr>
          <w:p w14:paraId="1E69733E" w14:textId="7BCB88F4" w:rsidR="00326A9C" w:rsidRPr="000A7ED7" w:rsidRDefault="00326A9C" w:rsidP="000A7ED7">
            <w:pPr>
              <w:spacing w:line="480" w:lineRule="auto"/>
              <w:jc w:val="center"/>
              <w:rPr>
                <w:rFonts w:ascii="Times New Roman" w:hAnsi="Times New Roman" w:cs="Times New Roman"/>
                <w:sz w:val="16"/>
                <w:szCs w:val="16"/>
              </w:rPr>
            </w:pPr>
            <w:r w:rsidRPr="000A7ED7">
              <w:rPr>
                <w:rFonts w:ascii="Times New Roman" w:hAnsi="Times New Roman" w:cs="Times New Roman"/>
                <w:color w:val="000000"/>
                <w:sz w:val="16"/>
                <w:szCs w:val="16"/>
              </w:rPr>
              <w:t>0.42</w:t>
            </w:r>
          </w:p>
        </w:tc>
      </w:tr>
    </w:tbl>
    <w:p w14:paraId="3C2EB459" w14:textId="0021AA1B" w:rsidR="00D46DDF" w:rsidRPr="000976AC" w:rsidRDefault="00D46DDF" w:rsidP="00D46DDF">
      <w:pPr>
        <w:spacing w:line="480" w:lineRule="auto"/>
        <w:ind w:left="180" w:hanging="180"/>
        <w:rPr>
          <w:rFonts w:ascii="Times New Roman" w:hAnsi="Times New Roman" w:cs="Times New Roman"/>
          <w:sz w:val="20"/>
          <w:szCs w:val="20"/>
        </w:rPr>
      </w:pPr>
      <w:r w:rsidRPr="000976AC">
        <w:rPr>
          <w:rFonts w:ascii="Times New Roman" w:hAnsi="Times New Roman" w:cs="Times New Roman"/>
          <w:sz w:val="20"/>
          <w:szCs w:val="20"/>
        </w:rPr>
        <w:t xml:space="preserve">Abbreviations: BED = binge-eating disorder; </w:t>
      </w:r>
      <w:r w:rsidR="00A75A8A">
        <w:rPr>
          <w:rFonts w:ascii="Times New Roman" w:hAnsi="Times New Roman" w:cs="Times New Roman"/>
          <w:sz w:val="20"/>
          <w:szCs w:val="20"/>
        </w:rPr>
        <w:t>BIS</w:t>
      </w:r>
      <w:r w:rsidR="00A75A8A" w:rsidRPr="00A75A8A">
        <w:rPr>
          <w:rFonts w:ascii="Times New Roman" w:hAnsi="Times New Roman" w:cs="Times New Roman"/>
          <w:sz w:val="20"/>
          <w:szCs w:val="20"/>
        </w:rPr>
        <w:t xml:space="preserve">–11 </w:t>
      </w:r>
      <w:r w:rsidR="00A75A8A">
        <w:rPr>
          <w:rFonts w:ascii="Times New Roman" w:hAnsi="Times New Roman" w:cs="Times New Roman"/>
          <w:sz w:val="20"/>
          <w:szCs w:val="20"/>
        </w:rPr>
        <w:t xml:space="preserve">= </w:t>
      </w:r>
      <w:r w:rsidR="00A75A8A" w:rsidRPr="00A75A8A">
        <w:rPr>
          <w:rFonts w:ascii="Times New Roman" w:hAnsi="Times New Roman" w:cs="Times New Roman"/>
          <w:sz w:val="20"/>
          <w:szCs w:val="20"/>
        </w:rPr>
        <w:t>Barratt Impulsiveness Scale – 11</w:t>
      </w:r>
      <w:r w:rsidR="00A75A8A">
        <w:rPr>
          <w:rFonts w:ascii="Times New Roman" w:hAnsi="Times New Roman" w:cs="Times New Roman"/>
          <w:sz w:val="20"/>
          <w:szCs w:val="20"/>
        </w:rPr>
        <w:t>;</w:t>
      </w:r>
      <w:r w:rsidR="00A75A8A" w:rsidRPr="00A75A8A">
        <w:rPr>
          <w:rFonts w:ascii="Times New Roman" w:hAnsi="Times New Roman" w:cs="Times New Roman"/>
          <w:sz w:val="20"/>
          <w:szCs w:val="20"/>
        </w:rPr>
        <w:t xml:space="preserve"> </w:t>
      </w:r>
      <w:r w:rsidRPr="000976AC">
        <w:rPr>
          <w:rFonts w:ascii="Times New Roman" w:hAnsi="Times New Roman" w:cs="Times New Roman"/>
          <w:sz w:val="20"/>
          <w:szCs w:val="20"/>
        </w:rPr>
        <w:t xml:space="preserve">BMI = body mass index; </w:t>
      </w:r>
      <w:proofErr w:type="spellStart"/>
      <w:r w:rsidR="00CE7B60" w:rsidRPr="000976AC">
        <w:rPr>
          <w:rFonts w:ascii="Times New Roman" w:hAnsi="Times New Roman" w:cs="Times New Roman"/>
          <w:sz w:val="20"/>
          <w:szCs w:val="20"/>
        </w:rPr>
        <w:t>Coef</w:t>
      </w:r>
      <w:proofErr w:type="spellEnd"/>
      <w:r w:rsidR="00CE7B60" w:rsidRPr="000976AC">
        <w:rPr>
          <w:rFonts w:ascii="Times New Roman" w:hAnsi="Times New Roman" w:cs="Times New Roman"/>
          <w:sz w:val="20"/>
          <w:szCs w:val="20"/>
        </w:rPr>
        <w:t xml:space="preserve"> = coefficient; </w:t>
      </w:r>
      <w:r w:rsidR="000C4B21">
        <w:rPr>
          <w:rFonts w:ascii="Times New Roman" w:hAnsi="Times New Roman" w:cs="Times New Roman"/>
          <w:sz w:val="20"/>
          <w:szCs w:val="20"/>
        </w:rPr>
        <w:t>EDI</w:t>
      </w:r>
      <w:r w:rsidR="000C4B21" w:rsidRPr="000976AC">
        <w:rPr>
          <w:rFonts w:ascii="Times New Roman" w:hAnsi="Times New Roman" w:cs="Times New Roman"/>
          <w:sz w:val="20"/>
          <w:szCs w:val="20"/>
        </w:rPr>
        <w:t>–2</w:t>
      </w:r>
      <w:r w:rsidR="000C4B21">
        <w:rPr>
          <w:rFonts w:ascii="Times New Roman" w:hAnsi="Times New Roman" w:cs="Times New Roman"/>
          <w:sz w:val="20"/>
          <w:szCs w:val="20"/>
        </w:rPr>
        <w:t xml:space="preserve"> = </w:t>
      </w:r>
      <w:r w:rsidR="00932E71" w:rsidRPr="000976AC">
        <w:rPr>
          <w:rFonts w:ascii="Times New Roman" w:hAnsi="Times New Roman" w:cs="Times New Roman"/>
          <w:sz w:val="20"/>
          <w:szCs w:val="20"/>
        </w:rPr>
        <w:t>Eating Disorder Inventory – 2</w:t>
      </w:r>
      <w:r w:rsidR="00932E71">
        <w:rPr>
          <w:rFonts w:ascii="Times New Roman" w:hAnsi="Times New Roman" w:cs="Times New Roman"/>
          <w:sz w:val="20"/>
          <w:szCs w:val="20"/>
        </w:rPr>
        <w:t xml:space="preserve">; </w:t>
      </w:r>
      <w:r w:rsidR="00CE7B60" w:rsidRPr="000976AC">
        <w:rPr>
          <w:rFonts w:ascii="Times New Roman" w:hAnsi="Times New Roman" w:cs="Times New Roman"/>
          <w:sz w:val="20"/>
          <w:szCs w:val="20"/>
        </w:rPr>
        <w:t>SE = standard error</w:t>
      </w:r>
      <w:r w:rsidR="00A44950">
        <w:rPr>
          <w:rFonts w:ascii="Times New Roman" w:hAnsi="Times New Roman" w:cs="Times New Roman"/>
          <w:sz w:val="20"/>
          <w:szCs w:val="20"/>
        </w:rPr>
        <w:t xml:space="preserve">; TFEQ = </w:t>
      </w:r>
      <w:r w:rsidR="00A44950" w:rsidRPr="000976AC">
        <w:rPr>
          <w:rFonts w:ascii="Times New Roman" w:hAnsi="Times New Roman" w:cs="Times New Roman"/>
          <w:sz w:val="20"/>
          <w:szCs w:val="20"/>
        </w:rPr>
        <w:t>Three Factor Eating Questionnaire</w:t>
      </w:r>
    </w:p>
    <w:p w14:paraId="0292B026" w14:textId="67E990A3" w:rsidR="00F93C7F" w:rsidRPr="000976AC" w:rsidRDefault="00F93C7F" w:rsidP="00F93C7F">
      <w:pPr>
        <w:spacing w:line="480" w:lineRule="auto"/>
        <w:ind w:left="180" w:hanging="180"/>
        <w:rPr>
          <w:rFonts w:ascii="Times New Roman" w:hAnsi="Times New Roman" w:cs="Times New Roman"/>
          <w:sz w:val="20"/>
          <w:szCs w:val="20"/>
          <w:vertAlign w:val="superscript"/>
        </w:rPr>
      </w:pPr>
      <w:proofErr w:type="spellStart"/>
      <w:r>
        <w:rPr>
          <w:rFonts w:ascii="Times New Roman" w:hAnsi="Times New Roman" w:cs="Times New Roman"/>
          <w:sz w:val="20"/>
          <w:szCs w:val="20"/>
          <w:vertAlign w:val="superscript"/>
        </w:rPr>
        <w:t>a</w:t>
      </w:r>
      <w:proofErr w:type="spellEnd"/>
      <w:r w:rsidRPr="000976AC">
        <w:rPr>
          <w:rFonts w:ascii="Times New Roman" w:hAnsi="Times New Roman" w:cs="Times New Roman"/>
          <w:sz w:val="20"/>
          <w:szCs w:val="20"/>
          <w:vertAlign w:val="superscript"/>
        </w:rPr>
        <w:t xml:space="preserve"> </w:t>
      </w:r>
      <w:proofErr w:type="gramStart"/>
      <w:r>
        <w:rPr>
          <w:rFonts w:ascii="Times New Roman" w:hAnsi="Times New Roman" w:cs="Times New Roman"/>
          <w:sz w:val="20"/>
          <w:szCs w:val="20"/>
        </w:rPr>
        <w:t>For</w:t>
      </w:r>
      <w:proofErr w:type="gramEnd"/>
      <w:r>
        <w:rPr>
          <w:rFonts w:ascii="Times New Roman" w:hAnsi="Times New Roman" w:cs="Times New Roman"/>
          <w:sz w:val="20"/>
          <w:szCs w:val="20"/>
        </w:rPr>
        <w:t xml:space="preserve"> </w:t>
      </w:r>
      <w:r w:rsidR="00EB39A8">
        <w:rPr>
          <w:rFonts w:ascii="Times New Roman" w:hAnsi="Times New Roman" w:cs="Times New Roman"/>
          <w:sz w:val="20"/>
          <w:szCs w:val="20"/>
        </w:rPr>
        <w:t xml:space="preserve">continuous predictors, the original unit of measure (before standardization) is listed first within the parentheses. For </w:t>
      </w:r>
      <w:r>
        <w:rPr>
          <w:rFonts w:ascii="Times New Roman" w:hAnsi="Times New Roman" w:cs="Times New Roman"/>
          <w:sz w:val="20"/>
          <w:szCs w:val="20"/>
        </w:rPr>
        <w:t xml:space="preserve">categorical predictors, the relevant categories are listed within square brackets, with the reference (i.e., most prevalent) category listed </w:t>
      </w:r>
      <w:r w:rsidR="009D6AE9">
        <w:rPr>
          <w:rFonts w:ascii="Times New Roman" w:hAnsi="Times New Roman" w:cs="Times New Roman"/>
          <w:sz w:val="20"/>
          <w:szCs w:val="20"/>
        </w:rPr>
        <w:t>second</w:t>
      </w:r>
      <w:r>
        <w:rPr>
          <w:rFonts w:ascii="Times New Roman" w:hAnsi="Times New Roman" w:cs="Times New Roman"/>
          <w:sz w:val="20"/>
          <w:szCs w:val="20"/>
        </w:rPr>
        <w:t xml:space="preserve">. </w:t>
      </w:r>
    </w:p>
    <w:p w14:paraId="5DF2D168" w14:textId="54202AA8" w:rsidR="00D46DDF" w:rsidRPr="000976AC" w:rsidRDefault="00A6598F" w:rsidP="00D46DDF">
      <w:pPr>
        <w:spacing w:line="480" w:lineRule="auto"/>
        <w:ind w:left="180" w:hanging="180"/>
        <w:rPr>
          <w:rFonts w:ascii="Times New Roman" w:hAnsi="Times New Roman" w:cs="Times New Roman"/>
          <w:sz w:val="20"/>
          <w:szCs w:val="20"/>
          <w:vertAlign w:val="superscript"/>
        </w:rPr>
      </w:pPr>
      <w:r>
        <w:rPr>
          <w:rFonts w:ascii="Times New Roman" w:hAnsi="Times New Roman" w:cs="Times New Roman"/>
          <w:sz w:val="20"/>
          <w:szCs w:val="20"/>
          <w:vertAlign w:val="superscript"/>
        </w:rPr>
        <w:t>b</w:t>
      </w:r>
      <w:r w:rsidR="00D46DDF" w:rsidRPr="000976AC">
        <w:rPr>
          <w:rFonts w:ascii="Times New Roman" w:hAnsi="Times New Roman" w:cs="Times New Roman"/>
          <w:sz w:val="20"/>
          <w:szCs w:val="20"/>
          <w:vertAlign w:val="superscript"/>
        </w:rPr>
        <w:t xml:space="preserve"> </w:t>
      </w:r>
      <w:r w:rsidR="00D46DDF" w:rsidRPr="000976AC">
        <w:rPr>
          <w:rFonts w:ascii="Times New Roman" w:hAnsi="Times New Roman" w:cs="Times New Roman"/>
          <w:sz w:val="20"/>
          <w:szCs w:val="20"/>
        </w:rPr>
        <w:t xml:space="preserve">BMI Suppression defined as Highest </w:t>
      </w:r>
      <w:r w:rsidR="006F20E7">
        <w:rPr>
          <w:rFonts w:ascii="Times New Roman" w:hAnsi="Times New Roman" w:cs="Times New Roman"/>
          <w:sz w:val="20"/>
          <w:szCs w:val="20"/>
        </w:rPr>
        <w:t xml:space="preserve">Lifetime </w:t>
      </w:r>
      <w:r w:rsidR="00D46DDF" w:rsidRPr="000976AC">
        <w:rPr>
          <w:rFonts w:ascii="Times New Roman" w:hAnsi="Times New Roman" w:cs="Times New Roman"/>
          <w:sz w:val="20"/>
          <w:szCs w:val="20"/>
        </w:rPr>
        <w:t xml:space="preserve">BMI – </w:t>
      </w:r>
      <w:r w:rsidR="0010395F">
        <w:rPr>
          <w:rFonts w:ascii="Times New Roman" w:hAnsi="Times New Roman" w:cs="Times New Roman"/>
          <w:sz w:val="20"/>
          <w:szCs w:val="20"/>
        </w:rPr>
        <w:t>Current</w:t>
      </w:r>
      <w:r w:rsidR="00D46DDF" w:rsidRPr="000976AC">
        <w:rPr>
          <w:rFonts w:ascii="Times New Roman" w:hAnsi="Times New Roman" w:cs="Times New Roman"/>
          <w:sz w:val="20"/>
          <w:szCs w:val="20"/>
        </w:rPr>
        <w:t xml:space="preserve"> BMI.</w:t>
      </w:r>
      <w:r w:rsidR="00D46DDF" w:rsidRPr="000976AC">
        <w:rPr>
          <w:rFonts w:ascii="Times New Roman" w:hAnsi="Times New Roman" w:cs="Times New Roman"/>
          <w:sz w:val="20"/>
          <w:szCs w:val="20"/>
          <w:vertAlign w:val="superscript"/>
        </w:rPr>
        <w:t xml:space="preserve"> </w:t>
      </w:r>
    </w:p>
    <w:p w14:paraId="47586097" w14:textId="3DC0F4B8" w:rsidR="00D46DDF" w:rsidRPr="000976AC" w:rsidRDefault="00A6598F" w:rsidP="00D46DDF">
      <w:pPr>
        <w:spacing w:line="480" w:lineRule="auto"/>
        <w:ind w:left="180" w:hanging="180"/>
        <w:rPr>
          <w:rFonts w:ascii="Times New Roman" w:hAnsi="Times New Roman" w:cs="Times New Roman"/>
          <w:sz w:val="20"/>
          <w:szCs w:val="20"/>
        </w:rPr>
      </w:pPr>
      <w:r>
        <w:rPr>
          <w:rFonts w:ascii="Times New Roman" w:hAnsi="Times New Roman" w:cs="Times New Roman"/>
          <w:sz w:val="20"/>
          <w:szCs w:val="20"/>
          <w:vertAlign w:val="superscript"/>
        </w:rPr>
        <w:t>c</w:t>
      </w:r>
      <w:r w:rsidR="00D46DDF" w:rsidRPr="000976AC">
        <w:rPr>
          <w:rFonts w:ascii="Times New Roman" w:hAnsi="Times New Roman" w:cs="Times New Roman"/>
          <w:sz w:val="20"/>
          <w:szCs w:val="20"/>
        </w:rPr>
        <w:t xml:space="preserve"> BED Family History defined as the proportion of the participant’s interviewed relatives who met criteria for (full) DSM-IV BED based on the SCID-IV at baseline. </w:t>
      </w:r>
    </w:p>
    <w:p w14:paraId="247E6A95" w14:textId="774DC68D" w:rsidR="00D46DDF" w:rsidRPr="000976AC" w:rsidRDefault="00A6598F" w:rsidP="00D46DDF">
      <w:pPr>
        <w:spacing w:line="480" w:lineRule="auto"/>
        <w:ind w:left="180" w:hanging="180"/>
        <w:rPr>
          <w:rFonts w:ascii="Times New Roman" w:hAnsi="Times New Roman" w:cs="Times New Roman"/>
          <w:sz w:val="20"/>
          <w:szCs w:val="20"/>
        </w:rPr>
      </w:pPr>
      <w:r>
        <w:rPr>
          <w:rFonts w:ascii="Times New Roman" w:hAnsi="Times New Roman" w:cs="Times New Roman"/>
          <w:sz w:val="20"/>
          <w:szCs w:val="20"/>
          <w:vertAlign w:val="superscript"/>
        </w:rPr>
        <w:t>c</w:t>
      </w:r>
      <w:r w:rsidR="00D46DDF" w:rsidRPr="000976AC">
        <w:rPr>
          <w:rFonts w:ascii="Times New Roman" w:hAnsi="Times New Roman" w:cs="Times New Roman"/>
          <w:sz w:val="20"/>
          <w:szCs w:val="20"/>
        </w:rPr>
        <w:t xml:space="preserve"> Past Bulimia Nervosa defined as meeting criteria for DSM-IV bulimia nervosa. </w:t>
      </w:r>
    </w:p>
    <w:p w14:paraId="20CB94EC" w14:textId="57826789" w:rsidR="00D46DDF" w:rsidRPr="000976AC" w:rsidRDefault="00A6598F" w:rsidP="00D46DDF">
      <w:pPr>
        <w:spacing w:line="480" w:lineRule="auto"/>
        <w:ind w:left="180" w:hanging="180"/>
        <w:rPr>
          <w:rFonts w:ascii="Times New Roman" w:hAnsi="Times New Roman" w:cs="Times New Roman"/>
          <w:sz w:val="20"/>
          <w:szCs w:val="20"/>
        </w:rPr>
      </w:pPr>
      <w:r>
        <w:rPr>
          <w:rFonts w:ascii="Times New Roman" w:hAnsi="Times New Roman" w:cs="Times New Roman"/>
          <w:sz w:val="20"/>
          <w:szCs w:val="20"/>
          <w:vertAlign w:val="superscript"/>
        </w:rPr>
        <w:t>e</w:t>
      </w:r>
      <w:r w:rsidR="00D46DDF" w:rsidRPr="000976AC">
        <w:rPr>
          <w:rFonts w:ascii="Times New Roman" w:hAnsi="Times New Roman" w:cs="Times New Roman"/>
          <w:sz w:val="20"/>
          <w:szCs w:val="20"/>
        </w:rPr>
        <w:t xml:space="preserve"> Any Lifetime Substance Use Disorder defined as meeting criteria for any of the following lifetime DSM-IV disorders based on the SCID-IV: alcohol abuse; alcohol dependence; drug abuse; drug dependence. </w:t>
      </w:r>
    </w:p>
    <w:p w14:paraId="3D1CDD74" w14:textId="3FD605CF" w:rsidR="00D46DDF" w:rsidRPr="000976AC" w:rsidRDefault="00A6598F" w:rsidP="00D46DDF">
      <w:pPr>
        <w:spacing w:line="480" w:lineRule="auto"/>
        <w:ind w:left="180" w:hanging="180"/>
        <w:rPr>
          <w:rFonts w:ascii="Times New Roman" w:hAnsi="Times New Roman" w:cs="Times New Roman"/>
          <w:sz w:val="20"/>
          <w:szCs w:val="20"/>
        </w:rPr>
      </w:pPr>
      <w:r>
        <w:rPr>
          <w:rFonts w:ascii="Times New Roman" w:hAnsi="Times New Roman" w:cs="Times New Roman"/>
          <w:sz w:val="20"/>
          <w:szCs w:val="20"/>
          <w:vertAlign w:val="superscript"/>
        </w:rPr>
        <w:t>f</w:t>
      </w:r>
      <w:r w:rsidR="00D46DDF" w:rsidRPr="000976AC">
        <w:rPr>
          <w:rFonts w:ascii="Times New Roman" w:hAnsi="Times New Roman" w:cs="Times New Roman"/>
          <w:sz w:val="20"/>
          <w:szCs w:val="20"/>
        </w:rPr>
        <w:t xml:space="preserve"> Any Lifetime Major Anxiety Disorder defined as meeting criteria for any of the following lifetime DSM-IV disorders based on the SCID-IV: panic disorder without agoraphobia; panic disorder with agoraphobia; agoraphobia without panic disorder; social phobia; generalized anxiety disorder. </w:t>
      </w:r>
    </w:p>
    <w:p w14:paraId="17687C11" w14:textId="583DC807" w:rsidR="00D46DDF" w:rsidRDefault="00A6598F" w:rsidP="00D46DDF">
      <w:pPr>
        <w:spacing w:line="480" w:lineRule="auto"/>
        <w:ind w:left="180" w:hanging="180"/>
        <w:rPr>
          <w:rFonts w:ascii="Times New Roman" w:hAnsi="Times New Roman" w:cs="Times New Roman"/>
          <w:sz w:val="20"/>
          <w:szCs w:val="20"/>
        </w:rPr>
      </w:pPr>
      <w:r>
        <w:rPr>
          <w:rFonts w:ascii="Times New Roman" w:hAnsi="Times New Roman" w:cs="Times New Roman"/>
          <w:sz w:val="20"/>
          <w:szCs w:val="20"/>
          <w:vertAlign w:val="superscript"/>
        </w:rPr>
        <w:t>g</w:t>
      </w:r>
      <w:r w:rsidR="00D46DDF" w:rsidRPr="000976AC">
        <w:rPr>
          <w:rFonts w:ascii="Times New Roman" w:hAnsi="Times New Roman" w:cs="Times New Roman"/>
          <w:sz w:val="20"/>
          <w:szCs w:val="20"/>
        </w:rPr>
        <w:t xml:space="preserve"> Any Lifetime Major Mood Disorder defined as meeting criteria for any of the following lifetime DSM-IV disorders based on the SCID-IV: bipolar I disorder; bipolar II disorder; major depressive disorder. </w:t>
      </w:r>
    </w:p>
    <w:p w14:paraId="295A3A83" w14:textId="26CF62C3" w:rsidR="00DC6856" w:rsidRPr="00195BD3" w:rsidRDefault="00622598" w:rsidP="00195BD3">
      <w:pPr>
        <w:spacing w:line="480" w:lineRule="auto"/>
        <w:ind w:left="180" w:hanging="180"/>
        <w:rPr>
          <w:rFonts w:ascii="Times New Roman" w:hAnsi="Times New Roman" w:cs="Times New Roman"/>
          <w:sz w:val="20"/>
          <w:szCs w:val="20"/>
        </w:rPr>
      </w:pPr>
      <w:r>
        <w:rPr>
          <w:rFonts w:ascii="Times New Roman" w:hAnsi="Times New Roman" w:cs="Times New Roman"/>
          <w:sz w:val="20"/>
          <w:szCs w:val="20"/>
        </w:rPr>
        <w:t xml:space="preserve">* Predictor included in </w:t>
      </w:r>
      <w:r w:rsidR="00A02B95">
        <w:rPr>
          <w:rFonts w:ascii="Times New Roman" w:hAnsi="Times New Roman" w:cs="Times New Roman"/>
          <w:sz w:val="20"/>
          <w:szCs w:val="20"/>
        </w:rPr>
        <w:t>Sensitivity Analyses</w:t>
      </w:r>
      <w:r>
        <w:rPr>
          <w:rFonts w:ascii="Times New Roman" w:hAnsi="Times New Roman" w:cs="Times New Roman"/>
          <w:sz w:val="20"/>
          <w:szCs w:val="20"/>
        </w:rPr>
        <w:t xml:space="preserve"> 3.</w:t>
      </w:r>
    </w:p>
    <w:p w14:paraId="5EB87B72" w14:textId="391730C0" w:rsidR="00B2687D" w:rsidRPr="000976AC" w:rsidRDefault="00B2687D" w:rsidP="00B2687D">
      <w:pPr>
        <w:spacing w:line="480" w:lineRule="auto"/>
        <w:rPr>
          <w:rFonts w:ascii="Times New Roman" w:hAnsi="Times New Roman" w:cs="Times New Roman"/>
        </w:rPr>
      </w:pPr>
      <w:r w:rsidRPr="00266CB8">
        <w:rPr>
          <w:rFonts w:ascii="Times New Roman" w:hAnsi="Times New Roman" w:cs="Times New Roman"/>
          <w:b/>
          <w:bCs/>
        </w:rPr>
        <w:lastRenderedPageBreak/>
        <w:t xml:space="preserve">Supplemental Figure 1. Distribution of </w:t>
      </w:r>
      <w:r w:rsidR="00774914" w:rsidRPr="00266CB8">
        <w:rPr>
          <w:rFonts w:ascii="Times New Roman" w:hAnsi="Times New Roman" w:cs="Times New Roman"/>
          <w:b/>
          <w:bCs/>
        </w:rPr>
        <w:t>Performance Statistics</w:t>
      </w:r>
      <w:r w:rsidRPr="00266CB8">
        <w:rPr>
          <w:rFonts w:ascii="Times New Roman" w:hAnsi="Times New Roman" w:cs="Times New Roman"/>
          <w:b/>
          <w:bCs/>
        </w:rPr>
        <w:t xml:space="preserve"> for Imputed Datasets, by Method (Machine Learning Main Analys</w:t>
      </w:r>
      <w:r w:rsidR="00A02B95">
        <w:rPr>
          <w:rFonts w:ascii="Times New Roman" w:hAnsi="Times New Roman" w:cs="Times New Roman"/>
          <w:b/>
          <w:bCs/>
        </w:rPr>
        <w:t>e</w:t>
      </w:r>
      <w:r w:rsidRPr="00266CB8">
        <w:rPr>
          <w:rFonts w:ascii="Times New Roman" w:hAnsi="Times New Roman" w:cs="Times New Roman"/>
          <w:b/>
          <w:bCs/>
        </w:rPr>
        <w:t>s).</w:t>
      </w:r>
      <w:r w:rsidRPr="000976AC">
        <w:rPr>
          <w:rFonts w:ascii="Times New Roman" w:hAnsi="Times New Roman" w:cs="Times New Roman"/>
          <w:b/>
          <w:bCs/>
        </w:rPr>
        <w:t xml:space="preserve"> </w:t>
      </w:r>
      <w:r w:rsidRPr="000976AC">
        <w:rPr>
          <w:rFonts w:ascii="Times New Roman" w:hAnsi="Times New Roman" w:cs="Times New Roman"/>
        </w:rPr>
        <w:t>Each boxplot represents the mean (box middle line), mean +/- 1 SD (box end lines), mean +/- 3 SD (whisker end points) C-index</w:t>
      </w:r>
      <w:r w:rsidR="00680ACA" w:rsidRPr="000976AC">
        <w:rPr>
          <w:rFonts w:ascii="Times New Roman" w:hAnsi="Times New Roman" w:cs="Times New Roman"/>
        </w:rPr>
        <w:t xml:space="preserve"> value (Plot A) or R</w:t>
      </w:r>
      <w:r w:rsidR="00680ACA" w:rsidRPr="000976AC">
        <w:rPr>
          <w:rFonts w:ascii="Times New Roman" w:hAnsi="Times New Roman" w:cs="Times New Roman"/>
          <w:vertAlign w:val="superscript"/>
        </w:rPr>
        <w:t xml:space="preserve">2 </w:t>
      </w:r>
      <w:r w:rsidR="00680ACA" w:rsidRPr="000976AC">
        <w:rPr>
          <w:rFonts w:ascii="Times New Roman" w:hAnsi="Times New Roman" w:cs="Times New Roman"/>
        </w:rPr>
        <w:t xml:space="preserve">(Schmid) </w:t>
      </w:r>
      <w:r w:rsidRPr="000976AC">
        <w:rPr>
          <w:rFonts w:ascii="Times New Roman" w:hAnsi="Times New Roman" w:cs="Times New Roman"/>
        </w:rPr>
        <w:t xml:space="preserve">value </w:t>
      </w:r>
      <w:r w:rsidR="00680ACA" w:rsidRPr="000976AC">
        <w:rPr>
          <w:rFonts w:ascii="Times New Roman" w:hAnsi="Times New Roman" w:cs="Times New Roman"/>
        </w:rPr>
        <w:t xml:space="preserve">(Plot B) </w:t>
      </w:r>
      <w:r w:rsidRPr="000976AC">
        <w:rPr>
          <w:rFonts w:ascii="Times New Roman" w:hAnsi="Times New Roman" w:cs="Times New Roman"/>
        </w:rPr>
        <w:t xml:space="preserve">for the test set, across seeds and folds, for a specific method and a given imputed dataset; the dotted colored horizontal line represents the median, across imputed datasets, of the mean </w:t>
      </w:r>
      <w:r w:rsidR="006469AB" w:rsidRPr="000976AC">
        <w:rPr>
          <w:rFonts w:ascii="Times New Roman" w:hAnsi="Times New Roman" w:cs="Times New Roman"/>
        </w:rPr>
        <w:t>C-index values (Plot A) or R</w:t>
      </w:r>
      <w:r w:rsidR="006469AB" w:rsidRPr="000976AC">
        <w:rPr>
          <w:rFonts w:ascii="Times New Roman" w:hAnsi="Times New Roman" w:cs="Times New Roman"/>
          <w:vertAlign w:val="superscript"/>
        </w:rPr>
        <w:t xml:space="preserve">2 </w:t>
      </w:r>
      <w:r w:rsidR="006469AB" w:rsidRPr="000976AC">
        <w:rPr>
          <w:rFonts w:ascii="Times New Roman" w:hAnsi="Times New Roman" w:cs="Times New Roman"/>
        </w:rPr>
        <w:t xml:space="preserve">(Schmid) values (Plot B) </w:t>
      </w:r>
      <w:r w:rsidRPr="000976AC">
        <w:rPr>
          <w:rFonts w:ascii="Times New Roman" w:hAnsi="Times New Roman" w:cs="Times New Roman"/>
        </w:rPr>
        <w:t xml:space="preserve">for a given method. The black horizontal line represents the </w:t>
      </w:r>
      <w:r w:rsidR="006469AB" w:rsidRPr="000976AC">
        <w:rPr>
          <w:rFonts w:ascii="Times New Roman" w:hAnsi="Times New Roman" w:cs="Times New Roman"/>
        </w:rPr>
        <w:t>C-index value (Plot A) or R</w:t>
      </w:r>
      <w:r w:rsidR="006469AB" w:rsidRPr="000976AC">
        <w:rPr>
          <w:rFonts w:ascii="Times New Roman" w:hAnsi="Times New Roman" w:cs="Times New Roman"/>
          <w:vertAlign w:val="superscript"/>
        </w:rPr>
        <w:t xml:space="preserve">2 </w:t>
      </w:r>
      <w:r w:rsidR="006469AB" w:rsidRPr="000976AC">
        <w:rPr>
          <w:rFonts w:ascii="Times New Roman" w:hAnsi="Times New Roman" w:cs="Times New Roman"/>
        </w:rPr>
        <w:t xml:space="preserve">(Schmid) value (Plot B) </w:t>
      </w:r>
      <w:r w:rsidRPr="000976AC">
        <w:rPr>
          <w:rFonts w:ascii="Times New Roman" w:hAnsi="Times New Roman" w:cs="Times New Roman"/>
        </w:rPr>
        <w:t xml:space="preserve">corresponding to random guess. The models were used to predict time to remission (i.e., no BED) from </w:t>
      </w:r>
      <w:r w:rsidR="006469AB" w:rsidRPr="000976AC">
        <w:rPr>
          <w:rFonts w:ascii="Times New Roman" w:hAnsi="Times New Roman" w:cs="Times New Roman"/>
        </w:rPr>
        <w:t>38</w:t>
      </w:r>
      <w:r w:rsidRPr="000976AC">
        <w:rPr>
          <w:rFonts w:ascii="Times New Roman" w:hAnsi="Times New Roman" w:cs="Times New Roman"/>
        </w:rPr>
        <w:t xml:space="preserve"> baseline predictors (specifically, the variables in </w:t>
      </w:r>
      <w:r w:rsidR="006469AB" w:rsidRPr="000976AC">
        <w:rPr>
          <w:rFonts w:ascii="Times New Roman" w:hAnsi="Times New Roman" w:cs="Times New Roman"/>
        </w:rPr>
        <w:t xml:space="preserve">Table </w:t>
      </w:r>
      <w:r w:rsidR="00B000D7">
        <w:rPr>
          <w:rFonts w:ascii="Times New Roman" w:hAnsi="Times New Roman" w:cs="Times New Roman"/>
        </w:rPr>
        <w:t>S</w:t>
      </w:r>
      <w:r w:rsidR="006469AB" w:rsidRPr="000976AC">
        <w:rPr>
          <w:rFonts w:ascii="Times New Roman" w:hAnsi="Times New Roman" w:cs="Times New Roman"/>
        </w:rPr>
        <w:t>1</w:t>
      </w:r>
      <w:r w:rsidRPr="000976AC">
        <w:rPr>
          <w:rFonts w:ascii="Times New Roman" w:hAnsi="Times New Roman" w:cs="Times New Roman"/>
        </w:rPr>
        <w:t>). For each of the 5 imputed datasets, we performed 5-fold cross-validation to examine the performance of all models. For</w:t>
      </w:r>
      <w:r w:rsidR="006469AB" w:rsidRPr="000976AC">
        <w:rPr>
          <w:rFonts w:ascii="Times New Roman" w:hAnsi="Times New Roman" w:cs="Times New Roman"/>
        </w:rPr>
        <w:t xml:space="preserve"> all methods</w:t>
      </w:r>
      <w:r w:rsidR="004C4A4A">
        <w:rPr>
          <w:rFonts w:ascii="Times New Roman" w:hAnsi="Times New Roman" w:cs="Times New Roman"/>
        </w:rPr>
        <w:t xml:space="preserve"> except standard Cox regression, which has no hyperparameters</w:t>
      </w:r>
      <w:r w:rsidRPr="000976AC">
        <w:rPr>
          <w:rFonts w:ascii="Times New Roman" w:hAnsi="Times New Roman" w:cs="Times New Roman"/>
        </w:rPr>
        <w:t>, we used a nested 5-fold cross-validation to optimize hyperparameters (</w:t>
      </w:r>
      <w:r w:rsidR="006469AB" w:rsidRPr="000976AC">
        <w:rPr>
          <w:rFonts w:ascii="Times New Roman" w:hAnsi="Times New Roman" w:cs="Times New Roman"/>
        </w:rPr>
        <w:t xml:space="preserve">lasso: </w:t>
      </w:r>
      <w:r w:rsidRPr="000976AC">
        <w:rPr>
          <w:rFonts w:ascii="Times New Roman" w:hAnsi="Times New Roman" w:cs="Times New Roman"/>
        </w:rPr>
        <w:t>lambda</w:t>
      </w:r>
      <w:r w:rsidR="006469AB" w:rsidRPr="000976AC">
        <w:rPr>
          <w:rFonts w:ascii="Times New Roman" w:hAnsi="Times New Roman" w:cs="Times New Roman"/>
        </w:rPr>
        <w:t>; elastic</w:t>
      </w:r>
      <w:r w:rsidR="00F96750">
        <w:rPr>
          <w:rFonts w:ascii="Times New Roman" w:hAnsi="Times New Roman" w:cs="Times New Roman"/>
        </w:rPr>
        <w:t>-</w:t>
      </w:r>
      <w:r w:rsidR="006469AB" w:rsidRPr="000976AC">
        <w:rPr>
          <w:rFonts w:ascii="Times New Roman" w:hAnsi="Times New Roman" w:cs="Times New Roman"/>
        </w:rPr>
        <w:t>net: lambda and alpha; random forests: number of trees, number of variables to possibly split at each node, and minimum size of terminal nodes</w:t>
      </w:r>
      <w:r w:rsidRPr="000976AC">
        <w:rPr>
          <w:rFonts w:ascii="Times New Roman" w:hAnsi="Times New Roman" w:cs="Times New Roman"/>
        </w:rPr>
        <w:t>) on the training set. For random survival forests, we used the log</w:t>
      </w:r>
      <w:r w:rsidR="00E85382">
        <w:rPr>
          <w:rFonts w:ascii="Times New Roman" w:hAnsi="Times New Roman" w:cs="Times New Roman"/>
        </w:rPr>
        <w:t>-</w:t>
      </w:r>
      <w:r w:rsidRPr="000976AC">
        <w:rPr>
          <w:rFonts w:ascii="Times New Roman" w:hAnsi="Times New Roman" w:cs="Times New Roman"/>
        </w:rPr>
        <w:t xml:space="preserve">rank splitting rule.  </w:t>
      </w:r>
    </w:p>
    <w:p w14:paraId="6664BE78" w14:textId="4335A389" w:rsidR="00B2687D" w:rsidRDefault="00B2687D" w:rsidP="00B2687D">
      <w:pPr>
        <w:spacing w:line="480" w:lineRule="auto"/>
        <w:rPr>
          <w:rFonts w:ascii="Times New Roman" w:hAnsi="Times New Roman" w:cs="Times New Roman"/>
        </w:rPr>
      </w:pPr>
      <w:r w:rsidRPr="000976AC">
        <w:rPr>
          <w:rFonts w:ascii="Times New Roman" w:hAnsi="Times New Roman" w:cs="Times New Roman"/>
        </w:rPr>
        <w:t xml:space="preserve">Abbreviations: Cox = (Standard) Cox </w:t>
      </w:r>
      <w:r w:rsidR="00F102C8">
        <w:rPr>
          <w:rFonts w:ascii="Times New Roman" w:hAnsi="Times New Roman" w:cs="Times New Roman"/>
        </w:rPr>
        <w:t>regression</w:t>
      </w:r>
      <w:r w:rsidRPr="000976AC">
        <w:rPr>
          <w:rFonts w:ascii="Times New Roman" w:hAnsi="Times New Roman" w:cs="Times New Roman"/>
        </w:rPr>
        <w:t xml:space="preserve">; LS = Lasso model of “Cox” family; </w:t>
      </w:r>
      <w:r w:rsidR="00C14D06" w:rsidRPr="000976AC">
        <w:rPr>
          <w:rFonts w:ascii="Times New Roman" w:hAnsi="Times New Roman" w:cs="Times New Roman"/>
        </w:rPr>
        <w:t>E</w:t>
      </w:r>
      <w:r w:rsidRPr="000976AC">
        <w:rPr>
          <w:rFonts w:ascii="Times New Roman" w:hAnsi="Times New Roman" w:cs="Times New Roman"/>
        </w:rPr>
        <w:t>N = Elastic</w:t>
      </w:r>
      <w:r w:rsidR="00D4227F">
        <w:rPr>
          <w:rFonts w:ascii="Times New Roman" w:hAnsi="Times New Roman" w:cs="Times New Roman"/>
        </w:rPr>
        <w:t>-</w:t>
      </w:r>
      <w:r w:rsidRPr="000976AC">
        <w:rPr>
          <w:rFonts w:ascii="Times New Roman" w:hAnsi="Times New Roman" w:cs="Times New Roman"/>
        </w:rPr>
        <w:t xml:space="preserve">net model of “Cox” family; RF = Random </w:t>
      </w:r>
      <w:r w:rsidR="00D4227F">
        <w:rPr>
          <w:rFonts w:ascii="Times New Roman" w:hAnsi="Times New Roman" w:cs="Times New Roman"/>
        </w:rPr>
        <w:t>s</w:t>
      </w:r>
      <w:r w:rsidRPr="000976AC">
        <w:rPr>
          <w:rFonts w:ascii="Times New Roman" w:hAnsi="Times New Roman" w:cs="Times New Roman"/>
        </w:rPr>
        <w:t xml:space="preserve">urvival </w:t>
      </w:r>
      <w:r w:rsidR="00D4227F">
        <w:rPr>
          <w:rFonts w:ascii="Times New Roman" w:hAnsi="Times New Roman" w:cs="Times New Roman"/>
        </w:rPr>
        <w:t>f</w:t>
      </w:r>
      <w:r w:rsidRPr="000976AC">
        <w:rPr>
          <w:rFonts w:ascii="Times New Roman" w:hAnsi="Times New Roman" w:cs="Times New Roman"/>
        </w:rPr>
        <w:t>orests</w:t>
      </w:r>
    </w:p>
    <w:p w14:paraId="04D003CA" w14:textId="6FE14B13" w:rsidR="00266CB8" w:rsidRPr="00266CB8" w:rsidRDefault="00266CB8" w:rsidP="00B2687D">
      <w:pPr>
        <w:spacing w:line="480" w:lineRule="auto"/>
        <w:rPr>
          <w:rFonts w:ascii="Times New Roman" w:hAnsi="Times New Roman" w:cs="Times New Roman"/>
          <w:color w:val="000000" w:themeColor="text1"/>
        </w:rPr>
      </w:pPr>
      <w:r w:rsidRPr="00266CB8">
        <w:rPr>
          <w:rFonts w:ascii="Times New Roman" w:hAnsi="Times New Roman" w:cs="Times New Roman"/>
          <w:noProof/>
          <w:color w:val="000000" w:themeColor="text1"/>
        </w:rPr>
        <w:lastRenderedPageBreak/>
        <w:drawing>
          <wp:inline distT="0" distB="0" distL="0" distR="0" wp14:anchorId="310A18DB" wp14:editId="61D7692A">
            <wp:extent cx="8229600" cy="5603240"/>
            <wp:effectExtent l="12700" t="12700" r="12700" b="10160"/>
            <wp:docPr id="195369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99995" name="Picture 1953699995"/>
                    <pic:cNvPicPr/>
                  </pic:nvPicPr>
                  <pic:blipFill>
                    <a:blip r:embed="rId9">
                      <a:extLst>
                        <a:ext uri="{28A0092B-C50C-407E-A947-70E740481C1C}">
                          <a14:useLocalDpi xmlns:a14="http://schemas.microsoft.com/office/drawing/2010/main" val="0"/>
                        </a:ext>
                      </a:extLst>
                    </a:blip>
                    <a:stretch>
                      <a:fillRect/>
                    </a:stretch>
                  </pic:blipFill>
                  <pic:spPr>
                    <a:xfrm>
                      <a:off x="0" y="0"/>
                      <a:ext cx="8229600" cy="5603240"/>
                    </a:xfrm>
                    <a:prstGeom prst="rect">
                      <a:avLst/>
                    </a:prstGeom>
                    <a:ln>
                      <a:solidFill>
                        <a:schemeClr val="tx1"/>
                      </a:solidFill>
                    </a:ln>
                  </pic:spPr>
                </pic:pic>
              </a:graphicData>
            </a:graphic>
          </wp:inline>
        </w:drawing>
      </w:r>
    </w:p>
    <w:p w14:paraId="156FA7E6" w14:textId="603354FC" w:rsidR="00B2687D" w:rsidRPr="005078DE" w:rsidRDefault="00B2687D" w:rsidP="005078DE">
      <w:pPr>
        <w:spacing w:line="480" w:lineRule="auto"/>
        <w:rPr>
          <w:rFonts w:ascii="Times New Roman" w:hAnsi="Times New Roman" w:cs="Times New Roman"/>
        </w:rPr>
      </w:pPr>
      <w:r w:rsidRPr="005078DE">
        <w:rPr>
          <w:rFonts w:ascii="Times New Roman" w:hAnsi="Times New Roman" w:cs="Times New Roman"/>
          <w:b/>
          <w:bCs/>
        </w:rPr>
        <w:lastRenderedPageBreak/>
        <w:t xml:space="preserve">Supplemental Figure 2. Distribution of </w:t>
      </w:r>
      <w:r w:rsidR="00774914" w:rsidRPr="005078DE">
        <w:rPr>
          <w:rFonts w:ascii="Times New Roman" w:hAnsi="Times New Roman" w:cs="Times New Roman"/>
          <w:b/>
          <w:bCs/>
        </w:rPr>
        <w:t xml:space="preserve">Performance Statistics </w:t>
      </w:r>
      <w:r w:rsidRPr="005078DE">
        <w:rPr>
          <w:rFonts w:ascii="Times New Roman" w:hAnsi="Times New Roman" w:cs="Times New Roman"/>
          <w:b/>
          <w:bCs/>
        </w:rPr>
        <w:t xml:space="preserve">for Imputed Datasets, by Method (Machine Learning Sensitivity </w:t>
      </w:r>
      <w:r w:rsidR="00A02B95">
        <w:rPr>
          <w:rFonts w:ascii="Times New Roman" w:hAnsi="Times New Roman" w:cs="Times New Roman"/>
          <w:b/>
          <w:bCs/>
        </w:rPr>
        <w:t>Analyses</w:t>
      </w:r>
      <w:r w:rsidRPr="005078DE">
        <w:rPr>
          <w:rFonts w:ascii="Times New Roman" w:hAnsi="Times New Roman" w:cs="Times New Roman"/>
          <w:b/>
          <w:bCs/>
        </w:rPr>
        <w:t xml:space="preserve"> 1). </w:t>
      </w:r>
      <w:r w:rsidR="00955085" w:rsidRPr="005078DE">
        <w:rPr>
          <w:rFonts w:ascii="Times New Roman" w:hAnsi="Times New Roman" w:cs="Times New Roman"/>
        </w:rPr>
        <w:t>Each boxplot represents the mean (box middle line), mean +/- 1 SD (box end lines), mean +/- 3 SD (whisker end points) C-index value (Plot A) or R</w:t>
      </w:r>
      <w:r w:rsidR="00955085" w:rsidRPr="005078DE">
        <w:rPr>
          <w:rFonts w:ascii="Times New Roman" w:hAnsi="Times New Roman" w:cs="Times New Roman"/>
          <w:vertAlign w:val="superscript"/>
        </w:rPr>
        <w:t xml:space="preserve">2 </w:t>
      </w:r>
      <w:r w:rsidR="00955085" w:rsidRPr="005078DE">
        <w:rPr>
          <w:rFonts w:ascii="Times New Roman" w:hAnsi="Times New Roman" w:cs="Times New Roman"/>
        </w:rPr>
        <w:t>(Schmid) value (Plot B) for the test set, across seeds and folds, for a specific method and a given imputed dataset; the dotted colored horizontal line represents the median, across imputed datasets, of the mean C-index values (Plot A) or R</w:t>
      </w:r>
      <w:r w:rsidR="00955085" w:rsidRPr="005078DE">
        <w:rPr>
          <w:rFonts w:ascii="Times New Roman" w:hAnsi="Times New Roman" w:cs="Times New Roman"/>
          <w:vertAlign w:val="superscript"/>
        </w:rPr>
        <w:t xml:space="preserve">2 </w:t>
      </w:r>
      <w:r w:rsidR="00955085" w:rsidRPr="005078DE">
        <w:rPr>
          <w:rFonts w:ascii="Times New Roman" w:hAnsi="Times New Roman" w:cs="Times New Roman"/>
        </w:rPr>
        <w:t>(Schmid) values (Plot B) for a given method. The black horizontal line represents the C-index value (Plot A) or R</w:t>
      </w:r>
      <w:r w:rsidR="00955085" w:rsidRPr="005078DE">
        <w:rPr>
          <w:rFonts w:ascii="Times New Roman" w:hAnsi="Times New Roman" w:cs="Times New Roman"/>
          <w:vertAlign w:val="superscript"/>
        </w:rPr>
        <w:t xml:space="preserve">2 </w:t>
      </w:r>
      <w:r w:rsidR="00955085" w:rsidRPr="005078DE">
        <w:rPr>
          <w:rFonts w:ascii="Times New Roman" w:hAnsi="Times New Roman" w:cs="Times New Roman"/>
        </w:rPr>
        <w:t xml:space="preserve">(Schmid) value (Plot B) corresponding to random guess. </w:t>
      </w:r>
      <w:r w:rsidRPr="005078DE">
        <w:rPr>
          <w:rFonts w:ascii="Times New Roman" w:hAnsi="Times New Roman" w:cs="Times New Roman"/>
        </w:rPr>
        <w:t xml:space="preserve">Analysis details are the same as in Supplemental Figure 1, except that we performed 10-fold cross-validation.   </w:t>
      </w:r>
    </w:p>
    <w:p w14:paraId="37005B5F" w14:textId="63C5A55F" w:rsidR="00234D4B" w:rsidRDefault="00B2687D" w:rsidP="005078DE">
      <w:pPr>
        <w:spacing w:line="480" w:lineRule="auto"/>
        <w:rPr>
          <w:rFonts w:ascii="Times New Roman" w:hAnsi="Times New Roman" w:cs="Times New Roman"/>
        </w:rPr>
      </w:pPr>
      <w:r w:rsidRPr="005078DE">
        <w:rPr>
          <w:rFonts w:ascii="Times New Roman" w:hAnsi="Times New Roman" w:cs="Times New Roman"/>
        </w:rPr>
        <w:t xml:space="preserve">Abbreviations: Cox = (Standard) Cox </w:t>
      </w:r>
      <w:r w:rsidR="00F102C8">
        <w:rPr>
          <w:rFonts w:ascii="Times New Roman" w:hAnsi="Times New Roman" w:cs="Times New Roman"/>
        </w:rPr>
        <w:t>regression</w:t>
      </w:r>
      <w:r w:rsidRPr="005078DE">
        <w:rPr>
          <w:rFonts w:ascii="Times New Roman" w:hAnsi="Times New Roman" w:cs="Times New Roman"/>
        </w:rPr>
        <w:t xml:space="preserve">; LS = Lasso model of “Cox” family; </w:t>
      </w:r>
      <w:r w:rsidR="00234D4B" w:rsidRPr="005078DE">
        <w:rPr>
          <w:rFonts w:ascii="Times New Roman" w:hAnsi="Times New Roman" w:cs="Times New Roman"/>
        </w:rPr>
        <w:t>EN = Elastic-net model of “Cox” family; RF = Random survival forests</w:t>
      </w:r>
    </w:p>
    <w:p w14:paraId="310C171C" w14:textId="68125CF1" w:rsidR="00EC6563" w:rsidRPr="000976AC" w:rsidRDefault="009D32FE" w:rsidP="005078DE">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23847E5E" wp14:editId="39AF7EE7">
            <wp:extent cx="8229600" cy="5603240"/>
            <wp:effectExtent l="12700" t="12700" r="12700" b="10160"/>
            <wp:docPr id="1682191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91156" name="Picture 1682191156"/>
                    <pic:cNvPicPr/>
                  </pic:nvPicPr>
                  <pic:blipFill>
                    <a:blip r:embed="rId10">
                      <a:extLst>
                        <a:ext uri="{28A0092B-C50C-407E-A947-70E740481C1C}">
                          <a14:useLocalDpi xmlns:a14="http://schemas.microsoft.com/office/drawing/2010/main" val="0"/>
                        </a:ext>
                      </a:extLst>
                    </a:blip>
                    <a:stretch>
                      <a:fillRect/>
                    </a:stretch>
                  </pic:blipFill>
                  <pic:spPr>
                    <a:xfrm>
                      <a:off x="0" y="0"/>
                      <a:ext cx="8229600" cy="5603240"/>
                    </a:xfrm>
                    <a:prstGeom prst="rect">
                      <a:avLst/>
                    </a:prstGeom>
                    <a:ln>
                      <a:solidFill>
                        <a:schemeClr val="tx1"/>
                      </a:solidFill>
                    </a:ln>
                  </pic:spPr>
                </pic:pic>
              </a:graphicData>
            </a:graphic>
          </wp:inline>
        </w:drawing>
      </w:r>
    </w:p>
    <w:p w14:paraId="084DD89E" w14:textId="111D936F" w:rsidR="00955085" w:rsidRPr="000C1250" w:rsidRDefault="00B2687D" w:rsidP="005078DE">
      <w:pPr>
        <w:spacing w:line="480" w:lineRule="auto"/>
        <w:rPr>
          <w:rFonts w:ascii="Times New Roman" w:hAnsi="Times New Roman" w:cs="Times New Roman"/>
        </w:rPr>
      </w:pPr>
      <w:r w:rsidRPr="000976AC">
        <w:rPr>
          <w:rFonts w:ascii="Times New Roman" w:hAnsi="Times New Roman" w:cs="Times New Roman"/>
          <w:b/>
          <w:bCs/>
        </w:rPr>
        <w:br w:type="page"/>
      </w:r>
      <w:r w:rsidR="00955085" w:rsidRPr="000C1250">
        <w:rPr>
          <w:rFonts w:ascii="Times New Roman" w:hAnsi="Times New Roman" w:cs="Times New Roman"/>
          <w:b/>
          <w:bCs/>
        </w:rPr>
        <w:lastRenderedPageBreak/>
        <w:t xml:space="preserve">Supplemental Figure 3. Distribution of </w:t>
      </w:r>
      <w:r w:rsidR="00774914" w:rsidRPr="000C1250">
        <w:rPr>
          <w:rFonts w:ascii="Times New Roman" w:hAnsi="Times New Roman" w:cs="Times New Roman"/>
          <w:b/>
          <w:bCs/>
        </w:rPr>
        <w:t xml:space="preserve">Performance Statistics </w:t>
      </w:r>
      <w:r w:rsidR="00955085" w:rsidRPr="000C1250">
        <w:rPr>
          <w:rFonts w:ascii="Times New Roman" w:hAnsi="Times New Roman" w:cs="Times New Roman"/>
          <w:b/>
          <w:bCs/>
        </w:rPr>
        <w:t xml:space="preserve">for Imputed Datasets, by Method (Machine Learning </w:t>
      </w:r>
      <w:r w:rsidR="00A02B95">
        <w:rPr>
          <w:rFonts w:ascii="Times New Roman" w:hAnsi="Times New Roman" w:cs="Times New Roman"/>
          <w:b/>
          <w:bCs/>
        </w:rPr>
        <w:t>Sensitivity Analyses</w:t>
      </w:r>
      <w:r w:rsidR="00955085" w:rsidRPr="000C1250">
        <w:rPr>
          <w:rFonts w:ascii="Times New Roman" w:hAnsi="Times New Roman" w:cs="Times New Roman"/>
          <w:b/>
          <w:bCs/>
        </w:rPr>
        <w:t xml:space="preserve"> </w:t>
      </w:r>
      <w:r w:rsidR="0008268A" w:rsidRPr="000C1250">
        <w:rPr>
          <w:rFonts w:ascii="Times New Roman" w:hAnsi="Times New Roman" w:cs="Times New Roman"/>
          <w:b/>
          <w:bCs/>
        </w:rPr>
        <w:t>2</w:t>
      </w:r>
      <w:r w:rsidR="00955085" w:rsidRPr="000C1250">
        <w:rPr>
          <w:rFonts w:ascii="Times New Roman" w:hAnsi="Times New Roman" w:cs="Times New Roman"/>
          <w:b/>
          <w:bCs/>
        </w:rPr>
        <w:t xml:space="preserve">). </w:t>
      </w:r>
      <w:r w:rsidR="0008268A" w:rsidRPr="000C1250">
        <w:rPr>
          <w:rFonts w:ascii="Times New Roman" w:hAnsi="Times New Roman" w:cs="Times New Roman"/>
        </w:rPr>
        <w:t>Each boxplot represents the mean (box middle line), mean +/- 1 SD (box end lines), mean +/- 3 SD (whisker end points) C-index value (Plot A) or R</w:t>
      </w:r>
      <w:r w:rsidR="0008268A" w:rsidRPr="000C1250">
        <w:rPr>
          <w:rFonts w:ascii="Times New Roman" w:hAnsi="Times New Roman" w:cs="Times New Roman"/>
          <w:vertAlign w:val="superscript"/>
        </w:rPr>
        <w:t xml:space="preserve">2 </w:t>
      </w:r>
      <w:r w:rsidR="0008268A" w:rsidRPr="000C1250">
        <w:rPr>
          <w:rFonts w:ascii="Times New Roman" w:hAnsi="Times New Roman" w:cs="Times New Roman"/>
        </w:rPr>
        <w:t>(Schmid) value (Plot B) for the test set, across seeds and folds, for a specific method and a given imputed dataset; the dotted colored horizontal line represents the median, across imputed datasets, of the mean C-index values (Plot A) or R</w:t>
      </w:r>
      <w:r w:rsidR="0008268A" w:rsidRPr="000C1250">
        <w:rPr>
          <w:rFonts w:ascii="Times New Roman" w:hAnsi="Times New Roman" w:cs="Times New Roman"/>
          <w:vertAlign w:val="superscript"/>
        </w:rPr>
        <w:t xml:space="preserve">2 </w:t>
      </w:r>
      <w:r w:rsidR="0008268A" w:rsidRPr="000C1250">
        <w:rPr>
          <w:rFonts w:ascii="Times New Roman" w:hAnsi="Times New Roman" w:cs="Times New Roman"/>
        </w:rPr>
        <w:t>(Schmid) values (Plot B) for a given method. The black horizontal line represents the C-index value (Plot A) or R</w:t>
      </w:r>
      <w:r w:rsidR="0008268A" w:rsidRPr="000C1250">
        <w:rPr>
          <w:rFonts w:ascii="Times New Roman" w:hAnsi="Times New Roman" w:cs="Times New Roman"/>
          <w:vertAlign w:val="superscript"/>
        </w:rPr>
        <w:t xml:space="preserve">2 </w:t>
      </w:r>
      <w:r w:rsidR="0008268A" w:rsidRPr="000C1250">
        <w:rPr>
          <w:rFonts w:ascii="Times New Roman" w:hAnsi="Times New Roman" w:cs="Times New Roman"/>
        </w:rPr>
        <w:t xml:space="preserve">(Schmid) value (Plot B) corresponding to random guess. </w:t>
      </w:r>
      <w:r w:rsidR="00955085" w:rsidRPr="000C1250">
        <w:rPr>
          <w:rFonts w:ascii="Times New Roman" w:hAnsi="Times New Roman" w:cs="Times New Roman"/>
        </w:rPr>
        <w:t>Analysis details are the same as in Supplemental Figure 1, except that we used a nested 10-fold cross-validation to optimize hyperparameters on the training set.</w:t>
      </w:r>
    </w:p>
    <w:p w14:paraId="5874F64D" w14:textId="57BE7C23" w:rsidR="00234D4B" w:rsidRPr="000976AC" w:rsidRDefault="00955085" w:rsidP="00234D4B">
      <w:pPr>
        <w:spacing w:line="480" w:lineRule="auto"/>
        <w:rPr>
          <w:rFonts w:ascii="Times New Roman" w:hAnsi="Times New Roman" w:cs="Times New Roman"/>
        </w:rPr>
      </w:pPr>
      <w:r w:rsidRPr="000C1250">
        <w:rPr>
          <w:rFonts w:ascii="Times New Roman" w:hAnsi="Times New Roman" w:cs="Times New Roman"/>
        </w:rPr>
        <w:t xml:space="preserve">Abbreviations: Cox = (Standard) Cox </w:t>
      </w:r>
      <w:r w:rsidR="00F102C8">
        <w:rPr>
          <w:rFonts w:ascii="Times New Roman" w:hAnsi="Times New Roman" w:cs="Times New Roman"/>
        </w:rPr>
        <w:t>regression</w:t>
      </w:r>
      <w:r w:rsidRPr="000C1250">
        <w:rPr>
          <w:rFonts w:ascii="Times New Roman" w:hAnsi="Times New Roman" w:cs="Times New Roman"/>
        </w:rPr>
        <w:t xml:space="preserve">; LS = Lasso model of “Cox” family; </w:t>
      </w:r>
      <w:r w:rsidR="00234D4B" w:rsidRPr="000C1250">
        <w:rPr>
          <w:rFonts w:ascii="Times New Roman" w:hAnsi="Times New Roman" w:cs="Times New Roman"/>
        </w:rPr>
        <w:t>EN = Elastic-net model of “Cox” family; RF = Random survival forests</w:t>
      </w:r>
    </w:p>
    <w:p w14:paraId="2D7BEB28" w14:textId="61105905" w:rsidR="00955085" w:rsidRPr="000976AC" w:rsidRDefault="0063079A" w:rsidP="00955085">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4B33EC8F" wp14:editId="12B400A9">
            <wp:extent cx="8229600" cy="5603240"/>
            <wp:effectExtent l="12700" t="12700" r="12700" b="10160"/>
            <wp:docPr id="1739003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03410" name="Picture 1739003410"/>
                    <pic:cNvPicPr/>
                  </pic:nvPicPr>
                  <pic:blipFill>
                    <a:blip r:embed="rId11">
                      <a:extLst>
                        <a:ext uri="{28A0092B-C50C-407E-A947-70E740481C1C}">
                          <a14:useLocalDpi xmlns:a14="http://schemas.microsoft.com/office/drawing/2010/main" val="0"/>
                        </a:ext>
                      </a:extLst>
                    </a:blip>
                    <a:stretch>
                      <a:fillRect/>
                    </a:stretch>
                  </pic:blipFill>
                  <pic:spPr>
                    <a:xfrm>
                      <a:off x="0" y="0"/>
                      <a:ext cx="8229600" cy="5603240"/>
                    </a:xfrm>
                    <a:prstGeom prst="rect">
                      <a:avLst/>
                    </a:prstGeom>
                    <a:ln>
                      <a:solidFill>
                        <a:schemeClr val="tx1"/>
                      </a:solidFill>
                    </a:ln>
                  </pic:spPr>
                </pic:pic>
              </a:graphicData>
            </a:graphic>
          </wp:inline>
        </w:drawing>
      </w:r>
    </w:p>
    <w:p w14:paraId="56EF696E" w14:textId="19C45D23" w:rsidR="00B2687D" w:rsidRPr="00927388" w:rsidRDefault="00B2687D" w:rsidP="00B2687D">
      <w:pPr>
        <w:spacing w:line="480" w:lineRule="auto"/>
        <w:rPr>
          <w:rFonts w:ascii="Times New Roman" w:hAnsi="Times New Roman" w:cs="Times New Roman"/>
        </w:rPr>
      </w:pPr>
      <w:r w:rsidRPr="00293B2E">
        <w:rPr>
          <w:rFonts w:ascii="Times New Roman" w:hAnsi="Times New Roman" w:cs="Times New Roman"/>
          <w:b/>
          <w:bCs/>
        </w:rPr>
        <w:lastRenderedPageBreak/>
        <w:t xml:space="preserve">Supplemental Figure </w:t>
      </w:r>
      <w:r w:rsidR="00ED4362" w:rsidRPr="00293B2E">
        <w:rPr>
          <w:rFonts w:ascii="Times New Roman" w:hAnsi="Times New Roman" w:cs="Times New Roman"/>
          <w:b/>
          <w:bCs/>
        </w:rPr>
        <w:t>4</w:t>
      </w:r>
      <w:r w:rsidRPr="00293B2E">
        <w:rPr>
          <w:rFonts w:ascii="Times New Roman" w:hAnsi="Times New Roman" w:cs="Times New Roman"/>
          <w:b/>
          <w:bCs/>
        </w:rPr>
        <w:t xml:space="preserve">. Distribution of </w:t>
      </w:r>
      <w:r w:rsidR="00774914" w:rsidRPr="00293B2E">
        <w:rPr>
          <w:rFonts w:ascii="Times New Roman" w:hAnsi="Times New Roman" w:cs="Times New Roman"/>
          <w:b/>
          <w:bCs/>
        </w:rPr>
        <w:t xml:space="preserve">Performance Statistics </w:t>
      </w:r>
      <w:r w:rsidRPr="00293B2E">
        <w:rPr>
          <w:rFonts w:ascii="Times New Roman" w:hAnsi="Times New Roman" w:cs="Times New Roman"/>
          <w:b/>
          <w:bCs/>
        </w:rPr>
        <w:t xml:space="preserve">for Imputed Datasets, by Method (Machine Learning </w:t>
      </w:r>
      <w:r w:rsidR="00A02B95">
        <w:rPr>
          <w:rFonts w:ascii="Times New Roman" w:hAnsi="Times New Roman" w:cs="Times New Roman"/>
          <w:b/>
          <w:bCs/>
        </w:rPr>
        <w:t>Sensitivity Analyses</w:t>
      </w:r>
      <w:r w:rsidRPr="00293B2E">
        <w:rPr>
          <w:rFonts w:ascii="Times New Roman" w:hAnsi="Times New Roman" w:cs="Times New Roman"/>
          <w:b/>
          <w:bCs/>
        </w:rPr>
        <w:t xml:space="preserve"> </w:t>
      </w:r>
      <w:r w:rsidR="00ED4362" w:rsidRPr="00293B2E">
        <w:rPr>
          <w:rFonts w:ascii="Times New Roman" w:hAnsi="Times New Roman" w:cs="Times New Roman"/>
          <w:b/>
          <w:bCs/>
        </w:rPr>
        <w:t>3</w:t>
      </w:r>
      <w:r w:rsidRPr="00293B2E">
        <w:rPr>
          <w:rFonts w:ascii="Times New Roman" w:hAnsi="Times New Roman" w:cs="Times New Roman"/>
          <w:b/>
          <w:bCs/>
        </w:rPr>
        <w:t xml:space="preserve">). </w:t>
      </w:r>
      <w:r w:rsidR="0008268A" w:rsidRPr="00293B2E">
        <w:rPr>
          <w:rFonts w:ascii="Times New Roman" w:hAnsi="Times New Roman" w:cs="Times New Roman"/>
        </w:rPr>
        <w:t>Each boxplot</w:t>
      </w:r>
      <w:r w:rsidR="0008268A" w:rsidRPr="00927388">
        <w:rPr>
          <w:rFonts w:ascii="Times New Roman" w:hAnsi="Times New Roman" w:cs="Times New Roman"/>
        </w:rPr>
        <w:t xml:space="preserve"> represents the mean (box middle line), mean +/- 1 SD (box end lines), mean +/- 3 SD (whisker end points) C-index value (Plot A) or R</w:t>
      </w:r>
      <w:r w:rsidR="0008268A" w:rsidRPr="00927388">
        <w:rPr>
          <w:rFonts w:ascii="Times New Roman" w:hAnsi="Times New Roman" w:cs="Times New Roman"/>
          <w:vertAlign w:val="superscript"/>
        </w:rPr>
        <w:t xml:space="preserve">2 </w:t>
      </w:r>
      <w:r w:rsidR="0008268A" w:rsidRPr="00927388">
        <w:rPr>
          <w:rFonts w:ascii="Times New Roman" w:hAnsi="Times New Roman" w:cs="Times New Roman"/>
        </w:rPr>
        <w:t>(Schmid) value (Plot B) for the test set, across seeds and folds, for a specific method and a given imputed dataset; the dotted colored horizontal line represents the median, across imputed datasets, of the mean C-index values (Plot A) or R</w:t>
      </w:r>
      <w:r w:rsidR="0008268A" w:rsidRPr="00927388">
        <w:rPr>
          <w:rFonts w:ascii="Times New Roman" w:hAnsi="Times New Roman" w:cs="Times New Roman"/>
          <w:vertAlign w:val="superscript"/>
        </w:rPr>
        <w:t xml:space="preserve">2 </w:t>
      </w:r>
      <w:r w:rsidR="0008268A" w:rsidRPr="00927388">
        <w:rPr>
          <w:rFonts w:ascii="Times New Roman" w:hAnsi="Times New Roman" w:cs="Times New Roman"/>
        </w:rPr>
        <w:t>(Schmid) values (Plot B) for a given method. The black horizontal line represents the C-index value (Plot A) or R</w:t>
      </w:r>
      <w:r w:rsidR="0008268A" w:rsidRPr="00927388">
        <w:rPr>
          <w:rFonts w:ascii="Times New Roman" w:hAnsi="Times New Roman" w:cs="Times New Roman"/>
          <w:vertAlign w:val="superscript"/>
        </w:rPr>
        <w:t xml:space="preserve">2 </w:t>
      </w:r>
      <w:r w:rsidR="0008268A" w:rsidRPr="00927388">
        <w:rPr>
          <w:rFonts w:ascii="Times New Roman" w:hAnsi="Times New Roman" w:cs="Times New Roman"/>
        </w:rPr>
        <w:t xml:space="preserve">(Schmid) value (Plot B) corresponding to random guess. </w:t>
      </w:r>
      <w:r w:rsidRPr="00927388">
        <w:rPr>
          <w:rFonts w:ascii="Times New Roman" w:hAnsi="Times New Roman" w:cs="Times New Roman"/>
        </w:rPr>
        <w:t xml:space="preserve">Analysis details are the same as in Supplemental Figure 1, except that we used </w:t>
      </w:r>
      <w:r w:rsidR="0008268A" w:rsidRPr="00927388">
        <w:rPr>
          <w:rFonts w:ascii="Times New Roman" w:hAnsi="Times New Roman" w:cs="Times New Roman"/>
        </w:rPr>
        <w:t>27</w:t>
      </w:r>
      <w:r w:rsidRPr="00927388">
        <w:rPr>
          <w:rFonts w:ascii="Times New Roman" w:hAnsi="Times New Roman" w:cs="Times New Roman"/>
        </w:rPr>
        <w:t xml:space="preserve"> baseline variables </w:t>
      </w:r>
      <w:r w:rsidR="00D36146" w:rsidRPr="00927388">
        <w:rPr>
          <w:rFonts w:ascii="Times New Roman" w:hAnsi="Times New Roman" w:cs="Times New Roman"/>
        </w:rPr>
        <w:t xml:space="preserve">(see * in Table S1) </w:t>
      </w:r>
      <w:r w:rsidRPr="00927388">
        <w:rPr>
          <w:rFonts w:ascii="Times New Roman" w:hAnsi="Times New Roman" w:cs="Times New Roman"/>
        </w:rPr>
        <w:t>selected by removing one member of each variable pair with correlations greater than 0.4</w:t>
      </w:r>
      <w:r w:rsidR="00FE6DF9">
        <w:rPr>
          <w:rFonts w:ascii="Times New Roman" w:hAnsi="Times New Roman" w:cs="Times New Roman"/>
        </w:rPr>
        <w:t xml:space="preserve">, </w:t>
      </w:r>
      <w:r w:rsidRPr="00927388">
        <w:rPr>
          <w:rFonts w:ascii="Times New Roman" w:hAnsi="Times New Roman" w:cs="Times New Roman"/>
        </w:rPr>
        <w:t xml:space="preserve">rather than all </w:t>
      </w:r>
      <w:r w:rsidR="0008268A" w:rsidRPr="00927388">
        <w:rPr>
          <w:rFonts w:ascii="Times New Roman" w:hAnsi="Times New Roman" w:cs="Times New Roman"/>
        </w:rPr>
        <w:t>38</w:t>
      </w:r>
      <w:r w:rsidRPr="00927388">
        <w:rPr>
          <w:rFonts w:ascii="Times New Roman" w:hAnsi="Times New Roman" w:cs="Times New Roman"/>
        </w:rPr>
        <w:t xml:space="preserve"> baseline variables</w:t>
      </w:r>
      <w:r w:rsidR="00FE6DF9">
        <w:rPr>
          <w:rFonts w:ascii="Times New Roman" w:hAnsi="Times New Roman" w:cs="Times New Roman"/>
        </w:rPr>
        <w:t xml:space="preserve">, </w:t>
      </w:r>
      <w:r w:rsidRPr="00927388">
        <w:rPr>
          <w:rFonts w:ascii="Times New Roman" w:hAnsi="Times New Roman" w:cs="Times New Roman"/>
        </w:rPr>
        <w:t>as predictors</w:t>
      </w:r>
      <w:r w:rsidR="00D566D5">
        <w:rPr>
          <w:rFonts w:ascii="Times New Roman" w:hAnsi="Times New Roman" w:cs="Times New Roman"/>
        </w:rPr>
        <w:t xml:space="preserve"> (see Footnote 3</w:t>
      </w:r>
      <w:r w:rsidR="004424D5">
        <w:rPr>
          <w:rFonts w:ascii="Times New Roman" w:hAnsi="Times New Roman" w:cs="Times New Roman"/>
        </w:rPr>
        <w:t xml:space="preserve"> above</w:t>
      </w:r>
      <w:r w:rsidR="00D566D5">
        <w:rPr>
          <w:rFonts w:ascii="Times New Roman" w:hAnsi="Times New Roman" w:cs="Times New Roman"/>
        </w:rPr>
        <w:t>)</w:t>
      </w:r>
      <w:r w:rsidRPr="00927388">
        <w:rPr>
          <w:rFonts w:ascii="Times New Roman" w:hAnsi="Times New Roman" w:cs="Times New Roman"/>
        </w:rPr>
        <w:t xml:space="preserve">.   </w:t>
      </w:r>
    </w:p>
    <w:p w14:paraId="78364354" w14:textId="2E767E2F" w:rsidR="00234D4B" w:rsidRPr="000976AC" w:rsidRDefault="00B2687D" w:rsidP="00234D4B">
      <w:pPr>
        <w:spacing w:line="480" w:lineRule="auto"/>
        <w:rPr>
          <w:rFonts w:ascii="Times New Roman" w:hAnsi="Times New Roman" w:cs="Times New Roman"/>
        </w:rPr>
      </w:pPr>
      <w:r w:rsidRPr="00927388">
        <w:rPr>
          <w:rFonts w:ascii="Times New Roman" w:hAnsi="Times New Roman" w:cs="Times New Roman"/>
        </w:rPr>
        <w:t xml:space="preserve">Abbreviations: Cox = (Standard) Cox </w:t>
      </w:r>
      <w:r w:rsidR="00F102C8">
        <w:rPr>
          <w:rFonts w:ascii="Times New Roman" w:hAnsi="Times New Roman" w:cs="Times New Roman"/>
        </w:rPr>
        <w:t>regression</w:t>
      </w:r>
      <w:r w:rsidRPr="00927388">
        <w:rPr>
          <w:rFonts w:ascii="Times New Roman" w:hAnsi="Times New Roman" w:cs="Times New Roman"/>
        </w:rPr>
        <w:t xml:space="preserve">; LS = Lasso model of “Cox” family; </w:t>
      </w:r>
      <w:r w:rsidR="00234D4B" w:rsidRPr="00927388">
        <w:rPr>
          <w:rFonts w:ascii="Times New Roman" w:hAnsi="Times New Roman" w:cs="Times New Roman"/>
        </w:rPr>
        <w:t>EN = Elastic-net model of “Cox” family; RF = Random survival forests</w:t>
      </w:r>
    </w:p>
    <w:p w14:paraId="2CDDEEE2" w14:textId="36FCCF3A" w:rsidR="00B2687D" w:rsidRPr="000976AC" w:rsidRDefault="003C4A5F" w:rsidP="00234D4B">
      <w:pPr>
        <w:spacing w:line="480" w:lineRule="auto"/>
        <w:rPr>
          <w:rFonts w:ascii="Times New Roman" w:hAnsi="Times New Roman" w:cs="Times New Roman"/>
          <w:b/>
          <w:bCs/>
        </w:rPr>
      </w:pPr>
      <w:r>
        <w:rPr>
          <w:rFonts w:ascii="Times New Roman" w:hAnsi="Times New Roman" w:cs="Times New Roman"/>
          <w:b/>
          <w:bCs/>
          <w:noProof/>
        </w:rPr>
        <w:lastRenderedPageBreak/>
        <w:drawing>
          <wp:inline distT="0" distB="0" distL="0" distR="0" wp14:anchorId="1BA6BE36" wp14:editId="4927ED56">
            <wp:extent cx="8229600" cy="5603240"/>
            <wp:effectExtent l="12700" t="12700" r="12700" b="10160"/>
            <wp:docPr id="20493240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24050" name="Picture 2049324050"/>
                    <pic:cNvPicPr/>
                  </pic:nvPicPr>
                  <pic:blipFill>
                    <a:blip r:embed="rId12">
                      <a:extLst>
                        <a:ext uri="{28A0092B-C50C-407E-A947-70E740481C1C}">
                          <a14:useLocalDpi xmlns:a14="http://schemas.microsoft.com/office/drawing/2010/main" val="0"/>
                        </a:ext>
                      </a:extLst>
                    </a:blip>
                    <a:stretch>
                      <a:fillRect/>
                    </a:stretch>
                  </pic:blipFill>
                  <pic:spPr>
                    <a:xfrm>
                      <a:off x="0" y="0"/>
                      <a:ext cx="8229600" cy="5603240"/>
                    </a:xfrm>
                    <a:prstGeom prst="rect">
                      <a:avLst/>
                    </a:prstGeom>
                    <a:ln>
                      <a:solidFill>
                        <a:schemeClr val="tx1"/>
                      </a:solidFill>
                    </a:ln>
                  </pic:spPr>
                </pic:pic>
              </a:graphicData>
            </a:graphic>
          </wp:inline>
        </w:drawing>
      </w:r>
      <w:r w:rsidR="00B2687D" w:rsidRPr="000976AC">
        <w:rPr>
          <w:rFonts w:ascii="Times New Roman" w:hAnsi="Times New Roman" w:cs="Times New Roman"/>
          <w:b/>
          <w:bCs/>
        </w:rPr>
        <w:br w:type="page"/>
      </w:r>
    </w:p>
    <w:p w14:paraId="59221690" w14:textId="35B6664C" w:rsidR="00B2687D" w:rsidRPr="000976AC" w:rsidRDefault="00B2687D" w:rsidP="00B2687D">
      <w:pPr>
        <w:spacing w:line="480" w:lineRule="auto"/>
        <w:rPr>
          <w:rFonts w:ascii="Times New Roman" w:hAnsi="Times New Roman" w:cs="Times New Roman"/>
        </w:rPr>
      </w:pPr>
      <w:r w:rsidRPr="00FC14BC">
        <w:rPr>
          <w:rFonts w:ascii="Times New Roman" w:hAnsi="Times New Roman" w:cs="Times New Roman"/>
          <w:b/>
          <w:bCs/>
        </w:rPr>
        <w:lastRenderedPageBreak/>
        <w:t xml:space="preserve">Supplemental Figure </w:t>
      </w:r>
      <w:r w:rsidR="00ED4362" w:rsidRPr="00FC14BC">
        <w:rPr>
          <w:rFonts w:ascii="Times New Roman" w:hAnsi="Times New Roman" w:cs="Times New Roman"/>
          <w:b/>
          <w:bCs/>
        </w:rPr>
        <w:t>5</w:t>
      </w:r>
      <w:r w:rsidRPr="00FC14BC">
        <w:rPr>
          <w:rFonts w:ascii="Times New Roman" w:hAnsi="Times New Roman" w:cs="Times New Roman"/>
          <w:b/>
          <w:bCs/>
        </w:rPr>
        <w:t xml:space="preserve">. Distribution of </w:t>
      </w:r>
      <w:r w:rsidR="00774914" w:rsidRPr="00FC14BC">
        <w:rPr>
          <w:rFonts w:ascii="Times New Roman" w:hAnsi="Times New Roman" w:cs="Times New Roman"/>
          <w:b/>
          <w:bCs/>
        </w:rPr>
        <w:t xml:space="preserve">Performance Statistics </w:t>
      </w:r>
      <w:r w:rsidRPr="00FC14BC">
        <w:rPr>
          <w:rFonts w:ascii="Times New Roman" w:hAnsi="Times New Roman" w:cs="Times New Roman"/>
          <w:b/>
          <w:bCs/>
        </w:rPr>
        <w:t xml:space="preserve">for Imputed Datasets, by Method (Machine Learning </w:t>
      </w:r>
      <w:r w:rsidR="00A02B95">
        <w:rPr>
          <w:rFonts w:ascii="Times New Roman" w:hAnsi="Times New Roman" w:cs="Times New Roman"/>
          <w:b/>
          <w:bCs/>
        </w:rPr>
        <w:t>Sensitivity Analyses</w:t>
      </w:r>
      <w:r w:rsidRPr="00FC14BC">
        <w:rPr>
          <w:rFonts w:ascii="Times New Roman" w:hAnsi="Times New Roman" w:cs="Times New Roman"/>
          <w:b/>
          <w:bCs/>
        </w:rPr>
        <w:t xml:space="preserve"> </w:t>
      </w:r>
      <w:r w:rsidR="00ED4362" w:rsidRPr="00FC14BC">
        <w:rPr>
          <w:rFonts w:ascii="Times New Roman" w:hAnsi="Times New Roman" w:cs="Times New Roman"/>
          <w:b/>
          <w:bCs/>
        </w:rPr>
        <w:t>4)</w:t>
      </w:r>
      <w:r w:rsidR="00EA0E47" w:rsidRPr="00FC14BC">
        <w:rPr>
          <w:rFonts w:ascii="Times New Roman" w:hAnsi="Times New Roman" w:cs="Times New Roman"/>
          <w:b/>
          <w:bCs/>
        </w:rPr>
        <w:t>.</w:t>
      </w:r>
      <w:r w:rsidR="00ED4362" w:rsidRPr="00FC14BC">
        <w:rPr>
          <w:rFonts w:ascii="Times New Roman" w:hAnsi="Times New Roman" w:cs="Times New Roman"/>
        </w:rPr>
        <w:t xml:space="preserve"> Each</w:t>
      </w:r>
      <w:r w:rsidR="00ED4362" w:rsidRPr="000976AC">
        <w:rPr>
          <w:rFonts w:ascii="Times New Roman" w:hAnsi="Times New Roman" w:cs="Times New Roman"/>
        </w:rPr>
        <w:t xml:space="preserve"> boxplot represents the mean (box middle line), mean +/- 1 SD (box end lines), mean +/- 3 SD (whisker end points) C-index value (Plot A) or R</w:t>
      </w:r>
      <w:r w:rsidR="00ED4362" w:rsidRPr="000976AC">
        <w:rPr>
          <w:rFonts w:ascii="Times New Roman" w:hAnsi="Times New Roman" w:cs="Times New Roman"/>
          <w:vertAlign w:val="superscript"/>
        </w:rPr>
        <w:t xml:space="preserve">2 </w:t>
      </w:r>
      <w:r w:rsidR="00ED4362" w:rsidRPr="000976AC">
        <w:rPr>
          <w:rFonts w:ascii="Times New Roman" w:hAnsi="Times New Roman" w:cs="Times New Roman"/>
        </w:rPr>
        <w:t>(Schmid) value (Plot B) for the test set, across seeds and folds, for a specific method and a given imputed dataset; the dotted colored horizontal line represents the median, across imputed datasets, of the mean C-index values (Plot A) or R</w:t>
      </w:r>
      <w:r w:rsidR="00ED4362" w:rsidRPr="000976AC">
        <w:rPr>
          <w:rFonts w:ascii="Times New Roman" w:hAnsi="Times New Roman" w:cs="Times New Roman"/>
          <w:vertAlign w:val="superscript"/>
        </w:rPr>
        <w:t xml:space="preserve">2 </w:t>
      </w:r>
      <w:r w:rsidR="00ED4362" w:rsidRPr="000976AC">
        <w:rPr>
          <w:rFonts w:ascii="Times New Roman" w:hAnsi="Times New Roman" w:cs="Times New Roman"/>
        </w:rPr>
        <w:t>(Schmid) values (Plot B) for a given method. The black horizontal line represents the C-index value (Plot A) or R</w:t>
      </w:r>
      <w:r w:rsidR="00ED4362" w:rsidRPr="000976AC">
        <w:rPr>
          <w:rFonts w:ascii="Times New Roman" w:hAnsi="Times New Roman" w:cs="Times New Roman"/>
          <w:vertAlign w:val="superscript"/>
        </w:rPr>
        <w:t xml:space="preserve">2 </w:t>
      </w:r>
      <w:r w:rsidR="00ED4362" w:rsidRPr="000976AC">
        <w:rPr>
          <w:rFonts w:ascii="Times New Roman" w:hAnsi="Times New Roman" w:cs="Times New Roman"/>
        </w:rPr>
        <w:t xml:space="preserve">(Schmid) value (Plot B) corresponding to random guess. </w:t>
      </w:r>
      <w:r w:rsidRPr="000976AC">
        <w:rPr>
          <w:rFonts w:ascii="Times New Roman" w:hAnsi="Times New Roman" w:cs="Times New Roman"/>
        </w:rPr>
        <w:t xml:space="preserve">Analysis details are the same as in Supplemental Figure 1, except that we used </w:t>
      </w:r>
      <w:r w:rsidR="003910A0">
        <w:rPr>
          <w:rFonts w:ascii="Times New Roman" w:hAnsi="Times New Roman" w:cs="Times New Roman"/>
        </w:rPr>
        <w:t xml:space="preserve">38 </w:t>
      </w:r>
      <w:r w:rsidRPr="000976AC">
        <w:rPr>
          <w:rFonts w:ascii="Times New Roman" w:hAnsi="Times New Roman" w:cs="Times New Roman"/>
        </w:rPr>
        <w:t xml:space="preserve">scores from a principal components analysis of the </w:t>
      </w:r>
      <w:r w:rsidR="00ED4362" w:rsidRPr="000976AC">
        <w:rPr>
          <w:rFonts w:ascii="Times New Roman" w:hAnsi="Times New Roman" w:cs="Times New Roman"/>
        </w:rPr>
        <w:t>38</w:t>
      </w:r>
      <w:r w:rsidRPr="000976AC">
        <w:rPr>
          <w:rFonts w:ascii="Times New Roman" w:hAnsi="Times New Roman" w:cs="Times New Roman"/>
        </w:rPr>
        <w:t xml:space="preserve"> baseline variables (rather than the </w:t>
      </w:r>
      <w:r w:rsidR="00ED4362" w:rsidRPr="000976AC">
        <w:rPr>
          <w:rFonts w:ascii="Times New Roman" w:hAnsi="Times New Roman" w:cs="Times New Roman"/>
        </w:rPr>
        <w:t>38</w:t>
      </w:r>
      <w:r w:rsidRPr="000976AC">
        <w:rPr>
          <w:rFonts w:ascii="Times New Roman" w:hAnsi="Times New Roman" w:cs="Times New Roman"/>
        </w:rPr>
        <w:t xml:space="preserve"> variables themselves) as predictors.   </w:t>
      </w:r>
    </w:p>
    <w:p w14:paraId="5B64BBA7" w14:textId="5CA9EC2E" w:rsidR="00234D4B" w:rsidRPr="000976AC" w:rsidRDefault="00B2687D" w:rsidP="00234D4B">
      <w:pPr>
        <w:spacing w:line="480" w:lineRule="auto"/>
        <w:rPr>
          <w:rFonts w:ascii="Times New Roman" w:hAnsi="Times New Roman" w:cs="Times New Roman"/>
        </w:rPr>
      </w:pPr>
      <w:r w:rsidRPr="000976AC">
        <w:rPr>
          <w:rFonts w:ascii="Times New Roman" w:hAnsi="Times New Roman" w:cs="Times New Roman"/>
        </w:rPr>
        <w:t xml:space="preserve">Abbreviations: Cox = (Standard) Cox </w:t>
      </w:r>
      <w:r w:rsidR="00F102C8">
        <w:rPr>
          <w:rFonts w:ascii="Times New Roman" w:hAnsi="Times New Roman" w:cs="Times New Roman"/>
        </w:rPr>
        <w:t>regression</w:t>
      </w:r>
      <w:r w:rsidRPr="000976AC">
        <w:rPr>
          <w:rFonts w:ascii="Times New Roman" w:hAnsi="Times New Roman" w:cs="Times New Roman"/>
        </w:rPr>
        <w:t xml:space="preserve">; LS = Lasso model of “Cox” family; </w:t>
      </w:r>
      <w:r w:rsidR="00234D4B" w:rsidRPr="000976AC">
        <w:rPr>
          <w:rFonts w:ascii="Times New Roman" w:hAnsi="Times New Roman" w:cs="Times New Roman"/>
        </w:rPr>
        <w:t>EN = Elastic</w:t>
      </w:r>
      <w:r w:rsidR="00234D4B">
        <w:rPr>
          <w:rFonts w:ascii="Times New Roman" w:hAnsi="Times New Roman" w:cs="Times New Roman"/>
        </w:rPr>
        <w:t>-</w:t>
      </w:r>
      <w:r w:rsidR="00234D4B" w:rsidRPr="000976AC">
        <w:rPr>
          <w:rFonts w:ascii="Times New Roman" w:hAnsi="Times New Roman" w:cs="Times New Roman"/>
        </w:rPr>
        <w:t xml:space="preserve">net model of “Cox” family; RF = Random </w:t>
      </w:r>
      <w:r w:rsidR="00234D4B">
        <w:rPr>
          <w:rFonts w:ascii="Times New Roman" w:hAnsi="Times New Roman" w:cs="Times New Roman"/>
        </w:rPr>
        <w:t>s</w:t>
      </w:r>
      <w:r w:rsidR="00234D4B" w:rsidRPr="000976AC">
        <w:rPr>
          <w:rFonts w:ascii="Times New Roman" w:hAnsi="Times New Roman" w:cs="Times New Roman"/>
        </w:rPr>
        <w:t xml:space="preserve">urvival </w:t>
      </w:r>
      <w:r w:rsidR="00234D4B">
        <w:rPr>
          <w:rFonts w:ascii="Times New Roman" w:hAnsi="Times New Roman" w:cs="Times New Roman"/>
        </w:rPr>
        <w:t>f</w:t>
      </w:r>
      <w:r w:rsidR="00234D4B" w:rsidRPr="000976AC">
        <w:rPr>
          <w:rFonts w:ascii="Times New Roman" w:hAnsi="Times New Roman" w:cs="Times New Roman"/>
        </w:rPr>
        <w:t>orests</w:t>
      </w:r>
    </w:p>
    <w:p w14:paraId="29E9EE63" w14:textId="2CAE54D0" w:rsidR="00B2687D" w:rsidRPr="000976AC" w:rsidRDefault="003D5AD7" w:rsidP="00E353C5">
      <w:pPr>
        <w:spacing w:line="480" w:lineRule="auto"/>
        <w:rPr>
          <w:rFonts w:ascii="Times New Roman" w:hAnsi="Times New Roman" w:cs="Times New Roman"/>
          <w:b/>
          <w:bCs/>
        </w:rPr>
      </w:pPr>
      <w:r>
        <w:rPr>
          <w:rFonts w:ascii="Times New Roman" w:hAnsi="Times New Roman" w:cs="Times New Roman"/>
          <w:b/>
          <w:bCs/>
          <w:noProof/>
        </w:rPr>
        <w:lastRenderedPageBreak/>
        <w:drawing>
          <wp:inline distT="0" distB="0" distL="0" distR="0" wp14:anchorId="5FE69608" wp14:editId="7ACBE986">
            <wp:extent cx="8229600" cy="5603240"/>
            <wp:effectExtent l="12700" t="12700" r="12700" b="10160"/>
            <wp:docPr id="724646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46634" name="Picture 724646634"/>
                    <pic:cNvPicPr/>
                  </pic:nvPicPr>
                  <pic:blipFill>
                    <a:blip r:embed="rId13">
                      <a:extLst>
                        <a:ext uri="{28A0092B-C50C-407E-A947-70E740481C1C}">
                          <a14:useLocalDpi xmlns:a14="http://schemas.microsoft.com/office/drawing/2010/main" val="0"/>
                        </a:ext>
                      </a:extLst>
                    </a:blip>
                    <a:stretch>
                      <a:fillRect/>
                    </a:stretch>
                  </pic:blipFill>
                  <pic:spPr>
                    <a:xfrm>
                      <a:off x="0" y="0"/>
                      <a:ext cx="8229600" cy="5603240"/>
                    </a:xfrm>
                    <a:prstGeom prst="rect">
                      <a:avLst/>
                    </a:prstGeom>
                    <a:ln>
                      <a:solidFill>
                        <a:schemeClr val="tx1"/>
                      </a:solidFill>
                    </a:ln>
                  </pic:spPr>
                </pic:pic>
              </a:graphicData>
            </a:graphic>
          </wp:inline>
        </w:drawing>
      </w:r>
      <w:r w:rsidR="00B2687D" w:rsidRPr="000976AC">
        <w:rPr>
          <w:rFonts w:ascii="Times New Roman" w:hAnsi="Times New Roman" w:cs="Times New Roman"/>
          <w:b/>
          <w:bCs/>
        </w:rPr>
        <w:br w:type="page"/>
      </w:r>
    </w:p>
    <w:p w14:paraId="04282266" w14:textId="7784BA3A" w:rsidR="00B2687D" w:rsidRPr="00C066A0" w:rsidRDefault="00B2687D" w:rsidP="00B2687D">
      <w:pPr>
        <w:spacing w:line="480" w:lineRule="auto"/>
        <w:rPr>
          <w:rFonts w:ascii="Times New Roman" w:hAnsi="Times New Roman" w:cs="Times New Roman"/>
        </w:rPr>
      </w:pPr>
      <w:r w:rsidRPr="00C066A0">
        <w:rPr>
          <w:rFonts w:ascii="Times New Roman" w:hAnsi="Times New Roman" w:cs="Times New Roman"/>
          <w:b/>
          <w:bCs/>
        </w:rPr>
        <w:lastRenderedPageBreak/>
        <w:t xml:space="preserve">Supplemental Figure </w:t>
      </w:r>
      <w:r w:rsidR="009573BA" w:rsidRPr="00C066A0">
        <w:rPr>
          <w:rFonts w:ascii="Times New Roman" w:hAnsi="Times New Roman" w:cs="Times New Roman"/>
          <w:b/>
          <w:bCs/>
        </w:rPr>
        <w:t>6</w:t>
      </w:r>
      <w:r w:rsidRPr="00C066A0">
        <w:rPr>
          <w:rFonts w:ascii="Times New Roman" w:hAnsi="Times New Roman" w:cs="Times New Roman"/>
          <w:b/>
          <w:bCs/>
        </w:rPr>
        <w:t xml:space="preserve">. Distribution of </w:t>
      </w:r>
      <w:r w:rsidR="00774914" w:rsidRPr="00C066A0">
        <w:rPr>
          <w:rFonts w:ascii="Times New Roman" w:hAnsi="Times New Roman" w:cs="Times New Roman"/>
          <w:b/>
          <w:bCs/>
        </w:rPr>
        <w:t xml:space="preserve">Performance Statistics </w:t>
      </w:r>
      <w:r w:rsidRPr="00C066A0">
        <w:rPr>
          <w:rFonts w:ascii="Times New Roman" w:hAnsi="Times New Roman" w:cs="Times New Roman"/>
          <w:b/>
          <w:bCs/>
        </w:rPr>
        <w:t xml:space="preserve">for Imputed Datasets, by Method (Machine Learning </w:t>
      </w:r>
      <w:r w:rsidR="00A02B95">
        <w:rPr>
          <w:rFonts w:ascii="Times New Roman" w:hAnsi="Times New Roman" w:cs="Times New Roman"/>
          <w:b/>
          <w:bCs/>
        </w:rPr>
        <w:t>Sensitivity Analyses</w:t>
      </w:r>
      <w:r w:rsidRPr="00C066A0">
        <w:rPr>
          <w:rFonts w:ascii="Times New Roman" w:hAnsi="Times New Roman" w:cs="Times New Roman"/>
          <w:b/>
          <w:bCs/>
        </w:rPr>
        <w:t xml:space="preserve"> </w:t>
      </w:r>
      <w:r w:rsidR="009573BA" w:rsidRPr="00C066A0">
        <w:rPr>
          <w:rFonts w:ascii="Times New Roman" w:hAnsi="Times New Roman" w:cs="Times New Roman"/>
          <w:b/>
          <w:bCs/>
        </w:rPr>
        <w:t>5</w:t>
      </w:r>
      <w:r w:rsidRPr="00C066A0">
        <w:rPr>
          <w:rFonts w:ascii="Times New Roman" w:hAnsi="Times New Roman" w:cs="Times New Roman"/>
          <w:b/>
          <w:bCs/>
        </w:rPr>
        <w:t xml:space="preserve">a). </w:t>
      </w:r>
      <w:r w:rsidR="009573BA" w:rsidRPr="00C066A0">
        <w:rPr>
          <w:rFonts w:ascii="Times New Roman" w:hAnsi="Times New Roman" w:cs="Times New Roman"/>
        </w:rPr>
        <w:t>Each boxplot represents the mean (box middle line), mean +/- 1 SD (box end lines), mean +/- 3 SD (whisker end points) C-index value (Plot A) or R</w:t>
      </w:r>
      <w:r w:rsidR="009573BA" w:rsidRPr="00C066A0">
        <w:rPr>
          <w:rFonts w:ascii="Times New Roman" w:hAnsi="Times New Roman" w:cs="Times New Roman"/>
          <w:vertAlign w:val="superscript"/>
        </w:rPr>
        <w:t xml:space="preserve">2 </w:t>
      </w:r>
      <w:r w:rsidR="009573BA" w:rsidRPr="00C066A0">
        <w:rPr>
          <w:rFonts w:ascii="Times New Roman" w:hAnsi="Times New Roman" w:cs="Times New Roman"/>
        </w:rPr>
        <w:t>(Schmid) value (Plot B) for the test set, across seeds and folds, for a specific method and a given imputed dataset; the dotted colored horizontal line represents the median, across imputed datasets, of the mean C-index values (Plot A) or R</w:t>
      </w:r>
      <w:r w:rsidR="009573BA" w:rsidRPr="00C066A0">
        <w:rPr>
          <w:rFonts w:ascii="Times New Roman" w:hAnsi="Times New Roman" w:cs="Times New Roman"/>
          <w:vertAlign w:val="superscript"/>
        </w:rPr>
        <w:t xml:space="preserve">2 </w:t>
      </w:r>
      <w:r w:rsidR="009573BA" w:rsidRPr="00C066A0">
        <w:rPr>
          <w:rFonts w:ascii="Times New Roman" w:hAnsi="Times New Roman" w:cs="Times New Roman"/>
        </w:rPr>
        <w:t>(Schmid) values (Plot B) for a given method. The black horizontal line represents the C-index value (Plot A) or R</w:t>
      </w:r>
      <w:r w:rsidR="009573BA" w:rsidRPr="00C066A0">
        <w:rPr>
          <w:rFonts w:ascii="Times New Roman" w:hAnsi="Times New Roman" w:cs="Times New Roman"/>
          <w:vertAlign w:val="superscript"/>
        </w:rPr>
        <w:t xml:space="preserve">2 </w:t>
      </w:r>
      <w:r w:rsidR="009573BA" w:rsidRPr="00C066A0">
        <w:rPr>
          <w:rFonts w:ascii="Times New Roman" w:hAnsi="Times New Roman" w:cs="Times New Roman"/>
        </w:rPr>
        <w:t xml:space="preserve">(Schmid) value (Plot B) corresponding to random guess. </w:t>
      </w:r>
      <w:r w:rsidRPr="00C066A0">
        <w:rPr>
          <w:rFonts w:ascii="Times New Roman" w:hAnsi="Times New Roman" w:cs="Times New Roman"/>
        </w:rPr>
        <w:t xml:space="preserve">Analysis details are the same as in Supplemental Figure 1, except that, for random survival forests, we used a log rank score splitting rule.   </w:t>
      </w:r>
    </w:p>
    <w:p w14:paraId="0920AE1C" w14:textId="515177CA" w:rsidR="00234D4B" w:rsidRPr="000976AC" w:rsidRDefault="00B2687D" w:rsidP="00234D4B">
      <w:pPr>
        <w:spacing w:line="480" w:lineRule="auto"/>
        <w:rPr>
          <w:rFonts w:ascii="Times New Roman" w:hAnsi="Times New Roman" w:cs="Times New Roman"/>
        </w:rPr>
      </w:pPr>
      <w:r w:rsidRPr="00C066A0">
        <w:rPr>
          <w:rFonts w:ascii="Times New Roman" w:hAnsi="Times New Roman" w:cs="Times New Roman"/>
        </w:rPr>
        <w:t xml:space="preserve">Abbreviations: </w:t>
      </w:r>
      <w:r w:rsidR="00234D4B" w:rsidRPr="00C066A0">
        <w:rPr>
          <w:rFonts w:ascii="Times New Roman" w:hAnsi="Times New Roman" w:cs="Times New Roman"/>
        </w:rPr>
        <w:t>RF = Random survival forests</w:t>
      </w:r>
    </w:p>
    <w:p w14:paraId="5D75FAE8" w14:textId="27A4E198" w:rsidR="00B2687D" w:rsidRPr="000976AC" w:rsidRDefault="00F137A0" w:rsidP="00B2687D">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7B6F4255" wp14:editId="7434C365">
            <wp:extent cx="8229600" cy="5603240"/>
            <wp:effectExtent l="12700" t="12700" r="12700" b="10160"/>
            <wp:docPr id="1502981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81179" name="Picture 1502981179"/>
                    <pic:cNvPicPr/>
                  </pic:nvPicPr>
                  <pic:blipFill>
                    <a:blip r:embed="rId14">
                      <a:extLst>
                        <a:ext uri="{28A0092B-C50C-407E-A947-70E740481C1C}">
                          <a14:useLocalDpi xmlns:a14="http://schemas.microsoft.com/office/drawing/2010/main" val="0"/>
                        </a:ext>
                      </a:extLst>
                    </a:blip>
                    <a:stretch>
                      <a:fillRect/>
                    </a:stretch>
                  </pic:blipFill>
                  <pic:spPr>
                    <a:xfrm>
                      <a:off x="0" y="0"/>
                      <a:ext cx="8229600" cy="5603240"/>
                    </a:xfrm>
                    <a:prstGeom prst="rect">
                      <a:avLst/>
                    </a:prstGeom>
                    <a:ln>
                      <a:solidFill>
                        <a:schemeClr val="tx1"/>
                      </a:solidFill>
                    </a:ln>
                  </pic:spPr>
                </pic:pic>
              </a:graphicData>
            </a:graphic>
          </wp:inline>
        </w:drawing>
      </w:r>
      <w:r w:rsidR="00B2687D" w:rsidRPr="000976AC">
        <w:rPr>
          <w:rFonts w:ascii="Times New Roman" w:hAnsi="Times New Roman" w:cs="Times New Roman"/>
        </w:rPr>
        <w:br w:type="page"/>
      </w:r>
    </w:p>
    <w:p w14:paraId="122775F8" w14:textId="44DDA524" w:rsidR="00B2687D" w:rsidRPr="00404221" w:rsidRDefault="00B2687D" w:rsidP="00B2687D">
      <w:pPr>
        <w:spacing w:line="480" w:lineRule="auto"/>
        <w:rPr>
          <w:rFonts w:ascii="Times New Roman" w:hAnsi="Times New Roman" w:cs="Times New Roman"/>
        </w:rPr>
      </w:pPr>
      <w:r w:rsidRPr="00404221">
        <w:rPr>
          <w:rFonts w:ascii="Times New Roman" w:hAnsi="Times New Roman" w:cs="Times New Roman"/>
          <w:b/>
          <w:bCs/>
        </w:rPr>
        <w:lastRenderedPageBreak/>
        <w:t xml:space="preserve">Supplemental Figure </w:t>
      </w:r>
      <w:r w:rsidR="009573BA" w:rsidRPr="00404221">
        <w:rPr>
          <w:rFonts w:ascii="Times New Roman" w:hAnsi="Times New Roman" w:cs="Times New Roman"/>
          <w:b/>
          <w:bCs/>
        </w:rPr>
        <w:t>7</w:t>
      </w:r>
      <w:r w:rsidRPr="00404221">
        <w:rPr>
          <w:rFonts w:ascii="Times New Roman" w:hAnsi="Times New Roman" w:cs="Times New Roman"/>
          <w:b/>
          <w:bCs/>
        </w:rPr>
        <w:t xml:space="preserve">. Distribution of </w:t>
      </w:r>
      <w:r w:rsidR="00774914" w:rsidRPr="00404221">
        <w:rPr>
          <w:rFonts w:ascii="Times New Roman" w:hAnsi="Times New Roman" w:cs="Times New Roman"/>
          <w:b/>
          <w:bCs/>
        </w:rPr>
        <w:t xml:space="preserve">Performance Statistics </w:t>
      </w:r>
      <w:r w:rsidRPr="00404221">
        <w:rPr>
          <w:rFonts w:ascii="Times New Roman" w:hAnsi="Times New Roman" w:cs="Times New Roman"/>
          <w:b/>
          <w:bCs/>
        </w:rPr>
        <w:t xml:space="preserve">for Imputed Datasets, by Method (Machine Learning </w:t>
      </w:r>
      <w:r w:rsidR="00A02B95">
        <w:rPr>
          <w:rFonts w:ascii="Times New Roman" w:hAnsi="Times New Roman" w:cs="Times New Roman"/>
          <w:b/>
          <w:bCs/>
        </w:rPr>
        <w:t>Sensitivity Analyses</w:t>
      </w:r>
      <w:r w:rsidRPr="00404221">
        <w:rPr>
          <w:rFonts w:ascii="Times New Roman" w:hAnsi="Times New Roman" w:cs="Times New Roman"/>
          <w:b/>
          <w:bCs/>
        </w:rPr>
        <w:t xml:space="preserve"> </w:t>
      </w:r>
      <w:r w:rsidR="009573BA" w:rsidRPr="00404221">
        <w:rPr>
          <w:rFonts w:ascii="Times New Roman" w:hAnsi="Times New Roman" w:cs="Times New Roman"/>
          <w:b/>
          <w:bCs/>
        </w:rPr>
        <w:t>5b</w:t>
      </w:r>
      <w:r w:rsidRPr="00404221">
        <w:rPr>
          <w:rFonts w:ascii="Times New Roman" w:hAnsi="Times New Roman" w:cs="Times New Roman"/>
          <w:b/>
          <w:bCs/>
        </w:rPr>
        <w:t xml:space="preserve">). </w:t>
      </w:r>
      <w:r w:rsidR="009573BA" w:rsidRPr="00404221">
        <w:rPr>
          <w:rFonts w:ascii="Times New Roman" w:hAnsi="Times New Roman" w:cs="Times New Roman"/>
        </w:rPr>
        <w:t>Each boxplot represents the mean (box middle line), mean +/- 1 SD (box end lines), mean +/- 3 SD (whisker end points) C-index value (Plot A) or R</w:t>
      </w:r>
      <w:r w:rsidR="009573BA" w:rsidRPr="00404221">
        <w:rPr>
          <w:rFonts w:ascii="Times New Roman" w:hAnsi="Times New Roman" w:cs="Times New Roman"/>
          <w:vertAlign w:val="superscript"/>
        </w:rPr>
        <w:t xml:space="preserve">2 </w:t>
      </w:r>
      <w:r w:rsidR="009573BA" w:rsidRPr="00404221">
        <w:rPr>
          <w:rFonts w:ascii="Times New Roman" w:hAnsi="Times New Roman" w:cs="Times New Roman"/>
        </w:rPr>
        <w:t>(Schmid) value (Plot B) for the test set, across seeds and folds, for a specific method and a given imputed dataset; the dotted colored horizontal line represents the median, across imputed datasets, of the mean C-index values (Plot A) or R</w:t>
      </w:r>
      <w:r w:rsidR="009573BA" w:rsidRPr="00404221">
        <w:rPr>
          <w:rFonts w:ascii="Times New Roman" w:hAnsi="Times New Roman" w:cs="Times New Roman"/>
          <w:vertAlign w:val="superscript"/>
        </w:rPr>
        <w:t xml:space="preserve">2 </w:t>
      </w:r>
      <w:r w:rsidR="009573BA" w:rsidRPr="00404221">
        <w:rPr>
          <w:rFonts w:ascii="Times New Roman" w:hAnsi="Times New Roman" w:cs="Times New Roman"/>
        </w:rPr>
        <w:t>(Schmid) values (Plot B) for a given method. The black horizontal line represents the C-index value (Plot A) or R</w:t>
      </w:r>
      <w:r w:rsidR="009573BA" w:rsidRPr="00404221">
        <w:rPr>
          <w:rFonts w:ascii="Times New Roman" w:hAnsi="Times New Roman" w:cs="Times New Roman"/>
          <w:vertAlign w:val="superscript"/>
        </w:rPr>
        <w:t xml:space="preserve">2 </w:t>
      </w:r>
      <w:r w:rsidR="009573BA" w:rsidRPr="00404221">
        <w:rPr>
          <w:rFonts w:ascii="Times New Roman" w:hAnsi="Times New Roman" w:cs="Times New Roman"/>
        </w:rPr>
        <w:t xml:space="preserve">(Schmid) value (Plot B) corresponding to random guess. </w:t>
      </w:r>
      <w:r w:rsidRPr="00404221">
        <w:rPr>
          <w:rFonts w:ascii="Times New Roman" w:hAnsi="Times New Roman" w:cs="Times New Roman"/>
        </w:rPr>
        <w:t xml:space="preserve">Analysis details are the same as in Supplemental Figure 1, except that, for random survival forests, we used a gradient-based Brier score splitting rule.   </w:t>
      </w:r>
    </w:p>
    <w:p w14:paraId="4A620DF0" w14:textId="3D6D7366" w:rsidR="00234D4B" w:rsidRPr="000976AC" w:rsidRDefault="00B2687D" w:rsidP="00234D4B">
      <w:pPr>
        <w:spacing w:line="480" w:lineRule="auto"/>
        <w:rPr>
          <w:rFonts w:ascii="Times New Roman" w:hAnsi="Times New Roman" w:cs="Times New Roman"/>
        </w:rPr>
      </w:pPr>
      <w:r w:rsidRPr="00404221">
        <w:rPr>
          <w:rFonts w:ascii="Times New Roman" w:hAnsi="Times New Roman" w:cs="Times New Roman"/>
        </w:rPr>
        <w:t xml:space="preserve">Abbreviations: </w:t>
      </w:r>
      <w:r w:rsidR="00234D4B" w:rsidRPr="00404221">
        <w:rPr>
          <w:rFonts w:ascii="Times New Roman" w:hAnsi="Times New Roman" w:cs="Times New Roman"/>
        </w:rPr>
        <w:t>RF = Random survival forests</w:t>
      </w:r>
    </w:p>
    <w:p w14:paraId="77521BDB" w14:textId="656A47EE" w:rsidR="00A94ED2" w:rsidRPr="00FC71C9" w:rsidRDefault="00292B2D" w:rsidP="00FC71C9">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5440E37A" wp14:editId="4EF65737">
            <wp:extent cx="8229600" cy="5603240"/>
            <wp:effectExtent l="12700" t="12700" r="12700" b="10160"/>
            <wp:docPr id="9418341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34144" name="Picture 941834144"/>
                    <pic:cNvPicPr/>
                  </pic:nvPicPr>
                  <pic:blipFill>
                    <a:blip r:embed="rId15">
                      <a:extLst>
                        <a:ext uri="{28A0092B-C50C-407E-A947-70E740481C1C}">
                          <a14:useLocalDpi xmlns:a14="http://schemas.microsoft.com/office/drawing/2010/main" val="0"/>
                        </a:ext>
                      </a:extLst>
                    </a:blip>
                    <a:stretch>
                      <a:fillRect/>
                    </a:stretch>
                  </pic:blipFill>
                  <pic:spPr>
                    <a:xfrm>
                      <a:off x="0" y="0"/>
                      <a:ext cx="8229600" cy="5603240"/>
                    </a:xfrm>
                    <a:prstGeom prst="rect">
                      <a:avLst/>
                    </a:prstGeom>
                    <a:ln>
                      <a:solidFill>
                        <a:schemeClr val="tx1"/>
                      </a:solidFill>
                    </a:ln>
                  </pic:spPr>
                </pic:pic>
              </a:graphicData>
            </a:graphic>
          </wp:inline>
        </w:drawing>
      </w:r>
    </w:p>
    <w:sectPr w:rsidR="00A94ED2" w:rsidRPr="00FC71C9" w:rsidSect="00174EE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970C" w14:textId="77777777" w:rsidR="00174EEA" w:rsidRDefault="00174EEA" w:rsidP="007D143C">
      <w:r>
        <w:separator/>
      </w:r>
    </w:p>
  </w:endnote>
  <w:endnote w:type="continuationSeparator" w:id="0">
    <w:p w14:paraId="287DE963" w14:textId="77777777" w:rsidR="00174EEA" w:rsidRDefault="00174EEA" w:rsidP="007D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657645"/>
      <w:docPartObj>
        <w:docPartGallery w:val="Page Numbers (Bottom of Page)"/>
        <w:docPartUnique/>
      </w:docPartObj>
    </w:sdtPr>
    <w:sdtContent>
      <w:p w14:paraId="0EDD3B88" w14:textId="42C47988" w:rsidR="007D143C" w:rsidRDefault="007D143C" w:rsidP="007D14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22106F" w14:textId="77777777" w:rsidR="007D143C" w:rsidRDefault="007D143C" w:rsidP="007D1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976054571"/>
      <w:docPartObj>
        <w:docPartGallery w:val="Page Numbers (Bottom of Page)"/>
        <w:docPartUnique/>
      </w:docPartObj>
    </w:sdtPr>
    <w:sdtContent>
      <w:p w14:paraId="14006DED" w14:textId="4761650E" w:rsidR="007D143C" w:rsidRPr="007D143C" w:rsidRDefault="007D143C" w:rsidP="007D143C">
        <w:pPr>
          <w:pStyle w:val="Footer"/>
          <w:framePr w:wrap="none" w:vAnchor="text" w:hAnchor="margin" w:xAlign="right" w:y="1"/>
          <w:rPr>
            <w:rStyle w:val="PageNumber"/>
            <w:rFonts w:ascii="Times New Roman" w:hAnsi="Times New Roman" w:cs="Times New Roman"/>
          </w:rPr>
        </w:pPr>
        <w:r w:rsidRPr="007D143C">
          <w:rPr>
            <w:rStyle w:val="PageNumber"/>
            <w:rFonts w:ascii="Times New Roman" w:hAnsi="Times New Roman" w:cs="Times New Roman"/>
          </w:rPr>
          <w:fldChar w:fldCharType="begin"/>
        </w:r>
        <w:r w:rsidRPr="007D143C">
          <w:rPr>
            <w:rStyle w:val="PageNumber"/>
            <w:rFonts w:ascii="Times New Roman" w:hAnsi="Times New Roman" w:cs="Times New Roman"/>
          </w:rPr>
          <w:instrText xml:space="preserve"> PAGE </w:instrText>
        </w:r>
        <w:r w:rsidRPr="007D143C">
          <w:rPr>
            <w:rStyle w:val="PageNumber"/>
            <w:rFonts w:ascii="Times New Roman" w:hAnsi="Times New Roman" w:cs="Times New Roman"/>
          </w:rPr>
          <w:fldChar w:fldCharType="separate"/>
        </w:r>
        <w:r w:rsidRPr="007D143C">
          <w:rPr>
            <w:rStyle w:val="PageNumber"/>
            <w:rFonts w:ascii="Times New Roman" w:hAnsi="Times New Roman" w:cs="Times New Roman"/>
            <w:noProof/>
          </w:rPr>
          <w:t>1</w:t>
        </w:r>
        <w:r w:rsidRPr="007D143C">
          <w:rPr>
            <w:rStyle w:val="PageNumber"/>
            <w:rFonts w:ascii="Times New Roman" w:hAnsi="Times New Roman" w:cs="Times New Roman"/>
          </w:rPr>
          <w:fldChar w:fldCharType="end"/>
        </w:r>
      </w:p>
    </w:sdtContent>
  </w:sdt>
  <w:p w14:paraId="3B24F60F" w14:textId="77777777" w:rsidR="007D143C" w:rsidRDefault="007D143C" w:rsidP="007D14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7DEE" w14:textId="77777777" w:rsidR="00174EEA" w:rsidRDefault="00174EEA" w:rsidP="007D143C">
      <w:r>
        <w:separator/>
      </w:r>
    </w:p>
  </w:footnote>
  <w:footnote w:type="continuationSeparator" w:id="0">
    <w:p w14:paraId="36557CDE" w14:textId="77777777" w:rsidR="00174EEA" w:rsidRDefault="00174EEA" w:rsidP="007D143C">
      <w:r>
        <w:continuationSeparator/>
      </w:r>
    </w:p>
  </w:footnote>
  <w:footnote w:id="1">
    <w:p w14:paraId="6B69F345" w14:textId="0C22931F" w:rsidR="00FB6B27" w:rsidRPr="009256C4" w:rsidRDefault="00FB6B27" w:rsidP="00740D5B">
      <w:pPr>
        <w:pStyle w:val="FootnoteText"/>
        <w:ind w:left="180" w:hanging="180"/>
        <w:rPr>
          <w:rFonts w:ascii="Times New Roman" w:hAnsi="Times New Roman" w:cs="Times New Roman"/>
        </w:rPr>
      </w:pPr>
      <w:r w:rsidRPr="009256C4">
        <w:rPr>
          <w:rStyle w:val="FootnoteReference"/>
          <w:rFonts w:ascii="Times New Roman" w:hAnsi="Times New Roman" w:cs="Times New Roman"/>
        </w:rPr>
        <w:footnoteRef/>
      </w:r>
      <w:r w:rsidRPr="009256C4">
        <w:rPr>
          <w:rFonts w:ascii="Times New Roman" w:hAnsi="Times New Roman" w:cs="Times New Roman"/>
        </w:rPr>
        <w:t xml:space="preserve"> Briefly, penalized regression models are similar to standard regression models, except that they penalize model complexity, which tends to shrink predictors’ coefficients toward (or to) zero. Random forests are similar to decision trees, which would predict lower or higher event risk based on values of a series of predictors included in the tree; however, with random forests, there are multiple trees and overall predictions are based on their collective predictions, and each tree is trained on </w:t>
      </w:r>
      <w:r w:rsidR="00FF3091" w:rsidRPr="009256C4">
        <w:rPr>
          <w:rFonts w:ascii="Times New Roman" w:hAnsi="Times New Roman" w:cs="Times New Roman"/>
        </w:rPr>
        <w:t xml:space="preserve">only </w:t>
      </w:r>
      <w:r w:rsidRPr="009256C4">
        <w:rPr>
          <w:rFonts w:ascii="Times New Roman" w:hAnsi="Times New Roman" w:cs="Times New Roman"/>
        </w:rPr>
        <w:t>a</w:t>
      </w:r>
      <w:r w:rsidR="00C82F53" w:rsidRPr="009256C4">
        <w:rPr>
          <w:rFonts w:ascii="Times New Roman" w:hAnsi="Times New Roman" w:cs="Times New Roman"/>
        </w:rPr>
        <w:t xml:space="preserve"> random</w:t>
      </w:r>
      <w:r w:rsidRPr="009256C4">
        <w:rPr>
          <w:rFonts w:ascii="Times New Roman" w:hAnsi="Times New Roman" w:cs="Times New Roman"/>
        </w:rPr>
        <w:t xml:space="preserve"> subset of participants and a </w:t>
      </w:r>
      <w:r w:rsidR="00C82F53" w:rsidRPr="009256C4">
        <w:rPr>
          <w:rFonts w:ascii="Times New Roman" w:hAnsi="Times New Roman" w:cs="Times New Roman"/>
        </w:rPr>
        <w:t xml:space="preserve">random </w:t>
      </w:r>
      <w:r w:rsidRPr="009256C4">
        <w:rPr>
          <w:rFonts w:ascii="Times New Roman" w:hAnsi="Times New Roman" w:cs="Times New Roman"/>
        </w:rPr>
        <w:t>subset of variables at each node.</w:t>
      </w:r>
    </w:p>
  </w:footnote>
  <w:footnote w:id="2">
    <w:p w14:paraId="00BC42AD" w14:textId="64766681" w:rsidR="00AF620B" w:rsidRDefault="00AF620B" w:rsidP="00740D5B">
      <w:pPr>
        <w:pStyle w:val="FootnoteText"/>
        <w:ind w:left="180" w:hanging="180"/>
        <w:rPr>
          <w:rFonts w:ascii="Times New Roman" w:hAnsi="Times New Roman" w:cs="Times New Roman"/>
        </w:rPr>
      </w:pPr>
      <w:r w:rsidRPr="009256C4">
        <w:rPr>
          <w:rStyle w:val="FootnoteReference"/>
          <w:rFonts w:ascii="Times New Roman" w:hAnsi="Times New Roman" w:cs="Times New Roman"/>
        </w:rPr>
        <w:footnoteRef/>
      </w:r>
      <w:r w:rsidRPr="009256C4">
        <w:rPr>
          <w:rFonts w:ascii="Times New Roman" w:hAnsi="Times New Roman" w:cs="Times New Roman"/>
        </w:rPr>
        <w:t xml:space="preserve"> The C-index </w:t>
      </w:r>
      <w:r w:rsidRPr="009256C4">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{"citationID":"iU3v4Pv8","properties":{"formattedCitation":"(Wood, Royston, &amp; White, 2015)","plainCitation":"(Wood, Royston, &amp; White, 2015)","noteIndex":2},"citationItems":[{"id":12917,"uris":["http://zotero.org/users/3816538/items/M8JZ6M2A"],"itemData":{"id":12917,"type":"article-journal","container-title":"Biometrical Journal","DOI":"10.1002/bimj.201400004","ISSN":"0323-3847, 1521-4036","issue":"4","journalAbbreviation":"Biom. J.","language":"en","page":"614-632","source":"DOI.org (Crossref)","title":"The estimation and use of predictions for the assessment of model performance using large samples with multiply imputed data","volume":"57","author":[{"family":"Wood","given":"Angela M."},{"family":"Royston","given":"Patrick"},{"family":"White","given":"Ian R."}],"issued":{"date-parts":[["2015",7]]}}}],"schema":"https://github.com/citation-style-language/schema/raw/master/csl-citation.json"} </w:instrText>
      </w:r>
      <w:r w:rsidRPr="009256C4">
        <w:rPr>
          <w:rFonts w:ascii="Times New Roman" w:hAnsi="Times New Roman" w:cs="Times New Roman"/>
        </w:rPr>
        <w:fldChar w:fldCharType="separate"/>
      </w:r>
      <w:r w:rsidRPr="009256C4">
        <w:rPr>
          <w:rFonts w:ascii="Times New Roman" w:hAnsi="Times New Roman" w:cs="Times New Roman"/>
        </w:rPr>
        <w:t>(Wood, Royston, &amp; White, 2015)</w:t>
      </w:r>
      <w:r w:rsidRPr="009256C4">
        <w:rPr>
          <w:rFonts w:ascii="Times New Roman" w:hAnsi="Times New Roman" w:cs="Times New Roman"/>
        </w:rPr>
        <w:fldChar w:fldCharType="end"/>
      </w:r>
      <w:r w:rsidRPr="009256C4">
        <w:rPr>
          <w:rFonts w:ascii="Times New Roman" w:hAnsi="Times New Roman" w:cs="Times New Roman"/>
        </w:rPr>
        <w:t xml:space="preserve"> quantifies the discrimination power of a prediction model (i.e., whether a model can correctly predict the temporal order of remission of a set of participants). We reported results for Harrell’s C-index </w:t>
      </w:r>
      <w:r w:rsidRPr="009256C4">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{"citationID":"UWsUGqBL","properties":{"formattedCitation":"(Harrell, Califf, Pryor, Lee, &amp; Rosati, 1982)","plainCitation":"(Harrell, Califf, Pryor, Lee, &amp; Rosati, 1982)","noteIndex":2},"citationItems":[{"id":18007,"uris":["http://zotero.org/users/3816538/items/JVYRPH6T"],"itemData":{"id":18007,"type":"article-journal","container-title":"Journal of the American Medical Association","language":"en","page":"2543-2546","source":"Zotero","title":"Evaluating the yield of medical tests","volume":"247","author":[{"family":"Harrell","given":"Frank E"},{"family":"Califf","given":"Robert M"},{"family":"Pryor","given":"David B"},{"family":"Lee","given":"Kerry L."},{"family":"Rosati","given":"Robert A."}],"issued":{"date-parts":[["1982"]]}}}],"schema":"https://github.com/citation-style-language/schema/raw/master/csl-citation.json"} </w:instrText>
      </w:r>
      <w:r w:rsidRPr="009256C4">
        <w:rPr>
          <w:rFonts w:ascii="Times New Roman" w:hAnsi="Times New Roman" w:cs="Times New Roman"/>
        </w:rPr>
        <w:fldChar w:fldCharType="separate"/>
      </w:r>
      <w:r w:rsidRPr="009256C4">
        <w:rPr>
          <w:rFonts w:ascii="Times New Roman" w:hAnsi="Times New Roman" w:cs="Times New Roman"/>
          <w:noProof/>
        </w:rPr>
        <w:t>(Harrell, Califf, Pryor, Lee, &amp; Rosati, 1982)</w:t>
      </w:r>
      <w:r w:rsidRPr="009256C4">
        <w:rPr>
          <w:rFonts w:ascii="Times New Roman" w:hAnsi="Times New Roman" w:cs="Times New Roman"/>
        </w:rPr>
        <w:fldChar w:fldCharType="end"/>
      </w:r>
      <w:r w:rsidRPr="009256C4">
        <w:rPr>
          <w:rFonts w:ascii="Times New Roman" w:hAnsi="Times New Roman" w:cs="Times New Roman"/>
        </w:rPr>
        <w:t xml:space="preserve"> because it is commonly used for machine learning with survival outcomes (e.g., in the </w:t>
      </w:r>
      <w:r w:rsidRPr="009256C4">
        <w:rPr>
          <w:rFonts w:ascii="Times New Roman" w:hAnsi="Times New Roman" w:cs="Times New Roman"/>
          <w:i/>
          <w:iCs/>
        </w:rPr>
        <w:t>glmnet</w:t>
      </w:r>
      <w:r w:rsidRPr="009256C4">
        <w:rPr>
          <w:rFonts w:ascii="Times New Roman" w:hAnsi="Times New Roman" w:cs="Times New Roman"/>
        </w:rPr>
        <w:t xml:space="preserve"> package); although Harrell’s C-index is biased in the presence of censoring and Uno’s C-index </w:t>
      </w:r>
      <w:r w:rsidRPr="009256C4">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{"citationID":"2e6n9E2l","properties":{"formattedCitation":"(Uno, Cai, Pencina, D\\uc0\\u8217{}Agostino, &amp; Wei, 2011)","plainCitation":"(Uno, Cai, Pencina, D’Agostino, &amp; Wei, 2011)","noteIndex":2},"citationItems":[{"id":18006,"uris":["http://zotero.org/users/3816538/items/3EDL7IFF"],"itemData":{"id":18006,"type":"article-journal","abstract":"For modern evidence-based medicine, a well thought-out risk scoring system for predicting the occurrence of a clinical event plays an important role in selecting prevention and treatment strategies. Such an index system is often established based on the subject’s “baseline” genetic or clinical markers via a working parametric or semi-parametric model. To evaluate the adequacy of such a system, C-statistics are routinely used in the medical literature to quantify the capacity of the estimated risk score in discriminating among subjects with different event times. The Cstatistic provides a global assessment of a fitted survival model for the continuous event time rather than focuses on the prediction of t-year survival for a fixed time. When the event time is possibly censored, however, the population parameters corresponding to the commonly used Cstatistics may depend on the study-specific censoring distribution. In this article, we present a simple C-statistic without this shortcoming. The new procedure consistently estimates a conventional concordance measure which is free of censoring. We provide a large sample approximation to the distribution of this estimator for making inferences about the concordance measure. Results from numerical studies suggest that the new procedure performs well in finite sample.","container-title":"Statistics in Medicine","DOI":"10.1002/sim.4154","ISSN":"02</w:instrText>
      </w:r>
      <w:r w:rsidR="00F75C68">
        <w:rPr>
          <w:rFonts w:ascii="Times New Roman" w:hAnsi="Times New Roman" w:cs="Times New Roman" w:hint="eastAsia"/>
        </w:rPr>
        <w:instrText>77-6715, 1097-0258","issue":"10","journalAbbreviation":"Statistics in Medicine","language":"en","page":"1105-1117","source":"DOI.org (Crossref)","title":"On the C</w:instrText>
      </w:r>
      <w:r w:rsidR="00F75C68">
        <w:rPr>
          <w:rFonts w:ascii="Times New Roman" w:hAnsi="Times New Roman" w:cs="Times New Roman" w:hint="eastAsia"/>
        </w:rPr>
        <w:instrText>‐</w:instrText>
      </w:r>
      <w:r w:rsidR="00F75C68">
        <w:rPr>
          <w:rFonts w:ascii="Times New Roman" w:hAnsi="Times New Roman" w:cs="Times New Roman" w:hint="eastAsia"/>
        </w:rPr>
        <w:instrText>statistics for evaluating overall adequacy of risk prediction procedures with censored survi</w:instrText>
      </w:r>
      <w:r w:rsidR="00F75C68">
        <w:rPr>
          <w:rFonts w:ascii="Times New Roman" w:hAnsi="Times New Roman" w:cs="Times New Roman"/>
        </w:rPr>
        <w:instrText xml:space="preserve">val data","volume":"30","author":[{"family":"Uno","given":"Hajime"},{"family":"Cai","given":"Tianxi"},{"family":"Pencina","given":"Michael J."},{"family":"D'Agostino","given":"Ralph B."},{"family":"Wei","given":"L. J."}],"issued":{"date-parts":[["2011",5,10]]}}}],"schema":"https://github.com/citation-style-language/schema/raw/master/csl-citation.json"} </w:instrText>
      </w:r>
      <w:r w:rsidRPr="009256C4">
        <w:rPr>
          <w:rFonts w:ascii="Times New Roman" w:hAnsi="Times New Roman" w:cs="Times New Roman"/>
        </w:rPr>
        <w:fldChar w:fldCharType="separate"/>
      </w:r>
      <w:r w:rsidRPr="009256C4">
        <w:rPr>
          <w:rFonts w:ascii="Times New Roman" w:hAnsi="Times New Roman" w:cs="Times New Roman"/>
        </w:rPr>
        <w:t>(Uno, Cai, Pencina, D’Agostino, &amp; Wei, 2011)</w:t>
      </w:r>
      <w:r w:rsidRPr="009256C4">
        <w:rPr>
          <w:rFonts w:ascii="Times New Roman" w:hAnsi="Times New Roman" w:cs="Times New Roman"/>
        </w:rPr>
        <w:fldChar w:fldCharType="end"/>
      </w:r>
      <w:r w:rsidRPr="009256C4">
        <w:rPr>
          <w:rFonts w:ascii="Times New Roman" w:hAnsi="Times New Roman" w:cs="Times New Roman"/>
        </w:rPr>
        <w:t xml:space="preserve"> has thus been recommended for datasets with moderate censoring </w:t>
      </w:r>
      <w:r w:rsidRPr="009256C4">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{"citationID":"1sqLl3ET","properties":{"formattedCitation":"(Rahman, Ambler, Choodari-Oskooei, &amp; Omar, 2017)","plainCitation":"(Rahman, Ambler, Choodari-Oskooei, &amp; Omar, 2017)","noteIndex":2},"citationItems":[{"id":16367,"uris":["http://zotero.org/users/3816538/items/XJ2CRVN6"],"itemData":{"id":16367,"type":"article-journal","abstract":"Background: When developing a prediction model for survival data it is essential to validate its performance in external validation settings using appropriate performance measures. Although a number of such measures have been proposed, there is only limited guidance regarding their use in the context of model validation. This paper reviewed and evaluated a wide range of performance measures to provide some guidelines for their use in practice.\nMethods: An extensive simulation study based on two clinical datasets was conducted to investigate the performance of the measures in external validation settings. Measures were selected from categories that assess the overall performance, discrimination and calibration of a survival prediction model. Some of these have been modified to allow their use with validation data, and a case study is provided to describe how these measures can be estimated in practice. The measures were evaluated with respect to their robustness to censoring and ease of interpretation. All measures are implemented, or are straightforward to implement, in statistical software.\nResults: Most of the performance measures were reasonably robust to moderate levels of censoring. One exception was Harrell’s concordance measure which tended to increase as censoring increased.\nConclusions: We recommend that Uno’s concordance measure is used to quantify concordance when there are moderate levels of censoring. Alternatively, Gönen and Heller’s measure could be considered, especially if censoring is very high, but we suggest that the prediction model is re-calibrated first. We also recommend that Royston’s D is routinely reported to assess discrimination since it has an appealing interpretation. The calibration slope is useful for both internal and external validation settings and recommended to report routinely. Our recommendation would be to use any of the predictive accuracy measures and provide the corresponding predictive accuracy curves. In addition, we recommend to investigate the characteristics of the validation data such as the level of censoring and the distribution of the prognostic index derived in the validation setting before choosing the performance measures.","container-title":"BMC Medical Research Methodology","DOI":"10.1186/s12874-017-0336-2","ISSN":"1471-2288","issue":"1","journalAbbreviation":"BMC Med Res Methodol","language":"en","page":"Article 60","source":"DOI.org (Crossref)","title":"Review and evaluation of performance measures for survival prediction models in external validation settings","volume":"17","author":[{"family":"Rahman","given":"M. Shafiqur"},{"family":"Ambler","given":"Gareth"},{"family":"Choodari-Oskooei","given":"Babak"},{"family":"Omar","given":"Rumana Z."}],"issued":{"date-parts":[["2017",12]]}}}],"schema":"https://github.com/citation-style-language/schema/raw/master/csl-citation.json"} </w:instrText>
      </w:r>
      <w:r w:rsidRPr="009256C4">
        <w:rPr>
          <w:rFonts w:ascii="Times New Roman" w:hAnsi="Times New Roman" w:cs="Times New Roman"/>
        </w:rPr>
        <w:fldChar w:fldCharType="separate"/>
      </w:r>
      <w:r w:rsidR="00B40172" w:rsidRPr="009256C4">
        <w:rPr>
          <w:rFonts w:ascii="Times New Roman" w:hAnsi="Times New Roman" w:cs="Times New Roman"/>
          <w:noProof/>
        </w:rPr>
        <w:t>(Rahman, Ambler, Choodari-Oskooei, &amp; Omar, 2017)</w:t>
      </w:r>
      <w:r w:rsidRPr="009256C4">
        <w:rPr>
          <w:rFonts w:ascii="Times New Roman" w:hAnsi="Times New Roman" w:cs="Times New Roman"/>
        </w:rPr>
        <w:fldChar w:fldCharType="end"/>
      </w:r>
      <w:r w:rsidRPr="009256C4">
        <w:rPr>
          <w:rFonts w:ascii="Times New Roman" w:hAnsi="Times New Roman" w:cs="Times New Roman"/>
        </w:rPr>
        <w:t>, in practice the values of Harrell’s and Uno’s C-indexes were very similar in our machine learning analyses (results for Uno’s C-index not reported). R</w:t>
      </w:r>
      <w:r w:rsidRPr="009256C4">
        <w:rPr>
          <w:rFonts w:ascii="Times New Roman" w:hAnsi="Times New Roman" w:cs="Times New Roman"/>
          <w:vertAlign w:val="superscript"/>
        </w:rPr>
        <w:t xml:space="preserve">2 </w:t>
      </w:r>
      <w:r w:rsidRPr="009256C4">
        <w:rPr>
          <w:rFonts w:ascii="Times New Roman" w:hAnsi="Times New Roman" w:cs="Times New Roman"/>
        </w:rPr>
        <w:t xml:space="preserve">(Schmid) is calculated as one minus the ratio of the prediction error for the model in question relative to the prediction error for the null model </w:t>
      </w:r>
      <w:r w:rsidRPr="009256C4">
        <w:rPr>
          <w:rFonts w:ascii="Times New Roman" w:hAnsi="Times New Roman" w:cs="Times New Roman"/>
        </w:rPr>
        <w:fldChar w:fldCharType="begin"/>
      </w:r>
      <w:r w:rsidR="00F75C68">
        <w:rPr>
          <w:rFonts w:ascii="Times New Roman" w:hAnsi="Times New Roman" w:cs="Times New Roman"/>
        </w:rPr>
        <w:instrText xml:space="preserve"> ADDIN ZOTERO_ITEM CSL_CITATION {"citationID":"qU7BB6HW","properties":{"formattedCitation":"(Rahman et al., 2017)","plainCitation":"(Rahman et al., 2017)","noteIndex":2},"citationItems":[{"id":16367,"uris":["http://zotero.org/users/3816538/items/XJ2CRVN6"],"itemData":{"id":16367,"type":"article-journal","abstract":"Background: When developing a prediction model for survival data it is essential to validate its performance in external validation settings using appropriate performance measures. Although a number of such measures have been proposed, there is only limited guidance regarding their use in the context of model validation. This paper reviewed and evaluated a wide range of performance measures to provide some guidelines for their use in practice.\nMethods: An extensive simulation study based on two clinical datasets was conducted to investigate the performance of the measures in external validation settings. Measures were selected from categories that assess the overall performance, discrimination and calibration of a survival prediction model. Some of these have been modified to allow their use with validation data, and a case study is provided to describe how these measures can be estimated in practice. The measures were evaluated with respect to their robustness to censoring and ease of interpretation. All measures are implemented, or are straightforward to implement, in statistical software.\nResults: Most of the performance measures were reasonably robust to moderate levels of censoring. One exception was Harrell’s concordance measure which tended to increase as censoring increased.\nConclusions: We recommend that Uno’s concordance measure is used to quantify concordance when there are moderate levels of censoring. Alternatively, Gönen and Heller’s measure could be considered, especially if censoring is very high, but we suggest that the prediction model is re-calibrated first. We also recommend that Royston’s D is routinely reported to assess discrimination since it has an appealing interpretation. The calibration slope is useful for both internal and external validation settings and recommended to report routinely. Our recommendation would be to use any of the predictive accuracy measures and provide the corresponding predictive accuracy curves. In addition, we recommend to investigate the characteristics of the validation data such as the level of censoring and the distribution of the prognostic index derived in the validation setting before choosing the performance measures.","container-title":"BMC Medical Research Methodology","DOI":"10.1186/s12874-017-0336-2","ISSN":"1471-2288","issue":"1","journalAbbreviation":"BMC Med Res Methodol","language":"en","page":"Article 60","source":"DOI.org (Crossref)","title":"Review and evaluation of performance measures for survival prediction models in external validation settings","volume":"17","author":[{"family":"Rahman","given":"M. Shafiqur"},{"family":"Ambler","given":"Gareth"},{"family":"Choodari-Oskooei","given":"Babak"},{"family":"Omar","given":"Rumana Z."}],"issued":{"date-parts":[["2017",12]]}}}],"schema":"https://github.com/citation-style-language/schema/raw/master/csl-citation.json"} </w:instrText>
      </w:r>
      <w:r w:rsidRPr="009256C4">
        <w:rPr>
          <w:rFonts w:ascii="Times New Roman" w:hAnsi="Times New Roman" w:cs="Times New Roman"/>
        </w:rPr>
        <w:fldChar w:fldCharType="separate"/>
      </w:r>
      <w:r w:rsidRPr="009256C4">
        <w:rPr>
          <w:rFonts w:ascii="Times New Roman" w:hAnsi="Times New Roman" w:cs="Times New Roman"/>
          <w:noProof/>
        </w:rPr>
        <w:t>(Rahman et al., 2017)</w:t>
      </w:r>
      <w:r w:rsidRPr="009256C4">
        <w:rPr>
          <w:rFonts w:ascii="Times New Roman" w:hAnsi="Times New Roman" w:cs="Times New Roman"/>
        </w:rPr>
        <w:fldChar w:fldCharType="end"/>
      </w:r>
      <w:r w:rsidRPr="009256C4">
        <w:rPr>
          <w:rFonts w:ascii="Times New Roman" w:hAnsi="Times New Roman" w:cs="Times New Roman"/>
        </w:rPr>
        <w:t xml:space="preserve">. Notably, the C-index can take values </w:t>
      </w:r>
      <w:r w:rsidR="009D29D9" w:rsidRPr="009256C4">
        <w:rPr>
          <w:rFonts w:ascii="Times New Roman" w:hAnsi="Times New Roman" w:cs="Times New Roman"/>
        </w:rPr>
        <w:t>smaller than 0.5</w:t>
      </w:r>
      <w:r w:rsidRPr="009256C4">
        <w:rPr>
          <w:rFonts w:ascii="Times New Roman" w:hAnsi="Times New Roman" w:cs="Times New Roman"/>
        </w:rPr>
        <w:t>, and R</w:t>
      </w:r>
      <w:r w:rsidRPr="009256C4">
        <w:rPr>
          <w:rFonts w:ascii="Times New Roman" w:hAnsi="Times New Roman" w:cs="Times New Roman"/>
          <w:vertAlign w:val="superscript"/>
        </w:rPr>
        <w:t xml:space="preserve">2 </w:t>
      </w:r>
      <w:r w:rsidRPr="009256C4">
        <w:rPr>
          <w:rFonts w:ascii="Times New Roman" w:hAnsi="Times New Roman" w:cs="Times New Roman"/>
        </w:rPr>
        <w:t xml:space="preserve">(Schmid) can take negative values, in the </w:t>
      </w:r>
      <w:r w:rsidR="00D84E5A">
        <w:rPr>
          <w:rFonts w:ascii="Times New Roman" w:hAnsi="Times New Roman" w:cs="Times New Roman"/>
        </w:rPr>
        <w:t>test</w:t>
      </w:r>
      <w:r w:rsidRPr="009256C4">
        <w:rPr>
          <w:rFonts w:ascii="Times New Roman" w:hAnsi="Times New Roman" w:cs="Times New Roman"/>
        </w:rPr>
        <w:t xml:space="preserve"> set.</w:t>
      </w:r>
    </w:p>
    <w:p w14:paraId="41F33F63" w14:textId="77777777" w:rsidR="00D62A43" w:rsidRPr="009256C4" w:rsidRDefault="00D62A43" w:rsidP="00D62A43">
      <w:pPr>
        <w:pStyle w:val="FootnoteText"/>
        <w:rPr>
          <w:rFonts w:ascii="Times New Roman" w:hAnsi="Times New Roman" w:cs="Times New Roman"/>
        </w:rPr>
      </w:pPr>
    </w:p>
  </w:footnote>
  <w:footnote w:id="3">
    <w:p w14:paraId="1D7B312C" w14:textId="5EA63C3A" w:rsidR="001871E1" w:rsidRPr="009256C4" w:rsidRDefault="001871E1" w:rsidP="001871E1">
      <w:pPr>
        <w:pStyle w:val="FootnoteText"/>
        <w:ind w:left="180" w:hanging="180"/>
        <w:rPr>
          <w:rFonts w:ascii="Times New Roman" w:hAnsi="Times New Roman" w:cs="Times New Roman"/>
        </w:rPr>
      </w:pPr>
      <w:r w:rsidRPr="009256C4">
        <w:rPr>
          <w:rStyle w:val="FootnoteReference"/>
          <w:rFonts w:ascii="Times New Roman" w:hAnsi="Times New Roman" w:cs="Times New Roman"/>
        </w:rPr>
        <w:footnoteRef/>
      </w:r>
      <w:r w:rsidRPr="009256C4">
        <w:rPr>
          <w:rFonts w:ascii="Times New Roman" w:hAnsi="Times New Roman" w:cs="Times New Roman"/>
        </w:rPr>
        <w:t xml:space="preserve"> </w:t>
      </w:r>
      <w:r w:rsidR="00BE40D9" w:rsidRPr="009256C4">
        <w:rPr>
          <w:rFonts w:ascii="Times New Roman" w:hAnsi="Times New Roman" w:cs="Times New Roman"/>
          <w:i/>
          <w:iCs/>
        </w:rPr>
        <w:t>A priori</w:t>
      </w:r>
      <w:r w:rsidR="00BE40D9" w:rsidRPr="009256C4">
        <w:rPr>
          <w:rFonts w:ascii="Times New Roman" w:hAnsi="Times New Roman" w:cs="Times New Roman"/>
        </w:rPr>
        <w:t>, w</w:t>
      </w:r>
      <w:r w:rsidRPr="009256C4">
        <w:rPr>
          <w:rFonts w:ascii="Times New Roman" w:hAnsi="Times New Roman" w:cs="Times New Roman"/>
        </w:rPr>
        <w:t xml:space="preserve">e </w:t>
      </w:r>
      <w:r w:rsidR="00392D6D" w:rsidRPr="009256C4">
        <w:rPr>
          <w:rFonts w:ascii="Times New Roman" w:hAnsi="Times New Roman" w:cs="Times New Roman"/>
        </w:rPr>
        <w:t xml:space="preserve">decided to retain Sex and Race </w:t>
      </w:r>
      <w:r w:rsidR="00422495" w:rsidRPr="009256C4">
        <w:rPr>
          <w:rFonts w:ascii="Times New Roman" w:hAnsi="Times New Roman" w:cs="Times New Roman"/>
        </w:rPr>
        <w:t xml:space="preserve">(because they are important demographic variables that are almost always assessed) </w:t>
      </w:r>
      <w:r w:rsidR="00392D6D" w:rsidRPr="009256C4">
        <w:rPr>
          <w:rFonts w:ascii="Times New Roman" w:hAnsi="Times New Roman" w:cs="Times New Roman"/>
        </w:rPr>
        <w:t xml:space="preserve">and, otherwise, to retain </w:t>
      </w:r>
      <w:r w:rsidRPr="009256C4">
        <w:rPr>
          <w:rFonts w:ascii="Times New Roman" w:hAnsi="Times New Roman" w:cs="Times New Roman"/>
        </w:rPr>
        <w:t xml:space="preserve">the variable that was more conceptually or empirically relevant to remission from </w:t>
      </w:r>
      <w:r w:rsidR="00E401FB">
        <w:rPr>
          <w:rFonts w:ascii="Times New Roman" w:hAnsi="Times New Roman" w:cs="Times New Roman"/>
        </w:rPr>
        <w:t>binge-eating disorder (BED)</w:t>
      </w:r>
      <w:r w:rsidRPr="009256C4">
        <w:rPr>
          <w:rFonts w:ascii="Times New Roman" w:hAnsi="Times New Roman" w:cs="Times New Roman"/>
        </w:rPr>
        <w:t xml:space="preserve"> (with empirical relevance based on the limited existing research in this area) as determined by consensus of the first and last authors. For example, Current BMI is more conceptually relevant to remission from BED than Lowest BMI </w:t>
      </w:r>
      <w:r w:rsidR="00816ED8" w:rsidRPr="009256C4">
        <w:rPr>
          <w:rFonts w:ascii="Times New Roman" w:hAnsi="Times New Roman" w:cs="Times New Roman"/>
        </w:rPr>
        <w:t>S</w:t>
      </w:r>
      <w:r w:rsidRPr="009256C4">
        <w:rPr>
          <w:rFonts w:ascii="Times New Roman" w:hAnsi="Times New Roman" w:cs="Times New Roman"/>
        </w:rPr>
        <w:t xml:space="preserve">ince </w:t>
      </w:r>
      <w:r w:rsidR="00816ED8" w:rsidRPr="009256C4">
        <w:rPr>
          <w:rFonts w:ascii="Times New Roman" w:hAnsi="Times New Roman" w:cs="Times New Roman"/>
        </w:rPr>
        <w:t>E</w:t>
      </w:r>
      <w:r w:rsidRPr="009256C4">
        <w:rPr>
          <w:rFonts w:ascii="Times New Roman" w:hAnsi="Times New Roman" w:cs="Times New Roman"/>
        </w:rPr>
        <w:t xml:space="preserve">ighteen </w:t>
      </w:r>
      <w:r w:rsidR="00816ED8" w:rsidRPr="009256C4">
        <w:rPr>
          <w:rFonts w:ascii="Times New Roman" w:hAnsi="Times New Roman" w:cs="Times New Roman"/>
        </w:rPr>
        <w:t>Y</w:t>
      </w:r>
      <w:r w:rsidRPr="009256C4">
        <w:rPr>
          <w:rFonts w:ascii="Times New Roman" w:hAnsi="Times New Roman" w:cs="Times New Roman"/>
        </w:rPr>
        <w:t xml:space="preserve">ears. Also, </w:t>
      </w:r>
      <w:r w:rsidR="006C52E2" w:rsidRPr="009256C4">
        <w:rPr>
          <w:rFonts w:ascii="Times New Roman" w:hAnsi="Times New Roman" w:cs="Times New Roman"/>
        </w:rPr>
        <w:t>EDI–2</w:t>
      </w:r>
      <w:r w:rsidRPr="009256C4">
        <w:rPr>
          <w:rFonts w:ascii="Times New Roman" w:hAnsi="Times New Roman" w:cs="Times New Roman"/>
        </w:rPr>
        <w:t xml:space="preserve"> Bulimia is more conceptually relevant to remission from BED than the various other Eating Disorder Inventory – 2 subscales with which it correlated. </w:t>
      </w:r>
    </w:p>
    <w:p w14:paraId="1A1A1F0E" w14:textId="77777777" w:rsidR="001871E1" w:rsidRPr="007A30C9" w:rsidRDefault="001871E1" w:rsidP="001871E1">
      <w:pPr>
        <w:pStyle w:val="FootnoteText"/>
        <w:ind w:left="180" w:hanging="180"/>
        <w:rPr>
          <w:rFonts w:ascii="Times New Roman" w:hAnsi="Times New Roman" w:cs="Times New Roman"/>
        </w:rPr>
      </w:pPr>
    </w:p>
    <w:p w14:paraId="77262D28" w14:textId="7015BC58" w:rsidR="001871E1" w:rsidRDefault="001871E1" w:rsidP="001871E1">
      <w:pPr>
        <w:pStyle w:val="FootnoteText"/>
        <w:ind w:left="180" w:hanging="180"/>
        <w:rPr>
          <w:rFonts w:ascii="Times New Roman" w:hAnsi="Times New Roman" w:cs="Times New Roman"/>
        </w:rPr>
      </w:pPr>
      <w:r w:rsidRPr="007A30C9">
        <w:rPr>
          <w:rFonts w:ascii="Times New Roman" w:hAnsi="Times New Roman" w:cs="Times New Roman"/>
        </w:rPr>
        <w:t xml:space="preserve">   </w:t>
      </w:r>
      <w:r w:rsidRPr="00A75A8A">
        <w:rPr>
          <w:rFonts w:ascii="Times New Roman" w:hAnsi="Times New Roman" w:cs="Times New Roman"/>
        </w:rPr>
        <w:t xml:space="preserve">The full list of baseline </w:t>
      </w:r>
      <w:r w:rsidR="005A04E1" w:rsidRPr="00A75A8A">
        <w:rPr>
          <w:rFonts w:ascii="Times New Roman" w:hAnsi="Times New Roman" w:cs="Times New Roman"/>
        </w:rPr>
        <w:t>variable pairs</w:t>
      </w:r>
      <w:r w:rsidRPr="00A75A8A">
        <w:rPr>
          <w:rFonts w:ascii="Times New Roman" w:hAnsi="Times New Roman" w:cs="Times New Roman"/>
        </w:rPr>
        <w:t xml:space="preserve"> with correlations greater than 0.4 is:</w:t>
      </w:r>
    </w:p>
    <w:tbl>
      <w:tblPr>
        <w:tblStyle w:val="TableGrid"/>
        <w:tblW w:w="0" w:type="auto"/>
        <w:tblInd w:w="180" w:type="dxa"/>
        <w:tblLook w:val="04A0" w:firstRow="1" w:lastRow="0" w:firstColumn="1" w:lastColumn="0" w:noHBand="0" w:noVBand="1"/>
      </w:tblPr>
      <w:tblGrid>
        <w:gridCol w:w="2335"/>
        <w:gridCol w:w="2520"/>
        <w:gridCol w:w="4315"/>
      </w:tblGrid>
      <w:tr w:rsidR="00443295" w14:paraId="64D95E50" w14:textId="77777777" w:rsidTr="00443295">
        <w:tc>
          <w:tcPr>
            <w:tcW w:w="2335" w:type="dxa"/>
          </w:tcPr>
          <w:p w14:paraId="25C0983A" w14:textId="5BD20D4C" w:rsidR="00443295" w:rsidRPr="00443295" w:rsidRDefault="00443295" w:rsidP="00443295">
            <w:pPr>
              <w:pStyle w:val="FootnoteText"/>
              <w:rPr>
                <w:rFonts w:ascii="Times New Roman" w:hAnsi="Times New Roman" w:cs="Times New Roman"/>
                <w:b/>
                <w:bCs/>
              </w:rPr>
            </w:pPr>
            <w:r>
              <w:rPr>
                <w:rFonts w:ascii="Times New Roman" w:hAnsi="Times New Roman" w:cs="Times New Roman"/>
                <w:b/>
                <w:bCs/>
              </w:rPr>
              <w:t>First Variable</w:t>
            </w:r>
          </w:p>
        </w:tc>
        <w:tc>
          <w:tcPr>
            <w:tcW w:w="2520" w:type="dxa"/>
          </w:tcPr>
          <w:p w14:paraId="689CC082" w14:textId="39AF6F6E" w:rsidR="00443295" w:rsidRPr="00443295" w:rsidRDefault="00443295" w:rsidP="00443295">
            <w:pPr>
              <w:pStyle w:val="FootnoteText"/>
              <w:rPr>
                <w:rFonts w:ascii="Times New Roman" w:hAnsi="Times New Roman" w:cs="Times New Roman"/>
                <w:b/>
                <w:bCs/>
              </w:rPr>
            </w:pPr>
            <w:r>
              <w:rPr>
                <w:rFonts w:ascii="Times New Roman" w:hAnsi="Times New Roman" w:cs="Times New Roman"/>
                <w:b/>
                <w:bCs/>
              </w:rPr>
              <w:t>Second Variable</w:t>
            </w:r>
          </w:p>
        </w:tc>
        <w:tc>
          <w:tcPr>
            <w:tcW w:w="4315" w:type="dxa"/>
          </w:tcPr>
          <w:p w14:paraId="60923A74" w14:textId="4C227FB0" w:rsidR="00443295" w:rsidRPr="00443295" w:rsidRDefault="00443295" w:rsidP="00443295">
            <w:pPr>
              <w:pStyle w:val="FootnoteText"/>
              <w:rPr>
                <w:rFonts w:ascii="Times New Roman" w:hAnsi="Times New Roman" w:cs="Times New Roman"/>
                <w:b/>
                <w:bCs/>
              </w:rPr>
            </w:pPr>
            <w:r w:rsidRPr="00443295">
              <w:rPr>
                <w:rFonts w:ascii="Times New Roman" w:hAnsi="Times New Roman" w:cs="Times New Roman"/>
                <w:b/>
                <w:bCs/>
              </w:rPr>
              <w:t xml:space="preserve">Description of and Rationale for </w:t>
            </w:r>
            <w:r>
              <w:rPr>
                <w:rFonts w:ascii="Times New Roman" w:hAnsi="Times New Roman" w:cs="Times New Roman"/>
                <w:b/>
                <w:bCs/>
              </w:rPr>
              <w:t>Decision</w:t>
            </w:r>
          </w:p>
        </w:tc>
      </w:tr>
      <w:tr w:rsidR="00443295" w14:paraId="4DF47322" w14:textId="77777777" w:rsidTr="00443295">
        <w:tc>
          <w:tcPr>
            <w:tcW w:w="2335" w:type="dxa"/>
          </w:tcPr>
          <w:p w14:paraId="02040BAB" w14:textId="771D1C3F" w:rsidR="00443295" w:rsidRDefault="00443295" w:rsidP="00443295">
            <w:pPr>
              <w:pStyle w:val="FootnoteText"/>
              <w:rPr>
                <w:rFonts w:ascii="Times New Roman" w:hAnsi="Times New Roman" w:cs="Times New Roman"/>
              </w:rPr>
            </w:pPr>
            <w:r w:rsidRPr="00A75A8A">
              <w:rPr>
                <w:rFonts w:ascii="Times New Roman" w:hAnsi="Times New Roman" w:cs="Times New Roman"/>
              </w:rPr>
              <w:t>Sex [Male vs. Female]</w:t>
            </w:r>
          </w:p>
        </w:tc>
        <w:tc>
          <w:tcPr>
            <w:tcW w:w="2520" w:type="dxa"/>
          </w:tcPr>
          <w:p w14:paraId="7040421C" w14:textId="5148D59B" w:rsidR="00443295" w:rsidRDefault="00443295"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Body Dissatisfaction</w:t>
            </w:r>
          </w:p>
        </w:tc>
        <w:tc>
          <w:tcPr>
            <w:tcW w:w="4315" w:type="dxa"/>
          </w:tcPr>
          <w:p w14:paraId="6C3525B5" w14:textId="6BFCB58B"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Sex [Male vs. Female] retained</w:t>
            </w:r>
            <w:r w:rsidR="00C041BB" w:rsidRPr="00FC4FF5">
              <w:rPr>
                <w:rFonts w:ascii="Times New Roman" w:hAnsi="Times New Roman" w:cs="Times New Roman"/>
              </w:rPr>
              <w:t xml:space="preserve"> due to </w:t>
            </w:r>
            <w:r w:rsidR="00C041BB" w:rsidRPr="00FC4FF5">
              <w:rPr>
                <w:rFonts w:ascii="Times New Roman" w:hAnsi="Times New Roman" w:cs="Times New Roman"/>
                <w:i/>
                <w:iCs/>
              </w:rPr>
              <w:t>a priori</w:t>
            </w:r>
            <w:r w:rsidR="00C041BB" w:rsidRPr="00FC4FF5">
              <w:rPr>
                <w:rFonts w:ascii="Times New Roman" w:hAnsi="Times New Roman" w:cs="Times New Roman"/>
              </w:rPr>
              <w:t xml:space="preserve"> decision to retain Sex and Race</w:t>
            </w:r>
          </w:p>
        </w:tc>
      </w:tr>
      <w:tr w:rsidR="00443295" w14:paraId="71AEB50F" w14:textId="77777777" w:rsidTr="00443295">
        <w:tc>
          <w:tcPr>
            <w:tcW w:w="2335" w:type="dxa"/>
          </w:tcPr>
          <w:p w14:paraId="35F1CC39" w14:textId="3DE032CE" w:rsidR="00443295" w:rsidRDefault="0068492F" w:rsidP="00443295">
            <w:pPr>
              <w:pStyle w:val="FootnoteText"/>
              <w:rPr>
                <w:rFonts w:ascii="Times New Roman" w:hAnsi="Times New Roman" w:cs="Times New Roman"/>
              </w:rPr>
            </w:pPr>
            <w:r w:rsidRPr="00A75A8A">
              <w:rPr>
                <w:rFonts w:ascii="Times New Roman" w:hAnsi="Times New Roman" w:cs="Times New Roman"/>
              </w:rPr>
              <w:t>Age</w:t>
            </w:r>
          </w:p>
        </w:tc>
        <w:tc>
          <w:tcPr>
            <w:tcW w:w="2520" w:type="dxa"/>
          </w:tcPr>
          <w:p w14:paraId="18347DA0" w14:textId="4CF51034" w:rsidR="00443295" w:rsidRDefault="0068492F" w:rsidP="00443295">
            <w:pPr>
              <w:pStyle w:val="FootnoteText"/>
              <w:rPr>
                <w:rFonts w:ascii="Times New Roman" w:hAnsi="Times New Roman" w:cs="Times New Roman"/>
              </w:rPr>
            </w:pPr>
            <w:r w:rsidRPr="00A75A8A">
              <w:rPr>
                <w:rFonts w:ascii="Times New Roman" w:hAnsi="Times New Roman" w:cs="Times New Roman"/>
              </w:rPr>
              <w:t>Marital Status [Never Married vs. Married]</w:t>
            </w:r>
          </w:p>
        </w:tc>
        <w:tc>
          <w:tcPr>
            <w:tcW w:w="4315" w:type="dxa"/>
          </w:tcPr>
          <w:p w14:paraId="30C43194" w14:textId="0294DAB6"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 xml:space="preserve">Age retained due to </w:t>
            </w:r>
            <w:r w:rsidRPr="00FC4FF5">
              <w:rPr>
                <w:rFonts w:ascii="Times New Roman" w:hAnsi="Times New Roman" w:cs="Times New Roman"/>
              </w:rPr>
              <w:fldChar w:fldCharType="begin"/>
            </w:r>
            <w:r w:rsidR="00F75C68" w:rsidRPr="00FC4FF5">
              <w:rPr>
                <w:rFonts w:ascii="Times New Roman" w:hAnsi="Times New Roman" w:cs="Times New Roman"/>
              </w:rPr>
              <w:instrText xml:space="preserve"> ADDIN ZOTERO_ITEM CSL_CITATION {"citationID":"qV5mNFrG","properties":{"custom":"Cachelin et al. (1999)","formattedCitation":"Cachelin et al. (1999)","plainCitation":"Cachelin et al. (1999)","noteIndex":3},"citationItems":[{"id":12844,"uris":["http://zotero.org/users/3816538/items/KRA88J9W"],"itemData":{"id":12844,"type":"article-journal","abstract":"Objective: A community sample of women with binge eating disorder (BED) was followed for a period of 6 months, in order to examine the natural course of the disorder. Method: Baseline, 3-, and 6-month assessments were conducted. The following variables were examined: eating disorder symptomatology, importance of weight or shape, psychopathology, social adjustment, childhood sexual abuse, childhood obesity, parental obesity, and parental psychopathology. Results: After the 3-month follow-up, 10 of the original sample of 31 participants dropped out of the study; drop-outs were more likely to have reported a history of sexual abuse. Of the 21 remaining participants, 11 continued to suffer from full-syndrome BED at 6-month follow-up, while the remaining 10 appeared to be in partial remission. There were no significant baseline predictors of outcome. Conclusion: It appears that for some women with BED, the eating disorder improves with a decrease in binge eating and importance of weight or shape. For others, the eating disorder symptoms remain constant. © 1999 by John Wiley &amp; Sons, Inc. Int J Eat Disord 25: 45–54, 1999.","container-title":"International Journal of Eating Disorders","DOI":"10.1002/(SICI)1098-108X(199901)25:1&lt;45::AID-EAT6&gt;3.0.CO;2-3","ISSN":"0276-3478, 1098-108X","issue":"1","journalAbbreviation":"Int J Eat Disord","language":"en","page":"45-54","source":"DOI.org (Crossref)","title":"Natural course of a community sample of women with binge eating disorder","volume":"25","author":[{"family":"Cachelin","given":"Fary M."},{"family":"Striegel-Moore","given":"Ruth H."},{"family":"Elder","given":"Katherine A."},{"family":"Pike","given":"Kathleen M."},{"family":"Wilfley","given":"Denise E."},{"family":"Fairburn","given":"Christopher G."}],"issued":{"date-parts":[["1999",1]]}}}],"schema":"https://github.com/citation-style-language/schema/raw/master/csl-citation.json"} </w:instrText>
            </w:r>
            <w:r w:rsidRPr="00FC4FF5">
              <w:rPr>
                <w:rFonts w:ascii="Times New Roman" w:hAnsi="Times New Roman" w:cs="Times New Roman"/>
              </w:rPr>
              <w:fldChar w:fldCharType="separate"/>
            </w:r>
            <w:r w:rsidR="00F75C68" w:rsidRPr="00FC4FF5">
              <w:rPr>
                <w:rFonts w:ascii="Times New Roman" w:hAnsi="Times New Roman" w:cs="Times New Roman"/>
                <w:noProof/>
              </w:rPr>
              <w:t>Cachelin et al. (1999)</w:t>
            </w:r>
            <w:r w:rsidRPr="00FC4FF5">
              <w:rPr>
                <w:rFonts w:ascii="Times New Roman" w:hAnsi="Times New Roman" w:cs="Times New Roman"/>
              </w:rPr>
              <w:fldChar w:fldCharType="end"/>
            </w:r>
          </w:p>
        </w:tc>
      </w:tr>
      <w:tr w:rsidR="00443295" w14:paraId="383E79C9" w14:textId="77777777" w:rsidTr="00443295">
        <w:tc>
          <w:tcPr>
            <w:tcW w:w="2335" w:type="dxa"/>
          </w:tcPr>
          <w:p w14:paraId="5664E66D" w14:textId="7DBCA89E" w:rsidR="00443295" w:rsidRDefault="0068492F" w:rsidP="00443295">
            <w:pPr>
              <w:pStyle w:val="FootnoteText"/>
              <w:rPr>
                <w:rFonts w:ascii="Times New Roman" w:hAnsi="Times New Roman" w:cs="Times New Roman"/>
              </w:rPr>
            </w:pPr>
            <w:r w:rsidRPr="00A75A8A">
              <w:rPr>
                <w:rFonts w:ascii="Times New Roman" w:hAnsi="Times New Roman" w:cs="Times New Roman"/>
              </w:rPr>
              <w:t>Age</w:t>
            </w:r>
          </w:p>
        </w:tc>
        <w:tc>
          <w:tcPr>
            <w:tcW w:w="2520" w:type="dxa"/>
          </w:tcPr>
          <w:p w14:paraId="77E8C5AD" w14:textId="07F2D5B4" w:rsidR="00443295" w:rsidRDefault="0068492F" w:rsidP="00443295">
            <w:pPr>
              <w:pStyle w:val="FootnoteText"/>
              <w:rPr>
                <w:rFonts w:ascii="Times New Roman" w:hAnsi="Times New Roman" w:cs="Times New Roman"/>
              </w:rPr>
            </w:pPr>
            <w:r w:rsidRPr="00A75A8A">
              <w:rPr>
                <w:rFonts w:ascii="Times New Roman" w:hAnsi="Times New Roman" w:cs="Times New Roman"/>
              </w:rPr>
              <w:t>BED Duration</w:t>
            </w:r>
          </w:p>
        </w:tc>
        <w:tc>
          <w:tcPr>
            <w:tcW w:w="4315" w:type="dxa"/>
          </w:tcPr>
          <w:p w14:paraId="37F47522" w14:textId="1F637F1E"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 xml:space="preserve">Age retained due to </w:t>
            </w:r>
            <w:r w:rsidR="00F75C68" w:rsidRPr="00FC4FF5">
              <w:rPr>
                <w:rFonts w:ascii="Times New Roman" w:hAnsi="Times New Roman" w:cs="Times New Roman"/>
              </w:rPr>
              <w:fldChar w:fldCharType="begin"/>
            </w:r>
            <w:r w:rsidR="00F75C68" w:rsidRPr="00FC4FF5">
              <w:rPr>
                <w:rFonts w:ascii="Times New Roman" w:hAnsi="Times New Roman" w:cs="Times New Roman"/>
              </w:rPr>
              <w:instrText xml:space="preserve"> ADDIN ZOTERO_ITEM CSL_CITATION {"citationID":"qV5mNFrG","properties":{"custom":"Cachelin et al. (1999)","formattedCitation":"Cachelin et al. (1999)","plainCitation":"Cachelin et al. (1999)","noteIndex":3},"citationItems":[{"id":12844,"uris":["http://zotero.org/users/3816538/items/KRA88J9W"],"itemData":{"id":12844,"type":"article-journal","abstract":"Objective: A community sample of women with binge eating disorder (BED) was followed for a period of 6 months, in order to examine the natural course of the disorder. Method: Baseline, 3-, and 6-month assessments were conducted. The following variables were examined: eating disorder symptomatology, importance of weight or shape, psychopathology, social adjustment, childhood sexual abuse, childhood obesity, parental obesity, and parental psychopathology. Results: After the 3-month follow-up, 10 of the original sample of 31 participants dropped out of the study; drop-outs were more likely to have reported a history of sexual abuse. Of the 21 remaining participants, 11 continued to suffer from full-syndrome BED at 6-month follow-up, while the remaining 10 appeared to be in partial remission. There were no significant baseline predictors of outcome. Conclusion: It appears that for some women with BED, the eating disorder improves with a decrease in binge eating and importance of weight or shape. For others, the eating disorder symptoms remain constant. © 1999 by John Wiley &amp; Sons, Inc. Int J Eat Disord 25: 45–54, 1999.","container-title":"International Journal of Eating Disorders","DOI":"10.1002/(SICI)1098-108X(199901)25:1&lt;45::AID-EAT6&gt;3.0.CO;2-3","ISSN":"0276-3478, 1098-108X","issue":"1","journalAbbreviation":"Int J Eat Disord","language":"en","page":"45-54","source":"DOI.org (Crossref)","title":"Natural course of a community sample of women with binge eating disorder","volume":"25","author":[{"family":"Cachelin","given":"Fary M."},{"family":"Striegel-Moore","given":"Ruth H."},{"family":"Elder","given":"Katherine A."},{"family":"Pike","given":"Kathleen M."},{"family":"Wilfley","given":"Denise E."},{"family":"Fairburn","given":"Christopher G."}],"issued":{"date-parts":[["1999",1]]}}}],"schema":"https://github.com/citation-style-language/schema/raw/master/csl-citation.json"} </w:instrText>
            </w:r>
            <w:r w:rsidR="00F75C68" w:rsidRPr="00FC4FF5">
              <w:rPr>
                <w:rFonts w:ascii="Times New Roman" w:hAnsi="Times New Roman" w:cs="Times New Roman"/>
              </w:rPr>
              <w:fldChar w:fldCharType="separate"/>
            </w:r>
            <w:r w:rsidR="00F75C68" w:rsidRPr="00FC4FF5">
              <w:rPr>
                <w:rFonts w:ascii="Times New Roman" w:hAnsi="Times New Roman" w:cs="Times New Roman"/>
                <w:noProof/>
              </w:rPr>
              <w:t>Cachelin et al. (1999)</w:t>
            </w:r>
            <w:r w:rsidR="00F75C68" w:rsidRPr="00FC4FF5">
              <w:rPr>
                <w:rFonts w:ascii="Times New Roman" w:hAnsi="Times New Roman" w:cs="Times New Roman"/>
              </w:rPr>
              <w:fldChar w:fldCharType="end"/>
            </w:r>
          </w:p>
        </w:tc>
      </w:tr>
      <w:tr w:rsidR="00443295" w14:paraId="0993192D" w14:textId="77777777" w:rsidTr="00443295">
        <w:tc>
          <w:tcPr>
            <w:tcW w:w="2335" w:type="dxa"/>
          </w:tcPr>
          <w:p w14:paraId="4FD2E517" w14:textId="6D07ED49" w:rsidR="00443295" w:rsidRDefault="0068492F" w:rsidP="00443295">
            <w:pPr>
              <w:pStyle w:val="FootnoteText"/>
              <w:rPr>
                <w:rFonts w:ascii="Times New Roman" w:hAnsi="Times New Roman" w:cs="Times New Roman"/>
              </w:rPr>
            </w:pPr>
            <w:r w:rsidRPr="00A75A8A">
              <w:rPr>
                <w:rFonts w:ascii="Times New Roman" w:hAnsi="Times New Roman" w:cs="Times New Roman"/>
              </w:rPr>
              <w:t>Education [Seventh to Twelfth Grade Without High School Degree vs. Partial College]</w:t>
            </w:r>
          </w:p>
        </w:tc>
        <w:tc>
          <w:tcPr>
            <w:tcW w:w="2520" w:type="dxa"/>
          </w:tcPr>
          <w:p w14:paraId="68AB91B9" w14:textId="267F52B7" w:rsidR="00443295" w:rsidRDefault="0068492F" w:rsidP="00443295">
            <w:pPr>
              <w:pStyle w:val="FootnoteText"/>
              <w:rPr>
                <w:rFonts w:ascii="Times New Roman" w:hAnsi="Times New Roman" w:cs="Times New Roman"/>
              </w:rPr>
            </w:pPr>
            <w:r w:rsidRPr="00A75A8A">
              <w:rPr>
                <w:rFonts w:ascii="Times New Roman" w:hAnsi="Times New Roman" w:cs="Times New Roman"/>
              </w:rPr>
              <w:t>Lifetime Post-Traumatic Stress Disorder [Present vs. Absent]</w:t>
            </w:r>
          </w:p>
        </w:tc>
        <w:tc>
          <w:tcPr>
            <w:tcW w:w="4315" w:type="dxa"/>
          </w:tcPr>
          <w:p w14:paraId="19025567" w14:textId="0C9CFF81"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Lifetime Post-Traumatic Stress Disorder [Present vs. Absent] retained</w:t>
            </w:r>
            <w:r w:rsidR="00156048"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597D6C52" w14:textId="77777777" w:rsidTr="00443295">
        <w:tc>
          <w:tcPr>
            <w:tcW w:w="2335" w:type="dxa"/>
          </w:tcPr>
          <w:p w14:paraId="6B399522" w14:textId="4F54D815" w:rsidR="00443295" w:rsidRDefault="0068492F" w:rsidP="00443295">
            <w:pPr>
              <w:pStyle w:val="FootnoteText"/>
              <w:rPr>
                <w:rFonts w:ascii="Times New Roman" w:hAnsi="Times New Roman" w:cs="Times New Roman"/>
              </w:rPr>
            </w:pPr>
            <w:r w:rsidRPr="00A75A8A">
              <w:rPr>
                <w:rFonts w:ascii="Times New Roman" w:hAnsi="Times New Roman" w:cs="Times New Roman"/>
              </w:rPr>
              <w:t>Current BMI</w:t>
            </w:r>
          </w:p>
        </w:tc>
        <w:tc>
          <w:tcPr>
            <w:tcW w:w="2520" w:type="dxa"/>
          </w:tcPr>
          <w:p w14:paraId="1B1B25A0" w14:textId="4DD3FE53" w:rsidR="00443295" w:rsidRDefault="0068492F" w:rsidP="00443295">
            <w:pPr>
              <w:pStyle w:val="FootnoteText"/>
              <w:rPr>
                <w:rFonts w:ascii="Times New Roman" w:hAnsi="Times New Roman" w:cs="Times New Roman"/>
              </w:rPr>
            </w:pPr>
            <w:r w:rsidRPr="00A75A8A">
              <w:rPr>
                <w:rFonts w:ascii="Times New Roman" w:hAnsi="Times New Roman" w:cs="Times New Roman"/>
              </w:rPr>
              <w:t>Lowest BMI Since Eighteen Years</w:t>
            </w:r>
          </w:p>
        </w:tc>
        <w:tc>
          <w:tcPr>
            <w:tcW w:w="4315" w:type="dxa"/>
          </w:tcPr>
          <w:p w14:paraId="7B7F30BB" w14:textId="3BFEE400"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Current BMI retained</w:t>
            </w:r>
            <w:r w:rsidR="00810502"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63DBA0EF" w14:textId="77777777" w:rsidTr="00443295">
        <w:tc>
          <w:tcPr>
            <w:tcW w:w="2335" w:type="dxa"/>
          </w:tcPr>
          <w:p w14:paraId="3BB15F54" w14:textId="607BF6A2" w:rsidR="00443295" w:rsidRDefault="0068492F" w:rsidP="00443295">
            <w:pPr>
              <w:pStyle w:val="FootnoteText"/>
              <w:rPr>
                <w:rFonts w:ascii="Times New Roman" w:hAnsi="Times New Roman" w:cs="Times New Roman"/>
              </w:rPr>
            </w:pPr>
            <w:r w:rsidRPr="00A75A8A">
              <w:rPr>
                <w:rFonts w:ascii="Times New Roman" w:hAnsi="Times New Roman" w:cs="Times New Roman"/>
              </w:rPr>
              <w:t>Lifetime Post-Traumatic Stress Disorder [Present vs. Absent]</w:t>
            </w:r>
          </w:p>
        </w:tc>
        <w:tc>
          <w:tcPr>
            <w:tcW w:w="2520" w:type="dxa"/>
          </w:tcPr>
          <w:p w14:paraId="1EA2F5AE" w14:textId="40608057"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Interpersonal Distrust</w:t>
            </w:r>
          </w:p>
        </w:tc>
        <w:tc>
          <w:tcPr>
            <w:tcW w:w="4315" w:type="dxa"/>
          </w:tcPr>
          <w:p w14:paraId="6CB7D7B8" w14:textId="39CE21F2"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Lifetime Post-Traumatic Stress Disorder [Present vs. Absent] retained</w:t>
            </w:r>
            <w:r w:rsidR="00810502"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6946C0A9" w14:textId="77777777" w:rsidTr="00443295">
        <w:tc>
          <w:tcPr>
            <w:tcW w:w="2335" w:type="dxa"/>
          </w:tcPr>
          <w:p w14:paraId="7BB9CAA9" w14:textId="6F48FB36" w:rsidR="00443295" w:rsidRDefault="0068492F" w:rsidP="00443295">
            <w:pPr>
              <w:pStyle w:val="FootnoteText"/>
              <w:rPr>
                <w:rFonts w:ascii="Times New Roman" w:hAnsi="Times New Roman" w:cs="Times New Roman"/>
              </w:rPr>
            </w:pPr>
            <w:r>
              <w:rPr>
                <w:rFonts w:ascii="Times New Roman" w:hAnsi="Times New Roman" w:cs="Times New Roman"/>
              </w:rPr>
              <w:t>BIS–11</w:t>
            </w:r>
            <w:r w:rsidRPr="00A75A8A">
              <w:rPr>
                <w:rFonts w:ascii="Times New Roman" w:hAnsi="Times New Roman" w:cs="Times New Roman"/>
              </w:rPr>
              <w:t xml:space="preserve"> Attentional Impulsiveness</w:t>
            </w:r>
          </w:p>
        </w:tc>
        <w:tc>
          <w:tcPr>
            <w:tcW w:w="2520" w:type="dxa"/>
          </w:tcPr>
          <w:p w14:paraId="21A0AD6F" w14:textId="09546EC7" w:rsidR="00443295" w:rsidRDefault="0068492F" w:rsidP="00443295">
            <w:pPr>
              <w:pStyle w:val="FootnoteText"/>
              <w:rPr>
                <w:rFonts w:ascii="Times New Roman" w:hAnsi="Times New Roman" w:cs="Times New Roman"/>
              </w:rPr>
            </w:pPr>
            <w:r>
              <w:rPr>
                <w:rFonts w:ascii="Times New Roman" w:hAnsi="Times New Roman" w:cs="Times New Roman"/>
              </w:rPr>
              <w:t>BIS–11</w:t>
            </w:r>
            <w:r w:rsidRPr="00A75A8A">
              <w:rPr>
                <w:rFonts w:ascii="Times New Roman" w:hAnsi="Times New Roman" w:cs="Times New Roman"/>
              </w:rPr>
              <w:t xml:space="preserve"> Motor Impulsiveness</w:t>
            </w:r>
          </w:p>
        </w:tc>
        <w:tc>
          <w:tcPr>
            <w:tcW w:w="4315" w:type="dxa"/>
          </w:tcPr>
          <w:p w14:paraId="2C2A2E80" w14:textId="75CF17EE"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BIS–11 Motor Impulsiveness retained</w:t>
            </w:r>
            <w:r w:rsidR="00810502"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7584C929" w14:textId="77777777" w:rsidTr="00443295">
        <w:tc>
          <w:tcPr>
            <w:tcW w:w="2335" w:type="dxa"/>
          </w:tcPr>
          <w:p w14:paraId="5A59FD44" w14:textId="6153EE58" w:rsidR="00443295" w:rsidRDefault="0068492F" w:rsidP="00443295">
            <w:pPr>
              <w:pStyle w:val="FootnoteText"/>
              <w:rPr>
                <w:rFonts w:ascii="Times New Roman" w:hAnsi="Times New Roman" w:cs="Times New Roman"/>
              </w:rPr>
            </w:pPr>
            <w:r>
              <w:rPr>
                <w:rFonts w:ascii="Times New Roman" w:hAnsi="Times New Roman" w:cs="Times New Roman"/>
              </w:rPr>
              <w:t>BIS–11</w:t>
            </w:r>
            <w:r w:rsidRPr="00A75A8A">
              <w:rPr>
                <w:rFonts w:ascii="Times New Roman" w:hAnsi="Times New Roman" w:cs="Times New Roman"/>
              </w:rPr>
              <w:t xml:space="preserve"> Motor Impulsiveness</w:t>
            </w:r>
          </w:p>
        </w:tc>
        <w:tc>
          <w:tcPr>
            <w:tcW w:w="2520" w:type="dxa"/>
          </w:tcPr>
          <w:p w14:paraId="49560CCB" w14:textId="2769D57C" w:rsidR="00443295" w:rsidRDefault="0068492F" w:rsidP="00443295">
            <w:pPr>
              <w:pStyle w:val="FootnoteText"/>
              <w:rPr>
                <w:rFonts w:ascii="Times New Roman" w:hAnsi="Times New Roman" w:cs="Times New Roman"/>
              </w:rPr>
            </w:pPr>
            <w:r>
              <w:rPr>
                <w:rFonts w:ascii="Times New Roman" w:hAnsi="Times New Roman" w:cs="Times New Roman"/>
              </w:rPr>
              <w:t>BIS–11</w:t>
            </w:r>
            <w:r w:rsidRPr="00A75A8A">
              <w:rPr>
                <w:rFonts w:ascii="Times New Roman" w:hAnsi="Times New Roman" w:cs="Times New Roman"/>
              </w:rPr>
              <w:t xml:space="preserve"> Nonplanning Impulsiveness</w:t>
            </w:r>
          </w:p>
        </w:tc>
        <w:tc>
          <w:tcPr>
            <w:tcW w:w="4315" w:type="dxa"/>
          </w:tcPr>
          <w:p w14:paraId="0535A197" w14:textId="403CCCBF"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BIS–11 Motor Impulsiveness retained</w:t>
            </w:r>
            <w:r w:rsidR="00810502"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6AE735C1" w14:textId="77777777" w:rsidTr="00443295">
        <w:tc>
          <w:tcPr>
            <w:tcW w:w="2335" w:type="dxa"/>
          </w:tcPr>
          <w:p w14:paraId="022629A7" w14:textId="470FABB6" w:rsidR="00443295" w:rsidRDefault="0068492F" w:rsidP="00443295">
            <w:pPr>
              <w:pStyle w:val="FootnoteText"/>
              <w:rPr>
                <w:rFonts w:ascii="Times New Roman" w:hAnsi="Times New Roman" w:cs="Times New Roman"/>
              </w:rPr>
            </w:pPr>
            <w:r>
              <w:rPr>
                <w:rFonts w:ascii="Times New Roman" w:hAnsi="Times New Roman" w:cs="Times New Roman"/>
              </w:rPr>
              <w:t>BIS–11</w:t>
            </w:r>
            <w:r w:rsidRPr="00A75A8A">
              <w:rPr>
                <w:rFonts w:ascii="Times New Roman" w:hAnsi="Times New Roman" w:cs="Times New Roman"/>
              </w:rPr>
              <w:t xml:space="preserve"> Attentional Impulsiveness</w:t>
            </w:r>
          </w:p>
        </w:tc>
        <w:tc>
          <w:tcPr>
            <w:tcW w:w="2520" w:type="dxa"/>
          </w:tcPr>
          <w:p w14:paraId="0D18939C" w14:textId="5495F031" w:rsidR="00443295" w:rsidRDefault="0068492F" w:rsidP="00443295">
            <w:pPr>
              <w:pStyle w:val="FootnoteText"/>
              <w:rPr>
                <w:rFonts w:ascii="Times New Roman" w:hAnsi="Times New Roman" w:cs="Times New Roman"/>
              </w:rPr>
            </w:pPr>
            <w:r>
              <w:rPr>
                <w:rFonts w:ascii="Times New Roman" w:hAnsi="Times New Roman" w:cs="Times New Roman"/>
              </w:rPr>
              <w:t>BIS–11</w:t>
            </w:r>
            <w:r w:rsidRPr="00A75A8A">
              <w:rPr>
                <w:rFonts w:ascii="Times New Roman" w:hAnsi="Times New Roman" w:cs="Times New Roman"/>
              </w:rPr>
              <w:t xml:space="preserve"> Nonplanning Impulsiveness</w:t>
            </w:r>
          </w:p>
        </w:tc>
        <w:tc>
          <w:tcPr>
            <w:tcW w:w="4315" w:type="dxa"/>
          </w:tcPr>
          <w:p w14:paraId="02E37409" w14:textId="61896587"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 xml:space="preserve">Both variables already </w:t>
            </w:r>
            <w:r w:rsidR="003A3268" w:rsidRPr="00FC4FF5">
              <w:rPr>
                <w:rFonts w:ascii="Times New Roman" w:hAnsi="Times New Roman" w:cs="Times New Roman"/>
              </w:rPr>
              <w:t xml:space="preserve">being </w:t>
            </w:r>
            <w:r w:rsidRPr="00FC4FF5">
              <w:rPr>
                <w:rFonts w:ascii="Times New Roman" w:hAnsi="Times New Roman" w:cs="Times New Roman"/>
              </w:rPr>
              <w:t>removed (see above)</w:t>
            </w:r>
          </w:p>
        </w:tc>
      </w:tr>
      <w:tr w:rsidR="00443295" w14:paraId="60D469FE" w14:textId="77777777" w:rsidTr="00443295">
        <w:tc>
          <w:tcPr>
            <w:tcW w:w="2335" w:type="dxa"/>
          </w:tcPr>
          <w:p w14:paraId="43061C6A" w14:textId="548C0F8D" w:rsidR="00443295" w:rsidRDefault="0068492F" w:rsidP="00443295">
            <w:pPr>
              <w:pStyle w:val="FootnoteText"/>
              <w:rPr>
                <w:rFonts w:ascii="Times New Roman" w:hAnsi="Times New Roman" w:cs="Times New Roman"/>
              </w:rPr>
            </w:pPr>
            <w:r>
              <w:rPr>
                <w:rFonts w:ascii="Times New Roman" w:hAnsi="Times New Roman" w:cs="Times New Roman"/>
              </w:rPr>
              <w:t>BIS–11</w:t>
            </w:r>
            <w:r w:rsidRPr="00A75A8A">
              <w:rPr>
                <w:rFonts w:ascii="Times New Roman" w:hAnsi="Times New Roman" w:cs="Times New Roman"/>
              </w:rPr>
              <w:t xml:space="preserve"> Attentional Impulsiveness</w:t>
            </w:r>
          </w:p>
        </w:tc>
        <w:tc>
          <w:tcPr>
            <w:tcW w:w="2520" w:type="dxa"/>
          </w:tcPr>
          <w:p w14:paraId="5C7CD65D" w14:textId="7C08E3A5"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Ineffectiveness</w:t>
            </w:r>
          </w:p>
        </w:tc>
        <w:tc>
          <w:tcPr>
            <w:tcW w:w="4315" w:type="dxa"/>
          </w:tcPr>
          <w:p w14:paraId="3C388F0B" w14:textId="474BD0F9"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BIS–11 Attentional Impulsiveness already being removed (see above)</w:t>
            </w:r>
          </w:p>
        </w:tc>
      </w:tr>
      <w:tr w:rsidR="00443295" w14:paraId="6F96E3DD" w14:textId="77777777" w:rsidTr="00443295">
        <w:tc>
          <w:tcPr>
            <w:tcW w:w="2335" w:type="dxa"/>
          </w:tcPr>
          <w:p w14:paraId="4FF31CAD" w14:textId="425ECF58"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Drive for Thinness</w:t>
            </w:r>
          </w:p>
        </w:tc>
        <w:tc>
          <w:tcPr>
            <w:tcW w:w="2520" w:type="dxa"/>
          </w:tcPr>
          <w:p w14:paraId="3C9FE5CD" w14:textId="48DBAD57"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Bulimia</w:t>
            </w:r>
          </w:p>
        </w:tc>
        <w:tc>
          <w:tcPr>
            <w:tcW w:w="4315" w:type="dxa"/>
          </w:tcPr>
          <w:p w14:paraId="5D3FB1DA" w14:textId="262FD25C"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Bulimia retained</w:t>
            </w:r>
            <w:r w:rsidR="00810502"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301FA0DE" w14:textId="77777777" w:rsidTr="00443295">
        <w:tc>
          <w:tcPr>
            <w:tcW w:w="2335" w:type="dxa"/>
          </w:tcPr>
          <w:p w14:paraId="0AB0962A" w14:textId="65EC9971"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Drive for Thinness</w:t>
            </w:r>
          </w:p>
        </w:tc>
        <w:tc>
          <w:tcPr>
            <w:tcW w:w="2520" w:type="dxa"/>
          </w:tcPr>
          <w:p w14:paraId="337D8CEB" w14:textId="66C8E769"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Interoceptive Awareness</w:t>
            </w:r>
          </w:p>
        </w:tc>
        <w:tc>
          <w:tcPr>
            <w:tcW w:w="4315" w:type="dxa"/>
          </w:tcPr>
          <w:p w14:paraId="7293EE08" w14:textId="01F0B5FA"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Drive for Thinness already being removed (see above)</w:t>
            </w:r>
          </w:p>
        </w:tc>
      </w:tr>
      <w:tr w:rsidR="00443295" w14:paraId="22E7682C" w14:textId="77777777" w:rsidTr="00443295">
        <w:tc>
          <w:tcPr>
            <w:tcW w:w="2335" w:type="dxa"/>
          </w:tcPr>
          <w:p w14:paraId="486B3725" w14:textId="59A6BDBC"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Drive for Thinness</w:t>
            </w:r>
          </w:p>
        </w:tc>
        <w:tc>
          <w:tcPr>
            <w:tcW w:w="2520" w:type="dxa"/>
          </w:tcPr>
          <w:p w14:paraId="542F5FC1" w14:textId="1984E825" w:rsidR="00443295" w:rsidRDefault="008A73EA" w:rsidP="00443295">
            <w:pPr>
              <w:pStyle w:val="FootnoteText"/>
              <w:rPr>
                <w:rFonts w:ascii="Times New Roman" w:hAnsi="Times New Roman" w:cs="Times New Roman"/>
              </w:rPr>
            </w:pPr>
            <w:r>
              <w:rPr>
                <w:rFonts w:ascii="Times New Roman" w:hAnsi="Times New Roman" w:cs="Times New Roman"/>
              </w:rPr>
              <w:t>TFEQ</w:t>
            </w:r>
            <w:r w:rsidR="0068492F" w:rsidRPr="00A75A8A">
              <w:rPr>
                <w:rFonts w:ascii="Times New Roman" w:hAnsi="Times New Roman" w:cs="Times New Roman"/>
              </w:rPr>
              <w:t xml:space="preserve"> </w:t>
            </w:r>
            <w:r w:rsidR="0011712C">
              <w:rPr>
                <w:rFonts w:ascii="Times New Roman" w:hAnsi="Times New Roman" w:cs="Times New Roman"/>
              </w:rPr>
              <w:t xml:space="preserve">Dietary </w:t>
            </w:r>
            <w:r w:rsidR="0068492F" w:rsidRPr="00A75A8A">
              <w:rPr>
                <w:rFonts w:ascii="Times New Roman" w:hAnsi="Times New Roman" w:cs="Times New Roman"/>
              </w:rPr>
              <w:t>Restraint</w:t>
            </w:r>
          </w:p>
        </w:tc>
        <w:tc>
          <w:tcPr>
            <w:tcW w:w="4315" w:type="dxa"/>
          </w:tcPr>
          <w:p w14:paraId="38795CBC" w14:textId="41F01A92"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Drive for Thinness already being removed (see above)</w:t>
            </w:r>
          </w:p>
        </w:tc>
      </w:tr>
      <w:tr w:rsidR="00443295" w14:paraId="6A84AE31" w14:textId="77777777" w:rsidTr="00443295">
        <w:tc>
          <w:tcPr>
            <w:tcW w:w="2335" w:type="dxa"/>
          </w:tcPr>
          <w:p w14:paraId="22942B97" w14:textId="390F2C0D"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Bulimia</w:t>
            </w:r>
          </w:p>
        </w:tc>
        <w:tc>
          <w:tcPr>
            <w:tcW w:w="2520" w:type="dxa"/>
          </w:tcPr>
          <w:p w14:paraId="2958FDE6" w14:textId="19D53904"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Interoceptive Awareness</w:t>
            </w:r>
          </w:p>
        </w:tc>
        <w:tc>
          <w:tcPr>
            <w:tcW w:w="4315" w:type="dxa"/>
          </w:tcPr>
          <w:p w14:paraId="56112351" w14:textId="5A89EEB1"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Bulimia retained</w:t>
            </w:r>
            <w:r w:rsidR="00810502"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6CCEB153" w14:textId="77777777" w:rsidTr="00443295">
        <w:tc>
          <w:tcPr>
            <w:tcW w:w="2335" w:type="dxa"/>
          </w:tcPr>
          <w:p w14:paraId="7F1B90D9" w14:textId="15BEE4D0"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Interoceptive Awareness</w:t>
            </w:r>
          </w:p>
        </w:tc>
        <w:tc>
          <w:tcPr>
            <w:tcW w:w="2520" w:type="dxa"/>
          </w:tcPr>
          <w:p w14:paraId="5F90C91E" w14:textId="027031C5" w:rsidR="00443295" w:rsidRDefault="0068492F" w:rsidP="00443295">
            <w:pPr>
              <w:pStyle w:val="FootnoteText"/>
              <w:rPr>
                <w:rFonts w:ascii="Times New Roman" w:hAnsi="Times New Roman" w:cs="Times New Roman"/>
              </w:rPr>
            </w:pPr>
            <w:r>
              <w:rPr>
                <w:rFonts w:ascii="Times New Roman" w:hAnsi="Times New Roman" w:cs="Times New Roman"/>
              </w:rPr>
              <w:t>EDI–2</w:t>
            </w:r>
            <w:r w:rsidRPr="00A75A8A">
              <w:rPr>
                <w:rFonts w:ascii="Times New Roman" w:hAnsi="Times New Roman" w:cs="Times New Roman"/>
              </w:rPr>
              <w:t xml:space="preserve"> Ineffectiveness</w:t>
            </w:r>
          </w:p>
        </w:tc>
        <w:tc>
          <w:tcPr>
            <w:tcW w:w="4315" w:type="dxa"/>
          </w:tcPr>
          <w:p w14:paraId="50808081" w14:textId="61ABD69C"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Interoceptive Awareness already being removed (see above)</w:t>
            </w:r>
          </w:p>
        </w:tc>
      </w:tr>
      <w:tr w:rsidR="00443295" w14:paraId="041F3776" w14:textId="77777777" w:rsidTr="00443295">
        <w:tc>
          <w:tcPr>
            <w:tcW w:w="2335" w:type="dxa"/>
          </w:tcPr>
          <w:p w14:paraId="50759C89" w14:textId="682DDB4E" w:rsidR="00443295" w:rsidRDefault="0068492F" w:rsidP="00443295">
            <w:pPr>
              <w:pStyle w:val="FootnoteText"/>
              <w:rPr>
                <w:rFonts w:ascii="Times New Roman" w:hAnsi="Times New Roman" w:cs="Times New Roman"/>
              </w:rPr>
            </w:pPr>
            <w:r>
              <w:rPr>
                <w:rFonts w:ascii="Times New Roman" w:hAnsi="Times New Roman" w:cs="Times New Roman"/>
              </w:rPr>
              <w:t>EDI–2</w:t>
            </w:r>
            <w:r w:rsidRPr="007A30C9">
              <w:rPr>
                <w:rFonts w:ascii="Times New Roman" w:hAnsi="Times New Roman" w:cs="Times New Roman"/>
              </w:rPr>
              <w:t xml:space="preserve"> Body Dissatisfaction</w:t>
            </w:r>
          </w:p>
        </w:tc>
        <w:tc>
          <w:tcPr>
            <w:tcW w:w="2520" w:type="dxa"/>
          </w:tcPr>
          <w:p w14:paraId="4B031673" w14:textId="12531F97" w:rsidR="00443295" w:rsidRDefault="00246DC0" w:rsidP="00443295">
            <w:pPr>
              <w:pStyle w:val="FootnoteText"/>
              <w:rPr>
                <w:rFonts w:ascii="Times New Roman" w:hAnsi="Times New Roman" w:cs="Times New Roman"/>
              </w:rPr>
            </w:pPr>
            <w:r>
              <w:rPr>
                <w:rFonts w:ascii="Times New Roman" w:hAnsi="Times New Roman" w:cs="Times New Roman"/>
              </w:rPr>
              <w:t>TFEQ</w:t>
            </w:r>
            <w:r w:rsidR="0068492F" w:rsidRPr="007A30C9">
              <w:rPr>
                <w:rFonts w:ascii="Times New Roman" w:hAnsi="Times New Roman" w:cs="Times New Roman"/>
              </w:rPr>
              <w:t xml:space="preserve"> Disinhibition</w:t>
            </w:r>
          </w:p>
        </w:tc>
        <w:tc>
          <w:tcPr>
            <w:tcW w:w="4315" w:type="dxa"/>
          </w:tcPr>
          <w:p w14:paraId="50811C15" w14:textId="3720BAF6"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Body Dissatisfaction already being removed</w:t>
            </w:r>
            <w:r w:rsidR="00C031C6">
              <w:rPr>
                <w:rFonts w:ascii="Times New Roman" w:hAnsi="Times New Roman" w:cs="Times New Roman"/>
              </w:rPr>
              <w:t xml:space="preserve"> (see above)</w:t>
            </w:r>
          </w:p>
        </w:tc>
      </w:tr>
      <w:tr w:rsidR="00443295" w14:paraId="17CAAEB5" w14:textId="77777777" w:rsidTr="00443295">
        <w:tc>
          <w:tcPr>
            <w:tcW w:w="2335" w:type="dxa"/>
          </w:tcPr>
          <w:p w14:paraId="3C9F5793" w14:textId="449D3CD4" w:rsidR="00443295" w:rsidRDefault="0068492F" w:rsidP="00443295">
            <w:pPr>
              <w:pStyle w:val="FootnoteText"/>
              <w:rPr>
                <w:rFonts w:ascii="Times New Roman" w:hAnsi="Times New Roman" w:cs="Times New Roman"/>
              </w:rPr>
            </w:pPr>
            <w:r>
              <w:rPr>
                <w:rFonts w:ascii="Times New Roman" w:hAnsi="Times New Roman" w:cs="Times New Roman"/>
              </w:rPr>
              <w:t>EDI–2</w:t>
            </w:r>
            <w:r w:rsidRPr="007A30C9">
              <w:rPr>
                <w:rFonts w:ascii="Times New Roman" w:hAnsi="Times New Roman" w:cs="Times New Roman"/>
              </w:rPr>
              <w:t xml:space="preserve"> Ineffectiveness</w:t>
            </w:r>
          </w:p>
        </w:tc>
        <w:tc>
          <w:tcPr>
            <w:tcW w:w="2520" w:type="dxa"/>
          </w:tcPr>
          <w:p w14:paraId="47EF7499" w14:textId="7B4DA5DB" w:rsidR="00443295" w:rsidRDefault="0068492F" w:rsidP="00443295">
            <w:pPr>
              <w:pStyle w:val="FootnoteText"/>
              <w:rPr>
                <w:rFonts w:ascii="Times New Roman" w:hAnsi="Times New Roman" w:cs="Times New Roman"/>
              </w:rPr>
            </w:pPr>
            <w:r>
              <w:rPr>
                <w:rFonts w:ascii="Times New Roman" w:hAnsi="Times New Roman" w:cs="Times New Roman"/>
              </w:rPr>
              <w:t>EDI–2</w:t>
            </w:r>
            <w:r w:rsidRPr="007A30C9">
              <w:rPr>
                <w:rFonts w:ascii="Times New Roman" w:hAnsi="Times New Roman" w:cs="Times New Roman"/>
              </w:rPr>
              <w:t xml:space="preserve"> Maturity Fears</w:t>
            </w:r>
          </w:p>
        </w:tc>
        <w:tc>
          <w:tcPr>
            <w:tcW w:w="4315" w:type="dxa"/>
          </w:tcPr>
          <w:p w14:paraId="4858F563" w14:textId="4D0C7B79"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Ineffectiveness retained</w:t>
            </w:r>
            <w:r w:rsidR="00810502" w:rsidRPr="00FC4FF5">
              <w:rPr>
                <w:rFonts w:ascii="Times New Roman" w:hAnsi="Times New Roman" w:cs="Times New Roman"/>
              </w:rPr>
              <w:t xml:space="preserve"> </w:t>
            </w:r>
            <w:r w:rsidR="00A42E9F" w:rsidRPr="00FC4FF5">
              <w:rPr>
                <w:rFonts w:ascii="Times New Roman" w:hAnsi="Times New Roman" w:cs="Times New Roman"/>
              </w:rPr>
              <w:t>due to being deemed as having greater conceptual relevance to BED</w:t>
            </w:r>
          </w:p>
        </w:tc>
      </w:tr>
      <w:tr w:rsidR="00443295" w14:paraId="3119FA8C" w14:textId="77777777" w:rsidTr="00443295">
        <w:tc>
          <w:tcPr>
            <w:tcW w:w="2335" w:type="dxa"/>
          </w:tcPr>
          <w:p w14:paraId="559D2421" w14:textId="485C72DC" w:rsidR="00443295" w:rsidRDefault="0068492F" w:rsidP="00443295">
            <w:pPr>
              <w:pStyle w:val="FootnoteText"/>
              <w:rPr>
                <w:rFonts w:ascii="Times New Roman" w:hAnsi="Times New Roman" w:cs="Times New Roman"/>
              </w:rPr>
            </w:pPr>
            <w:r>
              <w:rPr>
                <w:rFonts w:ascii="Times New Roman" w:hAnsi="Times New Roman" w:cs="Times New Roman"/>
              </w:rPr>
              <w:t>EDI–2</w:t>
            </w:r>
            <w:r w:rsidRPr="007A30C9">
              <w:rPr>
                <w:rFonts w:ascii="Times New Roman" w:hAnsi="Times New Roman" w:cs="Times New Roman"/>
              </w:rPr>
              <w:t xml:space="preserve"> Ineffectiveness</w:t>
            </w:r>
          </w:p>
        </w:tc>
        <w:tc>
          <w:tcPr>
            <w:tcW w:w="2520" w:type="dxa"/>
          </w:tcPr>
          <w:p w14:paraId="087FDFAE" w14:textId="593E5040" w:rsidR="00443295" w:rsidRDefault="0068492F" w:rsidP="00443295">
            <w:pPr>
              <w:pStyle w:val="FootnoteText"/>
              <w:rPr>
                <w:rFonts w:ascii="Times New Roman" w:hAnsi="Times New Roman" w:cs="Times New Roman"/>
              </w:rPr>
            </w:pPr>
            <w:r>
              <w:rPr>
                <w:rFonts w:ascii="Times New Roman" w:hAnsi="Times New Roman" w:cs="Times New Roman"/>
              </w:rPr>
              <w:t>EDI–2</w:t>
            </w:r>
            <w:r w:rsidRPr="007A30C9">
              <w:rPr>
                <w:rFonts w:ascii="Times New Roman" w:hAnsi="Times New Roman" w:cs="Times New Roman"/>
              </w:rPr>
              <w:t xml:space="preserve"> Interpersonal Distrust</w:t>
            </w:r>
          </w:p>
        </w:tc>
        <w:tc>
          <w:tcPr>
            <w:tcW w:w="4315" w:type="dxa"/>
          </w:tcPr>
          <w:p w14:paraId="2CB4D9F3" w14:textId="46A4B2A3" w:rsidR="00443295" w:rsidRPr="00FC4FF5" w:rsidRDefault="0068492F" w:rsidP="00443295">
            <w:pPr>
              <w:pStyle w:val="FootnoteText"/>
              <w:rPr>
                <w:rFonts w:ascii="Times New Roman" w:hAnsi="Times New Roman" w:cs="Times New Roman"/>
              </w:rPr>
            </w:pPr>
            <w:r w:rsidRPr="00FC4FF5">
              <w:rPr>
                <w:rFonts w:ascii="Times New Roman" w:hAnsi="Times New Roman" w:cs="Times New Roman"/>
              </w:rPr>
              <w:t>EDI–2 Interpersonal Distrust already being removed (see above)</w:t>
            </w:r>
          </w:p>
        </w:tc>
      </w:tr>
    </w:tbl>
    <w:p w14:paraId="720D1802" w14:textId="354E280F" w:rsidR="00156BD3" w:rsidRPr="000976AC" w:rsidRDefault="00156BD3" w:rsidP="00156BD3">
      <w:pPr>
        <w:spacing w:line="480" w:lineRule="auto"/>
        <w:ind w:left="360" w:hanging="180"/>
        <w:rPr>
          <w:rFonts w:ascii="Times New Roman" w:hAnsi="Times New Roman" w:cs="Times New Roman"/>
          <w:sz w:val="20"/>
          <w:szCs w:val="20"/>
        </w:rPr>
      </w:pPr>
      <w:r>
        <w:rPr>
          <w:rFonts w:ascii="Times New Roman" w:hAnsi="Times New Roman" w:cs="Times New Roman"/>
          <w:sz w:val="20"/>
          <w:szCs w:val="20"/>
        </w:rPr>
        <w:t xml:space="preserve">Abbreviations: </w:t>
      </w:r>
      <w:r w:rsidRPr="000976AC">
        <w:rPr>
          <w:rFonts w:ascii="Times New Roman" w:hAnsi="Times New Roman" w:cs="Times New Roman"/>
          <w:sz w:val="20"/>
          <w:szCs w:val="20"/>
        </w:rPr>
        <w:t xml:space="preserve">BED = binge-eating disorder; </w:t>
      </w:r>
      <w:r>
        <w:rPr>
          <w:rFonts w:ascii="Times New Roman" w:hAnsi="Times New Roman" w:cs="Times New Roman"/>
          <w:sz w:val="20"/>
          <w:szCs w:val="20"/>
        </w:rPr>
        <w:t>BIS</w:t>
      </w:r>
      <w:r w:rsidRPr="00A75A8A">
        <w:rPr>
          <w:rFonts w:ascii="Times New Roman" w:hAnsi="Times New Roman" w:cs="Times New Roman"/>
          <w:sz w:val="20"/>
          <w:szCs w:val="20"/>
        </w:rPr>
        <w:t xml:space="preserve">–11 </w:t>
      </w:r>
      <w:r>
        <w:rPr>
          <w:rFonts w:ascii="Times New Roman" w:hAnsi="Times New Roman" w:cs="Times New Roman"/>
          <w:sz w:val="20"/>
          <w:szCs w:val="20"/>
        </w:rPr>
        <w:t xml:space="preserve">= </w:t>
      </w:r>
      <w:r w:rsidRPr="00A75A8A">
        <w:rPr>
          <w:rFonts w:ascii="Times New Roman" w:hAnsi="Times New Roman" w:cs="Times New Roman"/>
          <w:sz w:val="20"/>
          <w:szCs w:val="20"/>
        </w:rPr>
        <w:t>Barratt Impulsiveness Scale – 11</w:t>
      </w:r>
      <w:r>
        <w:rPr>
          <w:rFonts w:ascii="Times New Roman" w:hAnsi="Times New Roman" w:cs="Times New Roman"/>
          <w:sz w:val="20"/>
          <w:szCs w:val="20"/>
        </w:rPr>
        <w:t>;</w:t>
      </w:r>
      <w:r w:rsidRPr="00A75A8A">
        <w:rPr>
          <w:rFonts w:ascii="Times New Roman" w:hAnsi="Times New Roman" w:cs="Times New Roman"/>
          <w:sz w:val="20"/>
          <w:szCs w:val="20"/>
        </w:rPr>
        <w:t xml:space="preserve"> </w:t>
      </w:r>
      <w:r w:rsidRPr="000976AC">
        <w:rPr>
          <w:rFonts w:ascii="Times New Roman" w:hAnsi="Times New Roman" w:cs="Times New Roman"/>
          <w:sz w:val="20"/>
          <w:szCs w:val="20"/>
        </w:rPr>
        <w:t xml:space="preserve">BMI = body mass index; </w:t>
      </w:r>
      <w:r>
        <w:rPr>
          <w:rFonts w:ascii="Times New Roman" w:hAnsi="Times New Roman" w:cs="Times New Roman"/>
          <w:sz w:val="20"/>
          <w:szCs w:val="20"/>
        </w:rPr>
        <w:t>EDI</w:t>
      </w:r>
      <w:r w:rsidRPr="000976AC">
        <w:rPr>
          <w:rFonts w:ascii="Times New Roman" w:hAnsi="Times New Roman" w:cs="Times New Roman"/>
          <w:sz w:val="20"/>
          <w:szCs w:val="20"/>
        </w:rPr>
        <w:t>–2</w:t>
      </w:r>
      <w:r>
        <w:rPr>
          <w:rFonts w:ascii="Times New Roman" w:hAnsi="Times New Roman" w:cs="Times New Roman"/>
          <w:sz w:val="20"/>
          <w:szCs w:val="20"/>
        </w:rPr>
        <w:t xml:space="preserve"> = </w:t>
      </w:r>
      <w:r w:rsidRPr="000976AC">
        <w:rPr>
          <w:rFonts w:ascii="Times New Roman" w:hAnsi="Times New Roman" w:cs="Times New Roman"/>
          <w:sz w:val="20"/>
          <w:szCs w:val="20"/>
        </w:rPr>
        <w:t>Eating Disorder Inventory – 2</w:t>
      </w:r>
      <w:r>
        <w:rPr>
          <w:rFonts w:ascii="Times New Roman" w:hAnsi="Times New Roman" w:cs="Times New Roman"/>
          <w:sz w:val="20"/>
          <w:szCs w:val="20"/>
        </w:rPr>
        <w:t xml:space="preserve">; </w:t>
      </w:r>
      <w:r w:rsidR="00246DC0">
        <w:rPr>
          <w:rFonts w:ascii="Times New Roman" w:hAnsi="Times New Roman" w:cs="Times New Roman"/>
          <w:sz w:val="20"/>
          <w:szCs w:val="20"/>
        </w:rPr>
        <w:t>h</w:t>
      </w:r>
      <w:r>
        <w:rPr>
          <w:rFonts w:ascii="Times New Roman" w:hAnsi="Times New Roman" w:cs="Times New Roman"/>
          <w:sz w:val="20"/>
          <w:szCs w:val="20"/>
        </w:rPr>
        <w:t xml:space="preserve">TFEQ = </w:t>
      </w:r>
      <w:r w:rsidRPr="000976AC">
        <w:rPr>
          <w:rFonts w:ascii="Times New Roman" w:hAnsi="Times New Roman" w:cs="Times New Roman"/>
          <w:sz w:val="20"/>
          <w:szCs w:val="20"/>
        </w:rPr>
        <w:t>Three Factor Eating Questionnaire</w:t>
      </w:r>
    </w:p>
    <w:p w14:paraId="5BD5FA4A" w14:textId="0FCBDBEE" w:rsidR="001871E1" w:rsidRPr="0068492F" w:rsidRDefault="001871E1" w:rsidP="0068492F">
      <w:pPr>
        <w:tabs>
          <w:tab w:val="left" w:pos="671"/>
          <w:tab w:val="left" w:pos="1342"/>
          <w:tab w:val="left" w:pos="2014"/>
          <w:tab w:val="left" w:pos="2685"/>
          <w:tab w:val="left" w:pos="3357"/>
          <w:tab w:val="left" w:pos="4028"/>
          <w:tab w:val="left" w:pos="4700"/>
          <w:tab w:val="left" w:pos="5371"/>
          <w:tab w:val="left" w:pos="6043"/>
          <w:tab w:val="left" w:pos="6714"/>
          <w:tab w:val="left" w:pos="7385"/>
          <w:tab w:val="left" w:pos="8057"/>
          <w:tab w:val="left" w:pos="8728"/>
          <w:tab w:val="left" w:pos="9400"/>
          <w:tab w:val="left" w:pos="10071"/>
          <w:tab w:val="left" w:pos="10743"/>
          <w:tab w:val="left" w:pos="11414"/>
          <w:tab w:val="left" w:pos="12086"/>
          <w:tab w:val="left" w:pos="12757"/>
          <w:tab w:val="left" w:pos="13428"/>
          <w:tab w:val="left" w:pos="14100"/>
          <w:tab w:val="left" w:pos="14771"/>
          <w:tab w:val="left" w:pos="15443"/>
          <w:tab w:val="left" w:pos="16114"/>
          <w:tab w:val="left" w:pos="16786"/>
          <w:tab w:val="left" w:pos="17457"/>
          <w:tab w:val="left" w:pos="18129"/>
          <w:tab w:val="left" w:pos="18800"/>
          <w:tab w:val="left" w:pos="19471"/>
          <w:tab w:val="left" w:pos="20143"/>
          <w:tab w:val="left" w:pos="20814"/>
          <w:tab w:val="left" w:pos="21486"/>
          <w:tab w:val="left" w:pos="22157"/>
          <w:tab w:val="left" w:pos="22829"/>
          <w:tab w:val="left" w:pos="23500"/>
          <w:tab w:val="left" w:pos="24172"/>
          <w:tab w:val="left" w:pos="24843"/>
          <w:tab w:val="left" w:pos="25514"/>
          <w:tab w:val="left" w:pos="26186"/>
          <w:tab w:val="left" w:pos="26857"/>
          <w:tab w:val="left" w:pos="27529"/>
          <w:tab w:val="left" w:pos="28200"/>
          <w:tab w:val="left" w:pos="28872"/>
          <w:tab w:val="left" w:pos="29543"/>
          <w:tab w:val="left" w:pos="30215"/>
          <w:tab w:val="left" w:pos="30886"/>
          <w:tab w:val="left" w:pos="31557"/>
        </w:tabs>
        <w:autoSpaceDE w:val="0"/>
        <w:autoSpaceDN w:val="0"/>
        <w:adjustRightInd w:val="0"/>
        <w:rPr>
          <w:rFonts w:ascii="Times New Roman" w:hAnsi="Times New Roman" w:cs="Times New Roman"/>
          <w:color w:val="3E3E3E"/>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E2EB2"/>
    <w:multiLevelType w:val="hybridMultilevel"/>
    <w:tmpl w:val="5D6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90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7D"/>
    <w:rsid w:val="00000B20"/>
    <w:rsid w:val="00010003"/>
    <w:rsid w:val="00030353"/>
    <w:rsid w:val="0005427F"/>
    <w:rsid w:val="00054D5F"/>
    <w:rsid w:val="000565BE"/>
    <w:rsid w:val="000806AE"/>
    <w:rsid w:val="0008223E"/>
    <w:rsid w:val="0008268A"/>
    <w:rsid w:val="00093009"/>
    <w:rsid w:val="000976AC"/>
    <w:rsid w:val="000A3ECA"/>
    <w:rsid w:val="000A7ED7"/>
    <w:rsid w:val="000B69DB"/>
    <w:rsid w:val="000C1250"/>
    <w:rsid w:val="000C4B21"/>
    <w:rsid w:val="000E40DC"/>
    <w:rsid w:val="0010395F"/>
    <w:rsid w:val="0011712C"/>
    <w:rsid w:val="0014264F"/>
    <w:rsid w:val="00151779"/>
    <w:rsid w:val="00156048"/>
    <w:rsid w:val="00156BD3"/>
    <w:rsid w:val="001575E0"/>
    <w:rsid w:val="00167CCE"/>
    <w:rsid w:val="00172D2E"/>
    <w:rsid w:val="0017376F"/>
    <w:rsid w:val="00174EEA"/>
    <w:rsid w:val="00176905"/>
    <w:rsid w:val="00186F4D"/>
    <w:rsid w:val="001871E1"/>
    <w:rsid w:val="00192732"/>
    <w:rsid w:val="001934B1"/>
    <w:rsid w:val="00195BD3"/>
    <w:rsid w:val="001B2451"/>
    <w:rsid w:val="001B4F21"/>
    <w:rsid w:val="001C3132"/>
    <w:rsid w:val="001E12E5"/>
    <w:rsid w:val="001E63C0"/>
    <w:rsid w:val="00214D96"/>
    <w:rsid w:val="00215AB5"/>
    <w:rsid w:val="00224D98"/>
    <w:rsid w:val="00234D4B"/>
    <w:rsid w:val="00246DC0"/>
    <w:rsid w:val="00266286"/>
    <w:rsid w:val="00266CB8"/>
    <w:rsid w:val="002719F2"/>
    <w:rsid w:val="00283246"/>
    <w:rsid w:val="00284D1B"/>
    <w:rsid w:val="00292B2D"/>
    <w:rsid w:val="00293B2E"/>
    <w:rsid w:val="002C0D3F"/>
    <w:rsid w:val="002C7AFF"/>
    <w:rsid w:val="002C7D38"/>
    <w:rsid w:val="002D5562"/>
    <w:rsid w:val="002F3241"/>
    <w:rsid w:val="0031435C"/>
    <w:rsid w:val="00316D2B"/>
    <w:rsid w:val="00326A9C"/>
    <w:rsid w:val="00330F90"/>
    <w:rsid w:val="00333F32"/>
    <w:rsid w:val="00347869"/>
    <w:rsid w:val="00362235"/>
    <w:rsid w:val="00377F3E"/>
    <w:rsid w:val="00387E66"/>
    <w:rsid w:val="003910A0"/>
    <w:rsid w:val="00392D6D"/>
    <w:rsid w:val="003A3268"/>
    <w:rsid w:val="003B3554"/>
    <w:rsid w:val="003B7772"/>
    <w:rsid w:val="003C4A5F"/>
    <w:rsid w:val="003D5AD7"/>
    <w:rsid w:val="003D6A68"/>
    <w:rsid w:val="003E0AE7"/>
    <w:rsid w:val="00404221"/>
    <w:rsid w:val="004068AE"/>
    <w:rsid w:val="004170CC"/>
    <w:rsid w:val="004216C4"/>
    <w:rsid w:val="00422495"/>
    <w:rsid w:val="00422D84"/>
    <w:rsid w:val="00435B2B"/>
    <w:rsid w:val="004424D5"/>
    <w:rsid w:val="00443295"/>
    <w:rsid w:val="00443F37"/>
    <w:rsid w:val="00445687"/>
    <w:rsid w:val="004804A3"/>
    <w:rsid w:val="004831F5"/>
    <w:rsid w:val="00486993"/>
    <w:rsid w:val="004903EB"/>
    <w:rsid w:val="00490832"/>
    <w:rsid w:val="00493FBC"/>
    <w:rsid w:val="004C29BA"/>
    <w:rsid w:val="004C3094"/>
    <w:rsid w:val="004C4A4A"/>
    <w:rsid w:val="004D08F6"/>
    <w:rsid w:val="004E677F"/>
    <w:rsid w:val="004F76AA"/>
    <w:rsid w:val="005078DE"/>
    <w:rsid w:val="00521336"/>
    <w:rsid w:val="00555767"/>
    <w:rsid w:val="00571800"/>
    <w:rsid w:val="00577D31"/>
    <w:rsid w:val="005858A7"/>
    <w:rsid w:val="00587B8B"/>
    <w:rsid w:val="0059304C"/>
    <w:rsid w:val="005A04E1"/>
    <w:rsid w:val="005B668B"/>
    <w:rsid w:val="005D4F05"/>
    <w:rsid w:val="005D782B"/>
    <w:rsid w:val="005D7D5A"/>
    <w:rsid w:val="005F1659"/>
    <w:rsid w:val="005F7A2D"/>
    <w:rsid w:val="0060354B"/>
    <w:rsid w:val="00606601"/>
    <w:rsid w:val="00622598"/>
    <w:rsid w:val="0063079A"/>
    <w:rsid w:val="006469AB"/>
    <w:rsid w:val="00651642"/>
    <w:rsid w:val="006805E0"/>
    <w:rsid w:val="00680ACA"/>
    <w:rsid w:val="0068492F"/>
    <w:rsid w:val="00692184"/>
    <w:rsid w:val="006A5237"/>
    <w:rsid w:val="006B0BF6"/>
    <w:rsid w:val="006B36AB"/>
    <w:rsid w:val="006C52E2"/>
    <w:rsid w:val="006D41AE"/>
    <w:rsid w:val="006E093E"/>
    <w:rsid w:val="006F0F0F"/>
    <w:rsid w:val="006F1CF3"/>
    <w:rsid w:val="006F20E7"/>
    <w:rsid w:val="007019A0"/>
    <w:rsid w:val="007311EC"/>
    <w:rsid w:val="00740D5B"/>
    <w:rsid w:val="00755254"/>
    <w:rsid w:val="00756812"/>
    <w:rsid w:val="00764E7A"/>
    <w:rsid w:val="007663AB"/>
    <w:rsid w:val="00774914"/>
    <w:rsid w:val="00776D2D"/>
    <w:rsid w:val="007A30C9"/>
    <w:rsid w:val="007B0AAC"/>
    <w:rsid w:val="007C5FAB"/>
    <w:rsid w:val="007C640B"/>
    <w:rsid w:val="007D143C"/>
    <w:rsid w:val="007D6A6B"/>
    <w:rsid w:val="007E2154"/>
    <w:rsid w:val="00807943"/>
    <w:rsid w:val="00810502"/>
    <w:rsid w:val="00816ED8"/>
    <w:rsid w:val="008A73EA"/>
    <w:rsid w:val="008B585E"/>
    <w:rsid w:val="008D62C4"/>
    <w:rsid w:val="008E0B46"/>
    <w:rsid w:val="008E222B"/>
    <w:rsid w:val="008E67AF"/>
    <w:rsid w:val="00911A0F"/>
    <w:rsid w:val="009154C0"/>
    <w:rsid w:val="00917742"/>
    <w:rsid w:val="00922AFE"/>
    <w:rsid w:val="009256C4"/>
    <w:rsid w:val="00927388"/>
    <w:rsid w:val="00932A14"/>
    <w:rsid w:val="00932E71"/>
    <w:rsid w:val="00936212"/>
    <w:rsid w:val="00947B50"/>
    <w:rsid w:val="00955085"/>
    <w:rsid w:val="009573BA"/>
    <w:rsid w:val="0097547E"/>
    <w:rsid w:val="009866D1"/>
    <w:rsid w:val="00994B36"/>
    <w:rsid w:val="009C0A8B"/>
    <w:rsid w:val="009D29D9"/>
    <w:rsid w:val="009D32FE"/>
    <w:rsid w:val="009D6AE9"/>
    <w:rsid w:val="009E114D"/>
    <w:rsid w:val="00A02B95"/>
    <w:rsid w:val="00A03A20"/>
    <w:rsid w:val="00A047FB"/>
    <w:rsid w:val="00A11614"/>
    <w:rsid w:val="00A16875"/>
    <w:rsid w:val="00A42E9F"/>
    <w:rsid w:val="00A44950"/>
    <w:rsid w:val="00A6294E"/>
    <w:rsid w:val="00A63DC5"/>
    <w:rsid w:val="00A6598F"/>
    <w:rsid w:val="00A66FE3"/>
    <w:rsid w:val="00A75A8A"/>
    <w:rsid w:val="00A94ED2"/>
    <w:rsid w:val="00AA782B"/>
    <w:rsid w:val="00AC0556"/>
    <w:rsid w:val="00AD7F1F"/>
    <w:rsid w:val="00AE0DF0"/>
    <w:rsid w:val="00AF17E1"/>
    <w:rsid w:val="00AF620B"/>
    <w:rsid w:val="00B000D7"/>
    <w:rsid w:val="00B02FBE"/>
    <w:rsid w:val="00B2687D"/>
    <w:rsid w:val="00B304DD"/>
    <w:rsid w:val="00B33209"/>
    <w:rsid w:val="00B37180"/>
    <w:rsid w:val="00B40172"/>
    <w:rsid w:val="00B62493"/>
    <w:rsid w:val="00B70525"/>
    <w:rsid w:val="00B80E17"/>
    <w:rsid w:val="00BC0E5D"/>
    <w:rsid w:val="00BD24AD"/>
    <w:rsid w:val="00BD3945"/>
    <w:rsid w:val="00BE40D9"/>
    <w:rsid w:val="00BF4274"/>
    <w:rsid w:val="00C031C6"/>
    <w:rsid w:val="00C041BB"/>
    <w:rsid w:val="00C066A0"/>
    <w:rsid w:val="00C125C7"/>
    <w:rsid w:val="00C14D06"/>
    <w:rsid w:val="00C16EF8"/>
    <w:rsid w:val="00C31A72"/>
    <w:rsid w:val="00C57D52"/>
    <w:rsid w:val="00C62BC3"/>
    <w:rsid w:val="00C64E57"/>
    <w:rsid w:val="00C659D4"/>
    <w:rsid w:val="00C82F53"/>
    <w:rsid w:val="00C853BF"/>
    <w:rsid w:val="00C87096"/>
    <w:rsid w:val="00CA5179"/>
    <w:rsid w:val="00CA5FC5"/>
    <w:rsid w:val="00CD0308"/>
    <w:rsid w:val="00CD338E"/>
    <w:rsid w:val="00CE7B60"/>
    <w:rsid w:val="00CF799C"/>
    <w:rsid w:val="00D0346C"/>
    <w:rsid w:val="00D13F0F"/>
    <w:rsid w:val="00D164E7"/>
    <w:rsid w:val="00D23A21"/>
    <w:rsid w:val="00D36146"/>
    <w:rsid w:val="00D36168"/>
    <w:rsid w:val="00D36FFC"/>
    <w:rsid w:val="00D41900"/>
    <w:rsid w:val="00D4227F"/>
    <w:rsid w:val="00D45278"/>
    <w:rsid w:val="00D46DDF"/>
    <w:rsid w:val="00D566D5"/>
    <w:rsid w:val="00D62A43"/>
    <w:rsid w:val="00D76B27"/>
    <w:rsid w:val="00D84E5A"/>
    <w:rsid w:val="00D936A5"/>
    <w:rsid w:val="00DA5EB7"/>
    <w:rsid w:val="00DC6856"/>
    <w:rsid w:val="00DD1C55"/>
    <w:rsid w:val="00E02C36"/>
    <w:rsid w:val="00E15E6E"/>
    <w:rsid w:val="00E16368"/>
    <w:rsid w:val="00E30099"/>
    <w:rsid w:val="00E353C5"/>
    <w:rsid w:val="00E401FB"/>
    <w:rsid w:val="00E520CA"/>
    <w:rsid w:val="00E579A3"/>
    <w:rsid w:val="00E6614C"/>
    <w:rsid w:val="00E838E0"/>
    <w:rsid w:val="00E85382"/>
    <w:rsid w:val="00EA0E47"/>
    <w:rsid w:val="00EB39A8"/>
    <w:rsid w:val="00EB4997"/>
    <w:rsid w:val="00EB52D3"/>
    <w:rsid w:val="00EC21B5"/>
    <w:rsid w:val="00EC6563"/>
    <w:rsid w:val="00ED4362"/>
    <w:rsid w:val="00EE137A"/>
    <w:rsid w:val="00EE487B"/>
    <w:rsid w:val="00EE668E"/>
    <w:rsid w:val="00EF7985"/>
    <w:rsid w:val="00F05C34"/>
    <w:rsid w:val="00F102C8"/>
    <w:rsid w:val="00F137A0"/>
    <w:rsid w:val="00F333E0"/>
    <w:rsid w:val="00F34021"/>
    <w:rsid w:val="00F5559C"/>
    <w:rsid w:val="00F75C68"/>
    <w:rsid w:val="00F854CF"/>
    <w:rsid w:val="00F86C33"/>
    <w:rsid w:val="00F9031F"/>
    <w:rsid w:val="00F93C7F"/>
    <w:rsid w:val="00F96750"/>
    <w:rsid w:val="00FB470A"/>
    <w:rsid w:val="00FB6B27"/>
    <w:rsid w:val="00FC14BC"/>
    <w:rsid w:val="00FC4FF5"/>
    <w:rsid w:val="00FC71C9"/>
    <w:rsid w:val="00FE252D"/>
    <w:rsid w:val="00FE6DF9"/>
    <w:rsid w:val="00FF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9FB9"/>
  <w15:chartTrackingRefBased/>
  <w15:docId w15:val="{91B93585-B475-9A49-8FBC-36068A44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143C"/>
    <w:pPr>
      <w:tabs>
        <w:tab w:val="center" w:pos="4680"/>
        <w:tab w:val="right" w:pos="9360"/>
      </w:tabs>
    </w:pPr>
  </w:style>
  <w:style w:type="character" w:customStyle="1" w:styleId="FooterChar">
    <w:name w:val="Footer Char"/>
    <w:basedOn w:val="DefaultParagraphFont"/>
    <w:link w:val="Footer"/>
    <w:uiPriority w:val="99"/>
    <w:rsid w:val="007D143C"/>
    <w:rPr>
      <w:rFonts w:eastAsia="SimSun"/>
    </w:rPr>
  </w:style>
  <w:style w:type="character" w:styleId="PageNumber">
    <w:name w:val="page number"/>
    <w:basedOn w:val="DefaultParagraphFont"/>
    <w:uiPriority w:val="99"/>
    <w:semiHidden/>
    <w:unhideWhenUsed/>
    <w:rsid w:val="007D143C"/>
  </w:style>
  <w:style w:type="paragraph" w:styleId="Header">
    <w:name w:val="header"/>
    <w:basedOn w:val="Normal"/>
    <w:link w:val="HeaderChar"/>
    <w:uiPriority w:val="99"/>
    <w:unhideWhenUsed/>
    <w:rsid w:val="007D143C"/>
    <w:pPr>
      <w:tabs>
        <w:tab w:val="center" w:pos="4680"/>
        <w:tab w:val="right" w:pos="9360"/>
      </w:tabs>
    </w:pPr>
  </w:style>
  <w:style w:type="character" w:customStyle="1" w:styleId="HeaderChar">
    <w:name w:val="Header Char"/>
    <w:basedOn w:val="DefaultParagraphFont"/>
    <w:link w:val="Header"/>
    <w:uiPriority w:val="99"/>
    <w:rsid w:val="007D143C"/>
    <w:rPr>
      <w:rFonts w:eastAsia="SimSun"/>
    </w:rPr>
  </w:style>
  <w:style w:type="table" w:styleId="TableGrid">
    <w:name w:val="Table Grid"/>
    <w:basedOn w:val="TableNormal"/>
    <w:uiPriority w:val="39"/>
    <w:rsid w:val="00DC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3F32"/>
  </w:style>
  <w:style w:type="paragraph" w:styleId="Bibliography">
    <w:name w:val="Bibliography"/>
    <w:basedOn w:val="Normal"/>
    <w:next w:val="Normal"/>
    <w:uiPriority w:val="37"/>
    <w:unhideWhenUsed/>
    <w:rsid w:val="00DD1C55"/>
    <w:pPr>
      <w:spacing w:line="480" w:lineRule="auto"/>
      <w:ind w:left="720" w:hanging="720"/>
    </w:pPr>
  </w:style>
  <w:style w:type="paragraph" w:styleId="FootnoteText">
    <w:name w:val="footnote text"/>
    <w:basedOn w:val="Normal"/>
    <w:link w:val="FootnoteTextChar"/>
    <w:uiPriority w:val="99"/>
    <w:semiHidden/>
    <w:unhideWhenUsed/>
    <w:rsid w:val="00FB6B27"/>
    <w:rPr>
      <w:sz w:val="20"/>
      <w:szCs w:val="20"/>
    </w:rPr>
  </w:style>
  <w:style w:type="character" w:customStyle="1" w:styleId="FootnoteTextChar">
    <w:name w:val="Footnote Text Char"/>
    <w:basedOn w:val="DefaultParagraphFont"/>
    <w:link w:val="FootnoteText"/>
    <w:uiPriority w:val="99"/>
    <w:semiHidden/>
    <w:rsid w:val="00FB6B27"/>
    <w:rPr>
      <w:rFonts w:eastAsia="SimSun"/>
      <w:sz w:val="20"/>
      <w:szCs w:val="20"/>
    </w:rPr>
  </w:style>
  <w:style w:type="character" w:styleId="FootnoteReference">
    <w:name w:val="footnote reference"/>
    <w:basedOn w:val="DefaultParagraphFont"/>
    <w:uiPriority w:val="99"/>
    <w:semiHidden/>
    <w:unhideWhenUsed/>
    <w:rsid w:val="00FB6B27"/>
    <w:rPr>
      <w:vertAlign w:val="superscript"/>
    </w:rPr>
  </w:style>
  <w:style w:type="character" w:styleId="CommentReference">
    <w:name w:val="annotation reference"/>
    <w:basedOn w:val="DefaultParagraphFont"/>
    <w:uiPriority w:val="99"/>
    <w:semiHidden/>
    <w:unhideWhenUsed/>
    <w:rsid w:val="005858A7"/>
    <w:rPr>
      <w:sz w:val="16"/>
      <w:szCs w:val="16"/>
    </w:rPr>
  </w:style>
  <w:style w:type="paragraph" w:styleId="CommentText">
    <w:name w:val="annotation text"/>
    <w:basedOn w:val="Normal"/>
    <w:link w:val="CommentTextChar"/>
    <w:uiPriority w:val="99"/>
    <w:unhideWhenUsed/>
    <w:rsid w:val="005858A7"/>
    <w:rPr>
      <w:sz w:val="20"/>
      <w:szCs w:val="20"/>
    </w:rPr>
  </w:style>
  <w:style w:type="character" w:customStyle="1" w:styleId="CommentTextChar">
    <w:name w:val="Comment Text Char"/>
    <w:basedOn w:val="DefaultParagraphFont"/>
    <w:link w:val="CommentText"/>
    <w:uiPriority w:val="99"/>
    <w:rsid w:val="005858A7"/>
    <w:rPr>
      <w:rFonts w:eastAsia="SimSun"/>
      <w:sz w:val="20"/>
      <w:szCs w:val="20"/>
    </w:rPr>
  </w:style>
  <w:style w:type="paragraph" w:styleId="CommentSubject">
    <w:name w:val="annotation subject"/>
    <w:basedOn w:val="CommentText"/>
    <w:next w:val="CommentText"/>
    <w:link w:val="CommentSubjectChar"/>
    <w:uiPriority w:val="99"/>
    <w:semiHidden/>
    <w:unhideWhenUsed/>
    <w:rsid w:val="005858A7"/>
    <w:rPr>
      <w:b/>
      <w:bCs/>
    </w:rPr>
  </w:style>
  <w:style w:type="character" w:customStyle="1" w:styleId="CommentSubjectChar">
    <w:name w:val="Comment Subject Char"/>
    <w:basedOn w:val="CommentTextChar"/>
    <w:link w:val="CommentSubject"/>
    <w:uiPriority w:val="99"/>
    <w:semiHidden/>
    <w:rsid w:val="005858A7"/>
    <w:rPr>
      <w:rFonts w:eastAsia="SimSun"/>
      <w:b/>
      <w:bCs/>
      <w:sz w:val="20"/>
      <w:szCs w:val="20"/>
    </w:rPr>
  </w:style>
  <w:style w:type="paragraph" w:styleId="ListParagraph">
    <w:name w:val="List Paragraph"/>
    <w:basedOn w:val="Normal"/>
    <w:uiPriority w:val="34"/>
    <w:qFormat/>
    <w:rsid w:val="00622598"/>
    <w:pPr>
      <w:ind w:left="720"/>
      <w:contextualSpacing/>
    </w:pPr>
  </w:style>
  <w:style w:type="character" w:styleId="EndnoteReference">
    <w:name w:val="endnote reference"/>
    <w:basedOn w:val="DefaultParagraphFont"/>
    <w:uiPriority w:val="99"/>
    <w:semiHidden/>
    <w:unhideWhenUsed/>
    <w:rsid w:val="00000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Frances Franco</dc:creator>
  <cp:keywords/>
  <dc:description/>
  <cp:lastModifiedBy>Javaras, Kristin Nicole</cp:lastModifiedBy>
  <cp:revision>4</cp:revision>
  <cp:lastPrinted>2024-02-28T13:04:00Z</cp:lastPrinted>
  <dcterms:created xsi:type="dcterms:W3CDTF">2024-03-01T17:23:00Z</dcterms:created>
  <dcterms:modified xsi:type="dcterms:W3CDTF">2024-03-02T13:48:00Z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id="NPoXffau"/&gt;&lt;style id="http://www.zotero.org/styles/apa-noissue" locale="en-US" hasBibliography="1" bibliographyStyleHasBeenSet="1"/&gt;&lt;prefs&gt;&lt;pref name="fieldType" value="Field"/&gt;&lt;/prefs&gt;&lt;/data&gt;</vt:lpwstr>
  </property>
</Properties>
</file>