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903B" w14:textId="7DB16FEE" w:rsidR="00B40EA3" w:rsidRPr="00895FDC" w:rsidRDefault="00895FDC">
      <w:pPr>
        <w:rPr>
          <w:b/>
          <w:bCs/>
          <w:lang w:val="en-GB"/>
        </w:rPr>
      </w:pPr>
      <w:r w:rsidRPr="00895FDC">
        <w:rPr>
          <w:b/>
          <w:bCs/>
          <w:lang w:val="en-GB"/>
        </w:rPr>
        <w:t>Supplementary Material</w:t>
      </w:r>
    </w:p>
    <w:p w14:paraId="0DD5D9CB" w14:textId="7FA92A29" w:rsidR="00E81851" w:rsidRPr="00F44349" w:rsidRDefault="00E81851">
      <w:pPr>
        <w:rPr>
          <w:lang w:val="en-GB"/>
        </w:rPr>
      </w:pPr>
      <w:r w:rsidRPr="00F44349">
        <w:rPr>
          <w:lang w:val="en-GB"/>
        </w:rPr>
        <w:t xml:space="preserve">Additional sample characteristics </w:t>
      </w:r>
    </w:p>
    <w:p w14:paraId="3A85A620" w14:textId="09513140" w:rsidR="00E81851" w:rsidRPr="00895FDC" w:rsidRDefault="00E81851">
      <w:pPr>
        <w:rPr>
          <w:lang w:val="en-GB"/>
        </w:rPr>
      </w:pPr>
      <w:r w:rsidRPr="00F44349">
        <w:rPr>
          <w:lang w:val="en-GB"/>
        </w:rPr>
        <w:t xml:space="preserve">Table </w:t>
      </w:r>
      <w:r w:rsidR="00FA1ABA" w:rsidRPr="00F44349">
        <w:rPr>
          <w:lang w:val="en-GB"/>
        </w:rPr>
        <w:t>S</w:t>
      </w:r>
      <w:r w:rsidRPr="00F44349">
        <w:rPr>
          <w:lang w:val="en-GB"/>
        </w:rPr>
        <w:t>1:Diagnoses for FEP and SZ</w:t>
      </w:r>
    </w:p>
    <w:p w14:paraId="31A16BD1" w14:textId="61137C3A" w:rsidR="00E81851" w:rsidRPr="00895FDC" w:rsidRDefault="00E81851">
      <w:pPr>
        <w:rPr>
          <w:lang w:val="en-GB"/>
        </w:rPr>
      </w:pPr>
      <w:r w:rsidRPr="00895FDC">
        <w:rPr>
          <w:noProof/>
          <w:lang w:val="en-GB"/>
        </w:rPr>
        <w:drawing>
          <wp:inline distT="0" distB="0" distL="0" distR="0" wp14:anchorId="4391999B" wp14:editId="46A5D053">
            <wp:extent cx="3541222" cy="1871905"/>
            <wp:effectExtent l="0" t="0" r="2540" b="0"/>
            <wp:docPr id="1575436788" name="Picture 1" descr="A table with a list of psychological disord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36788" name="Picture 1" descr="A table with a list of psychological disorder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3689" cy="1889067"/>
                    </a:xfrm>
                    <a:prstGeom prst="rect">
                      <a:avLst/>
                    </a:prstGeom>
                  </pic:spPr>
                </pic:pic>
              </a:graphicData>
            </a:graphic>
          </wp:inline>
        </w:drawing>
      </w:r>
    </w:p>
    <w:p w14:paraId="3D236B91" w14:textId="7F1E33BB" w:rsidR="00FA1ABA" w:rsidRPr="00895FDC" w:rsidRDefault="00FA1ABA" w:rsidP="00E81851">
      <w:pPr>
        <w:rPr>
          <w:lang w:val="en-GB"/>
        </w:rPr>
      </w:pPr>
      <w:r w:rsidRPr="00895FDC">
        <w:rPr>
          <w:lang w:val="en-GB"/>
        </w:rPr>
        <w:t>Note: FEP = first episode psychosis; ICD 10 = International Statistical Classification of Diseases and Related Health Problems, 10</w:t>
      </w:r>
      <w:r w:rsidRPr="00895FDC">
        <w:rPr>
          <w:vertAlign w:val="superscript"/>
          <w:lang w:val="en-GB"/>
        </w:rPr>
        <w:t>th</w:t>
      </w:r>
      <w:r w:rsidRPr="00895FDC">
        <w:rPr>
          <w:lang w:val="en-GB"/>
        </w:rPr>
        <w:t xml:space="preserve"> revision; SZ = schizophrenia</w:t>
      </w:r>
    </w:p>
    <w:p w14:paraId="2431F1C6" w14:textId="77777777" w:rsidR="00FA1ABA" w:rsidRPr="00895FDC" w:rsidRDefault="00FA1ABA" w:rsidP="00E81851">
      <w:pPr>
        <w:rPr>
          <w:lang w:val="en-GB"/>
        </w:rPr>
      </w:pPr>
    </w:p>
    <w:p w14:paraId="7424D081" w14:textId="2B4F85BE" w:rsidR="00E81851" w:rsidRPr="00895FDC" w:rsidRDefault="00E81851" w:rsidP="00E81851">
      <w:pPr>
        <w:rPr>
          <w:lang w:val="en-GB"/>
        </w:rPr>
      </w:pPr>
      <w:r w:rsidRPr="00F44349">
        <w:rPr>
          <w:lang w:val="en-GB"/>
        </w:rPr>
        <w:t xml:space="preserve">Table </w:t>
      </w:r>
      <w:r w:rsidR="00FA1ABA" w:rsidRPr="00F44349">
        <w:rPr>
          <w:lang w:val="en-GB"/>
        </w:rPr>
        <w:t>S2</w:t>
      </w:r>
      <w:r w:rsidRPr="00F44349">
        <w:rPr>
          <w:lang w:val="en-GB"/>
        </w:rPr>
        <w:t>: Medication for FEP and SZ</w:t>
      </w:r>
    </w:p>
    <w:p w14:paraId="057BE921" w14:textId="435FD3D5" w:rsidR="00E81851" w:rsidRPr="00895FDC" w:rsidRDefault="00E81851">
      <w:pPr>
        <w:rPr>
          <w:lang w:val="en-GB"/>
        </w:rPr>
      </w:pPr>
    </w:p>
    <w:p w14:paraId="47C4BB26" w14:textId="6961E3B1" w:rsidR="00E81851" w:rsidRPr="00895FDC" w:rsidRDefault="00E81851">
      <w:pPr>
        <w:rPr>
          <w:lang w:val="en-GB"/>
        </w:rPr>
      </w:pPr>
      <w:r w:rsidRPr="00895FDC">
        <w:rPr>
          <w:noProof/>
          <w:lang w:val="en-GB"/>
        </w:rPr>
        <w:drawing>
          <wp:inline distT="0" distB="0" distL="0" distR="0" wp14:anchorId="6B68FAF4" wp14:editId="7CC95BE7">
            <wp:extent cx="5203767" cy="3297520"/>
            <wp:effectExtent l="0" t="0" r="3810" b="5080"/>
            <wp:docPr id="2017345890" name="Picture 2"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45890" name="Picture 2" descr="A screenshot of a report&#10;&#10;Description automatically generated"/>
                    <pic:cNvPicPr/>
                  </pic:nvPicPr>
                  <pic:blipFill rotWithShape="1">
                    <a:blip r:embed="rId6" cstate="print">
                      <a:extLst>
                        <a:ext uri="{28A0092B-C50C-407E-A947-70E740481C1C}">
                          <a14:useLocalDpi xmlns:a14="http://schemas.microsoft.com/office/drawing/2010/main" val="0"/>
                        </a:ext>
                      </a:extLst>
                    </a:blip>
                    <a:srcRect l="4640" r="4566"/>
                    <a:stretch/>
                  </pic:blipFill>
                  <pic:spPr bwMode="auto">
                    <a:xfrm>
                      <a:off x="0" y="0"/>
                      <a:ext cx="5203822" cy="3297555"/>
                    </a:xfrm>
                    <a:prstGeom prst="rect">
                      <a:avLst/>
                    </a:prstGeom>
                    <a:ln>
                      <a:noFill/>
                    </a:ln>
                    <a:extLst>
                      <a:ext uri="{53640926-AAD7-44D8-BBD7-CCE9431645EC}">
                        <a14:shadowObscured xmlns:a14="http://schemas.microsoft.com/office/drawing/2010/main"/>
                      </a:ext>
                    </a:extLst>
                  </pic:spPr>
                </pic:pic>
              </a:graphicData>
            </a:graphic>
          </wp:inline>
        </w:drawing>
      </w:r>
    </w:p>
    <w:p w14:paraId="30783A7F" w14:textId="3D2DB17B" w:rsidR="00FA1ABA" w:rsidRPr="00895FDC" w:rsidRDefault="00FA1ABA" w:rsidP="00FA1ABA">
      <w:pPr>
        <w:rPr>
          <w:lang w:val="en-GB"/>
        </w:rPr>
      </w:pPr>
      <w:r w:rsidRPr="00895FDC">
        <w:rPr>
          <w:lang w:val="en-GB"/>
        </w:rPr>
        <w:t>Note: CPZ_equiv = Chlorpromazine equivalents; FEP = first episode psychosis; IM = intramuscular; SZ = schizophrenia</w:t>
      </w:r>
    </w:p>
    <w:p w14:paraId="05ACCCD4" w14:textId="513A8CB3" w:rsidR="00031F49" w:rsidRPr="00895FDC" w:rsidRDefault="00031F49">
      <w:pPr>
        <w:rPr>
          <w:lang w:val="en-GB"/>
        </w:rPr>
      </w:pPr>
    </w:p>
    <w:p w14:paraId="3FE27E32" w14:textId="77777777" w:rsidR="00895FDC" w:rsidRPr="00895FDC" w:rsidRDefault="00895FDC">
      <w:pPr>
        <w:rPr>
          <w:lang w:val="en-GB"/>
        </w:rPr>
      </w:pPr>
    </w:p>
    <w:p w14:paraId="599AEFAE" w14:textId="77777777" w:rsidR="00895FDC" w:rsidRPr="00895FDC" w:rsidRDefault="00895FDC">
      <w:pPr>
        <w:rPr>
          <w:lang w:val="en-GB"/>
        </w:rPr>
      </w:pPr>
    </w:p>
    <w:p w14:paraId="7BEE6E57" w14:textId="6F102651" w:rsidR="00C357C4" w:rsidRPr="00895FDC" w:rsidRDefault="00C357C4">
      <w:pPr>
        <w:rPr>
          <w:b/>
          <w:bCs/>
          <w:lang w:val="en-GB"/>
        </w:rPr>
      </w:pPr>
      <w:r w:rsidRPr="00895FDC">
        <w:rPr>
          <w:b/>
          <w:bCs/>
          <w:lang w:val="en-GB"/>
        </w:rPr>
        <w:lastRenderedPageBreak/>
        <w:t>Tasks :</w:t>
      </w:r>
    </w:p>
    <w:p w14:paraId="4E3484E5" w14:textId="45539FEE" w:rsidR="00031F49" w:rsidRPr="00895FDC" w:rsidRDefault="00031F49">
      <w:pPr>
        <w:rPr>
          <w:lang w:val="en-GB"/>
        </w:rPr>
      </w:pPr>
      <w:r w:rsidRPr="00895FDC">
        <w:rPr>
          <w:lang w:val="en-GB"/>
        </w:rPr>
        <w:t>Trust game</w:t>
      </w:r>
    </w:p>
    <w:p w14:paraId="65F21947" w14:textId="3BC2DD0A" w:rsidR="00270603" w:rsidRPr="00895FDC" w:rsidRDefault="00293D68" w:rsidP="00893E98">
      <w:pPr>
        <w:autoSpaceDE w:val="0"/>
        <w:autoSpaceDN w:val="0"/>
        <w:adjustRightInd w:val="0"/>
        <w:spacing w:after="0" w:line="240" w:lineRule="auto"/>
        <w:rPr>
          <w:lang w:val="en-GB"/>
        </w:rPr>
      </w:pPr>
      <w:r w:rsidRPr="00895FDC">
        <w:rPr>
          <w:lang w:val="en-GB"/>
        </w:rPr>
        <w:t xml:space="preserve">The trust game was a modified version of a previous multi-round trust game </w:t>
      </w:r>
      <w:r w:rsidR="007C0241" w:rsidRPr="00895FDC">
        <w:rPr>
          <w:lang w:val="en-GB"/>
        </w:rPr>
        <w:fldChar w:fldCharType="begin"/>
      </w:r>
      <w:r w:rsidR="007C0241" w:rsidRPr="00895FDC">
        <w:rPr>
          <w:lang w:val="en-GB"/>
        </w:rPr>
        <w:instrText xml:space="preserve"> ADDIN EN.CITE &lt;EndNote&gt;&lt;Cite&gt;&lt;Author&gt;King-Casas&lt;/Author&gt;&lt;Year&gt;2005&lt;/Year&gt;&lt;RecNum&gt;689&lt;/RecNum&gt;&lt;DisplayText&gt;(King-Casas, 2005)&lt;/DisplayText&gt;&lt;record&gt;&lt;rec-number&gt;689&lt;/rec-number&gt;&lt;foreign-keys&gt;&lt;key app="EN" db-id="rwvw0srxmwteeqe5w0g5rzr89fs5rvawpesv" timestamp="1601313790"&gt;689&lt;/key&gt;&lt;/foreign-keys&gt;&lt;ref-type name="Journal Article"&gt;17&lt;/ref-type&gt;&lt;contributors&gt;&lt;authors&gt;&lt;author&gt;King-Casas, B.&lt;/author&gt;&lt;/authors&gt;&lt;/contributors&gt;&lt;titles&gt;&lt;title&gt;Getting to know you: reputation and trust in a two-person economic exchange&lt;/title&gt;&lt;secondary-title&gt;Science&lt;/secondary-title&gt;&lt;/titles&gt;&lt;periodical&gt;&lt;full-title&gt;Science&lt;/full-title&gt;&lt;/periodical&gt;&lt;pages&gt;78-83&lt;/pages&gt;&lt;volume&gt;308&lt;/volume&gt;&lt;dates&gt;&lt;year&gt;2005&lt;/year&gt;&lt;/dates&gt;&lt;publisher&gt;Macmillan Publishers Limited. All rights reserved&lt;/publisher&gt;&lt;work-type&gt;10.1126/science.1108062&lt;/work-type&gt;&lt;urls&gt;&lt;related-urls&gt;&lt;url&gt;http://dx.doi.org/10.1126/science.1108062&lt;/url&gt;&lt;/related-urls&gt;&lt;/urls&gt;&lt;/record&gt;&lt;/Cite&gt;&lt;/EndNote&gt;</w:instrText>
      </w:r>
      <w:r w:rsidR="007C0241" w:rsidRPr="00895FDC">
        <w:rPr>
          <w:lang w:val="en-GB"/>
        </w:rPr>
        <w:fldChar w:fldCharType="separate"/>
      </w:r>
      <w:r w:rsidR="007C0241" w:rsidRPr="00895FDC">
        <w:rPr>
          <w:noProof/>
          <w:lang w:val="en-GB"/>
        </w:rPr>
        <w:t>(King-Casas, 2005)</w:t>
      </w:r>
      <w:r w:rsidR="007C0241" w:rsidRPr="00895FDC">
        <w:rPr>
          <w:lang w:val="en-GB"/>
        </w:rPr>
        <w:fldChar w:fldCharType="end"/>
      </w:r>
      <w:r w:rsidRPr="00895FDC">
        <w:rPr>
          <w:lang w:val="en-GB"/>
        </w:rPr>
        <w:t xml:space="preserve">. </w:t>
      </w:r>
      <w:r w:rsidR="00031F49" w:rsidRPr="00895FDC">
        <w:rPr>
          <w:lang w:val="en-GB"/>
        </w:rPr>
        <w:t xml:space="preserve">Participants played the role of investor </w:t>
      </w:r>
      <w:r w:rsidR="00270603" w:rsidRPr="00895FDC">
        <w:rPr>
          <w:lang w:val="en-GB"/>
        </w:rPr>
        <w:t xml:space="preserve">(first player) </w:t>
      </w:r>
      <w:r w:rsidR="00031F49" w:rsidRPr="00895FDC">
        <w:rPr>
          <w:lang w:val="en-GB"/>
        </w:rPr>
        <w:t xml:space="preserve">in </w:t>
      </w:r>
      <w:r w:rsidR="00531CEA" w:rsidRPr="00895FDC">
        <w:rPr>
          <w:lang w:val="en-GB"/>
        </w:rPr>
        <w:t>a</w:t>
      </w:r>
      <w:r w:rsidR="00031F49" w:rsidRPr="00895FDC">
        <w:rPr>
          <w:lang w:val="en-GB"/>
        </w:rPr>
        <w:t xml:space="preserve"> multi-round trust</w:t>
      </w:r>
      <w:r w:rsidR="00893E98" w:rsidRPr="00895FDC">
        <w:rPr>
          <w:lang w:val="en-GB"/>
        </w:rPr>
        <w:t xml:space="preserve"> </w:t>
      </w:r>
      <w:r w:rsidR="00031F49" w:rsidRPr="00895FDC">
        <w:rPr>
          <w:lang w:val="en-GB"/>
        </w:rPr>
        <w:t>game</w:t>
      </w:r>
      <w:r w:rsidR="00BB51BD" w:rsidRPr="00895FDC">
        <w:rPr>
          <w:lang w:val="en-GB"/>
        </w:rPr>
        <w:t xml:space="preserve"> consisting of 20 experimental and 20 control trials (see Figure S1).</w:t>
      </w:r>
      <w:r w:rsidR="00031F49" w:rsidRPr="00895FDC">
        <w:rPr>
          <w:lang w:val="en-GB"/>
        </w:rPr>
        <w:t xml:space="preserve"> </w:t>
      </w:r>
      <w:r w:rsidR="00270603" w:rsidRPr="00895FDC">
        <w:rPr>
          <w:lang w:val="en-GB"/>
        </w:rPr>
        <w:t xml:space="preserve">At the beginning of each round, </w:t>
      </w:r>
      <w:r w:rsidR="00035DD5" w:rsidRPr="00895FDC">
        <w:rPr>
          <w:lang w:val="en-GB"/>
        </w:rPr>
        <w:t>they</w:t>
      </w:r>
      <w:r w:rsidR="00270603" w:rsidRPr="00895FDC">
        <w:rPr>
          <w:lang w:val="en-GB"/>
        </w:rPr>
        <w:t xml:space="preserve"> received the same starting budget of £10. </w:t>
      </w:r>
      <w:r w:rsidR="00035DD5" w:rsidRPr="00895FDC">
        <w:rPr>
          <w:lang w:val="en-GB"/>
        </w:rPr>
        <w:t xml:space="preserve">Participants </w:t>
      </w:r>
      <w:r w:rsidR="003859DD" w:rsidRPr="00895FDC">
        <w:rPr>
          <w:lang w:val="en-GB"/>
        </w:rPr>
        <w:t xml:space="preserve">were asked to decide how much money they wanted to share with the other player (the trustee). </w:t>
      </w:r>
      <w:r w:rsidR="00270603" w:rsidRPr="00895FDC">
        <w:rPr>
          <w:lang w:val="en-GB"/>
        </w:rPr>
        <w:t>Any amount between £0 and £10 could be shared with the trustee. The shared amount was tripled, and the second player had to decide how much to repay to the first player.</w:t>
      </w:r>
    </w:p>
    <w:p w14:paraId="6F4CE67B" w14:textId="5B02F05E" w:rsidR="00767B3E" w:rsidRPr="00895FDC" w:rsidRDefault="00C904F0" w:rsidP="00767B3E">
      <w:pPr>
        <w:autoSpaceDE w:val="0"/>
        <w:autoSpaceDN w:val="0"/>
        <w:adjustRightInd w:val="0"/>
        <w:spacing w:after="0" w:line="240" w:lineRule="auto"/>
        <w:rPr>
          <w:lang w:val="en-GB"/>
        </w:rPr>
      </w:pPr>
      <w:r w:rsidRPr="00895FDC">
        <w:rPr>
          <w:lang w:val="en-GB"/>
        </w:rPr>
        <w:t>Participants</w:t>
      </w:r>
      <w:r w:rsidR="00031F49" w:rsidRPr="00895FDC">
        <w:rPr>
          <w:lang w:val="en-GB"/>
        </w:rPr>
        <w:t xml:space="preserve"> were told that they were play</w:t>
      </w:r>
      <w:r w:rsidR="00531CEA" w:rsidRPr="00895FDC">
        <w:rPr>
          <w:lang w:val="en-GB"/>
        </w:rPr>
        <w:t>ing</w:t>
      </w:r>
      <w:r w:rsidR="00893E98" w:rsidRPr="00895FDC">
        <w:rPr>
          <w:lang w:val="en-GB"/>
        </w:rPr>
        <w:t xml:space="preserve"> </w:t>
      </w:r>
      <w:r w:rsidR="00031F49" w:rsidRPr="00895FDC">
        <w:rPr>
          <w:lang w:val="en-GB"/>
        </w:rPr>
        <w:t>against a computer</w:t>
      </w:r>
      <w:r w:rsidR="00531CEA" w:rsidRPr="00895FDC">
        <w:rPr>
          <w:lang w:val="en-GB"/>
        </w:rPr>
        <w:t xml:space="preserve">. The </w:t>
      </w:r>
      <w:r w:rsidRPr="00895FDC">
        <w:rPr>
          <w:lang w:val="en-GB"/>
        </w:rPr>
        <w:t xml:space="preserve">computer algorithm </w:t>
      </w:r>
      <w:r w:rsidR="00531CEA" w:rsidRPr="00895FDC">
        <w:rPr>
          <w:lang w:val="en-GB"/>
        </w:rPr>
        <w:t>was</w:t>
      </w:r>
      <w:r w:rsidR="00031F49" w:rsidRPr="00895FDC">
        <w:rPr>
          <w:lang w:val="en-GB"/>
        </w:rPr>
        <w:t xml:space="preserve"> programmed</w:t>
      </w:r>
      <w:r w:rsidRPr="00895FDC">
        <w:rPr>
          <w:lang w:val="en-GB"/>
        </w:rPr>
        <w:t xml:space="preserve"> in a probabilistic way</w:t>
      </w:r>
      <w:r w:rsidR="00031F49" w:rsidRPr="00895FDC">
        <w:rPr>
          <w:lang w:val="en-GB"/>
        </w:rPr>
        <w:t xml:space="preserve"> to respond in a cooperative</w:t>
      </w:r>
      <w:r w:rsidR="00893E98" w:rsidRPr="00895FDC">
        <w:rPr>
          <w:lang w:val="en-GB"/>
        </w:rPr>
        <w:t xml:space="preserve"> </w:t>
      </w:r>
      <w:r w:rsidRPr="00895FDC">
        <w:rPr>
          <w:lang w:val="en-GB"/>
        </w:rPr>
        <w:t>style</w:t>
      </w:r>
      <w:r w:rsidR="00531CEA" w:rsidRPr="00895FDC">
        <w:rPr>
          <w:lang w:val="en-GB"/>
        </w:rPr>
        <w:t>, where the</w:t>
      </w:r>
      <w:r w:rsidR="00031F49" w:rsidRPr="00895FDC">
        <w:rPr>
          <w:lang w:val="en-GB"/>
        </w:rPr>
        <w:t xml:space="preserve"> return</w:t>
      </w:r>
      <w:r w:rsidR="00531CEA" w:rsidRPr="00895FDC">
        <w:rPr>
          <w:lang w:val="en-GB"/>
        </w:rPr>
        <w:t xml:space="preserve"> </w:t>
      </w:r>
      <w:r w:rsidR="00031F49" w:rsidRPr="00895FDC">
        <w:rPr>
          <w:lang w:val="en-GB"/>
        </w:rPr>
        <w:t>was 100, 150, or 200% of the invested amount</w:t>
      </w:r>
      <w:r w:rsidRPr="00895FDC">
        <w:rPr>
          <w:lang w:val="en-GB"/>
        </w:rPr>
        <w:t xml:space="preserve">. </w:t>
      </w:r>
      <w:r w:rsidR="002E0A6D" w:rsidRPr="00895FDC">
        <w:rPr>
          <w:lang w:val="en-GB"/>
        </w:rPr>
        <w:t>Each of these possible first repayments occurred with a probability of 33%. Subsequent repayment increased</w:t>
      </w:r>
      <w:r w:rsidR="00763726" w:rsidRPr="00895FDC">
        <w:rPr>
          <w:lang w:val="en-GB"/>
        </w:rPr>
        <w:t xml:space="preserve"> with 10%</w:t>
      </w:r>
      <w:r w:rsidR="002E0A6D" w:rsidRPr="00895FDC">
        <w:rPr>
          <w:lang w:val="en-GB"/>
        </w:rPr>
        <w:t xml:space="preserve"> if the current investment reflected an increase in trust relative to the previous investment, </w:t>
      </w:r>
      <w:r w:rsidR="00763726" w:rsidRPr="00895FDC">
        <w:rPr>
          <w:lang w:val="en-GB"/>
        </w:rPr>
        <w:t>however,</w:t>
      </w:r>
      <w:r w:rsidR="002E0A6D" w:rsidRPr="00895FDC">
        <w:rPr>
          <w:lang w:val="en-GB"/>
        </w:rPr>
        <w:t xml:space="preserve"> remained stable in all other situations. Hence, with each increase in trust from the side of the investor, the chance of a repayment of 200% increased</w:t>
      </w:r>
      <w:r w:rsidR="007C0241" w:rsidRPr="00895FDC">
        <w:rPr>
          <w:lang w:val="en-GB"/>
        </w:rPr>
        <w:t xml:space="preserve"> </w:t>
      </w:r>
      <w:r w:rsidR="007C0241" w:rsidRPr="00895FDC">
        <w:rPr>
          <w:lang w:val="en-GB"/>
        </w:rPr>
        <w:fldChar w:fldCharType="begin"/>
      </w:r>
      <w:r w:rsidR="00895FDC">
        <w:rPr>
          <w:lang w:val="en-GB"/>
        </w:rPr>
        <w:instrText xml:space="preserve"> ADDIN EN.CITE &lt;EndNote&gt;&lt;Cite&gt;&lt;Author&gt;Lemmers-Jansen&lt;/Author&gt;&lt;Year&gt;2017&lt;/Year&gt;&lt;RecNum&gt;424&lt;/RecNum&gt;&lt;DisplayText&gt;(Gromann et al., 2013; Lemmers-Jansen, Krabbendam, Veltman, &amp;amp; Fett, 2017)&lt;/DisplayText&gt;&lt;record&gt;&lt;rec-number&gt;424&lt;/rec-number&gt;&lt;foreign-keys&gt;&lt;key app="EN" db-id="rwvw0srxmwteeqe5w0g5rzr89fs5rvawpesv" timestamp="1582194953"&gt;424&lt;/key&gt;&lt;/foreign-keys&gt;&lt;ref-type name="Journal Article"&gt;17&lt;/ref-type&gt;&lt;contributors&gt;&lt;authors&gt;&lt;author&gt;Lemmers-Jansen, Imke LJ&lt;/author&gt;&lt;author&gt;Krabbendam, Lydia&lt;/author&gt;&lt;author&gt;Veltman, Dick J&lt;/author&gt;&lt;author&gt;Fett, A.-K.J.&lt;/author&gt;&lt;/authors&gt;&lt;/contributors&gt;&lt;titles&gt;&lt;title&gt;Boys vs. girls: Gender differences in the neural development of trust and reciprocity depend on social context&lt;/title&gt;&lt;secondary-title&gt;Developmental cognitive neuroscience&lt;/secondary-title&gt;&lt;/titles&gt;&lt;periodical&gt;&lt;full-title&gt;Developmental cognitive neuroscience&lt;/full-title&gt;&lt;/periodical&gt;&lt;pages&gt;235-245&lt;/pages&gt;&lt;volume&gt;25&lt;/volume&gt;&lt;dates&gt;&lt;year&gt;2017&lt;/year&gt;&lt;/dates&gt;&lt;isbn&gt;1878-9293&lt;/isbn&gt;&lt;urls&gt;&lt;/urls&gt;&lt;/record&gt;&lt;/Cite&gt;&lt;Cite&gt;&lt;Author&gt;Gromann&lt;/Author&gt;&lt;Year&gt;2013&lt;/Year&gt;&lt;RecNum&gt;382&lt;/RecNum&gt;&lt;record&gt;&lt;rec-number&gt;382&lt;/rec-number&gt;&lt;foreign-keys&gt;&lt;key app="EN" db-id="rwvw0srxmwteeqe5w0g5rzr89fs5rvawpesv" timestamp="1582194953"&gt;382&lt;/key&gt;&lt;/foreign-keys&gt;&lt;ref-type name="Journal Article"&gt;17&lt;/ref-type&gt;&lt;contributors&gt;&lt;authors&gt;&lt;author&gt;Gromann, PM&lt;/author&gt;&lt;author&gt;Heslenfeld, DJ&lt;/author&gt;&lt;author&gt;Fett, A.-K.J.&lt;/author&gt;&lt;author&gt;Joyce, DW&lt;/author&gt;&lt;author&gt;Shergill, SS&lt;/author&gt;&lt;author&gt;Krabbendam, L&lt;/author&gt;&lt;/authors&gt;&lt;/contributors&gt;&lt;titles&gt;&lt;title&gt;Trust versus paranoia: abnormal response to social reward in psychotic illness&lt;/title&gt;&lt;secondary-title&gt;Brain&lt;/secondary-title&gt;&lt;/titles&gt;&lt;periodical&gt;&lt;full-title&gt;Brain&lt;/full-title&gt;&lt;/periodical&gt;&lt;pages&gt;awt076&lt;/pages&gt;&lt;dates&gt;&lt;year&gt;2013&lt;/year&gt;&lt;/dates&gt;&lt;isbn&gt;0006-8950&lt;/isbn&gt;&lt;urls&gt;&lt;related-urls&gt;&lt;url&gt;http://doi.org/10.1093/brain/awt076&lt;/url&gt;&lt;/related-urls&gt;&lt;/urls&gt;&lt;electronic-resource-num&gt;http://doi.org/10.1093/brain/awt076&lt;/electronic-resource-num&gt;&lt;/record&gt;&lt;/Cite&gt;&lt;/EndNote&gt;</w:instrText>
      </w:r>
      <w:r w:rsidR="007C0241" w:rsidRPr="00895FDC">
        <w:rPr>
          <w:lang w:val="en-GB"/>
        </w:rPr>
        <w:fldChar w:fldCharType="separate"/>
      </w:r>
      <w:r w:rsidR="00895FDC">
        <w:rPr>
          <w:noProof/>
          <w:lang w:val="en-GB"/>
        </w:rPr>
        <w:t>(Gromann et al., 2013; Lemmers-Jansen, Krabbendam, Veltman, &amp; Fett, 2017)</w:t>
      </w:r>
      <w:r w:rsidR="007C0241" w:rsidRPr="00895FDC">
        <w:rPr>
          <w:lang w:val="en-GB"/>
        </w:rPr>
        <w:fldChar w:fldCharType="end"/>
      </w:r>
      <w:r w:rsidR="002E0A6D" w:rsidRPr="00895FDC">
        <w:rPr>
          <w:lang w:val="en-GB"/>
        </w:rPr>
        <w:t>.</w:t>
      </w:r>
      <w:r w:rsidR="00767B3E" w:rsidRPr="00895FDC">
        <w:rPr>
          <w:lang w:val="en-GB"/>
        </w:rPr>
        <w:t xml:space="preserve"> </w:t>
      </w:r>
    </w:p>
    <w:p w14:paraId="0EBA25D3" w14:textId="43A48DFE" w:rsidR="00763DF6" w:rsidRPr="00895FDC" w:rsidRDefault="00767B3E" w:rsidP="00763726">
      <w:pPr>
        <w:autoSpaceDE w:val="0"/>
        <w:autoSpaceDN w:val="0"/>
        <w:adjustRightInd w:val="0"/>
        <w:spacing w:after="0" w:line="240" w:lineRule="auto"/>
        <w:rPr>
          <w:lang w:val="en-GB"/>
        </w:rPr>
      </w:pPr>
      <w:r w:rsidRPr="00895FDC">
        <w:rPr>
          <w:lang w:val="en-GB"/>
        </w:rPr>
        <w:t xml:space="preserve">A single </w:t>
      </w:r>
      <w:r w:rsidR="0048282C" w:rsidRPr="00895FDC">
        <w:rPr>
          <w:lang w:val="en-GB"/>
        </w:rPr>
        <w:t xml:space="preserve">trial lasted 18.5 s and </w:t>
      </w:r>
      <w:r w:rsidRPr="00895FDC">
        <w:rPr>
          <w:lang w:val="en-GB"/>
        </w:rPr>
        <w:t>was set up as follows</w:t>
      </w:r>
      <w:r w:rsidR="00A97BF1" w:rsidRPr="00895FDC">
        <w:rPr>
          <w:lang w:val="en-GB"/>
        </w:rPr>
        <w:t xml:space="preserve"> (Figure </w:t>
      </w:r>
      <w:r w:rsidR="000938DD" w:rsidRPr="00895FDC">
        <w:rPr>
          <w:lang w:val="en-GB"/>
        </w:rPr>
        <w:t>S</w:t>
      </w:r>
      <w:r w:rsidR="00A97BF1" w:rsidRPr="00895FDC">
        <w:rPr>
          <w:lang w:val="en-GB"/>
        </w:rPr>
        <w:t>1 top row)</w:t>
      </w:r>
      <w:r w:rsidR="00035DD5" w:rsidRPr="00895FDC">
        <w:rPr>
          <w:lang w:val="en-GB"/>
        </w:rPr>
        <w:t>:</w:t>
      </w:r>
      <w:r w:rsidRPr="00895FDC">
        <w:rPr>
          <w:lang w:val="en-GB"/>
        </w:rPr>
        <w:t xml:space="preserve"> Every trial started with an investment cue of £10 and the investment period of the </w:t>
      </w:r>
      <w:r w:rsidR="00F1481A" w:rsidRPr="00895FDC">
        <w:rPr>
          <w:lang w:val="en-GB"/>
        </w:rPr>
        <w:t>participant</w:t>
      </w:r>
      <w:r w:rsidR="00B83858" w:rsidRPr="00895FDC">
        <w:rPr>
          <w:lang w:val="en-GB"/>
        </w:rPr>
        <w:t xml:space="preserve"> </w:t>
      </w:r>
      <w:r w:rsidRPr="00895FDC">
        <w:rPr>
          <w:lang w:val="en-GB"/>
        </w:rPr>
        <w:t>(6 s). The invested amount was shown (2 s), followed by waiting period with a bar slowly filling itself with dots (2–4 s), and a fixation cross (</w:t>
      </w:r>
      <w:r w:rsidR="000938DD" w:rsidRPr="00895FDC">
        <w:rPr>
          <w:lang w:val="en-GB"/>
        </w:rPr>
        <w:t>0.</w:t>
      </w:r>
      <w:r w:rsidRPr="00895FDC">
        <w:rPr>
          <w:lang w:val="en-GB"/>
        </w:rPr>
        <w:t>5 s). The partner’s response was displayed (3 s), followed by the totals (</w:t>
      </w:r>
      <w:r w:rsidR="00E84D41" w:rsidRPr="00895FDC">
        <w:rPr>
          <w:lang w:val="en-GB"/>
        </w:rPr>
        <w:t>2.5</w:t>
      </w:r>
      <w:r w:rsidRPr="00895FDC">
        <w:rPr>
          <w:lang w:val="en-GB"/>
        </w:rPr>
        <w:t>–</w:t>
      </w:r>
      <w:r w:rsidR="001D2C3C" w:rsidRPr="00895FDC">
        <w:rPr>
          <w:lang w:val="en-GB"/>
        </w:rPr>
        <w:t>4.</w:t>
      </w:r>
      <w:r w:rsidRPr="00895FDC">
        <w:rPr>
          <w:lang w:val="en-GB"/>
        </w:rPr>
        <w:t>5 s</w:t>
      </w:r>
      <w:r w:rsidR="001D2C3C" w:rsidRPr="00895FDC">
        <w:rPr>
          <w:lang w:val="en-GB"/>
        </w:rPr>
        <w:t>,</w:t>
      </w:r>
      <w:r w:rsidRPr="00895FDC">
        <w:rPr>
          <w:lang w:val="en-GB"/>
        </w:rPr>
        <w:t xml:space="preserve"> depending on the length of</w:t>
      </w:r>
      <w:r w:rsidR="0048282C" w:rsidRPr="00895FDC">
        <w:rPr>
          <w:lang w:val="en-GB"/>
        </w:rPr>
        <w:t xml:space="preserve"> </w:t>
      </w:r>
      <w:r w:rsidRPr="00895FDC">
        <w:rPr>
          <w:lang w:val="en-GB"/>
        </w:rPr>
        <w:t xml:space="preserve">the </w:t>
      </w:r>
      <w:r w:rsidR="00C90EFD" w:rsidRPr="00895FDC">
        <w:rPr>
          <w:lang w:val="en-GB"/>
        </w:rPr>
        <w:t>earlier waiting period, both adding up to 6.5 s</w:t>
      </w:r>
      <w:r w:rsidRPr="00895FDC">
        <w:rPr>
          <w:lang w:val="en-GB"/>
        </w:rPr>
        <w:t>). Each trial ended with a fixation cross (</w:t>
      </w:r>
      <w:r w:rsidR="000938DD" w:rsidRPr="00895FDC">
        <w:rPr>
          <w:lang w:val="en-GB"/>
        </w:rPr>
        <w:t>0.</w:t>
      </w:r>
      <w:r w:rsidRPr="00895FDC">
        <w:rPr>
          <w:lang w:val="en-GB"/>
        </w:rPr>
        <w:t xml:space="preserve">5 s). </w:t>
      </w:r>
      <w:r w:rsidR="00763DF6" w:rsidRPr="00895FDC">
        <w:rPr>
          <w:lang w:val="en-GB"/>
        </w:rPr>
        <w:t xml:space="preserve">The design and duration of each event within the </w:t>
      </w:r>
      <w:r w:rsidR="00763726" w:rsidRPr="00895FDC">
        <w:rPr>
          <w:lang w:val="en-GB"/>
        </w:rPr>
        <w:t>control</w:t>
      </w:r>
      <w:r w:rsidR="00763DF6" w:rsidRPr="00895FDC">
        <w:rPr>
          <w:lang w:val="en-GB"/>
        </w:rPr>
        <w:t xml:space="preserve"> trials </w:t>
      </w:r>
      <w:r w:rsidR="00A97BF1" w:rsidRPr="00895FDC">
        <w:rPr>
          <w:lang w:val="en-GB"/>
        </w:rPr>
        <w:t>(Figure S1 bottom row)</w:t>
      </w:r>
      <w:r w:rsidR="000938DD" w:rsidRPr="00895FDC">
        <w:rPr>
          <w:lang w:val="en-GB"/>
        </w:rPr>
        <w:t xml:space="preserve"> </w:t>
      </w:r>
      <w:r w:rsidR="00763DF6" w:rsidRPr="00895FDC">
        <w:rPr>
          <w:lang w:val="en-GB"/>
        </w:rPr>
        <w:t>was identical to</w:t>
      </w:r>
      <w:r w:rsidR="00763726" w:rsidRPr="00895FDC">
        <w:rPr>
          <w:lang w:val="en-GB"/>
        </w:rPr>
        <w:t xml:space="preserve"> </w:t>
      </w:r>
      <w:r w:rsidR="00763DF6" w:rsidRPr="00895FDC">
        <w:rPr>
          <w:lang w:val="en-GB"/>
        </w:rPr>
        <w:t xml:space="preserve">the </w:t>
      </w:r>
      <w:r w:rsidR="00763726" w:rsidRPr="00895FDC">
        <w:rPr>
          <w:lang w:val="en-GB"/>
        </w:rPr>
        <w:t>experimental</w:t>
      </w:r>
      <w:r w:rsidR="00763DF6" w:rsidRPr="00895FDC">
        <w:rPr>
          <w:lang w:val="en-GB"/>
        </w:rPr>
        <w:t xml:space="preserve"> trials.</w:t>
      </w:r>
      <w:r w:rsidR="00B83858" w:rsidRPr="00895FDC">
        <w:rPr>
          <w:lang w:val="en-GB"/>
        </w:rPr>
        <w:t xml:space="preserve"> The control trials were included as a baseline condition for the functional MRI analysis.</w:t>
      </w:r>
      <w:r w:rsidR="003C39CF" w:rsidRPr="00895FDC">
        <w:rPr>
          <w:lang w:val="en-GB"/>
        </w:rPr>
        <w:t xml:space="preserve"> The task had a total duration of approximately 13 min.</w:t>
      </w:r>
    </w:p>
    <w:p w14:paraId="22598C21" w14:textId="3DA696C9" w:rsidR="00031F49" w:rsidRPr="00895FDC" w:rsidRDefault="00031F49" w:rsidP="00031F49">
      <w:pPr>
        <w:rPr>
          <w:lang w:val="en-GB"/>
        </w:rPr>
      </w:pPr>
    </w:p>
    <w:p w14:paraId="3AF361CE" w14:textId="3CD312FF" w:rsidR="007C0241" w:rsidRPr="00895FDC" w:rsidRDefault="007C0241" w:rsidP="00031F49">
      <w:pPr>
        <w:rPr>
          <w:lang w:val="en-GB"/>
        </w:rPr>
      </w:pPr>
      <w:r w:rsidRPr="00895FDC">
        <w:rPr>
          <w:noProof/>
          <w:lang w:val="en-GB"/>
        </w:rPr>
        <w:drawing>
          <wp:inline distT="0" distB="0" distL="0" distR="0" wp14:anchorId="69531DF7" wp14:editId="13309E39">
            <wp:extent cx="5731510" cy="2328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328545"/>
                    </a:xfrm>
                    <a:prstGeom prst="rect">
                      <a:avLst/>
                    </a:prstGeom>
                    <a:noFill/>
                    <a:ln>
                      <a:noFill/>
                    </a:ln>
                  </pic:spPr>
                </pic:pic>
              </a:graphicData>
            </a:graphic>
          </wp:inline>
        </w:drawing>
      </w:r>
    </w:p>
    <w:p w14:paraId="61E05BD1" w14:textId="2B3281CD" w:rsidR="007C0241" w:rsidRPr="00895FDC" w:rsidRDefault="007C0241" w:rsidP="007C0241">
      <w:pPr>
        <w:autoSpaceDE w:val="0"/>
        <w:autoSpaceDN w:val="0"/>
        <w:adjustRightInd w:val="0"/>
        <w:spacing w:after="0" w:line="240" w:lineRule="auto"/>
        <w:rPr>
          <w:sz w:val="20"/>
          <w:szCs w:val="20"/>
          <w:lang w:val="en-GB"/>
        </w:rPr>
      </w:pPr>
      <w:r w:rsidRPr="00895FDC">
        <w:rPr>
          <w:lang w:val="en-GB"/>
        </w:rPr>
        <w:t xml:space="preserve">Figure S1. </w:t>
      </w:r>
      <w:r w:rsidRPr="00895FDC">
        <w:rPr>
          <w:sz w:val="20"/>
          <w:szCs w:val="20"/>
          <w:lang w:val="en-GB"/>
        </w:rPr>
        <w:t xml:space="preserve">Graphical overview of the trust game. Note: Top row represents the visual stimuli in the experimental trials; middle row are the separate phases of the trust game, including durations; bottom row represents the visual stimuli in the control trials. Printed with permission of </w:t>
      </w:r>
      <w:r w:rsidRPr="00895FDC">
        <w:rPr>
          <w:sz w:val="20"/>
          <w:szCs w:val="20"/>
          <w:lang w:val="en-GB"/>
        </w:rPr>
        <w:fldChar w:fldCharType="begin"/>
      </w:r>
      <w:r w:rsidRPr="00895FDC">
        <w:rPr>
          <w:sz w:val="20"/>
          <w:szCs w:val="20"/>
          <w:lang w:val="en-GB"/>
        </w:rPr>
        <w:instrText xml:space="preserve"> ADDIN EN.CITE &lt;EndNote&gt;&lt;Cite AuthorYear="1"&gt;&lt;Author&gt;Lemmers-Jansen&lt;/Author&gt;&lt;Year&gt;2017&lt;/Year&gt;&lt;RecNum&gt;424&lt;/RecNum&gt;&lt;DisplayText&gt;Lemmers-Jansen et al. (2017)&lt;/DisplayText&gt;&lt;record&gt;&lt;rec-number&gt;424&lt;/rec-number&gt;&lt;foreign-keys&gt;&lt;key app="EN" db-id="rwvw0srxmwteeqe5w0g5rzr89fs5rvawpesv" timestamp="1582194953"&gt;424&lt;/key&gt;&lt;/foreign-keys&gt;&lt;ref-type name="Journal Article"&gt;17&lt;/ref-type&gt;&lt;contributors&gt;&lt;authors&gt;&lt;author&gt;Lemmers-Jansen, Imke LJ&lt;/author&gt;&lt;author&gt;Krabbendam, Lydia&lt;/author&gt;&lt;author&gt;Veltman, Dick J&lt;/author&gt;&lt;author&gt;Fett, A.-K.J.&lt;/author&gt;&lt;/authors&gt;&lt;/contributors&gt;&lt;titles&gt;&lt;title&gt;Boys vs. girls: Gender differences in the neural development of trust and reciprocity depend on social context&lt;/title&gt;&lt;secondary-title&gt;Developmental cognitive neuroscience&lt;/secondary-title&gt;&lt;/titles&gt;&lt;periodical&gt;&lt;full-title&gt;Developmental cognitive neuroscience&lt;/full-title&gt;&lt;/periodical&gt;&lt;pages&gt;235-245&lt;/pages&gt;&lt;volume&gt;25&lt;/volume&gt;&lt;dates&gt;&lt;year&gt;2017&lt;/year&gt;&lt;/dates&gt;&lt;isbn&gt;1878-9293&lt;/isbn&gt;&lt;urls&gt;&lt;/urls&gt;&lt;/record&gt;&lt;/Cite&gt;&lt;/EndNote&gt;</w:instrText>
      </w:r>
      <w:r w:rsidRPr="00895FDC">
        <w:rPr>
          <w:sz w:val="20"/>
          <w:szCs w:val="20"/>
          <w:lang w:val="en-GB"/>
        </w:rPr>
        <w:fldChar w:fldCharType="separate"/>
      </w:r>
      <w:r w:rsidRPr="00895FDC">
        <w:rPr>
          <w:noProof/>
          <w:sz w:val="20"/>
          <w:szCs w:val="20"/>
          <w:lang w:val="en-GB"/>
        </w:rPr>
        <w:t>Lemmers-Jansen et al. (2017)</w:t>
      </w:r>
      <w:r w:rsidRPr="00895FDC">
        <w:rPr>
          <w:sz w:val="20"/>
          <w:szCs w:val="20"/>
          <w:lang w:val="en-GB"/>
        </w:rPr>
        <w:fldChar w:fldCharType="end"/>
      </w:r>
      <w:r w:rsidRPr="00895FDC">
        <w:rPr>
          <w:sz w:val="20"/>
          <w:szCs w:val="20"/>
          <w:lang w:val="en-GB"/>
        </w:rPr>
        <w:t>.</w:t>
      </w:r>
    </w:p>
    <w:p w14:paraId="5A85E0BD" w14:textId="5D0BA42D" w:rsidR="007C0241" w:rsidRPr="00895FDC" w:rsidRDefault="007C0241" w:rsidP="007C0241">
      <w:pPr>
        <w:autoSpaceDE w:val="0"/>
        <w:autoSpaceDN w:val="0"/>
        <w:adjustRightInd w:val="0"/>
        <w:spacing w:after="0" w:line="240" w:lineRule="auto"/>
        <w:rPr>
          <w:lang w:val="en-GB"/>
        </w:rPr>
      </w:pPr>
    </w:p>
    <w:p w14:paraId="22A6334F" w14:textId="77777777" w:rsidR="007C0241" w:rsidRPr="00895FDC" w:rsidRDefault="007C0241" w:rsidP="007C0241">
      <w:pPr>
        <w:autoSpaceDE w:val="0"/>
        <w:autoSpaceDN w:val="0"/>
        <w:adjustRightInd w:val="0"/>
        <w:spacing w:after="0" w:line="240" w:lineRule="auto"/>
        <w:rPr>
          <w:lang w:val="en-GB"/>
        </w:rPr>
      </w:pPr>
    </w:p>
    <w:p w14:paraId="63972C14" w14:textId="77777777" w:rsidR="007C0241" w:rsidRPr="00895FDC" w:rsidRDefault="007C0241" w:rsidP="0086394B">
      <w:pPr>
        <w:rPr>
          <w:lang w:val="en-GB"/>
        </w:rPr>
      </w:pPr>
    </w:p>
    <w:p w14:paraId="6E8ED7F0" w14:textId="77777777" w:rsidR="007C0241" w:rsidRPr="00895FDC" w:rsidRDefault="007C0241" w:rsidP="0086394B">
      <w:pPr>
        <w:rPr>
          <w:lang w:val="en-GB"/>
        </w:rPr>
      </w:pPr>
    </w:p>
    <w:p w14:paraId="5EFD2631" w14:textId="77777777" w:rsidR="00895FDC" w:rsidRDefault="00895FDC" w:rsidP="0086394B">
      <w:pPr>
        <w:rPr>
          <w:lang w:val="en-GB"/>
        </w:rPr>
      </w:pPr>
    </w:p>
    <w:p w14:paraId="12835069" w14:textId="22277696" w:rsidR="0086394B" w:rsidRPr="00895FDC" w:rsidRDefault="0086394B" w:rsidP="0086394B">
      <w:pPr>
        <w:rPr>
          <w:lang w:val="en-GB"/>
        </w:rPr>
      </w:pPr>
      <w:r w:rsidRPr="00895FDC">
        <w:rPr>
          <w:lang w:val="en-GB"/>
        </w:rPr>
        <w:lastRenderedPageBreak/>
        <w:t>Faces task</w:t>
      </w:r>
    </w:p>
    <w:p w14:paraId="0AF8EEC5" w14:textId="5EBA4C08" w:rsidR="00CE519E" w:rsidRPr="00895FDC" w:rsidRDefault="00C04881" w:rsidP="00601FFB">
      <w:pPr>
        <w:autoSpaceDE w:val="0"/>
        <w:autoSpaceDN w:val="0"/>
        <w:adjustRightInd w:val="0"/>
        <w:spacing w:after="0" w:line="240" w:lineRule="auto"/>
        <w:rPr>
          <w:lang w:val="en-GB"/>
        </w:rPr>
      </w:pPr>
      <w:r w:rsidRPr="00895FDC">
        <w:rPr>
          <w:lang w:val="en-GB"/>
        </w:rPr>
        <w:t>P</w:t>
      </w:r>
      <w:r w:rsidR="0086394B" w:rsidRPr="00895FDC">
        <w:rPr>
          <w:lang w:val="en-GB"/>
        </w:rPr>
        <w:t>articipants were asked to choose one of two simultaneously presented faces and learn to identify which face was associated with a higher probability of reward</w:t>
      </w:r>
      <w:r w:rsidR="002442EF" w:rsidRPr="00895FDC">
        <w:rPr>
          <w:lang w:val="en-GB"/>
        </w:rPr>
        <w:t xml:space="preserve">. </w:t>
      </w:r>
      <w:r w:rsidR="00CE519E" w:rsidRPr="00895FDC">
        <w:rPr>
          <w:lang w:val="en-GB"/>
        </w:rPr>
        <w:t>They were given the following instructions: “On each trial in this task you will be presented with two faces. You will have to select one of the faces. Press the top button to select the top face, the bottom button to select the lower face. Your task is to try to figure out which face in each block has the highest probability of winning and pick that face as many times as possible. You will be told when the block switches, and at each switch the faces will be associated with new probabilities of winning.”</w:t>
      </w:r>
      <w:r w:rsidR="004D7526" w:rsidRPr="00895FDC">
        <w:rPr>
          <w:lang w:val="en-GB"/>
        </w:rPr>
        <w:t xml:space="preserve"> </w:t>
      </w:r>
      <w:r w:rsidR="004D7526" w:rsidRPr="00895FDC">
        <w:rPr>
          <w:lang w:val="en-GB"/>
        </w:rPr>
        <w:fldChar w:fldCharType="begin"/>
      </w:r>
      <w:r w:rsidR="00895FDC">
        <w:rPr>
          <w:lang w:val="en-GB"/>
        </w:rPr>
        <w:instrText xml:space="preserve"> ADDIN EN.CITE &lt;EndNote&gt;&lt;Cite&gt;&lt;Author&gt;Evans&lt;/Author&gt;&lt;Year&gt;2011&lt;/Year&gt;&lt;RecNum&gt;154&lt;/RecNum&gt;&lt;DisplayText&gt;(Evans, Fleming, Dolan, &amp;amp; Averbeck, 2011)&lt;/DisplayText&gt;&lt;record&gt;&lt;rec-number&gt;154&lt;/rec-number&gt;&lt;foreign-keys&gt;&lt;key app="EN" db-id="rwvw0srxmwteeqe5w0g5rzr89fs5rvawpesv" timestamp="1581436918"&gt;154&lt;/key&gt;&lt;/foreign-keys&gt;&lt;ref-type name="Journal Article"&gt;17&lt;/ref-type&gt;&lt;contributors&gt;&lt;authors&gt;&lt;author&gt;Evans, S&lt;/author&gt;&lt;author&gt;Fleming, Stephen M&lt;/author&gt;&lt;author&gt;Dolan, Raymond J&lt;/author&gt;&lt;author&gt;Averbeck, BB&lt;/author&gt;&lt;/authors&gt;&lt;/contributors&gt;&lt;titles&gt;&lt;title&gt;Effects of emotional preferences on value-based decision-making are mediated by mentalizing and not reward networks&lt;/title&gt;&lt;secondary-title&gt;Journal of cognitive neuroscience&lt;/secondary-title&gt;&lt;/titles&gt;&lt;periodical&gt;&lt;full-title&gt;Journal of cognitive neuroscience&lt;/full-title&gt;&lt;/periodical&gt;&lt;pages&gt;2197-2210&lt;/pages&gt;&lt;volume&gt;23&lt;/volume&gt;&lt;number&gt;9&lt;/number&gt;&lt;dates&gt;&lt;year&gt;2011&lt;/year&gt;&lt;/dates&gt;&lt;isbn&gt;0898-929X&lt;/isbn&gt;&lt;urls&gt;&lt;/urls&gt;&lt;/record&gt;&lt;/Cite&gt;&lt;/EndNote&gt;</w:instrText>
      </w:r>
      <w:r w:rsidR="004D7526" w:rsidRPr="00895FDC">
        <w:rPr>
          <w:lang w:val="en-GB"/>
        </w:rPr>
        <w:fldChar w:fldCharType="separate"/>
      </w:r>
      <w:r w:rsidR="00895FDC">
        <w:rPr>
          <w:noProof/>
          <w:lang w:val="en-GB"/>
        </w:rPr>
        <w:t>(Evans, Fleming, Dolan, &amp; Averbeck, 2011)</w:t>
      </w:r>
      <w:r w:rsidR="004D7526" w:rsidRPr="00895FDC">
        <w:rPr>
          <w:lang w:val="en-GB"/>
        </w:rPr>
        <w:fldChar w:fldCharType="end"/>
      </w:r>
      <w:r w:rsidR="004D7526" w:rsidRPr="00895FDC">
        <w:rPr>
          <w:lang w:val="en-GB"/>
        </w:rPr>
        <w:t>.</w:t>
      </w:r>
    </w:p>
    <w:p w14:paraId="0289BFF4" w14:textId="107B5AF5" w:rsidR="007A7732" w:rsidRPr="00895FDC" w:rsidRDefault="00CE519E" w:rsidP="00601FFB">
      <w:pPr>
        <w:spacing w:line="240" w:lineRule="auto"/>
        <w:rPr>
          <w:lang w:val="en-GB"/>
        </w:rPr>
      </w:pPr>
      <w:r w:rsidRPr="00895FDC">
        <w:rPr>
          <w:lang w:val="en-GB"/>
        </w:rPr>
        <w:t xml:space="preserve">The task consisted of </w:t>
      </w:r>
      <w:r w:rsidR="006F21B2" w:rsidRPr="00895FDC">
        <w:rPr>
          <w:lang w:val="en-GB"/>
        </w:rPr>
        <w:t xml:space="preserve">4 blocks with 30 trials each. </w:t>
      </w:r>
      <w:r w:rsidR="00D76852" w:rsidRPr="00895FDC">
        <w:rPr>
          <w:lang w:val="en-GB"/>
        </w:rPr>
        <w:t>In the</w:t>
      </w:r>
      <w:r w:rsidR="0086394B" w:rsidRPr="00895FDC">
        <w:rPr>
          <w:lang w:val="en-GB"/>
        </w:rPr>
        <w:t xml:space="preserve"> two ‘emotional’ blocks</w:t>
      </w:r>
      <w:r w:rsidR="006B128D" w:rsidRPr="00895FDC">
        <w:rPr>
          <w:lang w:val="en-GB"/>
        </w:rPr>
        <w:t xml:space="preserve"> (block 1 and 3)</w:t>
      </w:r>
      <w:r w:rsidR="006F21B2" w:rsidRPr="00895FDC">
        <w:rPr>
          <w:lang w:val="en-GB"/>
        </w:rPr>
        <w:t>,</w:t>
      </w:r>
      <w:r w:rsidR="0086394B" w:rsidRPr="00895FDC">
        <w:rPr>
          <w:lang w:val="en-GB"/>
        </w:rPr>
        <w:t xml:space="preserve"> participants chose between angry and happy facial expressions, and</w:t>
      </w:r>
      <w:r w:rsidR="00CE5BC4" w:rsidRPr="00895FDC">
        <w:rPr>
          <w:lang w:val="en-GB"/>
        </w:rPr>
        <w:t xml:space="preserve"> in</w:t>
      </w:r>
      <w:r w:rsidR="0086394B" w:rsidRPr="00895FDC">
        <w:rPr>
          <w:lang w:val="en-GB"/>
        </w:rPr>
        <w:t xml:space="preserve"> two ‘neutral’ blocks </w:t>
      </w:r>
      <w:r w:rsidR="00B2149C" w:rsidRPr="00895FDC">
        <w:rPr>
          <w:lang w:val="en-GB"/>
        </w:rPr>
        <w:t xml:space="preserve">(block 2 and 4) </w:t>
      </w:r>
      <w:r w:rsidR="0086394B" w:rsidRPr="00895FDC">
        <w:rPr>
          <w:lang w:val="en-GB"/>
        </w:rPr>
        <w:t>participants chose between two neutral faces of different identities (see Fig</w:t>
      </w:r>
      <w:r w:rsidR="00B2149C" w:rsidRPr="00895FDC">
        <w:rPr>
          <w:lang w:val="en-GB"/>
        </w:rPr>
        <w:t>ure</w:t>
      </w:r>
      <w:r w:rsidR="0086394B" w:rsidRPr="00895FDC">
        <w:rPr>
          <w:lang w:val="en-GB"/>
        </w:rPr>
        <w:t xml:space="preserve"> </w:t>
      </w:r>
      <w:r w:rsidR="00B2149C" w:rsidRPr="00895FDC">
        <w:rPr>
          <w:lang w:val="en-GB"/>
        </w:rPr>
        <w:t>S2</w:t>
      </w:r>
      <w:r w:rsidR="0086394B" w:rsidRPr="00895FDC">
        <w:rPr>
          <w:lang w:val="en-GB"/>
        </w:rPr>
        <w:t>). In each block, one face was associated with a higher probability of reward (60% vs. 40% contingency)</w:t>
      </w:r>
      <w:r w:rsidR="006F21B2" w:rsidRPr="00895FDC">
        <w:rPr>
          <w:lang w:val="en-GB"/>
        </w:rPr>
        <w:t>,</w:t>
      </w:r>
      <w:r w:rsidR="0086394B" w:rsidRPr="00895FDC">
        <w:rPr>
          <w:lang w:val="en-GB"/>
        </w:rPr>
        <w:t xml:space="preserve"> where every correct choice (referred to as ‘wins’) was rewarded with 10p and every incorrect choice (referred to as ‘losses’) resulted in reward omission.</w:t>
      </w:r>
      <w:r w:rsidR="007A7732" w:rsidRPr="00895FDC">
        <w:rPr>
          <w:lang w:val="en-GB"/>
        </w:rPr>
        <w:t xml:space="preserve"> The face stimuli and probabilities of winning were kept constant throughout each block</w:t>
      </w:r>
      <w:r w:rsidR="004D7526" w:rsidRPr="00895FDC">
        <w:rPr>
          <w:lang w:val="en-GB"/>
        </w:rPr>
        <w:t>.</w:t>
      </w:r>
    </w:p>
    <w:p w14:paraId="744A1896" w14:textId="698B0243" w:rsidR="006B128D" w:rsidRPr="00895FDC" w:rsidRDefault="006B128D" w:rsidP="00B2149C">
      <w:pPr>
        <w:autoSpaceDE w:val="0"/>
        <w:autoSpaceDN w:val="0"/>
        <w:adjustRightInd w:val="0"/>
        <w:spacing w:after="0" w:line="240" w:lineRule="auto"/>
        <w:rPr>
          <w:lang w:val="en-GB"/>
        </w:rPr>
      </w:pPr>
      <w:r w:rsidRPr="00895FDC">
        <w:rPr>
          <w:lang w:val="en-GB"/>
        </w:rPr>
        <w:t>Each trial began with a period of 1000 ms during which a</w:t>
      </w:r>
      <w:r w:rsidR="00B2149C" w:rsidRPr="00895FDC">
        <w:rPr>
          <w:lang w:val="en-GB"/>
        </w:rPr>
        <w:t xml:space="preserve"> </w:t>
      </w:r>
      <w:r w:rsidRPr="00895FDC">
        <w:rPr>
          <w:lang w:val="en-GB"/>
        </w:rPr>
        <w:t>white central fixation cross was presented against a dark background.</w:t>
      </w:r>
      <w:r w:rsidR="00B2149C" w:rsidRPr="00895FDC">
        <w:rPr>
          <w:lang w:val="en-GB"/>
        </w:rPr>
        <w:t xml:space="preserve"> </w:t>
      </w:r>
      <w:r w:rsidRPr="00895FDC">
        <w:rPr>
          <w:lang w:val="en-GB"/>
        </w:rPr>
        <w:t>This was followed by two faces being presented to the</w:t>
      </w:r>
      <w:r w:rsidR="00B2149C" w:rsidRPr="00895FDC">
        <w:rPr>
          <w:lang w:val="en-GB"/>
        </w:rPr>
        <w:t xml:space="preserve"> </w:t>
      </w:r>
      <w:r w:rsidRPr="00895FDC">
        <w:rPr>
          <w:lang w:val="en-GB"/>
        </w:rPr>
        <w:t>right and left of the fixation cross for 4500 ms. Within this time</w:t>
      </w:r>
      <w:r w:rsidR="00B2149C" w:rsidRPr="00895FDC">
        <w:rPr>
          <w:lang w:val="en-GB"/>
        </w:rPr>
        <w:t xml:space="preserve"> </w:t>
      </w:r>
      <w:r w:rsidRPr="00895FDC">
        <w:rPr>
          <w:lang w:val="en-GB"/>
        </w:rPr>
        <w:t>window, subjects were required to select one of the faces by pressing</w:t>
      </w:r>
      <w:r w:rsidR="00B2149C" w:rsidRPr="00895FDC">
        <w:rPr>
          <w:lang w:val="en-GB"/>
        </w:rPr>
        <w:t xml:space="preserve"> </w:t>
      </w:r>
      <w:r w:rsidRPr="00895FDC">
        <w:rPr>
          <w:lang w:val="en-GB"/>
        </w:rPr>
        <w:t>the corresponding button with their right hand. The selected</w:t>
      </w:r>
      <w:r w:rsidR="00B2149C" w:rsidRPr="00895FDC">
        <w:rPr>
          <w:lang w:val="en-GB"/>
        </w:rPr>
        <w:t xml:space="preserve"> </w:t>
      </w:r>
      <w:r w:rsidRPr="00895FDC">
        <w:rPr>
          <w:lang w:val="en-GB"/>
        </w:rPr>
        <w:t>face was highlighted by a yellow square surrounding it. Feedback</w:t>
      </w:r>
      <w:r w:rsidR="00B2149C" w:rsidRPr="00895FDC">
        <w:rPr>
          <w:lang w:val="en-GB"/>
        </w:rPr>
        <w:t xml:space="preserve"> </w:t>
      </w:r>
      <w:r w:rsidRPr="00895FDC">
        <w:rPr>
          <w:lang w:val="en-GB"/>
        </w:rPr>
        <w:t>was then presented on the screen for 1500 ms. The task had a</w:t>
      </w:r>
      <w:r w:rsidR="00B2149C" w:rsidRPr="00895FDC">
        <w:rPr>
          <w:lang w:val="en-GB"/>
        </w:rPr>
        <w:t xml:space="preserve"> </w:t>
      </w:r>
      <w:r w:rsidRPr="00895FDC">
        <w:rPr>
          <w:lang w:val="en-GB"/>
        </w:rPr>
        <w:t>total duration of approximately 15 min.</w:t>
      </w:r>
      <w:r w:rsidR="004D7526" w:rsidRPr="00895FDC">
        <w:rPr>
          <w:lang w:val="en-GB"/>
        </w:rPr>
        <w:t xml:space="preserve"> </w:t>
      </w:r>
      <w:r w:rsidR="004D7526" w:rsidRPr="00895FDC">
        <w:rPr>
          <w:lang w:val="en-GB"/>
        </w:rPr>
        <w:fldChar w:fldCharType="begin"/>
      </w:r>
      <w:r w:rsidR="00895FDC">
        <w:rPr>
          <w:lang w:val="en-GB"/>
        </w:rPr>
        <w:instrText xml:space="preserve"> ADDIN EN.CITE &lt;EndNote&gt;&lt;Cite&gt;&lt;Author&gt;Vanes&lt;/Author&gt;&lt;Year&gt;2018&lt;/Year&gt;&lt;RecNum&gt;77&lt;/RecNum&gt;&lt;DisplayText&gt;(Vanes, Mouchlianitis, Collier, Averbeck, &amp;amp; Shergill, 2018)&lt;/DisplayText&gt;&lt;record&gt;&lt;rec-number&gt;77&lt;/rec-number&gt;&lt;foreign-keys&gt;&lt;key app="EN" db-id="r5dw2zrppf502rer9f5va2rmt90v9xa9fxvp" timestamp="1664285324"&gt;77&lt;/key&gt;&lt;/foreign-keys&gt;&lt;ref-type name="Journal Article"&gt;17&lt;/ref-type&gt;&lt;contributors&gt;&lt;authors&gt;&lt;author&gt;Vanes, Lucy D&lt;/author&gt;&lt;author&gt;Mouchlianitis, Elias&lt;/author&gt;&lt;author&gt;Collier, Tracy&lt;/author&gt;&lt;author&gt;Averbeck, Bruno B&lt;/author&gt;&lt;author&gt;Shergill, Sukhi S&lt;/author&gt;&lt;/authors&gt;&lt;/contributors&gt;&lt;titles&gt;&lt;title&gt;Differential neural reward mechanisms in treatment-responsive and treatment-resistant schizophrenia&lt;/title&gt;&lt;secondary-title&gt;Psychological medicine&lt;/secondary-title&gt;&lt;/titles&gt;&lt;periodical&gt;&lt;full-title&gt;Psychological Medicine&lt;/full-title&gt;&lt;/periodical&gt;&lt;pages&gt;2418-2427&lt;/pages&gt;&lt;volume&gt;48&lt;/volume&gt;&lt;number&gt;14&lt;/number&gt;&lt;dates&gt;&lt;year&gt;2018&lt;/year&gt;&lt;/dates&gt;&lt;isbn&gt;0033-2917&lt;/isbn&gt;&lt;urls&gt;&lt;/urls&gt;&lt;/record&gt;&lt;/Cite&gt;&lt;/EndNote&gt;</w:instrText>
      </w:r>
      <w:r w:rsidR="004D7526" w:rsidRPr="00895FDC">
        <w:rPr>
          <w:lang w:val="en-GB"/>
        </w:rPr>
        <w:fldChar w:fldCharType="separate"/>
      </w:r>
      <w:r w:rsidR="00895FDC">
        <w:rPr>
          <w:noProof/>
          <w:lang w:val="en-GB"/>
        </w:rPr>
        <w:t>(Vanes, Mouchlianitis, Collier, Averbeck, &amp; Shergill, 2018)</w:t>
      </w:r>
      <w:r w:rsidR="004D7526" w:rsidRPr="00895FDC">
        <w:rPr>
          <w:lang w:val="en-GB"/>
        </w:rPr>
        <w:fldChar w:fldCharType="end"/>
      </w:r>
      <w:r w:rsidR="004D7526" w:rsidRPr="00895FDC">
        <w:rPr>
          <w:lang w:val="en-GB"/>
        </w:rPr>
        <w:t>.</w:t>
      </w:r>
    </w:p>
    <w:p w14:paraId="7BC93458" w14:textId="77777777" w:rsidR="00B2149C" w:rsidRPr="00895FDC" w:rsidRDefault="00B2149C" w:rsidP="00B2149C">
      <w:pPr>
        <w:autoSpaceDE w:val="0"/>
        <w:autoSpaceDN w:val="0"/>
        <w:adjustRightInd w:val="0"/>
        <w:spacing w:after="0" w:line="240" w:lineRule="auto"/>
        <w:rPr>
          <w:lang w:val="en-GB"/>
        </w:rPr>
      </w:pPr>
    </w:p>
    <w:p w14:paraId="0CFDEBB0" w14:textId="784EC3DD" w:rsidR="004D7526" w:rsidRPr="00895FDC" w:rsidRDefault="004D7526">
      <w:pPr>
        <w:rPr>
          <w:lang w:val="en-GB"/>
        </w:rPr>
      </w:pPr>
      <w:r w:rsidRPr="00895FDC">
        <w:rPr>
          <w:noProof/>
          <w:lang w:val="en-GB"/>
        </w:rPr>
        <w:drawing>
          <wp:anchor distT="0" distB="0" distL="114300" distR="114300" simplePos="0" relativeHeight="251659264" behindDoc="0" locked="0" layoutInCell="1" allowOverlap="1" wp14:anchorId="25C185CE" wp14:editId="30AF0D81">
            <wp:simplePos x="0" y="0"/>
            <wp:positionH relativeFrom="column">
              <wp:posOffset>0</wp:posOffset>
            </wp:positionH>
            <wp:positionV relativeFrom="paragraph">
              <wp:posOffset>0</wp:posOffset>
            </wp:positionV>
            <wp:extent cx="5731510" cy="2707640"/>
            <wp:effectExtent l="0" t="0" r="2540" b="0"/>
            <wp:wrapNone/>
            <wp:docPr id="4" name="Content Placeholder 3" descr="Graphical user interface&#10;&#10;Description automatically generated">
              <a:extLst xmlns:a="http://schemas.openxmlformats.org/drawingml/2006/main">
                <a:ext uri="{FF2B5EF4-FFF2-40B4-BE49-F238E27FC236}">
                  <a16:creationId xmlns:a16="http://schemas.microsoft.com/office/drawing/2014/main" id="{64827035-1F96-4EC2-AAE9-9593FA426905}"/>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Graphical user interface&#10;&#10;Description automatically generated">
                      <a:extLst>
                        <a:ext uri="{FF2B5EF4-FFF2-40B4-BE49-F238E27FC236}">
                          <a16:creationId xmlns:a16="http://schemas.microsoft.com/office/drawing/2014/main" id="{64827035-1F96-4EC2-AAE9-9593FA426905}"/>
                        </a:ext>
                      </a:extLst>
                    </pic:cNvPr>
                    <pic:cNvPicPr>
                      <a:picLocks noGrp="1"/>
                    </pic:cNvPicPr>
                  </pic:nvPicPr>
                  <pic:blipFill rotWithShape="1">
                    <a:blip r:embed="rId8" cstate="print">
                      <a:extLst>
                        <a:ext uri="{28A0092B-C50C-407E-A947-70E740481C1C}">
                          <a14:useLocalDpi xmlns:a14="http://schemas.microsoft.com/office/drawing/2010/main" val="0"/>
                        </a:ext>
                      </a:extLst>
                    </a:blip>
                    <a:srcRect b="68853"/>
                    <a:stretch/>
                  </pic:blipFill>
                  <pic:spPr bwMode="auto">
                    <a:xfrm>
                      <a:off x="0" y="0"/>
                      <a:ext cx="5731510" cy="2707640"/>
                    </a:xfrm>
                    <a:prstGeom prst="rect">
                      <a:avLst/>
                    </a:prstGeom>
                    <a:ln>
                      <a:noFill/>
                    </a:ln>
                    <a:extLst>
                      <a:ext uri="{53640926-AAD7-44D8-BBD7-CCE9431645EC}">
                        <a14:shadowObscured xmlns:a14="http://schemas.microsoft.com/office/drawing/2010/main"/>
                      </a:ext>
                    </a:extLst>
                  </pic:spPr>
                </pic:pic>
              </a:graphicData>
            </a:graphic>
          </wp:anchor>
        </w:drawing>
      </w:r>
    </w:p>
    <w:p w14:paraId="12C62B21" w14:textId="131D40AF" w:rsidR="004D7526" w:rsidRPr="00895FDC" w:rsidRDefault="004D7526">
      <w:pPr>
        <w:rPr>
          <w:lang w:val="en-GB"/>
        </w:rPr>
      </w:pPr>
    </w:p>
    <w:p w14:paraId="2FE93491" w14:textId="3D685FF0" w:rsidR="004D7526" w:rsidRPr="00895FDC" w:rsidRDefault="004D7526">
      <w:pPr>
        <w:rPr>
          <w:lang w:val="en-GB"/>
        </w:rPr>
      </w:pPr>
    </w:p>
    <w:p w14:paraId="2C90E3DD" w14:textId="18804843" w:rsidR="004D7526" w:rsidRPr="00895FDC" w:rsidRDefault="004D7526">
      <w:pPr>
        <w:rPr>
          <w:lang w:val="en-GB"/>
        </w:rPr>
      </w:pPr>
    </w:p>
    <w:p w14:paraId="1AF48997" w14:textId="6E8AB63C" w:rsidR="004D7526" w:rsidRPr="00895FDC" w:rsidRDefault="004D7526">
      <w:pPr>
        <w:rPr>
          <w:lang w:val="en-GB"/>
        </w:rPr>
      </w:pPr>
    </w:p>
    <w:p w14:paraId="22DB9D67" w14:textId="0CEA5DA8" w:rsidR="004D7526" w:rsidRPr="00895FDC" w:rsidRDefault="008B3AF7">
      <w:pPr>
        <w:rPr>
          <w:lang w:val="en-GB"/>
        </w:rPr>
      </w:pPr>
      <w:r w:rsidRPr="00895FDC">
        <w:rPr>
          <w:noProof/>
          <w:lang w:val="en-GB"/>
        </w:rPr>
        <mc:AlternateContent>
          <mc:Choice Requires="wps">
            <w:drawing>
              <wp:anchor distT="45720" distB="45720" distL="114300" distR="114300" simplePos="0" relativeHeight="251662336" behindDoc="0" locked="0" layoutInCell="1" allowOverlap="1" wp14:anchorId="1E0E8407" wp14:editId="08589EF0">
                <wp:simplePos x="0" y="0"/>
                <wp:positionH relativeFrom="column">
                  <wp:posOffset>4248150</wp:posOffset>
                </wp:positionH>
                <wp:positionV relativeFrom="paragraph">
                  <wp:posOffset>137795</wp:posOffset>
                </wp:positionV>
                <wp:extent cx="135509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047750"/>
                        </a:xfrm>
                        <a:prstGeom prst="rect">
                          <a:avLst/>
                        </a:prstGeom>
                        <a:noFill/>
                        <a:ln w="9525">
                          <a:noFill/>
                          <a:miter lim="800000"/>
                          <a:headEnd/>
                          <a:tailEnd/>
                        </a:ln>
                      </wps:spPr>
                      <wps:txbx>
                        <w:txbxContent>
                          <w:p w14:paraId="1CED5B92" w14:textId="39E58556" w:rsidR="008B3AF7" w:rsidRPr="008B3AF7" w:rsidRDefault="008B3AF7">
                            <w:pPr>
                              <w:rPr>
                                <w:lang w:val="en-US"/>
                              </w:rPr>
                            </w:pPr>
                            <w:r w:rsidRPr="008B3AF7">
                              <w:rPr>
                                <w:noProof/>
                              </w:rPr>
                              <w:drawing>
                                <wp:inline distT="0" distB="0" distL="0" distR="0" wp14:anchorId="5E7C5689" wp14:editId="5FC02A9B">
                                  <wp:extent cx="1163320" cy="8115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20" cy="8115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E8407" id="_x0000_t202" coordsize="21600,21600" o:spt="202" path="m,l,21600r21600,l21600,xe">
                <v:stroke joinstyle="miter"/>
                <v:path gradientshapeok="t" o:connecttype="rect"/>
              </v:shapetype>
              <v:shape id="Text Box 2" o:spid="_x0000_s1026" type="#_x0000_t202" style="position:absolute;margin-left:334.5pt;margin-top:10.85pt;width:106.7pt;height: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" filled="f" stroked="f">
                <v:textbox>
                  <w:txbxContent>
                    <w:p w14:paraId="1CED5B92" w14:textId="39E58556" w:rsidR="008B3AF7" w:rsidRPr="008B3AF7" w:rsidRDefault="008B3AF7">
                      <w:pPr>
                        <w:rPr>
                          <w:lang w:val="en-US"/>
                        </w:rPr>
                      </w:pPr>
                      <w:r w:rsidRPr="008B3AF7">
                        <w:rPr>
                          <w:noProof/>
                        </w:rPr>
                        <w:drawing>
                          <wp:inline distT="0" distB="0" distL="0" distR="0" wp14:anchorId="5E7C5689" wp14:editId="5FC02A9B">
                            <wp:extent cx="1163320" cy="8115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20" cy="811530"/>
                                    </a:xfrm>
                                    <a:prstGeom prst="rect">
                                      <a:avLst/>
                                    </a:prstGeom>
                                    <a:noFill/>
                                    <a:ln>
                                      <a:noFill/>
                                    </a:ln>
                                  </pic:spPr>
                                </pic:pic>
                              </a:graphicData>
                            </a:graphic>
                          </wp:inline>
                        </w:drawing>
                      </w:r>
                    </w:p>
                  </w:txbxContent>
                </v:textbox>
                <w10:wrap type="square"/>
              </v:shape>
            </w:pict>
          </mc:Fallback>
        </mc:AlternateContent>
      </w:r>
    </w:p>
    <w:p w14:paraId="47828E14" w14:textId="34611EE1" w:rsidR="004D7526" w:rsidRPr="00895FDC" w:rsidRDefault="004D7526">
      <w:pPr>
        <w:rPr>
          <w:lang w:val="en-GB"/>
        </w:rPr>
      </w:pPr>
    </w:p>
    <w:p w14:paraId="41CDEE19" w14:textId="1433FF30" w:rsidR="004D7526" w:rsidRPr="00895FDC" w:rsidRDefault="004D7526">
      <w:pPr>
        <w:rPr>
          <w:lang w:val="en-GB"/>
        </w:rPr>
      </w:pPr>
    </w:p>
    <w:p w14:paraId="29D1A091" w14:textId="6A09A321" w:rsidR="004D7526" w:rsidRPr="00895FDC" w:rsidRDefault="004D7526">
      <w:pPr>
        <w:rPr>
          <w:lang w:val="en-GB"/>
        </w:rPr>
      </w:pPr>
    </w:p>
    <w:p w14:paraId="0EC41BA2" w14:textId="1F106C44" w:rsidR="004D7526" w:rsidRPr="00895FDC" w:rsidRDefault="004D7526">
      <w:pPr>
        <w:rPr>
          <w:lang w:val="en-GB"/>
        </w:rPr>
      </w:pPr>
    </w:p>
    <w:p w14:paraId="40D124EE" w14:textId="1E7F70EB" w:rsidR="006B128D" w:rsidRPr="00895FDC" w:rsidRDefault="006B128D" w:rsidP="006B128D">
      <w:pPr>
        <w:spacing w:line="240" w:lineRule="auto"/>
        <w:jc w:val="both"/>
        <w:rPr>
          <w:sz w:val="20"/>
          <w:szCs w:val="20"/>
          <w:lang w:val="en-GB"/>
        </w:rPr>
      </w:pPr>
      <w:r w:rsidRPr="00895FDC">
        <w:rPr>
          <w:lang w:val="en-GB"/>
        </w:rPr>
        <w:t xml:space="preserve">Figure S2. </w:t>
      </w:r>
      <w:r w:rsidRPr="00895FDC">
        <w:rPr>
          <w:sz w:val="20"/>
          <w:szCs w:val="20"/>
          <w:lang w:val="en-GB"/>
        </w:rPr>
        <w:t>Graphical overview</w:t>
      </w:r>
      <w:r w:rsidRPr="00895FDC">
        <w:rPr>
          <w:lang w:val="en-GB"/>
        </w:rPr>
        <w:t xml:space="preserve"> </w:t>
      </w:r>
      <w:r w:rsidRPr="00895FDC">
        <w:rPr>
          <w:sz w:val="20"/>
          <w:szCs w:val="20"/>
          <w:lang w:val="en-GB"/>
        </w:rPr>
        <w:t xml:space="preserve">of the task sequence (emotional block) and duration. The chosen face was highlighted with a red box surrounding it. </w:t>
      </w:r>
      <w:r w:rsidR="00B2149C" w:rsidRPr="00895FDC">
        <w:rPr>
          <w:sz w:val="20"/>
          <w:szCs w:val="20"/>
          <w:lang w:val="en-GB"/>
        </w:rPr>
        <w:t>Division of blocks is represented, and an example of the faces in a neutral block is shown.</w:t>
      </w:r>
      <w:r w:rsidR="004D7526" w:rsidRPr="00895FDC">
        <w:rPr>
          <w:sz w:val="20"/>
          <w:szCs w:val="20"/>
          <w:lang w:val="en-GB"/>
        </w:rPr>
        <w:t xml:space="preserve"> Printed and adapted with permission of </w:t>
      </w:r>
      <w:r w:rsidR="004D7526" w:rsidRPr="00895FDC">
        <w:rPr>
          <w:sz w:val="20"/>
          <w:szCs w:val="20"/>
          <w:lang w:val="en-GB"/>
        </w:rPr>
        <w:fldChar w:fldCharType="begin"/>
      </w:r>
      <w:r w:rsidR="004D7526" w:rsidRPr="00895FDC">
        <w:rPr>
          <w:sz w:val="20"/>
          <w:szCs w:val="20"/>
          <w:lang w:val="en-GB"/>
        </w:rPr>
        <w:instrText xml:space="preserve"> ADDIN EN.CITE &lt;EndNote&gt;&lt;Cite AuthorYear="1"&gt;&lt;Author&gt;Horne&lt;/Author&gt;&lt;Year&gt;2021&lt;/Year&gt;&lt;RecNum&gt;934&lt;/RecNum&gt;&lt;DisplayText&gt;Horne et al. (2021)&lt;/DisplayText&gt;&lt;record&gt;&lt;rec-number&gt;934&lt;/rec-number&gt;&lt;foreign-keys&gt;&lt;key app="EN" db-id="rwvw0srxmwteeqe5w0g5rzr89fs5rvawpesv" timestamp="1637772104"&gt;934&lt;/key&gt;&lt;/foreign-keys&gt;&lt;ref-type name="Journal Article"&gt;17&lt;/ref-type&gt;&lt;contributors&gt;&lt;authors&gt;&lt;author&gt;Horne, Charlotte M&lt;/author&gt;&lt;author&gt;Vanes, Lucy D&lt;/author&gt;&lt;author&gt;Verneuil, Tess&lt;/author&gt;&lt;author&gt;Mouchlianitis, Elias&lt;/author&gt;&lt;author&gt;Szentgyorgyi, Timea&lt;/author&gt;&lt;author&gt;Averbeck, Bruno&lt;/author&gt;&lt;author&gt;Leech, Robert&lt;/author&gt;&lt;author&gt;Moran, Rosalyn J&lt;/author&gt;&lt;author&gt;Shergill, Sukhwinder S&lt;/author&gt;&lt;/authors&gt;&lt;/contributors&gt;&lt;titles&gt;&lt;title&gt;Cognitive control network connectivity differentially disrupted in treatment resistant schizophrenia&lt;/title&gt;&lt;secondary-title&gt;NeuroImage: Clinical&lt;/secondary-title&gt;&lt;/titles&gt;&lt;periodical&gt;&lt;full-title&gt;NeuroImage: Clinical&lt;/full-title&gt;&lt;/periodical&gt;&lt;pages&gt;102631&lt;/pages&gt;&lt;volume&gt;30&lt;/volume&gt;&lt;dates&gt;&lt;year&gt;2021&lt;/year&gt;&lt;/dates&gt;&lt;isbn&gt;2213-1582&lt;/isbn&gt;&lt;urls&gt;&lt;/urls&gt;&lt;/record&gt;&lt;/Cite&gt;&lt;/EndNote&gt;</w:instrText>
      </w:r>
      <w:r w:rsidR="004D7526" w:rsidRPr="00895FDC">
        <w:rPr>
          <w:sz w:val="20"/>
          <w:szCs w:val="20"/>
          <w:lang w:val="en-GB"/>
        </w:rPr>
        <w:fldChar w:fldCharType="separate"/>
      </w:r>
      <w:r w:rsidR="004D7526" w:rsidRPr="00895FDC">
        <w:rPr>
          <w:noProof/>
          <w:sz w:val="20"/>
          <w:szCs w:val="20"/>
          <w:lang w:val="en-GB"/>
        </w:rPr>
        <w:t>Horne et al. (2021)</w:t>
      </w:r>
      <w:r w:rsidR="004D7526" w:rsidRPr="00895FDC">
        <w:rPr>
          <w:sz w:val="20"/>
          <w:szCs w:val="20"/>
          <w:lang w:val="en-GB"/>
        </w:rPr>
        <w:fldChar w:fldCharType="end"/>
      </w:r>
      <w:r w:rsidR="004D7526" w:rsidRPr="00895FDC">
        <w:rPr>
          <w:sz w:val="20"/>
          <w:szCs w:val="20"/>
          <w:lang w:val="en-GB"/>
        </w:rPr>
        <w:t>.</w:t>
      </w:r>
    </w:p>
    <w:p w14:paraId="282FE2EE" w14:textId="263223D9" w:rsidR="00893E98" w:rsidRPr="00895FDC" w:rsidRDefault="00893E98" w:rsidP="00893E98">
      <w:pPr>
        <w:autoSpaceDE w:val="0"/>
        <w:autoSpaceDN w:val="0"/>
        <w:adjustRightInd w:val="0"/>
        <w:spacing w:after="0" w:line="240" w:lineRule="auto"/>
        <w:rPr>
          <w:lang w:val="en-GB"/>
        </w:rPr>
      </w:pPr>
    </w:p>
    <w:p w14:paraId="559864F9" w14:textId="6CAF49FF" w:rsidR="006B128D" w:rsidRPr="00895FDC" w:rsidRDefault="006B128D" w:rsidP="00893E98">
      <w:pPr>
        <w:autoSpaceDE w:val="0"/>
        <w:autoSpaceDN w:val="0"/>
        <w:adjustRightInd w:val="0"/>
        <w:spacing w:after="0" w:line="240" w:lineRule="auto"/>
        <w:rPr>
          <w:lang w:val="en-GB"/>
        </w:rPr>
      </w:pPr>
    </w:p>
    <w:p w14:paraId="564764D4" w14:textId="77777777" w:rsidR="003C39CF" w:rsidRPr="00895FDC" w:rsidRDefault="003C39CF">
      <w:pPr>
        <w:rPr>
          <w:lang w:val="en-GB"/>
        </w:rPr>
      </w:pPr>
      <w:r w:rsidRPr="00895FDC">
        <w:rPr>
          <w:lang w:val="en-GB"/>
        </w:rPr>
        <w:br w:type="page"/>
      </w:r>
    </w:p>
    <w:p w14:paraId="5DB7DEF8" w14:textId="6E82160A" w:rsidR="00B75D38" w:rsidRPr="00895FDC" w:rsidRDefault="00893E98" w:rsidP="00893E98">
      <w:pPr>
        <w:autoSpaceDE w:val="0"/>
        <w:autoSpaceDN w:val="0"/>
        <w:adjustRightInd w:val="0"/>
        <w:spacing w:after="0" w:line="240" w:lineRule="auto"/>
        <w:rPr>
          <w:lang w:val="en-GB"/>
        </w:rPr>
      </w:pPr>
      <w:r w:rsidRPr="00895FDC">
        <w:rPr>
          <w:lang w:val="en-GB"/>
        </w:rPr>
        <w:lastRenderedPageBreak/>
        <w:t>Stroop Vanes 2019 Supplement</w:t>
      </w:r>
    </w:p>
    <w:p w14:paraId="0F94717A" w14:textId="77777777" w:rsidR="003C39CF" w:rsidRPr="00895FDC" w:rsidRDefault="003C39CF" w:rsidP="00893E98">
      <w:pPr>
        <w:autoSpaceDE w:val="0"/>
        <w:autoSpaceDN w:val="0"/>
        <w:adjustRightInd w:val="0"/>
        <w:spacing w:after="0" w:line="240" w:lineRule="auto"/>
        <w:rPr>
          <w:lang w:val="en-GB"/>
        </w:rPr>
      </w:pPr>
    </w:p>
    <w:p w14:paraId="6EC3C9C2" w14:textId="5C8E8956" w:rsidR="007C0241" w:rsidRPr="00895FDC" w:rsidRDefault="00F1481A" w:rsidP="00893E98">
      <w:pPr>
        <w:autoSpaceDE w:val="0"/>
        <w:autoSpaceDN w:val="0"/>
        <w:adjustRightInd w:val="0"/>
        <w:spacing w:after="0" w:line="240" w:lineRule="auto"/>
        <w:rPr>
          <w:lang w:val="en-GB"/>
        </w:rPr>
      </w:pPr>
      <w:r w:rsidRPr="00895FDC">
        <w:rPr>
          <w:lang w:val="en-GB"/>
        </w:rPr>
        <w:t xml:space="preserve">Participants </w:t>
      </w:r>
      <w:r w:rsidR="00893E98" w:rsidRPr="00895FDC">
        <w:rPr>
          <w:lang w:val="en-GB"/>
        </w:rPr>
        <w:t>performed a verbal Stroop paradigm. On each trial, a single colour word was presented on the screen (“BLUE”, “RED”, “GREEN”, or “YELLOW”) against a black background. The word was printed in one of four possible font colours (blue, red, green, or yellow). Word meaning and font colour were either congruent or incongruent</w:t>
      </w:r>
      <w:r w:rsidR="00C11CE3" w:rsidRPr="00895FDC">
        <w:rPr>
          <w:lang w:val="en-GB"/>
        </w:rPr>
        <w:t xml:space="preserve"> (see Figure S3)</w:t>
      </w:r>
      <w:r w:rsidR="00893E98" w:rsidRPr="00895FDC">
        <w:rPr>
          <w:lang w:val="en-GB"/>
        </w:rPr>
        <w:t xml:space="preserve">, and subjects were instructed to respond verbally to the font colour and to ignore the word meaning. In addition, on fixation trials, a central white fixation cross was presented in the </w:t>
      </w:r>
      <w:r w:rsidR="00895FDC" w:rsidRPr="00895FDC">
        <w:rPr>
          <w:lang w:val="en-GB"/>
        </w:rPr>
        <w:t>centre</w:t>
      </w:r>
      <w:r w:rsidR="00893E98" w:rsidRPr="00895FDC">
        <w:rPr>
          <w:lang w:val="en-GB"/>
        </w:rPr>
        <w:t xml:space="preserve"> of the screen and no response was required. Thirty-three congruent, 33 incongruent, and 34 fixation trials were presented in randomised order, each with a duration of 700ms and inter-stimulus-interval of 2300ms. Responses were recorded via a microphone to assess reaction times. Only responses between 200 and 2700 ms after stimulus presentation were recorded</w:t>
      </w:r>
      <w:r w:rsidR="008B3AF7" w:rsidRPr="00895FDC">
        <w:rPr>
          <w:lang w:val="en-GB"/>
        </w:rPr>
        <w:t xml:space="preserve"> </w:t>
      </w:r>
      <w:r w:rsidR="008B3AF7" w:rsidRPr="00895FDC">
        <w:rPr>
          <w:lang w:val="en-GB"/>
        </w:rPr>
        <w:fldChar w:fldCharType="begin"/>
      </w:r>
      <w:r w:rsidR="008B3AF7" w:rsidRPr="00895FDC">
        <w:rPr>
          <w:lang w:val="en-GB"/>
        </w:rPr>
        <w:instrText xml:space="preserve"> ADDIN EN.CITE &lt;EndNote&gt;&lt;Cite&gt;&lt;Author&gt;Vanes&lt;/Author&gt;&lt;Year&gt;2019&lt;/Year&gt;&lt;RecNum&gt;854&lt;/RecNum&gt;&lt;DisplayText&gt;(Vanes et al., 2019)&lt;/DisplayText&gt;&lt;record&gt;&lt;rec-number&gt;854&lt;/rec-number&gt;&lt;foreign-keys&gt;&lt;key app="EN" db-id="rwvw0srxmwteeqe5w0g5rzr89fs5rvawpesv" timestamp="1628499946"&gt;854&lt;/key&gt;&lt;/foreign-keys&gt;&lt;ref-type name="Journal Article"&gt;17&lt;/ref-type&gt;&lt;contributors&gt;&lt;authors&gt;&lt;author&gt;Vanes, Lucy D&lt;/author&gt;&lt;author&gt;Mouchlianitis, Elias&lt;/author&gt;&lt;author&gt;Patel, Krisna&lt;/author&gt;&lt;author&gt;Barry, Erica&lt;/author&gt;&lt;author&gt;Wong, Katie&lt;/author&gt;&lt;author&gt;Thomas, Megan&lt;/author&gt;&lt;author&gt;Szentgyorgyi, Timea&lt;/author&gt;&lt;author&gt;Joyce, Dan&lt;/author&gt;&lt;author&gt;Shergill, Sukhwinder&lt;/author&gt;&lt;/authors&gt;&lt;/contributors&gt;&lt;titles&gt;&lt;title&gt;Neural correlates of positive and negative symptoms through the illness course: an fMRI study in early psychosis and chronic schizophrenia&lt;/title&gt;&lt;secondary-title&gt;Scientific reports&lt;/secondary-title&gt;&lt;/titles&gt;&lt;periodical&gt;&lt;full-title&gt;Scientific reports&lt;/full-title&gt;&lt;/periodical&gt;&lt;pages&gt;1-10&lt;/pages&gt;&lt;volume&gt;9&lt;/volume&gt;&lt;number&gt;1&lt;/number&gt;&lt;dates&gt;&lt;year&gt;2019&lt;/year&gt;&lt;/dates&gt;&lt;isbn&gt;2045-2322&lt;/isbn&gt;&lt;urls&gt;&lt;/urls&gt;&lt;/record&gt;&lt;/Cite&gt;&lt;/EndNote&gt;</w:instrText>
      </w:r>
      <w:r w:rsidR="008B3AF7" w:rsidRPr="00895FDC">
        <w:rPr>
          <w:lang w:val="en-GB"/>
        </w:rPr>
        <w:fldChar w:fldCharType="separate"/>
      </w:r>
      <w:r w:rsidR="008B3AF7" w:rsidRPr="00895FDC">
        <w:rPr>
          <w:noProof/>
          <w:lang w:val="en-GB"/>
        </w:rPr>
        <w:t>(Vanes et al., 2019)</w:t>
      </w:r>
      <w:r w:rsidR="008B3AF7" w:rsidRPr="00895FDC">
        <w:rPr>
          <w:lang w:val="en-GB"/>
        </w:rPr>
        <w:fldChar w:fldCharType="end"/>
      </w:r>
      <w:r w:rsidR="00893E98" w:rsidRPr="00895FDC">
        <w:rPr>
          <w:lang w:val="en-GB"/>
        </w:rPr>
        <w:t>.</w:t>
      </w:r>
    </w:p>
    <w:p w14:paraId="2F50C161" w14:textId="77777777" w:rsidR="007C0241" w:rsidRPr="00895FDC" w:rsidRDefault="007C0241" w:rsidP="00893E98">
      <w:pPr>
        <w:autoSpaceDE w:val="0"/>
        <w:autoSpaceDN w:val="0"/>
        <w:adjustRightInd w:val="0"/>
        <w:spacing w:after="0" w:line="240" w:lineRule="auto"/>
        <w:rPr>
          <w:lang w:val="en-GB"/>
        </w:rPr>
      </w:pPr>
    </w:p>
    <w:p w14:paraId="5F878289" w14:textId="77777777" w:rsidR="0094308A" w:rsidRPr="00895FDC" w:rsidRDefault="0094308A">
      <w:pPr>
        <w:rPr>
          <w:lang w:val="en-GB"/>
        </w:rPr>
      </w:pPr>
      <w:r w:rsidRPr="00895FDC">
        <w:rPr>
          <w:noProof/>
          <w:lang w:val="en-GB"/>
        </w:rPr>
        <w:drawing>
          <wp:inline distT="0" distB="0" distL="0" distR="0" wp14:anchorId="7FC45860" wp14:editId="38331A7F">
            <wp:extent cx="4457700" cy="2507395"/>
            <wp:effectExtent l="0" t="0" r="0" b="7620"/>
            <wp:docPr id="5" name="Picture 5"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 scree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4379" cy="2516777"/>
                    </a:xfrm>
                    <a:prstGeom prst="rect">
                      <a:avLst/>
                    </a:prstGeom>
                  </pic:spPr>
                </pic:pic>
              </a:graphicData>
            </a:graphic>
          </wp:inline>
        </w:drawing>
      </w:r>
    </w:p>
    <w:p w14:paraId="76CFACE8" w14:textId="77777777" w:rsidR="0094308A" w:rsidRPr="00895FDC" w:rsidRDefault="0094308A">
      <w:pPr>
        <w:rPr>
          <w:lang w:val="en-GB"/>
        </w:rPr>
      </w:pPr>
    </w:p>
    <w:p w14:paraId="51FCA2E7" w14:textId="77777777" w:rsidR="00041E73" w:rsidRPr="00895FDC" w:rsidRDefault="0094308A">
      <w:pPr>
        <w:rPr>
          <w:sz w:val="20"/>
          <w:szCs w:val="20"/>
          <w:lang w:val="en-GB"/>
        </w:rPr>
      </w:pPr>
      <w:r w:rsidRPr="00895FDC">
        <w:rPr>
          <w:lang w:val="en-GB"/>
        </w:rPr>
        <w:t xml:space="preserve">Figure S3. </w:t>
      </w:r>
      <w:r w:rsidRPr="00895FDC">
        <w:rPr>
          <w:sz w:val="20"/>
          <w:szCs w:val="20"/>
          <w:lang w:val="en-GB"/>
        </w:rPr>
        <w:t>Graphical representation of the Stroop task, showing congruent trials on the left, where the font colour matches the word meaning; and incongruent trials on the right, where colour and meaning do not match, and participants have to respond to the font colour and ignore the word meaning.</w:t>
      </w:r>
    </w:p>
    <w:p w14:paraId="49F89AC6" w14:textId="77777777" w:rsidR="00041E73" w:rsidRPr="00895FDC" w:rsidRDefault="00041E73">
      <w:pPr>
        <w:rPr>
          <w:sz w:val="20"/>
          <w:szCs w:val="20"/>
          <w:lang w:val="en-GB"/>
        </w:rPr>
      </w:pPr>
    </w:p>
    <w:p w14:paraId="7D68495A" w14:textId="77777777" w:rsidR="00895FDC" w:rsidRDefault="00895FDC">
      <w:pPr>
        <w:rPr>
          <w:highlight w:val="yellow"/>
          <w:lang w:val="en-GB"/>
        </w:rPr>
      </w:pPr>
    </w:p>
    <w:p w14:paraId="4EDCDC37" w14:textId="77777777" w:rsidR="00895FDC" w:rsidRDefault="00895FDC">
      <w:pPr>
        <w:rPr>
          <w:highlight w:val="yellow"/>
          <w:lang w:val="en-GB"/>
        </w:rPr>
      </w:pPr>
    </w:p>
    <w:p w14:paraId="2FE0CECD" w14:textId="77777777" w:rsidR="00895FDC" w:rsidRDefault="00895FDC">
      <w:pPr>
        <w:rPr>
          <w:highlight w:val="yellow"/>
          <w:lang w:val="en-GB"/>
        </w:rPr>
      </w:pPr>
    </w:p>
    <w:p w14:paraId="3036D902" w14:textId="77777777" w:rsidR="00895FDC" w:rsidRDefault="00895FDC">
      <w:pPr>
        <w:rPr>
          <w:highlight w:val="yellow"/>
          <w:lang w:val="en-GB"/>
        </w:rPr>
      </w:pPr>
    </w:p>
    <w:p w14:paraId="1FB0BF6F" w14:textId="77777777" w:rsidR="00895FDC" w:rsidRDefault="00895FDC">
      <w:pPr>
        <w:rPr>
          <w:highlight w:val="yellow"/>
          <w:lang w:val="en-GB"/>
        </w:rPr>
      </w:pPr>
    </w:p>
    <w:p w14:paraId="2EFE04DD" w14:textId="77777777" w:rsidR="00895FDC" w:rsidRDefault="00895FDC">
      <w:pPr>
        <w:rPr>
          <w:highlight w:val="yellow"/>
          <w:lang w:val="en-GB"/>
        </w:rPr>
      </w:pPr>
    </w:p>
    <w:p w14:paraId="33A16B59" w14:textId="77777777" w:rsidR="00895FDC" w:rsidRDefault="00895FDC">
      <w:pPr>
        <w:rPr>
          <w:highlight w:val="yellow"/>
          <w:lang w:val="en-GB"/>
        </w:rPr>
      </w:pPr>
    </w:p>
    <w:p w14:paraId="5EEC19C1" w14:textId="77777777" w:rsidR="00895FDC" w:rsidRDefault="00895FDC">
      <w:pPr>
        <w:rPr>
          <w:highlight w:val="yellow"/>
          <w:lang w:val="en-GB"/>
        </w:rPr>
      </w:pPr>
    </w:p>
    <w:p w14:paraId="2A5969D7" w14:textId="77777777" w:rsidR="00895FDC" w:rsidRDefault="00895FDC">
      <w:pPr>
        <w:rPr>
          <w:highlight w:val="yellow"/>
          <w:lang w:val="en-GB"/>
        </w:rPr>
      </w:pPr>
    </w:p>
    <w:p w14:paraId="40B582CA" w14:textId="77777777" w:rsidR="00895FDC" w:rsidRDefault="00895FDC">
      <w:pPr>
        <w:rPr>
          <w:highlight w:val="yellow"/>
          <w:lang w:val="en-GB"/>
        </w:rPr>
      </w:pPr>
    </w:p>
    <w:p w14:paraId="03915276" w14:textId="433E1B99" w:rsidR="001A27CE" w:rsidRPr="00F44349" w:rsidRDefault="001A27CE">
      <w:pPr>
        <w:rPr>
          <w:lang w:val="en-GB"/>
        </w:rPr>
      </w:pPr>
      <w:r w:rsidRPr="00F44349">
        <w:rPr>
          <w:lang w:val="en-GB"/>
        </w:rPr>
        <w:lastRenderedPageBreak/>
        <w:t>SEM analyses</w:t>
      </w:r>
    </w:p>
    <w:p w14:paraId="69F8EA68" w14:textId="16EF0598" w:rsidR="001A27CE" w:rsidRPr="00895FDC" w:rsidRDefault="001A27CE" w:rsidP="001A27CE">
      <w:pPr>
        <w:spacing w:line="276" w:lineRule="auto"/>
        <w:rPr>
          <w:rFonts w:cstheme="minorHAnsi"/>
          <w:lang w:val="en-GB"/>
        </w:rPr>
      </w:pPr>
      <w:r w:rsidRPr="00F44349">
        <w:rPr>
          <w:rFonts w:cstheme="minorHAnsi"/>
          <w:lang w:val="en-GB"/>
        </w:rPr>
        <w:t xml:space="preserve">To investigate the associations between tasks, a structural equation model analysis (SEM) was performed, including Stroop accuracy and reaction time (level 1), </w:t>
      </w:r>
      <w:r w:rsidR="00C11CE3" w:rsidRPr="00F44349">
        <w:rPr>
          <w:rFonts w:cstheme="minorHAnsi"/>
          <w:lang w:val="en-GB"/>
        </w:rPr>
        <w:t xml:space="preserve">faces task </w:t>
      </w:r>
      <w:r w:rsidRPr="00F44349">
        <w:rPr>
          <w:rFonts w:cstheme="minorHAnsi"/>
          <w:lang w:val="en-GB"/>
        </w:rPr>
        <w:t xml:space="preserve">proportion ideal choices and emotion bias (level 2) and </w:t>
      </w:r>
      <w:r w:rsidR="00C11CE3" w:rsidRPr="00F44349">
        <w:rPr>
          <w:rFonts w:cstheme="minorHAnsi"/>
          <w:lang w:val="en-GB"/>
        </w:rPr>
        <w:t xml:space="preserve">trust game </w:t>
      </w:r>
      <w:r w:rsidRPr="00F44349">
        <w:rPr>
          <w:rFonts w:cstheme="minorHAnsi"/>
          <w:lang w:val="en-GB"/>
        </w:rPr>
        <w:t>mean trust and slope (level 3)</w:t>
      </w:r>
      <w:r w:rsidR="00C11CE3" w:rsidRPr="00F44349">
        <w:rPr>
          <w:rFonts w:cstheme="minorHAnsi"/>
          <w:lang w:val="en-GB"/>
        </w:rPr>
        <w:t xml:space="preserve"> (see Figure S4)</w:t>
      </w:r>
      <w:r w:rsidRPr="00F44349">
        <w:rPr>
          <w:rFonts w:cstheme="minorHAnsi"/>
          <w:lang w:val="en-GB"/>
        </w:rPr>
        <w:t>.</w:t>
      </w:r>
      <w:r w:rsidRPr="00895FDC">
        <w:rPr>
          <w:rFonts w:cstheme="minorHAnsi"/>
          <w:lang w:val="en-GB"/>
        </w:rPr>
        <w:t xml:space="preserve"> </w:t>
      </w:r>
    </w:p>
    <w:p w14:paraId="4A22830D" w14:textId="18A55C7E" w:rsidR="00C11CE3" w:rsidRPr="00895FDC" w:rsidRDefault="00503CA9" w:rsidP="001A27CE">
      <w:pPr>
        <w:spacing w:line="276" w:lineRule="auto"/>
        <w:rPr>
          <w:rFonts w:cstheme="minorHAnsi"/>
          <w:lang w:val="en-GB"/>
        </w:rPr>
      </w:pPr>
      <w:r w:rsidRPr="00895FDC">
        <w:rPr>
          <w:rFonts w:cstheme="minorHAnsi"/>
          <w:noProof/>
          <w:lang w:val="en-GB"/>
        </w:rPr>
        <w:drawing>
          <wp:inline distT="0" distB="0" distL="0" distR="0" wp14:anchorId="1ADA1E53" wp14:editId="5090B9D2">
            <wp:extent cx="5731510" cy="3223895"/>
            <wp:effectExtent l="0" t="0" r="2540" b="0"/>
            <wp:docPr id="358408628"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08628" name="Picture 1" descr="A diagram of a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35AF3BE1" w14:textId="4EF6869F" w:rsidR="000460C2" w:rsidRPr="00895FDC" w:rsidRDefault="000460C2" w:rsidP="000460C2">
      <w:pPr>
        <w:spacing w:line="276" w:lineRule="auto"/>
        <w:rPr>
          <w:rFonts w:cstheme="minorHAnsi"/>
          <w:sz w:val="20"/>
          <w:szCs w:val="20"/>
          <w:lang w:val="en-GB"/>
        </w:rPr>
      </w:pPr>
      <w:r w:rsidRPr="00F44349">
        <w:rPr>
          <w:rFonts w:cstheme="minorHAnsi"/>
          <w:lang w:val="en-GB"/>
        </w:rPr>
        <w:t xml:space="preserve">Figure S4. </w:t>
      </w:r>
      <w:r w:rsidRPr="00F44349">
        <w:rPr>
          <w:rFonts w:cstheme="minorHAnsi"/>
          <w:sz w:val="20"/>
          <w:szCs w:val="20"/>
          <w:lang w:val="en-GB"/>
        </w:rPr>
        <w:t>Graphical representation of the SEM model. Dashed lines show the significant associations for healthy controls, dotted lines for the FEP group. In SZ, no significant associations were found.</w:t>
      </w:r>
    </w:p>
    <w:p w14:paraId="2B0C677E" w14:textId="77777777" w:rsidR="001A27CE" w:rsidRPr="00895FDC" w:rsidRDefault="001A27CE">
      <w:pPr>
        <w:rPr>
          <w:lang w:val="en-GB"/>
        </w:rPr>
      </w:pPr>
    </w:p>
    <w:p w14:paraId="74466E94" w14:textId="77777777" w:rsidR="001A27CE" w:rsidRPr="00895FDC" w:rsidRDefault="001A27CE">
      <w:pPr>
        <w:rPr>
          <w:sz w:val="20"/>
          <w:szCs w:val="20"/>
          <w:lang w:val="en-GB"/>
        </w:rPr>
      </w:pPr>
    </w:p>
    <w:p w14:paraId="292EA376" w14:textId="77777777" w:rsidR="001A27CE" w:rsidRPr="00895FDC" w:rsidRDefault="001A27CE">
      <w:pPr>
        <w:rPr>
          <w:sz w:val="20"/>
          <w:szCs w:val="20"/>
          <w:lang w:val="en-GB"/>
        </w:rPr>
      </w:pPr>
    </w:p>
    <w:p w14:paraId="38FF2F67" w14:textId="2ABB3A3C" w:rsidR="00041E73" w:rsidRPr="00895FDC" w:rsidRDefault="00041E73" w:rsidP="00041E73">
      <w:pPr>
        <w:rPr>
          <w:rFonts w:cstheme="minorHAnsi"/>
          <w:lang w:val="en-GB"/>
        </w:rPr>
      </w:pPr>
      <w:r w:rsidRPr="00895FDC">
        <w:rPr>
          <w:rFonts w:cstheme="minorHAnsi"/>
          <w:lang w:val="en-GB"/>
        </w:rPr>
        <w:t>Table S</w:t>
      </w:r>
      <w:r w:rsidR="00FA1ABA" w:rsidRPr="00895FDC">
        <w:rPr>
          <w:rFonts w:cstheme="minorHAnsi"/>
          <w:lang w:val="en-GB"/>
        </w:rPr>
        <w:t>3</w:t>
      </w:r>
      <w:r w:rsidRPr="00895FDC">
        <w:rPr>
          <w:rFonts w:cstheme="minorHAnsi"/>
          <w:lang w:val="en-GB"/>
        </w:rPr>
        <w:t xml:space="preserve">: Group means of principal components </w:t>
      </w:r>
    </w:p>
    <w:tbl>
      <w:tblPr>
        <w:tblW w:w="7826" w:type="dxa"/>
        <w:tblInd w:w="-15" w:type="dxa"/>
        <w:tblCellMar>
          <w:left w:w="70" w:type="dxa"/>
          <w:right w:w="70" w:type="dxa"/>
        </w:tblCellMar>
        <w:tblLook w:val="04A0" w:firstRow="1" w:lastRow="0" w:firstColumn="1" w:lastColumn="0" w:noHBand="0" w:noVBand="1"/>
      </w:tblPr>
      <w:tblGrid>
        <w:gridCol w:w="960"/>
        <w:gridCol w:w="977"/>
        <w:gridCol w:w="977"/>
        <w:gridCol w:w="977"/>
        <w:gridCol w:w="960"/>
        <w:gridCol w:w="960"/>
        <w:gridCol w:w="1055"/>
        <w:gridCol w:w="960"/>
      </w:tblGrid>
      <w:tr w:rsidR="00041E73" w:rsidRPr="00895FDC" w14:paraId="1C6AFE29" w14:textId="77777777" w:rsidTr="000035E8">
        <w:trPr>
          <w:trHeight w:val="600"/>
        </w:trPr>
        <w:tc>
          <w:tcPr>
            <w:tcW w:w="960" w:type="dxa"/>
            <w:tcBorders>
              <w:top w:val="single" w:sz="4" w:space="0" w:color="auto"/>
              <w:left w:val="nil"/>
              <w:bottom w:val="single" w:sz="4" w:space="0" w:color="auto"/>
              <w:right w:val="nil"/>
            </w:tcBorders>
            <w:shd w:val="clear" w:color="auto" w:fill="auto"/>
            <w:noWrap/>
            <w:vAlign w:val="bottom"/>
            <w:hideMark/>
          </w:tcPr>
          <w:p w14:paraId="30CA4A5A" w14:textId="77777777" w:rsidR="00041E73" w:rsidRPr="00895FDC" w:rsidRDefault="00041E73" w:rsidP="000035E8">
            <w:pPr>
              <w:rPr>
                <w:rFonts w:cstheme="minorHAnsi"/>
                <w:lang w:val="en-GB"/>
              </w:rPr>
            </w:pPr>
          </w:p>
        </w:tc>
        <w:tc>
          <w:tcPr>
            <w:tcW w:w="977" w:type="dxa"/>
            <w:tcBorders>
              <w:top w:val="single" w:sz="4" w:space="0" w:color="auto"/>
              <w:left w:val="nil"/>
              <w:bottom w:val="single" w:sz="4" w:space="0" w:color="auto"/>
              <w:right w:val="nil"/>
            </w:tcBorders>
            <w:shd w:val="clear" w:color="auto" w:fill="auto"/>
            <w:noWrap/>
            <w:vAlign w:val="bottom"/>
            <w:hideMark/>
          </w:tcPr>
          <w:p w14:paraId="5B93208E" w14:textId="77777777" w:rsidR="00041E73" w:rsidRPr="00895FDC" w:rsidRDefault="00041E73" w:rsidP="000035E8">
            <w:pPr>
              <w:jc w:val="center"/>
              <w:rPr>
                <w:rFonts w:cstheme="minorHAnsi"/>
                <w:color w:val="000000"/>
                <w:lang w:val="en-GB"/>
              </w:rPr>
            </w:pPr>
            <w:r w:rsidRPr="00895FDC">
              <w:rPr>
                <w:rFonts w:cstheme="minorHAnsi"/>
                <w:color w:val="000000"/>
                <w:lang w:val="en-GB"/>
              </w:rPr>
              <w:t>HC</w:t>
            </w:r>
          </w:p>
          <w:p w14:paraId="3654DAD4" w14:textId="77777777" w:rsidR="00041E73" w:rsidRPr="00895FDC" w:rsidRDefault="00041E73" w:rsidP="000035E8">
            <w:pPr>
              <w:jc w:val="center"/>
              <w:rPr>
                <w:rFonts w:cstheme="minorHAnsi"/>
                <w:color w:val="000000"/>
                <w:lang w:val="en-GB"/>
              </w:rPr>
            </w:pPr>
            <w:r w:rsidRPr="00895FDC">
              <w:rPr>
                <w:rFonts w:cstheme="minorHAnsi"/>
                <w:color w:val="000000"/>
                <w:lang w:val="en-GB"/>
              </w:rPr>
              <w:t>N = 38</w:t>
            </w:r>
          </w:p>
        </w:tc>
        <w:tc>
          <w:tcPr>
            <w:tcW w:w="977" w:type="dxa"/>
            <w:tcBorders>
              <w:top w:val="single" w:sz="4" w:space="0" w:color="auto"/>
              <w:left w:val="nil"/>
              <w:bottom w:val="single" w:sz="4" w:space="0" w:color="auto"/>
              <w:right w:val="nil"/>
            </w:tcBorders>
            <w:shd w:val="clear" w:color="auto" w:fill="auto"/>
            <w:noWrap/>
            <w:vAlign w:val="bottom"/>
            <w:hideMark/>
          </w:tcPr>
          <w:p w14:paraId="705BB86D" w14:textId="77777777" w:rsidR="00041E73" w:rsidRPr="00895FDC" w:rsidRDefault="00041E73" w:rsidP="000035E8">
            <w:pPr>
              <w:jc w:val="center"/>
              <w:rPr>
                <w:rFonts w:cstheme="minorHAnsi"/>
                <w:color w:val="000000"/>
                <w:lang w:val="en-GB"/>
              </w:rPr>
            </w:pPr>
            <w:r w:rsidRPr="00895FDC">
              <w:rPr>
                <w:rFonts w:cstheme="minorHAnsi"/>
                <w:color w:val="000000"/>
                <w:lang w:val="en-GB"/>
              </w:rPr>
              <w:t>FEP</w:t>
            </w:r>
          </w:p>
          <w:p w14:paraId="09BF1D65" w14:textId="77777777" w:rsidR="00041E73" w:rsidRPr="00895FDC" w:rsidRDefault="00041E73" w:rsidP="000035E8">
            <w:pPr>
              <w:jc w:val="center"/>
              <w:rPr>
                <w:rFonts w:cstheme="minorHAnsi"/>
                <w:color w:val="000000"/>
                <w:lang w:val="en-GB"/>
              </w:rPr>
            </w:pPr>
            <w:r w:rsidRPr="00895FDC">
              <w:rPr>
                <w:rFonts w:cstheme="minorHAnsi"/>
                <w:color w:val="000000"/>
                <w:lang w:val="en-GB"/>
              </w:rPr>
              <w:t>N = 99</w:t>
            </w:r>
          </w:p>
        </w:tc>
        <w:tc>
          <w:tcPr>
            <w:tcW w:w="977" w:type="dxa"/>
            <w:tcBorders>
              <w:top w:val="single" w:sz="4" w:space="0" w:color="auto"/>
              <w:left w:val="nil"/>
              <w:bottom w:val="single" w:sz="4" w:space="0" w:color="auto"/>
              <w:right w:val="nil"/>
            </w:tcBorders>
            <w:shd w:val="clear" w:color="auto" w:fill="auto"/>
            <w:noWrap/>
            <w:vAlign w:val="bottom"/>
            <w:hideMark/>
          </w:tcPr>
          <w:p w14:paraId="03D75F79" w14:textId="77777777" w:rsidR="00041E73" w:rsidRPr="00895FDC" w:rsidRDefault="00041E73" w:rsidP="000035E8">
            <w:pPr>
              <w:jc w:val="center"/>
              <w:rPr>
                <w:rFonts w:cstheme="minorHAnsi"/>
                <w:color w:val="000000"/>
                <w:lang w:val="en-GB"/>
              </w:rPr>
            </w:pPr>
            <w:r w:rsidRPr="00895FDC">
              <w:rPr>
                <w:rFonts w:cstheme="minorHAnsi"/>
                <w:color w:val="000000"/>
                <w:lang w:val="en-GB"/>
              </w:rPr>
              <w:t>SZ</w:t>
            </w:r>
          </w:p>
          <w:p w14:paraId="787645C6" w14:textId="77777777" w:rsidR="00041E73" w:rsidRPr="00895FDC" w:rsidRDefault="00041E73" w:rsidP="000035E8">
            <w:pPr>
              <w:jc w:val="center"/>
              <w:rPr>
                <w:rFonts w:cstheme="minorHAnsi"/>
                <w:color w:val="000000"/>
                <w:lang w:val="en-GB"/>
              </w:rPr>
            </w:pPr>
            <w:r w:rsidRPr="00895FDC">
              <w:rPr>
                <w:rFonts w:cstheme="minorHAnsi"/>
                <w:color w:val="000000"/>
                <w:lang w:val="en-GB"/>
              </w:rPr>
              <w:t>N = 41</w:t>
            </w:r>
          </w:p>
        </w:tc>
        <w:tc>
          <w:tcPr>
            <w:tcW w:w="960" w:type="dxa"/>
            <w:tcBorders>
              <w:top w:val="single" w:sz="4" w:space="0" w:color="auto"/>
              <w:left w:val="nil"/>
              <w:bottom w:val="single" w:sz="4" w:space="0" w:color="auto"/>
              <w:right w:val="nil"/>
            </w:tcBorders>
            <w:shd w:val="clear" w:color="auto" w:fill="auto"/>
            <w:noWrap/>
            <w:vAlign w:val="bottom"/>
            <w:hideMark/>
          </w:tcPr>
          <w:p w14:paraId="6C5FAC32" w14:textId="77777777" w:rsidR="00041E73" w:rsidRPr="00895FDC" w:rsidRDefault="00041E73" w:rsidP="000035E8">
            <w:pPr>
              <w:jc w:val="center"/>
              <w:rPr>
                <w:rFonts w:cstheme="minorHAnsi"/>
                <w:color w:val="000000"/>
                <w:lang w:val="en-GB"/>
              </w:rPr>
            </w:pPr>
            <w:r w:rsidRPr="00895FDC">
              <w:rPr>
                <w:rFonts w:cstheme="minorHAnsi"/>
                <w:color w:val="000000"/>
                <w:lang w:val="en-GB"/>
              </w:rPr>
              <w:t>F</w:t>
            </w:r>
          </w:p>
        </w:tc>
        <w:tc>
          <w:tcPr>
            <w:tcW w:w="960" w:type="dxa"/>
            <w:tcBorders>
              <w:top w:val="single" w:sz="4" w:space="0" w:color="auto"/>
              <w:left w:val="nil"/>
              <w:bottom w:val="single" w:sz="4" w:space="0" w:color="auto"/>
              <w:right w:val="nil"/>
            </w:tcBorders>
            <w:shd w:val="clear" w:color="auto" w:fill="auto"/>
            <w:noWrap/>
            <w:vAlign w:val="bottom"/>
            <w:hideMark/>
          </w:tcPr>
          <w:p w14:paraId="2D5DF054" w14:textId="77777777" w:rsidR="00041E73" w:rsidRPr="00895FDC" w:rsidRDefault="00041E73" w:rsidP="000035E8">
            <w:pPr>
              <w:rPr>
                <w:rFonts w:cstheme="minorHAnsi"/>
                <w:color w:val="000000"/>
                <w:lang w:val="en-GB"/>
              </w:rPr>
            </w:pPr>
            <w:r w:rsidRPr="00895FDC">
              <w:rPr>
                <w:rFonts w:cstheme="minorHAnsi"/>
                <w:color w:val="000000"/>
                <w:lang w:val="en-GB"/>
              </w:rPr>
              <w:t>p-value</w:t>
            </w:r>
          </w:p>
        </w:tc>
        <w:tc>
          <w:tcPr>
            <w:tcW w:w="1055" w:type="dxa"/>
            <w:tcBorders>
              <w:top w:val="single" w:sz="4" w:space="0" w:color="auto"/>
              <w:left w:val="nil"/>
              <w:bottom w:val="single" w:sz="4" w:space="0" w:color="auto"/>
              <w:right w:val="nil"/>
            </w:tcBorders>
            <w:shd w:val="clear" w:color="auto" w:fill="auto"/>
            <w:vAlign w:val="bottom"/>
            <w:hideMark/>
          </w:tcPr>
          <w:p w14:paraId="07D98B3B" w14:textId="77777777" w:rsidR="00041E73" w:rsidRPr="00895FDC" w:rsidRDefault="00041E73" w:rsidP="000035E8">
            <w:pPr>
              <w:rPr>
                <w:rFonts w:cstheme="minorHAnsi"/>
                <w:color w:val="000000"/>
                <w:lang w:val="en-GB"/>
              </w:rPr>
            </w:pPr>
            <w:r w:rsidRPr="00895FDC">
              <w:rPr>
                <w:rFonts w:cstheme="minorHAnsi"/>
                <w:color w:val="000000"/>
                <w:lang w:val="en-GB"/>
              </w:rPr>
              <w:t>Group difference</w:t>
            </w:r>
          </w:p>
        </w:tc>
        <w:tc>
          <w:tcPr>
            <w:tcW w:w="960" w:type="dxa"/>
            <w:tcBorders>
              <w:top w:val="single" w:sz="4" w:space="0" w:color="auto"/>
              <w:left w:val="nil"/>
              <w:bottom w:val="single" w:sz="4" w:space="0" w:color="auto"/>
              <w:right w:val="nil"/>
            </w:tcBorders>
            <w:shd w:val="clear" w:color="auto" w:fill="auto"/>
            <w:noWrap/>
            <w:vAlign w:val="bottom"/>
            <w:hideMark/>
          </w:tcPr>
          <w:p w14:paraId="3FBEF933" w14:textId="77777777" w:rsidR="00041E73" w:rsidRPr="00895FDC" w:rsidRDefault="00041E73" w:rsidP="000035E8">
            <w:pPr>
              <w:rPr>
                <w:rFonts w:cstheme="minorHAnsi"/>
                <w:color w:val="000000"/>
                <w:lang w:val="en-GB"/>
              </w:rPr>
            </w:pPr>
            <w:r w:rsidRPr="00895FDC">
              <w:rPr>
                <w:rFonts w:cstheme="minorHAnsi"/>
                <w:color w:val="000000"/>
                <w:lang w:val="en-GB"/>
              </w:rPr>
              <w:t>p-value</w:t>
            </w:r>
          </w:p>
        </w:tc>
      </w:tr>
      <w:tr w:rsidR="00041E73" w:rsidRPr="00895FDC" w14:paraId="0C1C272E" w14:textId="77777777" w:rsidTr="000035E8">
        <w:trPr>
          <w:trHeight w:val="300"/>
        </w:trPr>
        <w:tc>
          <w:tcPr>
            <w:tcW w:w="960" w:type="dxa"/>
            <w:tcBorders>
              <w:top w:val="single" w:sz="4" w:space="0" w:color="auto"/>
              <w:left w:val="nil"/>
              <w:bottom w:val="nil"/>
              <w:right w:val="nil"/>
            </w:tcBorders>
            <w:shd w:val="clear" w:color="auto" w:fill="auto"/>
            <w:noWrap/>
            <w:vAlign w:val="bottom"/>
            <w:hideMark/>
          </w:tcPr>
          <w:p w14:paraId="4FA51C32" w14:textId="77777777" w:rsidR="00041E73" w:rsidRPr="00895FDC" w:rsidRDefault="00041E73" w:rsidP="000035E8">
            <w:pPr>
              <w:rPr>
                <w:rFonts w:cstheme="minorHAnsi"/>
                <w:color w:val="000000"/>
                <w:lang w:val="en-GB"/>
              </w:rPr>
            </w:pPr>
            <w:r w:rsidRPr="00895FDC">
              <w:rPr>
                <w:rFonts w:cstheme="minorHAnsi"/>
                <w:color w:val="000000"/>
                <w:lang w:val="en-GB"/>
              </w:rPr>
              <w:t>pc1 M</w:t>
            </w:r>
          </w:p>
        </w:tc>
        <w:tc>
          <w:tcPr>
            <w:tcW w:w="977" w:type="dxa"/>
            <w:tcBorders>
              <w:top w:val="single" w:sz="4" w:space="0" w:color="auto"/>
              <w:left w:val="nil"/>
              <w:bottom w:val="nil"/>
              <w:right w:val="nil"/>
            </w:tcBorders>
            <w:shd w:val="clear" w:color="auto" w:fill="auto"/>
            <w:noWrap/>
            <w:vAlign w:val="bottom"/>
            <w:hideMark/>
          </w:tcPr>
          <w:p w14:paraId="0C3797F0" w14:textId="77777777" w:rsidR="00041E73" w:rsidRPr="00895FDC" w:rsidRDefault="00041E73" w:rsidP="000035E8">
            <w:pPr>
              <w:jc w:val="right"/>
              <w:rPr>
                <w:rFonts w:cstheme="minorHAnsi"/>
                <w:color w:val="000000"/>
                <w:lang w:val="en-GB"/>
              </w:rPr>
            </w:pPr>
            <w:r w:rsidRPr="00895FDC">
              <w:rPr>
                <w:rFonts w:cstheme="minorHAnsi"/>
                <w:color w:val="000000"/>
                <w:lang w:val="en-GB"/>
              </w:rPr>
              <w:t>0.74</w:t>
            </w:r>
          </w:p>
        </w:tc>
        <w:tc>
          <w:tcPr>
            <w:tcW w:w="977" w:type="dxa"/>
            <w:tcBorders>
              <w:top w:val="single" w:sz="4" w:space="0" w:color="auto"/>
              <w:left w:val="nil"/>
              <w:bottom w:val="nil"/>
              <w:right w:val="nil"/>
            </w:tcBorders>
            <w:shd w:val="clear" w:color="auto" w:fill="auto"/>
            <w:noWrap/>
            <w:vAlign w:val="bottom"/>
            <w:hideMark/>
          </w:tcPr>
          <w:p w14:paraId="4BCC89A2" w14:textId="77777777" w:rsidR="00041E73" w:rsidRPr="00895FDC" w:rsidRDefault="00041E73" w:rsidP="000035E8">
            <w:pPr>
              <w:jc w:val="right"/>
              <w:rPr>
                <w:rFonts w:cstheme="minorHAnsi"/>
                <w:color w:val="000000"/>
                <w:lang w:val="en-GB"/>
              </w:rPr>
            </w:pPr>
            <w:r w:rsidRPr="00895FDC">
              <w:rPr>
                <w:rFonts w:cstheme="minorHAnsi"/>
                <w:color w:val="000000"/>
                <w:lang w:val="en-GB"/>
              </w:rPr>
              <w:t>-0.27</w:t>
            </w:r>
          </w:p>
        </w:tc>
        <w:tc>
          <w:tcPr>
            <w:tcW w:w="977" w:type="dxa"/>
            <w:tcBorders>
              <w:top w:val="single" w:sz="4" w:space="0" w:color="auto"/>
              <w:left w:val="nil"/>
              <w:bottom w:val="nil"/>
              <w:right w:val="nil"/>
            </w:tcBorders>
            <w:shd w:val="clear" w:color="auto" w:fill="auto"/>
            <w:noWrap/>
            <w:vAlign w:val="bottom"/>
            <w:hideMark/>
          </w:tcPr>
          <w:p w14:paraId="00C8F594" w14:textId="77777777" w:rsidR="00041E73" w:rsidRPr="00895FDC" w:rsidRDefault="00041E73" w:rsidP="000035E8">
            <w:pPr>
              <w:jc w:val="right"/>
              <w:rPr>
                <w:rFonts w:cstheme="minorHAnsi"/>
                <w:color w:val="000000"/>
                <w:lang w:val="en-GB"/>
              </w:rPr>
            </w:pPr>
            <w:r w:rsidRPr="00895FDC">
              <w:rPr>
                <w:rFonts w:cstheme="minorHAnsi"/>
                <w:color w:val="000000"/>
                <w:lang w:val="en-GB"/>
              </w:rPr>
              <w:t>-0.03</w:t>
            </w:r>
          </w:p>
        </w:tc>
        <w:tc>
          <w:tcPr>
            <w:tcW w:w="960" w:type="dxa"/>
            <w:tcBorders>
              <w:top w:val="single" w:sz="4" w:space="0" w:color="auto"/>
              <w:left w:val="nil"/>
              <w:bottom w:val="nil"/>
              <w:right w:val="nil"/>
            </w:tcBorders>
            <w:shd w:val="clear" w:color="auto" w:fill="auto"/>
            <w:noWrap/>
            <w:vAlign w:val="bottom"/>
            <w:hideMark/>
          </w:tcPr>
          <w:p w14:paraId="3881ED8E" w14:textId="77777777" w:rsidR="00041E73" w:rsidRPr="00895FDC" w:rsidRDefault="00041E73" w:rsidP="000035E8">
            <w:pPr>
              <w:jc w:val="right"/>
              <w:rPr>
                <w:rFonts w:cstheme="minorHAnsi"/>
                <w:color w:val="000000"/>
                <w:lang w:val="en-GB"/>
              </w:rPr>
            </w:pPr>
            <w:r w:rsidRPr="00895FDC">
              <w:rPr>
                <w:rFonts w:cstheme="minorHAnsi"/>
                <w:color w:val="000000"/>
                <w:lang w:val="en-GB"/>
              </w:rPr>
              <w:t>3.44</w:t>
            </w:r>
          </w:p>
        </w:tc>
        <w:tc>
          <w:tcPr>
            <w:tcW w:w="960" w:type="dxa"/>
            <w:tcBorders>
              <w:top w:val="single" w:sz="4" w:space="0" w:color="auto"/>
              <w:left w:val="nil"/>
              <w:bottom w:val="nil"/>
              <w:right w:val="nil"/>
            </w:tcBorders>
            <w:shd w:val="clear" w:color="auto" w:fill="auto"/>
            <w:noWrap/>
            <w:vAlign w:val="bottom"/>
            <w:hideMark/>
          </w:tcPr>
          <w:p w14:paraId="6B8342AA" w14:textId="77777777" w:rsidR="00041E73" w:rsidRPr="00895FDC" w:rsidRDefault="00041E73" w:rsidP="000035E8">
            <w:pPr>
              <w:jc w:val="right"/>
              <w:rPr>
                <w:rFonts w:cstheme="minorHAnsi"/>
                <w:color w:val="000000"/>
                <w:lang w:val="en-GB"/>
              </w:rPr>
            </w:pPr>
            <w:r w:rsidRPr="00895FDC">
              <w:rPr>
                <w:rFonts w:cstheme="minorHAnsi"/>
                <w:color w:val="000000"/>
                <w:lang w:val="en-GB"/>
              </w:rPr>
              <w:t>0.03</w:t>
            </w:r>
          </w:p>
        </w:tc>
        <w:tc>
          <w:tcPr>
            <w:tcW w:w="1055" w:type="dxa"/>
            <w:tcBorders>
              <w:top w:val="single" w:sz="4" w:space="0" w:color="auto"/>
              <w:left w:val="nil"/>
              <w:bottom w:val="nil"/>
              <w:right w:val="nil"/>
            </w:tcBorders>
            <w:shd w:val="clear" w:color="auto" w:fill="auto"/>
            <w:noWrap/>
            <w:vAlign w:val="bottom"/>
            <w:hideMark/>
          </w:tcPr>
          <w:p w14:paraId="25A17682" w14:textId="77777777" w:rsidR="00041E73" w:rsidRPr="00895FDC" w:rsidRDefault="00041E73" w:rsidP="000035E8">
            <w:pPr>
              <w:rPr>
                <w:rFonts w:cstheme="minorHAnsi"/>
                <w:color w:val="000000"/>
                <w:lang w:val="en-GB"/>
              </w:rPr>
            </w:pPr>
            <w:r w:rsidRPr="00895FDC">
              <w:rPr>
                <w:rFonts w:cstheme="minorHAnsi"/>
                <w:color w:val="000000"/>
                <w:lang w:val="en-GB"/>
              </w:rPr>
              <w:t>HC &gt; FEP</w:t>
            </w:r>
          </w:p>
        </w:tc>
        <w:tc>
          <w:tcPr>
            <w:tcW w:w="960" w:type="dxa"/>
            <w:tcBorders>
              <w:top w:val="single" w:sz="4" w:space="0" w:color="auto"/>
              <w:left w:val="nil"/>
              <w:bottom w:val="nil"/>
              <w:right w:val="nil"/>
            </w:tcBorders>
            <w:shd w:val="clear" w:color="auto" w:fill="auto"/>
            <w:noWrap/>
            <w:vAlign w:val="bottom"/>
            <w:hideMark/>
          </w:tcPr>
          <w:p w14:paraId="3E4C31B8" w14:textId="77777777" w:rsidR="00041E73" w:rsidRPr="00895FDC" w:rsidRDefault="00041E73" w:rsidP="000035E8">
            <w:pPr>
              <w:jc w:val="right"/>
              <w:rPr>
                <w:rFonts w:cstheme="minorHAnsi"/>
                <w:color w:val="000000"/>
                <w:lang w:val="en-GB"/>
              </w:rPr>
            </w:pPr>
            <w:r w:rsidRPr="00895FDC">
              <w:rPr>
                <w:rFonts w:cstheme="minorHAnsi"/>
                <w:color w:val="000000"/>
                <w:lang w:val="en-GB"/>
              </w:rPr>
              <w:t xml:space="preserve"> 0.01*</w:t>
            </w:r>
          </w:p>
        </w:tc>
      </w:tr>
      <w:tr w:rsidR="00041E73" w:rsidRPr="00895FDC" w14:paraId="792B2DA4" w14:textId="77777777" w:rsidTr="000035E8">
        <w:trPr>
          <w:trHeight w:val="300"/>
        </w:trPr>
        <w:tc>
          <w:tcPr>
            <w:tcW w:w="960" w:type="dxa"/>
            <w:tcBorders>
              <w:top w:val="nil"/>
              <w:left w:val="nil"/>
              <w:bottom w:val="nil"/>
              <w:right w:val="nil"/>
            </w:tcBorders>
            <w:shd w:val="clear" w:color="auto" w:fill="auto"/>
            <w:noWrap/>
            <w:vAlign w:val="bottom"/>
            <w:hideMark/>
          </w:tcPr>
          <w:p w14:paraId="2F17C031" w14:textId="77777777" w:rsidR="00041E73" w:rsidRPr="00895FDC" w:rsidRDefault="00041E73" w:rsidP="000035E8">
            <w:pPr>
              <w:rPr>
                <w:rFonts w:cstheme="minorHAnsi"/>
                <w:color w:val="000000"/>
                <w:lang w:val="en-GB"/>
              </w:rPr>
            </w:pPr>
            <w:r w:rsidRPr="00895FDC">
              <w:rPr>
                <w:rFonts w:cstheme="minorHAnsi"/>
                <w:color w:val="000000"/>
                <w:lang w:val="en-GB"/>
              </w:rPr>
              <w:t>(SD)</w:t>
            </w:r>
          </w:p>
        </w:tc>
        <w:tc>
          <w:tcPr>
            <w:tcW w:w="977" w:type="dxa"/>
            <w:tcBorders>
              <w:top w:val="nil"/>
              <w:left w:val="nil"/>
              <w:bottom w:val="nil"/>
              <w:right w:val="nil"/>
            </w:tcBorders>
            <w:shd w:val="clear" w:color="auto" w:fill="auto"/>
            <w:noWrap/>
            <w:vAlign w:val="bottom"/>
            <w:hideMark/>
          </w:tcPr>
          <w:p w14:paraId="3D34DF48" w14:textId="77777777" w:rsidR="00041E73" w:rsidRPr="00895FDC" w:rsidRDefault="00041E73" w:rsidP="000035E8">
            <w:pPr>
              <w:jc w:val="right"/>
              <w:rPr>
                <w:rFonts w:cstheme="minorHAnsi"/>
                <w:color w:val="000000"/>
                <w:lang w:val="en-GB"/>
              </w:rPr>
            </w:pPr>
            <w:r w:rsidRPr="00895FDC">
              <w:rPr>
                <w:rFonts w:cstheme="minorHAnsi"/>
                <w:color w:val="000000"/>
                <w:lang w:val="en-GB"/>
              </w:rPr>
              <w:t>1.32</w:t>
            </w:r>
          </w:p>
        </w:tc>
        <w:tc>
          <w:tcPr>
            <w:tcW w:w="977" w:type="dxa"/>
            <w:tcBorders>
              <w:top w:val="nil"/>
              <w:left w:val="nil"/>
              <w:bottom w:val="nil"/>
              <w:right w:val="nil"/>
            </w:tcBorders>
            <w:shd w:val="clear" w:color="auto" w:fill="auto"/>
            <w:noWrap/>
            <w:vAlign w:val="bottom"/>
            <w:hideMark/>
          </w:tcPr>
          <w:p w14:paraId="3066B1F0" w14:textId="77777777" w:rsidR="00041E73" w:rsidRPr="00895FDC" w:rsidRDefault="00041E73" w:rsidP="000035E8">
            <w:pPr>
              <w:jc w:val="right"/>
              <w:rPr>
                <w:rFonts w:cstheme="minorHAnsi"/>
                <w:color w:val="000000"/>
                <w:lang w:val="en-GB"/>
              </w:rPr>
            </w:pPr>
            <w:r w:rsidRPr="00895FDC">
              <w:rPr>
                <w:rFonts w:cstheme="minorHAnsi"/>
                <w:color w:val="000000"/>
                <w:lang w:val="en-GB"/>
              </w:rPr>
              <w:t>2.18</w:t>
            </w:r>
          </w:p>
        </w:tc>
        <w:tc>
          <w:tcPr>
            <w:tcW w:w="977" w:type="dxa"/>
            <w:tcBorders>
              <w:top w:val="nil"/>
              <w:left w:val="nil"/>
              <w:bottom w:val="nil"/>
              <w:right w:val="nil"/>
            </w:tcBorders>
            <w:shd w:val="clear" w:color="auto" w:fill="auto"/>
            <w:noWrap/>
            <w:vAlign w:val="bottom"/>
            <w:hideMark/>
          </w:tcPr>
          <w:p w14:paraId="6EC5036D" w14:textId="77777777" w:rsidR="00041E73" w:rsidRPr="00895FDC" w:rsidRDefault="00041E73" w:rsidP="000035E8">
            <w:pPr>
              <w:jc w:val="right"/>
              <w:rPr>
                <w:rFonts w:cstheme="minorHAnsi"/>
                <w:color w:val="000000"/>
                <w:lang w:val="en-GB"/>
              </w:rPr>
            </w:pPr>
            <w:r w:rsidRPr="00895FDC">
              <w:rPr>
                <w:rFonts w:cstheme="minorHAnsi"/>
                <w:color w:val="000000"/>
                <w:lang w:val="en-GB"/>
              </w:rPr>
              <w:t>2.18</w:t>
            </w:r>
          </w:p>
        </w:tc>
        <w:tc>
          <w:tcPr>
            <w:tcW w:w="960" w:type="dxa"/>
            <w:tcBorders>
              <w:top w:val="nil"/>
              <w:left w:val="nil"/>
              <w:bottom w:val="nil"/>
              <w:right w:val="nil"/>
            </w:tcBorders>
            <w:shd w:val="clear" w:color="auto" w:fill="auto"/>
            <w:noWrap/>
            <w:vAlign w:val="bottom"/>
            <w:hideMark/>
          </w:tcPr>
          <w:p w14:paraId="17215221" w14:textId="77777777" w:rsidR="00041E73" w:rsidRPr="00895FDC" w:rsidRDefault="00041E73" w:rsidP="000035E8">
            <w:pPr>
              <w:jc w:val="right"/>
              <w:rPr>
                <w:rFonts w:cstheme="minorHAnsi"/>
                <w:color w:val="000000"/>
                <w:lang w:val="en-GB"/>
              </w:rPr>
            </w:pPr>
          </w:p>
        </w:tc>
        <w:tc>
          <w:tcPr>
            <w:tcW w:w="960" w:type="dxa"/>
            <w:tcBorders>
              <w:top w:val="nil"/>
              <w:left w:val="nil"/>
              <w:bottom w:val="nil"/>
              <w:right w:val="nil"/>
            </w:tcBorders>
            <w:shd w:val="clear" w:color="auto" w:fill="auto"/>
            <w:noWrap/>
            <w:vAlign w:val="bottom"/>
            <w:hideMark/>
          </w:tcPr>
          <w:p w14:paraId="74587442" w14:textId="77777777" w:rsidR="00041E73" w:rsidRPr="00895FDC" w:rsidRDefault="00041E73" w:rsidP="000035E8">
            <w:pPr>
              <w:rPr>
                <w:rFonts w:cstheme="minorHAnsi"/>
                <w:lang w:val="en-GB"/>
              </w:rPr>
            </w:pPr>
          </w:p>
        </w:tc>
        <w:tc>
          <w:tcPr>
            <w:tcW w:w="1055" w:type="dxa"/>
            <w:tcBorders>
              <w:top w:val="nil"/>
              <w:left w:val="nil"/>
              <w:bottom w:val="nil"/>
              <w:right w:val="nil"/>
            </w:tcBorders>
            <w:shd w:val="clear" w:color="auto" w:fill="auto"/>
            <w:noWrap/>
            <w:vAlign w:val="bottom"/>
            <w:hideMark/>
          </w:tcPr>
          <w:p w14:paraId="0070F1A1" w14:textId="77777777" w:rsidR="00041E73" w:rsidRPr="00895FDC" w:rsidRDefault="00041E73" w:rsidP="000035E8">
            <w:pPr>
              <w:rPr>
                <w:rFonts w:cstheme="minorHAnsi"/>
                <w:color w:val="000000"/>
                <w:lang w:val="en-GB"/>
              </w:rPr>
            </w:pPr>
            <w:r w:rsidRPr="00895FDC">
              <w:rPr>
                <w:rFonts w:cstheme="minorHAnsi"/>
                <w:color w:val="000000"/>
                <w:lang w:val="en-GB"/>
              </w:rPr>
              <w:t>HC &gt; SZ</w:t>
            </w:r>
          </w:p>
        </w:tc>
        <w:tc>
          <w:tcPr>
            <w:tcW w:w="960" w:type="dxa"/>
            <w:tcBorders>
              <w:top w:val="nil"/>
              <w:left w:val="nil"/>
              <w:bottom w:val="nil"/>
              <w:right w:val="nil"/>
            </w:tcBorders>
            <w:shd w:val="clear" w:color="auto" w:fill="auto"/>
            <w:noWrap/>
            <w:vAlign w:val="bottom"/>
            <w:hideMark/>
          </w:tcPr>
          <w:p w14:paraId="07F26577" w14:textId="77777777" w:rsidR="00041E73" w:rsidRPr="00895FDC" w:rsidRDefault="00041E73" w:rsidP="000035E8">
            <w:pPr>
              <w:jc w:val="center"/>
              <w:rPr>
                <w:rFonts w:cstheme="minorHAnsi"/>
                <w:color w:val="000000"/>
                <w:lang w:val="en-GB"/>
              </w:rPr>
            </w:pPr>
            <w:r w:rsidRPr="00895FDC">
              <w:rPr>
                <w:rFonts w:cstheme="minorHAnsi"/>
                <w:color w:val="000000"/>
                <w:lang w:val="en-GB"/>
              </w:rPr>
              <w:t xml:space="preserve">        0.09</w:t>
            </w:r>
          </w:p>
        </w:tc>
      </w:tr>
      <w:tr w:rsidR="00041E73" w:rsidRPr="00895FDC" w14:paraId="5113AEF0" w14:textId="77777777" w:rsidTr="000035E8">
        <w:trPr>
          <w:trHeight w:val="300"/>
        </w:trPr>
        <w:tc>
          <w:tcPr>
            <w:tcW w:w="960" w:type="dxa"/>
            <w:tcBorders>
              <w:top w:val="nil"/>
              <w:left w:val="nil"/>
              <w:right w:val="nil"/>
            </w:tcBorders>
            <w:shd w:val="clear" w:color="auto" w:fill="auto"/>
            <w:noWrap/>
            <w:vAlign w:val="bottom"/>
            <w:hideMark/>
          </w:tcPr>
          <w:p w14:paraId="0882E6C1" w14:textId="77777777" w:rsidR="00041E73" w:rsidRPr="00895FDC" w:rsidRDefault="00041E73" w:rsidP="000035E8">
            <w:pPr>
              <w:rPr>
                <w:rFonts w:cstheme="minorHAnsi"/>
                <w:color w:val="000000"/>
                <w:lang w:val="en-GB"/>
              </w:rPr>
            </w:pPr>
            <w:r w:rsidRPr="00895FDC">
              <w:rPr>
                <w:rFonts w:cstheme="minorHAnsi"/>
                <w:color w:val="000000"/>
                <w:lang w:val="en-GB"/>
              </w:rPr>
              <w:t>pc2 M</w:t>
            </w:r>
          </w:p>
        </w:tc>
        <w:tc>
          <w:tcPr>
            <w:tcW w:w="977" w:type="dxa"/>
            <w:tcBorders>
              <w:top w:val="nil"/>
              <w:left w:val="nil"/>
              <w:right w:val="nil"/>
            </w:tcBorders>
            <w:shd w:val="clear" w:color="auto" w:fill="auto"/>
            <w:noWrap/>
            <w:vAlign w:val="bottom"/>
            <w:hideMark/>
          </w:tcPr>
          <w:p w14:paraId="20DB20DA" w14:textId="77777777" w:rsidR="00041E73" w:rsidRPr="00895FDC" w:rsidRDefault="00041E73" w:rsidP="000035E8">
            <w:pPr>
              <w:jc w:val="right"/>
              <w:rPr>
                <w:rFonts w:cstheme="minorHAnsi"/>
                <w:color w:val="000000"/>
                <w:lang w:val="en-GB"/>
              </w:rPr>
            </w:pPr>
            <w:r w:rsidRPr="00895FDC">
              <w:rPr>
                <w:rFonts w:cstheme="minorHAnsi"/>
                <w:color w:val="000000"/>
                <w:lang w:val="en-GB"/>
              </w:rPr>
              <w:t>-0.25</w:t>
            </w:r>
          </w:p>
        </w:tc>
        <w:tc>
          <w:tcPr>
            <w:tcW w:w="977" w:type="dxa"/>
            <w:tcBorders>
              <w:top w:val="nil"/>
              <w:left w:val="nil"/>
              <w:right w:val="nil"/>
            </w:tcBorders>
            <w:shd w:val="clear" w:color="auto" w:fill="auto"/>
            <w:noWrap/>
            <w:vAlign w:val="bottom"/>
            <w:hideMark/>
          </w:tcPr>
          <w:p w14:paraId="11882184" w14:textId="77777777" w:rsidR="00041E73" w:rsidRPr="00895FDC" w:rsidRDefault="00041E73" w:rsidP="000035E8">
            <w:pPr>
              <w:jc w:val="right"/>
              <w:rPr>
                <w:rFonts w:cstheme="minorHAnsi"/>
                <w:color w:val="000000"/>
                <w:lang w:val="en-GB"/>
              </w:rPr>
            </w:pPr>
            <w:r w:rsidRPr="00895FDC">
              <w:rPr>
                <w:rFonts w:cstheme="minorHAnsi"/>
                <w:color w:val="000000"/>
                <w:lang w:val="en-GB"/>
              </w:rPr>
              <w:t>-0.07</w:t>
            </w:r>
          </w:p>
        </w:tc>
        <w:tc>
          <w:tcPr>
            <w:tcW w:w="977" w:type="dxa"/>
            <w:tcBorders>
              <w:top w:val="nil"/>
              <w:left w:val="nil"/>
              <w:right w:val="nil"/>
            </w:tcBorders>
            <w:shd w:val="clear" w:color="auto" w:fill="auto"/>
            <w:noWrap/>
            <w:vAlign w:val="bottom"/>
            <w:hideMark/>
          </w:tcPr>
          <w:p w14:paraId="2E7A8205" w14:textId="77777777" w:rsidR="00041E73" w:rsidRPr="00895FDC" w:rsidRDefault="00041E73" w:rsidP="000035E8">
            <w:pPr>
              <w:jc w:val="right"/>
              <w:rPr>
                <w:rFonts w:cstheme="minorHAnsi"/>
                <w:color w:val="000000"/>
                <w:lang w:val="en-GB"/>
              </w:rPr>
            </w:pPr>
            <w:r w:rsidRPr="00895FDC">
              <w:rPr>
                <w:rFonts w:cstheme="minorHAnsi"/>
                <w:color w:val="000000"/>
                <w:lang w:val="en-GB"/>
              </w:rPr>
              <w:t>0.41</w:t>
            </w:r>
          </w:p>
        </w:tc>
        <w:tc>
          <w:tcPr>
            <w:tcW w:w="960" w:type="dxa"/>
            <w:tcBorders>
              <w:top w:val="nil"/>
              <w:left w:val="nil"/>
              <w:right w:val="nil"/>
            </w:tcBorders>
            <w:shd w:val="clear" w:color="auto" w:fill="auto"/>
            <w:noWrap/>
            <w:vAlign w:val="bottom"/>
            <w:hideMark/>
          </w:tcPr>
          <w:p w14:paraId="2CDAD515" w14:textId="77777777" w:rsidR="00041E73" w:rsidRPr="00895FDC" w:rsidRDefault="00041E73" w:rsidP="000035E8">
            <w:pPr>
              <w:jc w:val="right"/>
              <w:rPr>
                <w:rFonts w:cstheme="minorHAnsi"/>
                <w:color w:val="000000"/>
                <w:lang w:val="en-GB"/>
              </w:rPr>
            </w:pPr>
            <w:r w:rsidRPr="00895FDC">
              <w:rPr>
                <w:rFonts w:cstheme="minorHAnsi"/>
                <w:color w:val="000000"/>
                <w:lang w:val="en-GB"/>
              </w:rPr>
              <w:t>1.98</w:t>
            </w:r>
          </w:p>
        </w:tc>
        <w:tc>
          <w:tcPr>
            <w:tcW w:w="960" w:type="dxa"/>
            <w:tcBorders>
              <w:top w:val="nil"/>
              <w:left w:val="nil"/>
              <w:right w:val="nil"/>
            </w:tcBorders>
            <w:shd w:val="clear" w:color="auto" w:fill="auto"/>
            <w:noWrap/>
            <w:vAlign w:val="bottom"/>
            <w:hideMark/>
          </w:tcPr>
          <w:p w14:paraId="622D433E" w14:textId="77777777" w:rsidR="00041E73" w:rsidRPr="00895FDC" w:rsidRDefault="00041E73" w:rsidP="000035E8">
            <w:pPr>
              <w:jc w:val="right"/>
              <w:rPr>
                <w:rFonts w:cstheme="minorHAnsi"/>
                <w:color w:val="000000"/>
                <w:lang w:val="en-GB"/>
              </w:rPr>
            </w:pPr>
            <w:r w:rsidRPr="00895FDC">
              <w:rPr>
                <w:rFonts w:cstheme="minorHAnsi"/>
                <w:color w:val="000000"/>
                <w:lang w:val="en-GB"/>
              </w:rPr>
              <w:t>0.14</w:t>
            </w:r>
          </w:p>
        </w:tc>
        <w:tc>
          <w:tcPr>
            <w:tcW w:w="1055" w:type="dxa"/>
            <w:tcBorders>
              <w:top w:val="nil"/>
              <w:left w:val="nil"/>
              <w:right w:val="nil"/>
            </w:tcBorders>
            <w:shd w:val="clear" w:color="auto" w:fill="auto"/>
            <w:noWrap/>
            <w:vAlign w:val="bottom"/>
            <w:hideMark/>
          </w:tcPr>
          <w:p w14:paraId="7D799FB3" w14:textId="77777777" w:rsidR="00041E73" w:rsidRPr="00895FDC" w:rsidRDefault="00041E73" w:rsidP="000035E8">
            <w:pPr>
              <w:rPr>
                <w:rFonts w:cstheme="minorHAnsi"/>
                <w:color w:val="000000"/>
                <w:lang w:val="en-GB"/>
              </w:rPr>
            </w:pPr>
            <w:r w:rsidRPr="00895FDC">
              <w:rPr>
                <w:rFonts w:cstheme="minorHAnsi"/>
                <w:color w:val="000000"/>
                <w:lang w:val="en-GB"/>
              </w:rPr>
              <w:t>HC &lt; SZ</w:t>
            </w:r>
          </w:p>
        </w:tc>
        <w:tc>
          <w:tcPr>
            <w:tcW w:w="960" w:type="dxa"/>
            <w:tcBorders>
              <w:top w:val="nil"/>
              <w:left w:val="nil"/>
              <w:right w:val="nil"/>
            </w:tcBorders>
            <w:shd w:val="clear" w:color="auto" w:fill="auto"/>
            <w:noWrap/>
            <w:vAlign w:val="bottom"/>
            <w:hideMark/>
          </w:tcPr>
          <w:p w14:paraId="3DF091BC" w14:textId="77777777" w:rsidR="00041E73" w:rsidRPr="00895FDC" w:rsidRDefault="00041E73" w:rsidP="000035E8">
            <w:pPr>
              <w:jc w:val="right"/>
              <w:rPr>
                <w:rFonts w:cstheme="minorHAnsi"/>
                <w:color w:val="000000"/>
                <w:lang w:val="en-GB"/>
              </w:rPr>
            </w:pPr>
            <w:r w:rsidRPr="00895FDC">
              <w:rPr>
                <w:rFonts w:cstheme="minorHAnsi"/>
                <w:color w:val="000000"/>
                <w:lang w:val="en-GB"/>
              </w:rPr>
              <w:t>0.06</w:t>
            </w:r>
          </w:p>
        </w:tc>
      </w:tr>
      <w:tr w:rsidR="00041E73" w:rsidRPr="00895FDC" w14:paraId="71DA9A4B" w14:textId="77777777" w:rsidTr="000035E8">
        <w:trPr>
          <w:trHeight w:val="300"/>
        </w:trPr>
        <w:tc>
          <w:tcPr>
            <w:tcW w:w="960" w:type="dxa"/>
            <w:tcBorders>
              <w:top w:val="nil"/>
              <w:left w:val="nil"/>
              <w:bottom w:val="single" w:sz="4" w:space="0" w:color="auto"/>
              <w:right w:val="nil"/>
            </w:tcBorders>
            <w:shd w:val="clear" w:color="auto" w:fill="auto"/>
            <w:noWrap/>
            <w:vAlign w:val="bottom"/>
            <w:hideMark/>
          </w:tcPr>
          <w:p w14:paraId="7B2B1EA0" w14:textId="77777777" w:rsidR="00041E73" w:rsidRPr="00895FDC" w:rsidRDefault="00041E73" w:rsidP="000035E8">
            <w:pPr>
              <w:rPr>
                <w:rFonts w:cstheme="minorHAnsi"/>
                <w:color w:val="000000"/>
                <w:lang w:val="en-GB"/>
              </w:rPr>
            </w:pPr>
            <w:r w:rsidRPr="00895FDC">
              <w:rPr>
                <w:rFonts w:cstheme="minorHAnsi"/>
                <w:color w:val="000000"/>
                <w:lang w:val="en-GB"/>
              </w:rPr>
              <w:t>(SD)</w:t>
            </w:r>
          </w:p>
        </w:tc>
        <w:tc>
          <w:tcPr>
            <w:tcW w:w="977" w:type="dxa"/>
            <w:tcBorders>
              <w:top w:val="nil"/>
              <w:left w:val="nil"/>
              <w:bottom w:val="single" w:sz="4" w:space="0" w:color="auto"/>
              <w:right w:val="nil"/>
            </w:tcBorders>
            <w:shd w:val="clear" w:color="auto" w:fill="auto"/>
            <w:noWrap/>
            <w:vAlign w:val="bottom"/>
            <w:hideMark/>
          </w:tcPr>
          <w:p w14:paraId="4042E07A" w14:textId="77777777" w:rsidR="00041E73" w:rsidRPr="00895FDC" w:rsidRDefault="00041E73" w:rsidP="000035E8">
            <w:pPr>
              <w:jc w:val="right"/>
              <w:rPr>
                <w:rFonts w:cstheme="minorHAnsi"/>
                <w:color w:val="000000"/>
                <w:lang w:val="en-GB"/>
              </w:rPr>
            </w:pPr>
            <w:r w:rsidRPr="00895FDC">
              <w:rPr>
                <w:rFonts w:cstheme="minorHAnsi"/>
                <w:color w:val="000000"/>
                <w:lang w:val="en-GB"/>
              </w:rPr>
              <w:t>1.29</w:t>
            </w:r>
          </w:p>
        </w:tc>
        <w:tc>
          <w:tcPr>
            <w:tcW w:w="977" w:type="dxa"/>
            <w:tcBorders>
              <w:top w:val="nil"/>
              <w:left w:val="nil"/>
              <w:bottom w:val="single" w:sz="4" w:space="0" w:color="auto"/>
              <w:right w:val="nil"/>
            </w:tcBorders>
            <w:shd w:val="clear" w:color="auto" w:fill="auto"/>
            <w:noWrap/>
            <w:vAlign w:val="bottom"/>
            <w:hideMark/>
          </w:tcPr>
          <w:p w14:paraId="60AA8801" w14:textId="77777777" w:rsidR="00041E73" w:rsidRPr="00895FDC" w:rsidRDefault="00041E73" w:rsidP="000035E8">
            <w:pPr>
              <w:jc w:val="right"/>
              <w:rPr>
                <w:rFonts w:cstheme="minorHAnsi"/>
                <w:color w:val="000000"/>
                <w:lang w:val="en-GB"/>
              </w:rPr>
            </w:pPr>
            <w:r w:rsidRPr="00895FDC">
              <w:rPr>
                <w:rFonts w:cstheme="minorHAnsi"/>
                <w:color w:val="000000"/>
                <w:lang w:val="en-GB"/>
              </w:rPr>
              <w:t>1.54</w:t>
            </w:r>
          </w:p>
        </w:tc>
        <w:tc>
          <w:tcPr>
            <w:tcW w:w="977" w:type="dxa"/>
            <w:tcBorders>
              <w:top w:val="nil"/>
              <w:left w:val="nil"/>
              <w:bottom w:val="single" w:sz="4" w:space="0" w:color="auto"/>
              <w:right w:val="nil"/>
            </w:tcBorders>
            <w:shd w:val="clear" w:color="auto" w:fill="auto"/>
            <w:noWrap/>
            <w:vAlign w:val="bottom"/>
            <w:hideMark/>
          </w:tcPr>
          <w:p w14:paraId="0930667C" w14:textId="77777777" w:rsidR="00041E73" w:rsidRPr="00895FDC" w:rsidRDefault="00041E73" w:rsidP="000035E8">
            <w:pPr>
              <w:jc w:val="right"/>
              <w:rPr>
                <w:rFonts w:cstheme="minorHAnsi"/>
                <w:color w:val="000000"/>
                <w:lang w:val="en-GB"/>
              </w:rPr>
            </w:pPr>
            <w:r w:rsidRPr="00895FDC">
              <w:rPr>
                <w:rFonts w:cstheme="minorHAnsi"/>
                <w:color w:val="000000"/>
                <w:lang w:val="en-GB"/>
              </w:rPr>
              <w:t>1.80</w:t>
            </w:r>
          </w:p>
        </w:tc>
        <w:tc>
          <w:tcPr>
            <w:tcW w:w="960" w:type="dxa"/>
            <w:tcBorders>
              <w:top w:val="nil"/>
              <w:left w:val="nil"/>
              <w:bottom w:val="single" w:sz="4" w:space="0" w:color="auto"/>
              <w:right w:val="nil"/>
            </w:tcBorders>
            <w:shd w:val="clear" w:color="auto" w:fill="auto"/>
            <w:noWrap/>
            <w:vAlign w:val="bottom"/>
            <w:hideMark/>
          </w:tcPr>
          <w:p w14:paraId="20D8478A" w14:textId="77777777" w:rsidR="00041E73" w:rsidRPr="00895FDC" w:rsidRDefault="00041E73" w:rsidP="000035E8">
            <w:pPr>
              <w:jc w:val="right"/>
              <w:rPr>
                <w:rFonts w:cstheme="minorHAnsi"/>
                <w:color w:val="000000"/>
                <w:lang w:val="en-GB"/>
              </w:rPr>
            </w:pPr>
          </w:p>
        </w:tc>
        <w:tc>
          <w:tcPr>
            <w:tcW w:w="960" w:type="dxa"/>
            <w:tcBorders>
              <w:top w:val="nil"/>
              <w:left w:val="nil"/>
              <w:bottom w:val="single" w:sz="4" w:space="0" w:color="auto"/>
              <w:right w:val="nil"/>
            </w:tcBorders>
            <w:shd w:val="clear" w:color="auto" w:fill="auto"/>
            <w:noWrap/>
            <w:vAlign w:val="bottom"/>
            <w:hideMark/>
          </w:tcPr>
          <w:p w14:paraId="243D3E38" w14:textId="77777777" w:rsidR="00041E73" w:rsidRPr="00895FDC" w:rsidRDefault="00041E73" w:rsidP="000035E8">
            <w:pPr>
              <w:rPr>
                <w:rFonts w:cstheme="minorHAnsi"/>
                <w:lang w:val="en-GB"/>
              </w:rPr>
            </w:pPr>
          </w:p>
        </w:tc>
        <w:tc>
          <w:tcPr>
            <w:tcW w:w="1055" w:type="dxa"/>
            <w:tcBorders>
              <w:top w:val="nil"/>
              <w:left w:val="nil"/>
              <w:bottom w:val="single" w:sz="4" w:space="0" w:color="auto"/>
              <w:right w:val="nil"/>
            </w:tcBorders>
            <w:shd w:val="clear" w:color="auto" w:fill="auto"/>
            <w:noWrap/>
            <w:vAlign w:val="bottom"/>
            <w:hideMark/>
          </w:tcPr>
          <w:p w14:paraId="5C88AFF3" w14:textId="77777777" w:rsidR="00041E73" w:rsidRPr="00895FDC" w:rsidRDefault="00041E73" w:rsidP="000035E8">
            <w:pPr>
              <w:rPr>
                <w:rFonts w:cstheme="minorHAnsi"/>
                <w:color w:val="000000"/>
                <w:lang w:val="en-GB"/>
              </w:rPr>
            </w:pPr>
            <w:r w:rsidRPr="00895FDC">
              <w:rPr>
                <w:rFonts w:cstheme="minorHAnsi"/>
                <w:color w:val="000000"/>
                <w:lang w:val="en-GB"/>
              </w:rPr>
              <w:t>FEP &lt; SZ</w:t>
            </w:r>
          </w:p>
        </w:tc>
        <w:tc>
          <w:tcPr>
            <w:tcW w:w="960" w:type="dxa"/>
            <w:tcBorders>
              <w:top w:val="nil"/>
              <w:left w:val="nil"/>
              <w:bottom w:val="single" w:sz="4" w:space="0" w:color="auto"/>
              <w:right w:val="nil"/>
            </w:tcBorders>
            <w:shd w:val="clear" w:color="auto" w:fill="auto"/>
            <w:noWrap/>
            <w:vAlign w:val="bottom"/>
            <w:hideMark/>
          </w:tcPr>
          <w:p w14:paraId="02D2F3AB" w14:textId="77777777" w:rsidR="00041E73" w:rsidRPr="00895FDC" w:rsidRDefault="00041E73" w:rsidP="000035E8">
            <w:pPr>
              <w:jc w:val="right"/>
              <w:rPr>
                <w:rFonts w:cstheme="minorHAnsi"/>
                <w:color w:val="000000"/>
                <w:lang w:val="en-GB"/>
              </w:rPr>
            </w:pPr>
            <w:r w:rsidRPr="00895FDC">
              <w:rPr>
                <w:rFonts w:cstheme="minorHAnsi"/>
                <w:color w:val="000000"/>
                <w:lang w:val="en-GB"/>
              </w:rPr>
              <w:t>&lt; 0.1</w:t>
            </w:r>
          </w:p>
        </w:tc>
      </w:tr>
    </w:tbl>
    <w:p w14:paraId="6A5E31C5" w14:textId="77777777" w:rsidR="00041E73" w:rsidRPr="00895FDC" w:rsidRDefault="00041E73" w:rsidP="00041E73">
      <w:pPr>
        <w:rPr>
          <w:rFonts w:cstheme="minorHAnsi"/>
          <w:lang w:val="en-GB"/>
        </w:rPr>
      </w:pPr>
      <w:r w:rsidRPr="00895FDC">
        <w:rPr>
          <w:rFonts w:cstheme="minorHAnsi"/>
          <w:lang w:val="en-GB"/>
        </w:rPr>
        <w:t>Note: HC = healthy controls; FEP = first episode psychosis; SZ = schizophrenia; M = mean; SD = standard deviation; pc = principal component.</w:t>
      </w:r>
    </w:p>
    <w:p w14:paraId="3AA85385" w14:textId="77777777" w:rsidR="00041E73" w:rsidRPr="00895FDC" w:rsidRDefault="00041E73" w:rsidP="00041E73">
      <w:pPr>
        <w:rPr>
          <w:rFonts w:cstheme="minorHAnsi"/>
          <w:lang w:val="en-GB"/>
        </w:rPr>
      </w:pPr>
      <w:r w:rsidRPr="00895FDC">
        <w:rPr>
          <w:rFonts w:cstheme="minorHAnsi"/>
          <w:lang w:val="en-GB"/>
        </w:rPr>
        <w:t>* significant after Bonferroni correction</w:t>
      </w:r>
    </w:p>
    <w:p w14:paraId="200F4F7B" w14:textId="77777777" w:rsidR="00895FDC" w:rsidRDefault="00895FDC" w:rsidP="00041E73">
      <w:pPr>
        <w:spacing w:after="0" w:line="240" w:lineRule="auto"/>
        <w:rPr>
          <w:rFonts w:cstheme="minorHAnsi"/>
          <w:lang w:val="en-GB"/>
        </w:rPr>
      </w:pPr>
    </w:p>
    <w:p w14:paraId="7F8CAEA4" w14:textId="77777777" w:rsidR="00895FDC" w:rsidRDefault="00895FDC" w:rsidP="00041E73">
      <w:pPr>
        <w:spacing w:after="0" w:line="240" w:lineRule="auto"/>
        <w:rPr>
          <w:rFonts w:cstheme="minorHAnsi"/>
          <w:lang w:val="en-GB"/>
        </w:rPr>
      </w:pPr>
    </w:p>
    <w:p w14:paraId="5D1E0B8A" w14:textId="77777777" w:rsidR="00895FDC" w:rsidRDefault="00895FDC" w:rsidP="00041E73">
      <w:pPr>
        <w:spacing w:after="0" w:line="240" w:lineRule="auto"/>
        <w:rPr>
          <w:rFonts w:cstheme="minorHAnsi"/>
          <w:lang w:val="en-GB"/>
        </w:rPr>
      </w:pPr>
    </w:p>
    <w:p w14:paraId="18F7BA1D" w14:textId="2EF90451" w:rsidR="00041E73" w:rsidRPr="00895FDC" w:rsidRDefault="00895FDC" w:rsidP="00041E73">
      <w:pPr>
        <w:spacing w:after="0" w:line="240" w:lineRule="auto"/>
        <w:rPr>
          <w:rFonts w:cstheme="minorHAnsi"/>
          <w:lang w:val="en-GB"/>
        </w:rPr>
      </w:pPr>
      <w:r>
        <w:rPr>
          <w:rFonts w:cstheme="minorHAnsi"/>
          <w:lang w:val="en-GB"/>
        </w:rPr>
        <w:t>T</w:t>
      </w:r>
      <w:r w:rsidR="00041E73" w:rsidRPr="00895FDC">
        <w:rPr>
          <w:rFonts w:cstheme="minorHAnsi"/>
          <w:lang w:val="en-GB"/>
        </w:rPr>
        <w:t>able S</w:t>
      </w:r>
      <w:r w:rsidR="00FA1ABA" w:rsidRPr="00895FDC">
        <w:rPr>
          <w:rFonts w:cstheme="minorHAnsi"/>
          <w:lang w:val="en-GB"/>
        </w:rPr>
        <w:t>4</w:t>
      </w:r>
      <w:r w:rsidR="00041E73" w:rsidRPr="00895FDC">
        <w:rPr>
          <w:rFonts w:cstheme="minorHAnsi"/>
          <w:lang w:val="en-GB"/>
        </w:rPr>
        <w:t>: Trust game slope by principal component scores.</w:t>
      </w:r>
    </w:p>
    <w:p w14:paraId="72ABA6C6" w14:textId="77777777" w:rsidR="00041E73" w:rsidRPr="00895FDC" w:rsidRDefault="00041E73" w:rsidP="00041E73">
      <w:pPr>
        <w:rPr>
          <w:lang w:val="en-GB"/>
        </w:rPr>
      </w:pPr>
    </w:p>
    <w:tbl>
      <w:tblPr>
        <w:tblW w:w="0" w:type="auto"/>
        <w:tblInd w:w="-108" w:type="dxa"/>
        <w:tblLayout w:type="fixed"/>
        <w:tblLook w:val="0000" w:firstRow="0" w:lastRow="0" w:firstColumn="0" w:lastColumn="0" w:noHBand="0" w:noVBand="0"/>
      </w:tblPr>
      <w:tblGrid>
        <w:gridCol w:w="3936"/>
        <w:gridCol w:w="3685"/>
      </w:tblGrid>
      <w:tr w:rsidR="00041E73" w:rsidRPr="00895FDC" w14:paraId="09563142" w14:textId="77777777" w:rsidTr="000035E8">
        <w:tc>
          <w:tcPr>
            <w:tcW w:w="3936" w:type="dxa"/>
            <w:tcBorders>
              <w:top w:val="single" w:sz="4" w:space="0" w:color="auto"/>
              <w:left w:val="nil"/>
              <w:bottom w:val="nil"/>
              <w:right w:val="nil"/>
            </w:tcBorders>
          </w:tcPr>
          <w:p w14:paraId="3E29FBA2"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single" w:sz="4" w:space="0" w:color="auto"/>
              <w:left w:val="nil"/>
              <w:bottom w:val="nil"/>
              <w:right w:val="nil"/>
            </w:tcBorders>
          </w:tcPr>
          <w:p w14:paraId="6BA73982"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6E3063C2" w14:textId="77777777" w:rsidTr="000035E8">
        <w:tc>
          <w:tcPr>
            <w:tcW w:w="3936" w:type="dxa"/>
            <w:tcBorders>
              <w:top w:val="nil"/>
              <w:left w:val="nil"/>
              <w:bottom w:val="nil"/>
              <w:right w:val="nil"/>
            </w:tcBorders>
          </w:tcPr>
          <w:p w14:paraId="4AAC5C5C"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516015C7"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Slope</w:t>
            </w:r>
          </w:p>
        </w:tc>
      </w:tr>
      <w:tr w:rsidR="00041E73" w:rsidRPr="00895FDC" w14:paraId="486DEA80" w14:textId="77777777" w:rsidTr="000035E8">
        <w:tc>
          <w:tcPr>
            <w:tcW w:w="3936" w:type="dxa"/>
            <w:tcBorders>
              <w:top w:val="nil"/>
              <w:left w:val="nil"/>
              <w:bottom w:val="nil"/>
              <w:right w:val="nil"/>
            </w:tcBorders>
          </w:tcPr>
          <w:p w14:paraId="516FFBF7"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5022218C"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b/p</w:t>
            </w:r>
          </w:p>
        </w:tc>
      </w:tr>
      <w:tr w:rsidR="00041E73" w:rsidRPr="00895FDC" w14:paraId="5B31FDF9" w14:textId="77777777" w:rsidTr="000035E8">
        <w:tc>
          <w:tcPr>
            <w:tcW w:w="3936" w:type="dxa"/>
            <w:tcBorders>
              <w:top w:val="single" w:sz="4" w:space="0" w:color="auto"/>
              <w:left w:val="nil"/>
              <w:bottom w:val="nil"/>
              <w:right w:val="nil"/>
            </w:tcBorders>
          </w:tcPr>
          <w:p w14:paraId="3BCA06E5"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Scores for component 1 (HC)</w:t>
            </w:r>
          </w:p>
        </w:tc>
        <w:tc>
          <w:tcPr>
            <w:tcW w:w="3685" w:type="dxa"/>
            <w:tcBorders>
              <w:top w:val="single" w:sz="4" w:space="0" w:color="auto"/>
              <w:left w:val="nil"/>
              <w:bottom w:val="nil"/>
              <w:right w:val="nil"/>
            </w:tcBorders>
          </w:tcPr>
          <w:p w14:paraId="5077433A"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0.022 (0.126)</w:t>
            </w:r>
          </w:p>
          <w:p w14:paraId="0A5ADF37"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406D33A3" w14:textId="77777777" w:rsidTr="000035E8">
        <w:tc>
          <w:tcPr>
            <w:tcW w:w="3936" w:type="dxa"/>
            <w:tcBorders>
              <w:top w:val="nil"/>
              <w:left w:val="nil"/>
              <w:bottom w:val="nil"/>
              <w:right w:val="nil"/>
            </w:tcBorders>
          </w:tcPr>
          <w:p w14:paraId="27E90DC1"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FEP</w:t>
            </w:r>
          </w:p>
        </w:tc>
        <w:tc>
          <w:tcPr>
            <w:tcW w:w="3685" w:type="dxa"/>
            <w:tcBorders>
              <w:top w:val="nil"/>
              <w:left w:val="nil"/>
              <w:bottom w:val="nil"/>
              <w:right w:val="nil"/>
            </w:tcBorders>
          </w:tcPr>
          <w:p w14:paraId="32C165DA"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-0.030 (0.217)</w:t>
            </w:r>
          </w:p>
        </w:tc>
      </w:tr>
      <w:tr w:rsidR="00041E73" w:rsidRPr="00895FDC" w14:paraId="76674B49" w14:textId="77777777" w:rsidTr="000035E8">
        <w:tc>
          <w:tcPr>
            <w:tcW w:w="3936" w:type="dxa"/>
            <w:tcBorders>
              <w:top w:val="nil"/>
              <w:left w:val="nil"/>
              <w:bottom w:val="nil"/>
              <w:right w:val="nil"/>
            </w:tcBorders>
          </w:tcPr>
          <w:p w14:paraId="3862CD15"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41626270"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0E7C7A21" w14:textId="77777777" w:rsidTr="000035E8">
        <w:tc>
          <w:tcPr>
            <w:tcW w:w="3936" w:type="dxa"/>
            <w:tcBorders>
              <w:top w:val="nil"/>
              <w:left w:val="nil"/>
              <w:bottom w:val="nil"/>
              <w:right w:val="nil"/>
            </w:tcBorders>
          </w:tcPr>
          <w:p w14:paraId="73C01F3C"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SZ</w:t>
            </w:r>
          </w:p>
        </w:tc>
        <w:tc>
          <w:tcPr>
            <w:tcW w:w="3685" w:type="dxa"/>
            <w:tcBorders>
              <w:top w:val="nil"/>
              <w:left w:val="nil"/>
              <w:bottom w:val="nil"/>
              <w:right w:val="nil"/>
            </w:tcBorders>
          </w:tcPr>
          <w:p w14:paraId="2C7B3A68"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-0.029 (0.310)</w:t>
            </w:r>
          </w:p>
        </w:tc>
      </w:tr>
      <w:tr w:rsidR="00041E73" w:rsidRPr="00895FDC" w14:paraId="641DA76D" w14:textId="77777777" w:rsidTr="000035E8">
        <w:tc>
          <w:tcPr>
            <w:tcW w:w="3936" w:type="dxa"/>
            <w:tcBorders>
              <w:top w:val="nil"/>
              <w:left w:val="nil"/>
              <w:bottom w:val="nil"/>
              <w:right w:val="nil"/>
            </w:tcBorders>
          </w:tcPr>
          <w:p w14:paraId="58660F5D"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5E6858A5"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36CCD154" w14:textId="77777777" w:rsidTr="000035E8">
        <w:tc>
          <w:tcPr>
            <w:tcW w:w="3936" w:type="dxa"/>
            <w:tcBorders>
              <w:top w:val="nil"/>
              <w:left w:val="nil"/>
              <w:bottom w:val="nil"/>
              <w:right w:val="nil"/>
            </w:tcBorders>
          </w:tcPr>
          <w:p w14:paraId="60ACF99B"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FEP # Scores for component 1</w:t>
            </w:r>
          </w:p>
        </w:tc>
        <w:tc>
          <w:tcPr>
            <w:tcW w:w="3685" w:type="dxa"/>
            <w:tcBorders>
              <w:top w:val="nil"/>
              <w:left w:val="nil"/>
              <w:bottom w:val="nil"/>
              <w:right w:val="nil"/>
            </w:tcBorders>
          </w:tcPr>
          <w:p w14:paraId="66F0968F"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-0.027 (0.075)</w:t>
            </w:r>
          </w:p>
        </w:tc>
      </w:tr>
      <w:tr w:rsidR="00041E73" w:rsidRPr="00895FDC" w14:paraId="5C1927C5" w14:textId="77777777" w:rsidTr="000035E8">
        <w:tc>
          <w:tcPr>
            <w:tcW w:w="3936" w:type="dxa"/>
            <w:tcBorders>
              <w:top w:val="nil"/>
              <w:left w:val="nil"/>
              <w:bottom w:val="nil"/>
              <w:right w:val="nil"/>
            </w:tcBorders>
          </w:tcPr>
          <w:p w14:paraId="6A875423"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64B3ADA3"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2AF410C3" w14:textId="77777777" w:rsidTr="000035E8">
        <w:tc>
          <w:tcPr>
            <w:tcW w:w="3936" w:type="dxa"/>
            <w:tcBorders>
              <w:top w:val="nil"/>
              <w:left w:val="nil"/>
              <w:bottom w:val="nil"/>
              <w:right w:val="nil"/>
            </w:tcBorders>
          </w:tcPr>
          <w:p w14:paraId="4C179D70"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SZ # Scores for component 1</w:t>
            </w:r>
          </w:p>
        </w:tc>
        <w:tc>
          <w:tcPr>
            <w:tcW w:w="3685" w:type="dxa"/>
            <w:tcBorders>
              <w:top w:val="nil"/>
              <w:left w:val="nil"/>
              <w:bottom w:val="nil"/>
              <w:right w:val="nil"/>
            </w:tcBorders>
          </w:tcPr>
          <w:p w14:paraId="40FFA89B"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0.000 (0.982)</w:t>
            </w:r>
          </w:p>
        </w:tc>
      </w:tr>
      <w:tr w:rsidR="00041E73" w:rsidRPr="00895FDC" w14:paraId="68F1D998" w14:textId="77777777" w:rsidTr="000035E8">
        <w:tc>
          <w:tcPr>
            <w:tcW w:w="3936" w:type="dxa"/>
            <w:tcBorders>
              <w:top w:val="nil"/>
              <w:left w:val="nil"/>
              <w:bottom w:val="nil"/>
              <w:right w:val="nil"/>
            </w:tcBorders>
          </w:tcPr>
          <w:p w14:paraId="7033C322"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0CD1D555"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0B40E0AF" w14:textId="77777777" w:rsidTr="000035E8">
        <w:tc>
          <w:tcPr>
            <w:tcW w:w="3936" w:type="dxa"/>
            <w:tcBorders>
              <w:top w:val="nil"/>
              <w:left w:val="nil"/>
              <w:bottom w:val="nil"/>
              <w:right w:val="nil"/>
            </w:tcBorders>
          </w:tcPr>
          <w:p w14:paraId="21359382"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Scores for component 2 (HC)</w:t>
            </w:r>
          </w:p>
        </w:tc>
        <w:tc>
          <w:tcPr>
            <w:tcW w:w="3685" w:type="dxa"/>
            <w:tcBorders>
              <w:top w:val="nil"/>
              <w:left w:val="nil"/>
              <w:bottom w:val="nil"/>
              <w:right w:val="nil"/>
            </w:tcBorders>
          </w:tcPr>
          <w:p w14:paraId="1F689C4C"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-0.025 (0.092)</w:t>
            </w:r>
          </w:p>
        </w:tc>
      </w:tr>
      <w:tr w:rsidR="00041E73" w:rsidRPr="00895FDC" w14:paraId="10BBFB20" w14:textId="77777777" w:rsidTr="000035E8">
        <w:tc>
          <w:tcPr>
            <w:tcW w:w="3936" w:type="dxa"/>
            <w:tcBorders>
              <w:top w:val="nil"/>
              <w:left w:val="nil"/>
              <w:bottom w:val="nil"/>
              <w:right w:val="nil"/>
            </w:tcBorders>
          </w:tcPr>
          <w:p w14:paraId="52F86194"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1DC459F6"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2F1A7268" w14:textId="77777777" w:rsidTr="000035E8">
        <w:tc>
          <w:tcPr>
            <w:tcW w:w="3936" w:type="dxa"/>
            <w:tcBorders>
              <w:top w:val="nil"/>
              <w:left w:val="nil"/>
              <w:bottom w:val="nil"/>
              <w:right w:val="nil"/>
            </w:tcBorders>
          </w:tcPr>
          <w:p w14:paraId="169DBC6A"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FEP # Scores for component 2</w:t>
            </w:r>
          </w:p>
        </w:tc>
        <w:tc>
          <w:tcPr>
            <w:tcW w:w="3685" w:type="dxa"/>
            <w:tcBorders>
              <w:top w:val="nil"/>
              <w:left w:val="nil"/>
              <w:bottom w:val="nil"/>
              <w:right w:val="nil"/>
            </w:tcBorders>
          </w:tcPr>
          <w:p w14:paraId="3C51F46B"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0.033</w:t>
            </w:r>
            <w:r w:rsidRPr="00895FDC">
              <w:rPr>
                <w:rFonts w:cstheme="minorHAnsi"/>
                <w:vertAlign w:val="superscript"/>
                <w:lang w:val="en-GB"/>
              </w:rPr>
              <w:t xml:space="preserve">* </w:t>
            </w:r>
            <w:r w:rsidRPr="00895FDC">
              <w:rPr>
                <w:rFonts w:cstheme="minorHAnsi"/>
                <w:lang w:val="en-GB"/>
              </w:rPr>
              <w:t xml:space="preserve"> (0.044)</w:t>
            </w:r>
          </w:p>
        </w:tc>
      </w:tr>
      <w:tr w:rsidR="00041E73" w:rsidRPr="00895FDC" w14:paraId="0D292635" w14:textId="77777777" w:rsidTr="000035E8">
        <w:tc>
          <w:tcPr>
            <w:tcW w:w="3936" w:type="dxa"/>
            <w:tcBorders>
              <w:top w:val="nil"/>
              <w:left w:val="nil"/>
              <w:bottom w:val="nil"/>
              <w:right w:val="nil"/>
            </w:tcBorders>
          </w:tcPr>
          <w:p w14:paraId="24A3C8D7"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3A5C9767"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0C74A63D" w14:textId="77777777" w:rsidTr="000035E8">
        <w:tc>
          <w:tcPr>
            <w:tcW w:w="3936" w:type="dxa"/>
            <w:tcBorders>
              <w:top w:val="nil"/>
              <w:left w:val="nil"/>
              <w:bottom w:val="nil"/>
              <w:right w:val="nil"/>
            </w:tcBorders>
          </w:tcPr>
          <w:p w14:paraId="7EAB8648"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SZ # Scores for component 2</w:t>
            </w:r>
          </w:p>
        </w:tc>
        <w:tc>
          <w:tcPr>
            <w:tcW w:w="3685" w:type="dxa"/>
            <w:tcBorders>
              <w:top w:val="nil"/>
              <w:left w:val="nil"/>
              <w:bottom w:val="nil"/>
              <w:right w:val="nil"/>
            </w:tcBorders>
          </w:tcPr>
          <w:p w14:paraId="154B7FDB"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0.028 (0.110)</w:t>
            </w:r>
          </w:p>
        </w:tc>
      </w:tr>
      <w:tr w:rsidR="00041E73" w:rsidRPr="00895FDC" w14:paraId="53FF06FC" w14:textId="77777777" w:rsidTr="000035E8">
        <w:tc>
          <w:tcPr>
            <w:tcW w:w="3936" w:type="dxa"/>
            <w:tcBorders>
              <w:top w:val="nil"/>
              <w:left w:val="nil"/>
              <w:bottom w:val="nil"/>
              <w:right w:val="nil"/>
            </w:tcBorders>
          </w:tcPr>
          <w:p w14:paraId="721A360B"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nil"/>
              <w:right w:val="nil"/>
            </w:tcBorders>
          </w:tcPr>
          <w:p w14:paraId="72983390"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0C0C7784" w14:textId="77777777" w:rsidTr="000035E8">
        <w:tc>
          <w:tcPr>
            <w:tcW w:w="3936" w:type="dxa"/>
            <w:tcBorders>
              <w:top w:val="nil"/>
              <w:left w:val="nil"/>
              <w:bottom w:val="nil"/>
              <w:right w:val="nil"/>
            </w:tcBorders>
          </w:tcPr>
          <w:p w14:paraId="79BBCC22"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Constant</w:t>
            </w:r>
          </w:p>
        </w:tc>
        <w:tc>
          <w:tcPr>
            <w:tcW w:w="3685" w:type="dxa"/>
            <w:tcBorders>
              <w:top w:val="nil"/>
              <w:left w:val="nil"/>
              <w:bottom w:val="nil"/>
              <w:right w:val="nil"/>
            </w:tcBorders>
          </w:tcPr>
          <w:p w14:paraId="34932558"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0.055</w:t>
            </w:r>
            <w:r w:rsidRPr="00895FDC">
              <w:rPr>
                <w:rFonts w:cstheme="minorHAnsi"/>
                <w:vertAlign w:val="superscript"/>
                <w:lang w:val="en-GB"/>
              </w:rPr>
              <w:t>*</w:t>
            </w:r>
            <w:r w:rsidRPr="00895FDC">
              <w:rPr>
                <w:rFonts w:cstheme="minorHAnsi"/>
                <w:lang w:val="en-GB"/>
              </w:rPr>
              <w:t xml:space="preserve"> (0.012)</w:t>
            </w:r>
          </w:p>
        </w:tc>
      </w:tr>
      <w:tr w:rsidR="00041E73" w:rsidRPr="00895FDC" w14:paraId="2DDC90B9" w14:textId="77777777" w:rsidTr="000035E8">
        <w:tc>
          <w:tcPr>
            <w:tcW w:w="3936" w:type="dxa"/>
            <w:tcBorders>
              <w:top w:val="nil"/>
              <w:left w:val="nil"/>
              <w:bottom w:val="single" w:sz="4" w:space="0" w:color="auto"/>
              <w:right w:val="nil"/>
            </w:tcBorders>
          </w:tcPr>
          <w:p w14:paraId="5551AE8F" w14:textId="77777777" w:rsidR="00041E73" w:rsidRPr="00895FDC" w:rsidRDefault="00041E73" w:rsidP="000035E8">
            <w:pPr>
              <w:autoSpaceDE w:val="0"/>
              <w:autoSpaceDN w:val="0"/>
              <w:adjustRightInd w:val="0"/>
              <w:spacing w:after="0" w:line="240" w:lineRule="auto"/>
              <w:rPr>
                <w:rFonts w:cstheme="minorHAnsi"/>
                <w:lang w:val="en-GB"/>
              </w:rPr>
            </w:pPr>
          </w:p>
        </w:tc>
        <w:tc>
          <w:tcPr>
            <w:tcW w:w="3685" w:type="dxa"/>
            <w:tcBorders>
              <w:top w:val="nil"/>
              <w:left w:val="nil"/>
              <w:bottom w:val="single" w:sz="4" w:space="0" w:color="auto"/>
              <w:right w:val="nil"/>
            </w:tcBorders>
          </w:tcPr>
          <w:p w14:paraId="39A29936" w14:textId="77777777" w:rsidR="00041E73" w:rsidRPr="00895FDC" w:rsidRDefault="00041E73" w:rsidP="000035E8">
            <w:pPr>
              <w:autoSpaceDE w:val="0"/>
              <w:autoSpaceDN w:val="0"/>
              <w:adjustRightInd w:val="0"/>
              <w:spacing w:after="0" w:line="240" w:lineRule="auto"/>
              <w:jc w:val="center"/>
              <w:rPr>
                <w:rFonts w:cstheme="minorHAnsi"/>
                <w:lang w:val="en-GB"/>
              </w:rPr>
            </w:pPr>
          </w:p>
        </w:tc>
      </w:tr>
      <w:tr w:rsidR="00041E73" w:rsidRPr="00895FDC" w14:paraId="16CD2FAB" w14:textId="77777777" w:rsidTr="000035E8">
        <w:tc>
          <w:tcPr>
            <w:tcW w:w="3936" w:type="dxa"/>
            <w:tcBorders>
              <w:top w:val="single" w:sz="4" w:space="0" w:color="auto"/>
              <w:left w:val="nil"/>
              <w:bottom w:val="nil"/>
              <w:right w:val="nil"/>
            </w:tcBorders>
          </w:tcPr>
          <w:p w14:paraId="01A8D676"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R</w:t>
            </w:r>
            <w:r w:rsidRPr="00895FDC">
              <w:rPr>
                <w:rFonts w:cstheme="minorHAnsi"/>
                <w:vertAlign w:val="superscript"/>
                <w:lang w:val="en-GB"/>
              </w:rPr>
              <w:t>2</w:t>
            </w:r>
          </w:p>
        </w:tc>
        <w:tc>
          <w:tcPr>
            <w:tcW w:w="3685" w:type="dxa"/>
            <w:tcBorders>
              <w:top w:val="single" w:sz="4" w:space="0" w:color="auto"/>
              <w:left w:val="nil"/>
              <w:bottom w:val="nil"/>
              <w:right w:val="nil"/>
            </w:tcBorders>
          </w:tcPr>
          <w:p w14:paraId="45382AC2"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0.108</w:t>
            </w:r>
          </w:p>
        </w:tc>
      </w:tr>
      <w:tr w:rsidR="00041E73" w:rsidRPr="00895FDC" w14:paraId="3094581B" w14:textId="77777777" w:rsidTr="000035E8">
        <w:tc>
          <w:tcPr>
            <w:tcW w:w="3936" w:type="dxa"/>
            <w:tcBorders>
              <w:top w:val="nil"/>
              <w:left w:val="nil"/>
              <w:bottom w:val="single" w:sz="4" w:space="0" w:color="auto"/>
              <w:right w:val="nil"/>
            </w:tcBorders>
          </w:tcPr>
          <w:p w14:paraId="58AA743C" w14:textId="77777777" w:rsidR="00041E73" w:rsidRPr="00895FDC" w:rsidRDefault="00041E73" w:rsidP="000035E8">
            <w:pPr>
              <w:autoSpaceDE w:val="0"/>
              <w:autoSpaceDN w:val="0"/>
              <w:adjustRightInd w:val="0"/>
              <w:spacing w:after="0" w:line="240" w:lineRule="auto"/>
              <w:rPr>
                <w:rFonts w:cstheme="minorHAnsi"/>
                <w:lang w:val="en-GB"/>
              </w:rPr>
            </w:pPr>
            <w:r w:rsidRPr="00895FDC">
              <w:rPr>
                <w:rFonts w:cstheme="minorHAnsi"/>
                <w:lang w:val="en-GB"/>
              </w:rPr>
              <w:t>N</w:t>
            </w:r>
          </w:p>
        </w:tc>
        <w:tc>
          <w:tcPr>
            <w:tcW w:w="3685" w:type="dxa"/>
            <w:tcBorders>
              <w:top w:val="nil"/>
              <w:left w:val="nil"/>
              <w:bottom w:val="single" w:sz="4" w:space="0" w:color="auto"/>
              <w:right w:val="nil"/>
            </w:tcBorders>
          </w:tcPr>
          <w:p w14:paraId="1E39F5B8" w14:textId="77777777" w:rsidR="00041E73" w:rsidRPr="00895FDC" w:rsidRDefault="00041E73" w:rsidP="000035E8">
            <w:pPr>
              <w:autoSpaceDE w:val="0"/>
              <w:autoSpaceDN w:val="0"/>
              <w:adjustRightInd w:val="0"/>
              <w:spacing w:after="0" w:line="240" w:lineRule="auto"/>
              <w:jc w:val="center"/>
              <w:rPr>
                <w:rFonts w:cstheme="minorHAnsi"/>
                <w:lang w:val="en-GB"/>
              </w:rPr>
            </w:pPr>
            <w:r w:rsidRPr="00895FDC">
              <w:rPr>
                <w:rFonts w:cstheme="minorHAnsi"/>
                <w:lang w:val="en-GB"/>
              </w:rPr>
              <w:t>178</w:t>
            </w:r>
          </w:p>
        </w:tc>
      </w:tr>
    </w:tbl>
    <w:p w14:paraId="4604C97E" w14:textId="77777777" w:rsidR="00041E73" w:rsidRPr="00895FDC" w:rsidRDefault="00041E73" w:rsidP="00041E73">
      <w:pPr>
        <w:autoSpaceDE w:val="0"/>
        <w:autoSpaceDN w:val="0"/>
        <w:adjustRightInd w:val="0"/>
        <w:spacing w:after="0" w:line="240" w:lineRule="auto"/>
        <w:rPr>
          <w:rFonts w:cstheme="minorHAnsi"/>
          <w:lang w:val="en-GB"/>
        </w:rPr>
      </w:pPr>
      <w:r w:rsidRPr="00895FDC">
        <w:rPr>
          <w:rFonts w:cstheme="minorHAnsi"/>
          <w:vertAlign w:val="superscript"/>
          <w:lang w:val="en-GB"/>
        </w:rPr>
        <w:t>*</w:t>
      </w:r>
      <w:r w:rsidRPr="00895FDC">
        <w:rPr>
          <w:rFonts w:cstheme="minorHAnsi"/>
          <w:lang w:val="en-GB"/>
        </w:rPr>
        <w:t xml:space="preserve"> p &lt; 0.05.</w:t>
      </w:r>
    </w:p>
    <w:p w14:paraId="40B2BDC4" w14:textId="77777777" w:rsidR="00041E73" w:rsidRDefault="00041E73" w:rsidP="00041E73">
      <w:pPr>
        <w:autoSpaceDE w:val="0"/>
        <w:autoSpaceDN w:val="0"/>
        <w:adjustRightInd w:val="0"/>
        <w:spacing w:after="0" w:line="240" w:lineRule="auto"/>
        <w:rPr>
          <w:rFonts w:cstheme="minorHAnsi"/>
          <w:lang w:val="en-GB"/>
        </w:rPr>
      </w:pPr>
      <w:r w:rsidRPr="00895FDC">
        <w:rPr>
          <w:rFonts w:cstheme="minorHAnsi"/>
          <w:lang w:val="en-GB"/>
        </w:rPr>
        <w:t>Note: HC = healthy controls; FEP = first episode psychosis; SZ = schizophrenia.</w:t>
      </w:r>
    </w:p>
    <w:p w14:paraId="13BCA1FB" w14:textId="77777777" w:rsidR="00895FDC" w:rsidRPr="00895FDC" w:rsidRDefault="00895FDC" w:rsidP="00041E73">
      <w:pPr>
        <w:autoSpaceDE w:val="0"/>
        <w:autoSpaceDN w:val="0"/>
        <w:adjustRightInd w:val="0"/>
        <w:spacing w:after="0" w:line="240" w:lineRule="auto"/>
        <w:rPr>
          <w:rFonts w:cstheme="minorHAnsi"/>
          <w:lang w:val="en-GB"/>
        </w:rPr>
      </w:pPr>
    </w:p>
    <w:p w14:paraId="2426DDA0" w14:textId="77777777" w:rsidR="00041E73" w:rsidRPr="00895FDC" w:rsidRDefault="00041E73" w:rsidP="00041E73">
      <w:pPr>
        <w:rPr>
          <w:lang w:val="en-GB"/>
        </w:rPr>
      </w:pPr>
    </w:p>
    <w:p w14:paraId="7E20EF18" w14:textId="77777777" w:rsidR="00895FDC" w:rsidRPr="00895FDC" w:rsidRDefault="007C0241" w:rsidP="00895FDC">
      <w:pPr>
        <w:pStyle w:val="EndNoteBibliography"/>
        <w:spacing w:after="0"/>
        <w:ind w:left="720" w:hanging="720"/>
      </w:pPr>
      <w:r w:rsidRPr="00895FDC">
        <w:rPr>
          <w:lang w:val="en-GB"/>
        </w:rPr>
        <w:fldChar w:fldCharType="begin"/>
      </w:r>
      <w:r w:rsidRPr="00895FDC">
        <w:rPr>
          <w:lang w:val="en-GB"/>
        </w:rPr>
        <w:instrText xml:space="preserve"> ADDIN EN.REFLIST </w:instrText>
      </w:r>
      <w:r w:rsidRPr="00895FDC">
        <w:rPr>
          <w:lang w:val="en-GB"/>
        </w:rPr>
        <w:fldChar w:fldCharType="separate"/>
      </w:r>
      <w:r w:rsidR="00895FDC" w:rsidRPr="00895FDC">
        <w:t xml:space="preserve">Evans, S., Fleming, S. M., Dolan, R. J., &amp; Averbeck, B. (2011). Effects of emotional preferences on value-based decision-making are mediated by mentalizing and not reward networks. </w:t>
      </w:r>
      <w:r w:rsidR="00895FDC" w:rsidRPr="00895FDC">
        <w:rPr>
          <w:i/>
        </w:rPr>
        <w:t>Journal of cognitive neuroscience, 23</w:t>
      </w:r>
      <w:r w:rsidR="00895FDC" w:rsidRPr="00895FDC">
        <w:t xml:space="preserve">(9), 2197-2210. </w:t>
      </w:r>
    </w:p>
    <w:p w14:paraId="7C70F253" w14:textId="499E894B" w:rsidR="00895FDC" w:rsidRPr="00895FDC" w:rsidRDefault="00895FDC" w:rsidP="00895FDC">
      <w:pPr>
        <w:pStyle w:val="EndNoteBibliography"/>
        <w:spacing w:after="0"/>
        <w:ind w:left="720" w:hanging="720"/>
      </w:pPr>
      <w:r w:rsidRPr="00895FDC">
        <w:t xml:space="preserve">Gromann, P., Heslenfeld, D., Fett, A.-K. J., Joyce, D., Shergill, S., &amp; Krabbendam, L. (2013). Trust versus paranoia: abnormal response to social reward in psychotic illness. </w:t>
      </w:r>
      <w:r w:rsidRPr="00895FDC">
        <w:rPr>
          <w:i/>
        </w:rPr>
        <w:t>Brain</w:t>
      </w:r>
      <w:r w:rsidRPr="00895FDC">
        <w:t>, awt076. doi:</w:t>
      </w:r>
      <w:hyperlink r:id="rId12" w:history="1">
        <w:r w:rsidRPr="00895FDC">
          <w:rPr>
            <w:rStyle w:val="Hyperlink"/>
          </w:rPr>
          <w:t>http://doi.org/10.1093/brain/awt076</w:t>
        </w:r>
      </w:hyperlink>
    </w:p>
    <w:p w14:paraId="63C7E34A" w14:textId="77777777" w:rsidR="00895FDC" w:rsidRPr="00895FDC" w:rsidRDefault="00895FDC" w:rsidP="00895FDC">
      <w:pPr>
        <w:pStyle w:val="EndNoteBibliography"/>
        <w:spacing w:after="0"/>
        <w:ind w:left="720" w:hanging="720"/>
      </w:pPr>
      <w:r w:rsidRPr="00895FDC">
        <w:t xml:space="preserve">Horne, C. M., Vanes, L. D., Verneuil, T., Mouchlianitis, E., Szentgyorgyi, T., Averbeck, B., . . . Shergill, S. S. (2021). Cognitive control network connectivity differentially disrupted in treatment resistant schizophrenia. </w:t>
      </w:r>
      <w:r w:rsidRPr="00895FDC">
        <w:rPr>
          <w:i/>
        </w:rPr>
        <w:t>NeuroImage: Clinical, 30</w:t>
      </w:r>
      <w:r w:rsidRPr="00895FDC">
        <w:t xml:space="preserve">, 102631. </w:t>
      </w:r>
    </w:p>
    <w:p w14:paraId="0D206392" w14:textId="3A4DC0E5" w:rsidR="00895FDC" w:rsidRPr="00895FDC" w:rsidRDefault="00895FDC" w:rsidP="00895FDC">
      <w:pPr>
        <w:pStyle w:val="EndNoteBibliography"/>
        <w:spacing w:after="0"/>
        <w:ind w:left="720" w:hanging="720"/>
      </w:pPr>
      <w:r w:rsidRPr="00895FDC">
        <w:t xml:space="preserve">King-Casas, B. (2005). Getting to know you: reputation and trust in a two-person economic exchange. </w:t>
      </w:r>
      <w:r w:rsidRPr="00895FDC">
        <w:rPr>
          <w:i/>
        </w:rPr>
        <w:t>Science, 308</w:t>
      </w:r>
      <w:r w:rsidRPr="00895FDC">
        <w:t xml:space="preserve">, 78-83. Retrieved from </w:t>
      </w:r>
      <w:hyperlink r:id="rId13" w:history="1">
        <w:r w:rsidRPr="00895FDC">
          <w:rPr>
            <w:rStyle w:val="Hyperlink"/>
          </w:rPr>
          <w:t>http://dx.doi.org/10.1126/science.1108062</w:t>
        </w:r>
      </w:hyperlink>
    </w:p>
    <w:p w14:paraId="2BF885AA" w14:textId="77777777" w:rsidR="00895FDC" w:rsidRPr="00895FDC" w:rsidRDefault="00895FDC" w:rsidP="00895FDC">
      <w:pPr>
        <w:pStyle w:val="EndNoteBibliography"/>
        <w:spacing w:after="0"/>
        <w:ind w:left="720" w:hanging="720"/>
      </w:pPr>
      <w:r w:rsidRPr="00895FDC">
        <w:t xml:space="preserve">Lemmers-Jansen, I. L., Krabbendam, L., Veltman, D. J., &amp; Fett, A.-K. J. (2017). Boys vs. girls: Gender differences in the neural development of trust and reciprocity depend on social context. </w:t>
      </w:r>
      <w:r w:rsidRPr="00895FDC">
        <w:rPr>
          <w:i/>
        </w:rPr>
        <w:t>Developmental cognitive neuroscience, 25</w:t>
      </w:r>
      <w:r w:rsidRPr="00895FDC">
        <w:t xml:space="preserve">, 235-245. </w:t>
      </w:r>
    </w:p>
    <w:p w14:paraId="60ADF3A4" w14:textId="77777777" w:rsidR="00895FDC" w:rsidRPr="00895FDC" w:rsidRDefault="00895FDC" w:rsidP="00895FDC">
      <w:pPr>
        <w:pStyle w:val="EndNoteBibliography"/>
        <w:spacing w:after="0"/>
        <w:ind w:left="720" w:hanging="720"/>
      </w:pPr>
      <w:r w:rsidRPr="00895FDC">
        <w:t xml:space="preserve">Vanes, L. D., Mouchlianitis, E., Collier, T., Averbeck, B. B., &amp; Shergill, S. S. (2018). Differential neural reward mechanisms in treatment-responsive and treatment-resistant schizophrenia. </w:t>
      </w:r>
      <w:r w:rsidRPr="00895FDC">
        <w:rPr>
          <w:i/>
        </w:rPr>
        <w:t>Psychological Medicine, 48</w:t>
      </w:r>
      <w:r w:rsidRPr="00895FDC">
        <w:t xml:space="preserve">(14), 2418-2427. </w:t>
      </w:r>
    </w:p>
    <w:p w14:paraId="3B340B20" w14:textId="77777777" w:rsidR="00895FDC" w:rsidRPr="00895FDC" w:rsidRDefault="00895FDC" w:rsidP="00895FDC">
      <w:pPr>
        <w:pStyle w:val="EndNoteBibliography"/>
        <w:ind w:left="720" w:hanging="720"/>
      </w:pPr>
      <w:r w:rsidRPr="00895FDC">
        <w:t xml:space="preserve">Vanes, L. D., Mouchlianitis, E., Patel, K., Barry, E., Wong, K., Thomas, M., . . . Shergill, S. (2019). Neural correlates of positive and negative symptoms through the illness course: an fMRI study in early psychosis and chronic schizophrenia. </w:t>
      </w:r>
      <w:r w:rsidRPr="00895FDC">
        <w:rPr>
          <w:i/>
        </w:rPr>
        <w:t>Scientific reports, 9</w:t>
      </w:r>
      <w:r w:rsidRPr="00895FDC">
        <w:t xml:space="preserve">(1), 1-10. </w:t>
      </w:r>
    </w:p>
    <w:p w14:paraId="074BCB05" w14:textId="29624D16" w:rsidR="00893E98" w:rsidRPr="00895FDC" w:rsidRDefault="007C0241" w:rsidP="00893E98">
      <w:pPr>
        <w:autoSpaceDE w:val="0"/>
        <w:autoSpaceDN w:val="0"/>
        <w:adjustRightInd w:val="0"/>
        <w:spacing w:after="0" w:line="240" w:lineRule="auto"/>
        <w:rPr>
          <w:lang w:val="en-GB"/>
        </w:rPr>
      </w:pPr>
      <w:r w:rsidRPr="00895FDC">
        <w:rPr>
          <w:lang w:val="en-GB"/>
        </w:rPr>
        <w:lastRenderedPageBreak/>
        <w:fldChar w:fldCharType="end"/>
      </w:r>
    </w:p>
    <w:sectPr w:rsidR="00893E98" w:rsidRPr="00895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dw2zrppf502rer9f5va2rmt90v9xa9fxvp&quot;&gt;cognitive_control_psychosis&lt;record-ids&gt;&lt;item&gt;77&lt;/item&gt;&lt;/record-ids&gt;&lt;/item&gt;&lt;/Libraries&gt;"/>
  </w:docVars>
  <w:rsids>
    <w:rsidRoot w:val="000D690C"/>
    <w:rsid w:val="00026A40"/>
    <w:rsid w:val="00031F49"/>
    <w:rsid w:val="00035DD5"/>
    <w:rsid w:val="00041E73"/>
    <w:rsid w:val="000460C2"/>
    <w:rsid w:val="000938DD"/>
    <w:rsid w:val="000D55D0"/>
    <w:rsid w:val="000D690C"/>
    <w:rsid w:val="00117ED3"/>
    <w:rsid w:val="001A27CE"/>
    <w:rsid w:val="001D2C3C"/>
    <w:rsid w:val="002442EF"/>
    <w:rsid w:val="00270603"/>
    <w:rsid w:val="00293D68"/>
    <w:rsid w:val="00294FFA"/>
    <w:rsid w:val="002E00CD"/>
    <w:rsid w:val="002E0A6D"/>
    <w:rsid w:val="003859DD"/>
    <w:rsid w:val="00387DA0"/>
    <w:rsid w:val="003C39CF"/>
    <w:rsid w:val="003D42CD"/>
    <w:rsid w:val="0048282C"/>
    <w:rsid w:val="004920ED"/>
    <w:rsid w:val="004D7526"/>
    <w:rsid w:val="00503CA9"/>
    <w:rsid w:val="00531CEA"/>
    <w:rsid w:val="00594F6E"/>
    <w:rsid w:val="005A60A8"/>
    <w:rsid w:val="005C15AC"/>
    <w:rsid w:val="00601FFB"/>
    <w:rsid w:val="006B128D"/>
    <w:rsid w:val="006F21B2"/>
    <w:rsid w:val="00763726"/>
    <w:rsid w:val="00763DF6"/>
    <w:rsid w:val="00767B3E"/>
    <w:rsid w:val="00776E2C"/>
    <w:rsid w:val="007A7732"/>
    <w:rsid w:val="007C0241"/>
    <w:rsid w:val="0086394B"/>
    <w:rsid w:val="00893E98"/>
    <w:rsid w:val="00895FDC"/>
    <w:rsid w:val="008B1FB8"/>
    <w:rsid w:val="008B3AF7"/>
    <w:rsid w:val="0094308A"/>
    <w:rsid w:val="00966016"/>
    <w:rsid w:val="00967CE7"/>
    <w:rsid w:val="009C1301"/>
    <w:rsid w:val="00A97BF1"/>
    <w:rsid w:val="00AD7BF2"/>
    <w:rsid w:val="00AF7908"/>
    <w:rsid w:val="00B2149C"/>
    <w:rsid w:val="00B40EA3"/>
    <w:rsid w:val="00B57684"/>
    <w:rsid w:val="00B75D38"/>
    <w:rsid w:val="00B83858"/>
    <w:rsid w:val="00B85592"/>
    <w:rsid w:val="00BB51BD"/>
    <w:rsid w:val="00C04881"/>
    <w:rsid w:val="00C11CE3"/>
    <w:rsid w:val="00C357C4"/>
    <w:rsid w:val="00C44FC0"/>
    <w:rsid w:val="00C904F0"/>
    <w:rsid w:val="00C90EFD"/>
    <w:rsid w:val="00CE519E"/>
    <w:rsid w:val="00CE5BC4"/>
    <w:rsid w:val="00CF6703"/>
    <w:rsid w:val="00D12D82"/>
    <w:rsid w:val="00D24023"/>
    <w:rsid w:val="00D76852"/>
    <w:rsid w:val="00E17CE6"/>
    <w:rsid w:val="00E81851"/>
    <w:rsid w:val="00E84D41"/>
    <w:rsid w:val="00F1481A"/>
    <w:rsid w:val="00F44349"/>
    <w:rsid w:val="00F65383"/>
    <w:rsid w:val="00F90481"/>
    <w:rsid w:val="00FA1A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12A5"/>
  <w15:chartTrackingRefBased/>
  <w15:docId w15:val="{24F7A2F7-71DB-4DC7-BA94-52AE0DA0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3858"/>
    <w:rPr>
      <w:sz w:val="16"/>
      <w:szCs w:val="16"/>
    </w:rPr>
  </w:style>
  <w:style w:type="paragraph" w:styleId="CommentText">
    <w:name w:val="annotation text"/>
    <w:basedOn w:val="Normal"/>
    <w:link w:val="CommentTextChar"/>
    <w:uiPriority w:val="99"/>
    <w:semiHidden/>
    <w:unhideWhenUsed/>
    <w:rsid w:val="00B83858"/>
    <w:pPr>
      <w:spacing w:line="240" w:lineRule="auto"/>
    </w:pPr>
    <w:rPr>
      <w:sz w:val="20"/>
      <w:szCs w:val="20"/>
    </w:rPr>
  </w:style>
  <w:style w:type="character" w:customStyle="1" w:styleId="CommentTextChar">
    <w:name w:val="Comment Text Char"/>
    <w:basedOn w:val="DefaultParagraphFont"/>
    <w:link w:val="CommentText"/>
    <w:uiPriority w:val="99"/>
    <w:semiHidden/>
    <w:rsid w:val="00B83858"/>
    <w:rPr>
      <w:sz w:val="20"/>
      <w:szCs w:val="20"/>
    </w:rPr>
  </w:style>
  <w:style w:type="paragraph" w:styleId="CommentSubject">
    <w:name w:val="annotation subject"/>
    <w:basedOn w:val="CommentText"/>
    <w:next w:val="CommentText"/>
    <w:link w:val="CommentSubjectChar"/>
    <w:uiPriority w:val="99"/>
    <w:semiHidden/>
    <w:unhideWhenUsed/>
    <w:rsid w:val="00B83858"/>
    <w:rPr>
      <w:b/>
      <w:bCs/>
    </w:rPr>
  </w:style>
  <w:style w:type="character" w:customStyle="1" w:styleId="CommentSubjectChar">
    <w:name w:val="Comment Subject Char"/>
    <w:basedOn w:val="CommentTextChar"/>
    <w:link w:val="CommentSubject"/>
    <w:uiPriority w:val="99"/>
    <w:semiHidden/>
    <w:rsid w:val="00B83858"/>
    <w:rPr>
      <w:b/>
      <w:bCs/>
      <w:sz w:val="20"/>
      <w:szCs w:val="20"/>
    </w:rPr>
  </w:style>
  <w:style w:type="paragraph" w:styleId="BalloonText">
    <w:name w:val="Balloon Text"/>
    <w:basedOn w:val="Normal"/>
    <w:link w:val="BalloonTextChar"/>
    <w:uiPriority w:val="99"/>
    <w:semiHidden/>
    <w:unhideWhenUsed/>
    <w:rsid w:val="00B83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858"/>
    <w:rPr>
      <w:rFonts w:ascii="Segoe UI" w:hAnsi="Segoe UI" w:cs="Segoe UI"/>
      <w:sz w:val="18"/>
      <w:szCs w:val="18"/>
    </w:rPr>
  </w:style>
  <w:style w:type="paragraph" w:customStyle="1" w:styleId="EndNoteBibliographyTitle">
    <w:name w:val="EndNote Bibliography Title"/>
    <w:basedOn w:val="Normal"/>
    <w:link w:val="EndNoteBibliographyTitleChar"/>
    <w:rsid w:val="007C024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C0241"/>
    <w:rPr>
      <w:rFonts w:ascii="Calibri" w:hAnsi="Calibri" w:cs="Calibri"/>
      <w:noProof/>
      <w:lang w:val="en-US"/>
    </w:rPr>
  </w:style>
  <w:style w:type="paragraph" w:customStyle="1" w:styleId="EndNoteBibliography">
    <w:name w:val="EndNote Bibliography"/>
    <w:basedOn w:val="Normal"/>
    <w:link w:val="EndNoteBibliographyChar"/>
    <w:rsid w:val="007C024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C0241"/>
    <w:rPr>
      <w:rFonts w:ascii="Calibri" w:hAnsi="Calibri" w:cs="Calibri"/>
      <w:noProof/>
      <w:lang w:val="en-US"/>
    </w:rPr>
  </w:style>
  <w:style w:type="character" w:styleId="Hyperlink">
    <w:name w:val="Hyperlink"/>
    <w:basedOn w:val="DefaultParagraphFont"/>
    <w:uiPriority w:val="99"/>
    <w:unhideWhenUsed/>
    <w:rsid w:val="007C0241"/>
    <w:rPr>
      <w:color w:val="0563C1" w:themeColor="hyperlink"/>
      <w:u w:val="single"/>
    </w:rPr>
  </w:style>
  <w:style w:type="character" w:styleId="UnresolvedMention">
    <w:name w:val="Unresolved Mention"/>
    <w:basedOn w:val="DefaultParagraphFont"/>
    <w:uiPriority w:val="99"/>
    <w:semiHidden/>
    <w:unhideWhenUsed/>
    <w:rsid w:val="007C0241"/>
    <w:rPr>
      <w:color w:val="605E5C"/>
      <w:shd w:val="clear" w:color="auto" w:fill="E1DFDD"/>
    </w:rPr>
  </w:style>
  <w:style w:type="paragraph" w:styleId="Revision">
    <w:name w:val="Revision"/>
    <w:hidden/>
    <w:uiPriority w:val="99"/>
    <w:semiHidden/>
    <w:rsid w:val="001A2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dx.doi.org/10.1126/science.1108062"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doi.org/10.1093/brain/awt07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7B9A-37B2-4FE0-A30E-8A56CB07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I.L.J.</dc:creator>
  <cp:keywords/>
  <dc:description/>
  <cp:lastModifiedBy>Raka Maitra</cp:lastModifiedBy>
  <cp:revision>3</cp:revision>
  <dcterms:created xsi:type="dcterms:W3CDTF">2024-01-13T18:03:00Z</dcterms:created>
  <dcterms:modified xsi:type="dcterms:W3CDTF">2024-01-13T18:04:00Z</dcterms:modified>
</cp:coreProperties>
</file>