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8DF09" w14:textId="429D25C3" w:rsidR="008572F7" w:rsidRPr="0074397E" w:rsidRDefault="008572F7" w:rsidP="008572F7">
      <w:pPr>
        <w:pStyle w:val="Heading1"/>
        <w:numPr>
          <w:ilvl w:val="0"/>
          <w:numId w:val="0"/>
        </w:numPr>
        <w:ind w:left="432"/>
        <w:rPr>
          <w:rFonts w:ascii="Times New Roman" w:hAnsi="Times New Roman"/>
          <w:caps w:val="0"/>
        </w:rPr>
      </w:pPr>
      <w:r>
        <w:rPr>
          <w:rFonts w:ascii="Times New Roman" w:hAnsi="Times New Roman"/>
          <w:caps w:val="0"/>
        </w:rPr>
        <w:t>Supplemental Materials</w:t>
      </w:r>
    </w:p>
    <w:p w14:paraId="587151D5" w14:textId="77777777" w:rsidR="008572F7" w:rsidRDefault="008572F7" w:rsidP="008572F7">
      <w:pPr>
        <w:spacing w:after="160" w:line="259" w:lineRule="auto"/>
        <w:ind w:firstLine="0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0E5D31FF" w14:textId="1AB302C6" w:rsidR="008572F7" w:rsidRPr="00157342" w:rsidRDefault="008572F7" w:rsidP="008572F7">
      <w:pPr>
        <w:pStyle w:val="Heading2"/>
        <w:numPr>
          <w:ilvl w:val="0"/>
          <w:numId w:val="0"/>
        </w:numPr>
        <w:ind w:left="576" w:hanging="576"/>
        <w:jc w:val="center"/>
        <w:rPr>
          <w:rFonts w:ascii="Times New Roman" w:hAnsi="Times New Roman"/>
        </w:rPr>
      </w:pPr>
      <w:bookmarkStart w:id="0" w:name="_Toc105078148"/>
      <w:r>
        <w:rPr>
          <w:rFonts w:ascii="Times New Roman" w:hAnsi="Times New Roman"/>
        </w:rPr>
        <w:lastRenderedPageBreak/>
        <w:t>Supplement</w:t>
      </w:r>
      <w:r w:rsidRPr="00157342">
        <w:rPr>
          <w:rFonts w:ascii="Times New Roman" w:hAnsi="Times New Roman"/>
        </w:rPr>
        <w:t xml:space="preserve"> I: </w:t>
      </w:r>
      <w:r w:rsidRPr="00F70AF0">
        <w:rPr>
          <w:rFonts w:ascii="Times New Roman" w:hAnsi="Times New Roman"/>
        </w:rPr>
        <w:t xml:space="preserve">Search </w:t>
      </w:r>
      <w:proofErr w:type="gramStart"/>
      <w:r w:rsidRPr="00F70AF0">
        <w:rPr>
          <w:rFonts w:ascii="Times New Roman" w:hAnsi="Times New Roman"/>
        </w:rPr>
        <w:t>terms</w:t>
      </w:r>
      <w:bookmarkEnd w:id="0"/>
      <w:proofErr w:type="gramEnd"/>
    </w:p>
    <w:p w14:paraId="2853C068" w14:textId="77777777" w:rsidR="008572F7" w:rsidRDefault="008572F7" w:rsidP="008572F7">
      <w:pPr>
        <w:spacing w:after="160" w:line="259" w:lineRule="auto"/>
        <w:ind w:firstLine="0"/>
        <w:rPr>
          <w:rFonts w:ascii="Times New Roman" w:hAnsi="Times New Roman"/>
          <w:b/>
          <w:bCs/>
          <w:szCs w:val="24"/>
        </w:rPr>
      </w:pPr>
    </w:p>
    <w:p w14:paraId="3009152C" w14:textId="77777777" w:rsidR="008572F7" w:rsidRDefault="008572F7" w:rsidP="008572F7">
      <w:pPr>
        <w:ind w:firstLine="0"/>
        <w:rPr>
          <w:rFonts w:ascii="Times New Roman" w:hAnsi="Times New Roman"/>
          <w:b/>
          <w:bCs/>
        </w:rPr>
      </w:pPr>
      <w:r w:rsidRPr="00F019E6">
        <w:rPr>
          <w:rFonts w:ascii="Times New Roman" w:hAnsi="Times New Roman"/>
          <w:b/>
          <w:bCs/>
        </w:rPr>
        <w:t>PubMed</w:t>
      </w:r>
    </w:p>
    <w:p w14:paraId="677E0615" w14:textId="77777777" w:rsidR="008572F7" w:rsidRDefault="008572F7" w:rsidP="008572F7">
      <w:pPr>
        <w:ind w:firstLine="0"/>
        <w:rPr>
          <w:rFonts w:ascii="Times New Roman" w:hAnsi="Times New Roman"/>
        </w:rPr>
      </w:pPr>
      <w:r w:rsidRPr="00F70AF0">
        <w:rPr>
          <w:rFonts w:ascii="Times New Roman" w:hAnsi="Times New Roman"/>
        </w:rPr>
        <w:t xml:space="preserve">(cannabis OR marijuana AND depression OR depressive OR MDD AND longitudinal NOT retrospective NOT treatment NOT spatial NOT genetics NOT e-cigarette NOT policy NOT prenatal NOT prevalence NOT market NOT magnetic NOT parental NOT family NOT </w:t>
      </w:r>
      <w:proofErr w:type="spellStart"/>
      <w:r w:rsidRPr="00F70AF0">
        <w:rPr>
          <w:rFonts w:ascii="Times New Roman" w:hAnsi="Times New Roman"/>
        </w:rPr>
        <w:t>schizot</w:t>
      </w:r>
      <w:proofErr w:type="spellEnd"/>
      <w:r w:rsidRPr="00F70AF0">
        <w:rPr>
          <w:rFonts w:ascii="Times New Roman" w:hAnsi="Times New Roman"/>
        </w:rPr>
        <w:t xml:space="preserve">* NOT </w:t>
      </w:r>
      <w:proofErr w:type="spellStart"/>
      <w:r w:rsidRPr="00F70AF0">
        <w:rPr>
          <w:rFonts w:ascii="Times New Roman" w:hAnsi="Times New Roman"/>
        </w:rPr>
        <w:t>schizophren</w:t>
      </w:r>
      <w:proofErr w:type="spellEnd"/>
      <w:r w:rsidRPr="00F70AF0">
        <w:rPr>
          <w:rFonts w:ascii="Times New Roman" w:hAnsi="Times New Roman"/>
        </w:rPr>
        <w:t>* NOT receptor)</w:t>
      </w:r>
    </w:p>
    <w:p w14:paraId="68BC504F" w14:textId="77777777" w:rsidR="008572F7" w:rsidRPr="00F019E6" w:rsidRDefault="008572F7" w:rsidP="008572F7">
      <w:pPr>
        <w:ind w:firstLine="0"/>
        <w:rPr>
          <w:rFonts w:ascii="Times New Roman" w:hAnsi="Times New Roman"/>
          <w:b/>
          <w:bCs/>
        </w:rPr>
      </w:pPr>
      <w:proofErr w:type="spellStart"/>
      <w:r w:rsidRPr="00F019E6">
        <w:rPr>
          <w:rFonts w:ascii="Times New Roman" w:hAnsi="Times New Roman"/>
          <w:b/>
          <w:bCs/>
        </w:rPr>
        <w:t>OvidMedline</w:t>
      </w:r>
      <w:proofErr w:type="spellEnd"/>
    </w:p>
    <w:p w14:paraId="1B61CA22" w14:textId="77777777" w:rsidR="008572F7" w:rsidRDefault="008572F7" w:rsidP="008572F7">
      <w:pPr>
        <w:ind w:firstLine="0"/>
        <w:rPr>
          <w:rFonts w:ascii="Times New Roman" w:hAnsi="Times New Roman"/>
        </w:rPr>
      </w:pPr>
      <w:proofErr w:type="gramStart"/>
      <w:r w:rsidRPr="00F019E6">
        <w:rPr>
          <w:rFonts w:ascii="Times New Roman" w:hAnsi="Times New Roman"/>
        </w:rPr>
        <w:t>( (</w:t>
      </w:r>
      <w:proofErr w:type="gramEnd"/>
      <w:r w:rsidRPr="00F019E6">
        <w:rPr>
          <w:rFonts w:ascii="Times New Roman" w:hAnsi="Times New Roman"/>
        </w:rPr>
        <w:t xml:space="preserve"> AB ( cannabis or marijuana or </w:t>
      </w:r>
      <w:proofErr w:type="spellStart"/>
      <w:r w:rsidRPr="00F019E6">
        <w:rPr>
          <w:rFonts w:ascii="Times New Roman" w:hAnsi="Times New Roman"/>
        </w:rPr>
        <w:t>thc</w:t>
      </w:r>
      <w:proofErr w:type="spellEnd"/>
      <w:r w:rsidRPr="00F019E6">
        <w:rPr>
          <w:rFonts w:ascii="Times New Roman" w:hAnsi="Times New Roman"/>
        </w:rPr>
        <w:t xml:space="preserve"> or pot or weed or </w:t>
      </w:r>
      <w:proofErr w:type="spellStart"/>
      <w:r w:rsidRPr="00F019E6">
        <w:rPr>
          <w:rFonts w:ascii="Times New Roman" w:hAnsi="Times New Roman"/>
        </w:rPr>
        <w:t>thc</w:t>
      </w:r>
      <w:proofErr w:type="spellEnd"/>
      <w:r w:rsidRPr="00F019E6">
        <w:rPr>
          <w:rFonts w:ascii="Times New Roman" w:hAnsi="Times New Roman"/>
        </w:rPr>
        <w:t xml:space="preserve"> or </w:t>
      </w:r>
      <w:proofErr w:type="spellStart"/>
      <w:r w:rsidRPr="00F019E6">
        <w:rPr>
          <w:rFonts w:ascii="Times New Roman" w:hAnsi="Times New Roman"/>
        </w:rPr>
        <w:t>cbd</w:t>
      </w:r>
      <w:proofErr w:type="spellEnd"/>
      <w:r w:rsidRPr="00F019E6">
        <w:rPr>
          <w:rFonts w:ascii="Times New Roman" w:hAnsi="Times New Roman"/>
        </w:rPr>
        <w:t xml:space="preserve"> or tetrahydrocannabinol or cannabidiol ) AND AB ( depression or depressive disorder or depressive symptoms or major depressive disorder ) AND AB ( longitudinal studies or longitudinal research or longitudinal method ) ) NOT ( self-injurious behavior or </w:t>
      </w:r>
      <w:proofErr w:type="spellStart"/>
      <w:r w:rsidRPr="00F019E6">
        <w:rPr>
          <w:rFonts w:ascii="Times New Roman" w:hAnsi="Times New Roman"/>
        </w:rPr>
        <w:t>self injury</w:t>
      </w:r>
      <w:proofErr w:type="spellEnd"/>
      <w:r w:rsidRPr="00F019E6">
        <w:rPr>
          <w:rFonts w:ascii="Times New Roman" w:hAnsi="Times New Roman"/>
        </w:rPr>
        <w:t xml:space="preserve"> or </w:t>
      </w:r>
      <w:proofErr w:type="spellStart"/>
      <w:r w:rsidRPr="00F019E6">
        <w:rPr>
          <w:rFonts w:ascii="Times New Roman" w:hAnsi="Times New Roman"/>
        </w:rPr>
        <w:t>self harm</w:t>
      </w:r>
      <w:proofErr w:type="spellEnd"/>
      <w:r w:rsidRPr="00F019E6">
        <w:rPr>
          <w:rFonts w:ascii="Times New Roman" w:hAnsi="Times New Roman"/>
        </w:rPr>
        <w:t xml:space="preserve"> ) NOT ( sexually transmitted diseases or sexually transmitted infections or </w:t>
      </w:r>
      <w:proofErr w:type="spellStart"/>
      <w:r w:rsidRPr="00F019E6">
        <w:rPr>
          <w:rFonts w:ascii="Times New Roman" w:hAnsi="Times New Roman"/>
        </w:rPr>
        <w:t>sti</w:t>
      </w:r>
      <w:proofErr w:type="spellEnd"/>
      <w:r w:rsidRPr="00F019E6">
        <w:rPr>
          <w:rFonts w:ascii="Times New Roman" w:hAnsi="Times New Roman"/>
        </w:rPr>
        <w:t xml:space="preserve"> or std ) ) NOT AB opioid</w:t>
      </w:r>
    </w:p>
    <w:p w14:paraId="11942F41" w14:textId="77777777" w:rsidR="008572F7" w:rsidRDefault="008572F7" w:rsidP="008572F7">
      <w:pPr>
        <w:ind w:firstLine="0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GoogleScholar</w:t>
      </w:r>
      <w:proofErr w:type="spellEnd"/>
    </w:p>
    <w:p w14:paraId="7CE58D3A" w14:textId="77777777" w:rsidR="008572F7" w:rsidRPr="002D11A8" w:rsidRDefault="008572F7" w:rsidP="008572F7">
      <w:pPr>
        <w:ind w:firstLine="0"/>
        <w:rPr>
          <w:rFonts w:ascii="Times New Roman" w:hAnsi="Times New Roman"/>
        </w:rPr>
      </w:pPr>
      <w:r w:rsidRPr="002D11A8">
        <w:rPr>
          <w:rFonts w:ascii="Times New Roman" w:hAnsi="Times New Roman"/>
        </w:rPr>
        <w:t xml:space="preserve">(cannabis OR marijuana) AND (depression or depress) AND </w:t>
      </w:r>
      <w:proofErr w:type="gramStart"/>
      <w:r w:rsidRPr="002D11A8">
        <w:rPr>
          <w:rFonts w:ascii="Times New Roman" w:hAnsi="Times New Roman"/>
        </w:rPr>
        <w:t>longitudinal</w:t>
      </w:r>
      <w:proofErr w:type="gramEnd"/>
    </w:p>
    <w:p w14:paraId="0D67E841" w14:textId="77777777" w:rsidR="008572F7" w:rsidRDefault="008572F7" w:rsidP="008572F7">
      <w:pPr>
        <w:spacing w:after="160" w:line="259" w:lineRule="auto"/>
        <w:ind w:firstLine="0"/>
        <w:rPr>
          <w:rFonts w:ascii="Times New Roman" w:hAnsi="Times New Roman"/>
          <w:b/>
          <w:bCs/>
          <w:szCs w:val="24"/>
        </w:rPr>
      </w:pPr>
      <w:r w:rsidRPr="00186C77">
        <w:rPr>
          <w:rFonts w:ascii="Times New Roman" w:hAnsi="Times New Roman"/>
          <w:b/>
          <w:bCs/>
          <w:szCs w:val="24"/>
        </w:rPr>
        <w:t>ProQuest Dissertations &amp; Theses A&amp;I</w:t>
      </w:r>
    </w:p>
    <w:p w14:paraId="6645B497" w14:textId="77777777" w:rsidR="008572F7" w:rsidRPr="00A04DAC" w:rsidRDefault="008572F7" w:rsidP="008572F7">
      <w:pPr>
        <w:spacing w:after="160" w:line="259" w:lineRule="auto"/>
        <w:ind w:firstLine="0"/>
        <w:rPr>
          <w:rFonts w:ascii="Times New Roman" w:hAnsi="Times New Roman"/>
          <w:szCs w:val="24"/>
        </w:rPr>
      </w:pPr>
      <w:proofErr w:type="spellStart"/>
      <w:proofErr w:type="gramStart"/>
      <w:r w:rsidRPr="00A04DAC">
        <w:rPr>
          <w:rFonts w:ascii="Times New Roman" w:hAnsi="Times New Roman"/>
          <w:szCs w:val="24"/>
        </w:rPr>
        <w:t>ti</w:t>
      </w:r>
      <w:proofErr w:type="spellEnd"/>
      <w:r w:rsidRPr="00A04DAC">
        <w:rPr>
          <w:rFonts w:ascii="Times New Roman" w:hAnsi="Times New Roman"/>
          <w:szCs w:val="24"/>
        </w:rPr>
        <w:t>(</w:t>
      </w:r>
      <w:proofErr w:type="gramEnd"/>
      <w:r w:rsidRPr="00A04DAC">
        <w:rPr>
          <w:rFonts w:ascii="Times New Roman" w:hAnsi="Times New Roman"/>
          <w:szCs w:val="24"/>
        </w:rPr>
        <w:t xml:space="preserve">cannabis or marijuana) AND </w:t>
      </w:r>
      <w:proofErr w:type="spellStart"/>
      <w:r w:rsidRPr="00A04DAC">
        <w:rPr>
          <w:rFonts w:ascii="Times New Roman" w:hAnsi="Times New Roman"/>
          <w:szCs w:val="24"/>
        </w:rPr>
        <w:t>ti</w:t>
      </w:r>
      <w:proofErr w:type="spellEnd"/>
      <w:r w:rsidRPr="00A04DAC">
        <w:rPr>
          <w:rFonts w:ascii="Times New Roman" w:hAnsi="Times New Roman"/>
          <w:szCs w:val="24"/>
        </w:rPr>
        <w:t>(depression or depress)</w:t>
      </w:r>
      <w:r>
        <w:rPr>
          <w:rFonts w:ascii="Times New Roman" w:hAnsi="Times New Roman"/>
          <w:szCs w:val="24"/>
        </w:rPr>
        <w:t>; limit to doctoral dissertations only</w:t>
      </w:r>
    </w:p>
    <w:p w14:paraId="1B2E00CA" w14:textId="17E8E7A6" w:rsidR="008572F7" w:rsidRPr="00157342" w:rsidRDefault="008572F7" w:rsidP="008572F7">
      <w:pPr>
        <w:pStyle w:val="Heading2"/>
        <w:numPr>
          <w:ilvl w:val="0"/>
          <w:numId w:val="0"/>
        </w:numPr>
        <w:ind w:left="576" w:hanging="576"/>
        <w:jc w:val="center"/>
        <w:rPr>
          <w:rFonts w:ascii="Times New Roman" w:hAnsi="Times New Roman"/>
        </w:rPr>
        <w:sectPr w:rsidR="008572F7" w:rsidRPr="00157342" w:rsidSect="008572F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br w:type="page"/>
      </w:r>
      <w:bookmarkStart w:id="1" w:name="_Toc105078149"/>
      <w:r>
        <w:rPr>
          <w:rFonts w:ascii="Times New Roman" w:hAnsi="Times New Roman"/>
        </w:rPr>
        <w:lastRenderedPageBreak/>
        <w:t>Supplement</w:t>
      </w:r>
      <w:r w:rsidRPr="001573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157342">
        <w:rPr>
          <w:rFonts w:ascii="Times New Roman" w:hAnsi="Times New Roman"/>
        </w:rPr>
        <w:t>I: Screening tool</w:t>
      </w:r>
      <w:bookmarkEnd w:id="1"/>
    </w:p>
    <w:p w14:paraId="4EE1097E" w14:textId="77777777" w:rsidR="008572F7" w:rsidRPr="00610C27" w:rsidRDefault="008572F7" w:rsidP="008572F7">
      <w:pPr>
        <w:rPr>
          <w:rFonts w:ascii="Times New Roman" w:hAnsi="Times New Roman"/>
          <w:b/>
          <w:bCs/>
        </w:rPr>
      </w:pPr>
      <w:r w:rsidRPr="00610C27">
        <w:rPr>
          <w:rFonts w:ascii="Times New Roman" w:hAnsi="Times New Roman"/>
          <w:b/>
          <w:bCs/>
        </w:rPr>
        <w:lastRenderedPageBreak/>
        <w:t>Original Search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3095"/>
        <w:gridCol w:w="987"/>
        <w:gridCol w:w="1318"/>
        <w:gridCol w:w="1260"/>
        <w:gridCol w:w="1800"/>
        <w:gridCol w:w="1260"/>
        <w:gridCol w:w="990"/>
        <w:gridCol w:w="3690"/>
      </w:tblGrid>
      <w:tr w:rsidR="008572F7" w:rsidRPr="00A04DAC" w14:paraId="4B837719" w14:textId="77777777" w:rsidTr="00931D58">
        <w:trPr>
          <w:trHeight w:val="288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04E3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Citation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3155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Does it mention cannabis?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84E9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Does it mention depression?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C25F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Is it a longitudinal study?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ADB9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Does it specify cannabis use before depression?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6BBF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Is it a special population?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5A8C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Decision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96BC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Notes</w:t>
            </w:r>
          </w:p>
        </w:tc>
      </w:tr>
      <w:tr w:rsidR="008572F7" w:rsidRPr="00A04DAC" w14:paraId="5726A70B" w14:textId="77777777" w:rsidTr="00931D58">
        <w:trPr>
          <w:trHeight w:val="288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0D7CDAE5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Hines LA, Freeman TP, Gage SH, et al. Association of High-Potency Cannabis Use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With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Mental Health and Substance Use in Adolescence. JAMA Psychiatry. 2020;77(10):1044-1051.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9E62A62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DF4A500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D6AE212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86F83AF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91BC4CA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yes - only cannabis users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95948A8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145359E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because it only looked at cannabis users for their analysis and did not compare cannabis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users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vs non users</w:t>
            </w:r>
          </w:p>
        </w:tc>
      </w:tr>
      <w:tr w:rsidR="008572F7" w:rsidRPr="00A04DAC" w14:paraId="0FCEE7FE" w14:textId="77777777" w:rsidTr="00931D58">
        <w:trPr>
          <w:trHeight w:val="288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0E33721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Gage SH, Hickman M, Heron J, et al. Associations of Cannabis and Cigarette Use with Depression and Anxiety at Age 18: Findings from the Avon Longitudinal Study of Parents and Children. PLOS ONE. 2015;10(4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):e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0122896.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doi:10.1371/journal.pone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.0122896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7C69BAC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94ECF2F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F6EF7CF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F258518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D6FD773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6A94452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include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56AEED35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8572F7" w:rsidRPr="00A04DAC" w14:paraId="43DDDD43" w14:textId="77777777" w:rsidTr="00931D58">
        <w:trPr>
          <w:trHeight w:val="288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FA6B7AB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Cannabis and anxiety and depression in young adults: a large prospective study.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9E0DE09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2B2BA9E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yes - but only in combination with anxiety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DADED7A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47C565C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109D6C5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1812B1F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35FF8EF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does not separate depression from anxiety</w:t>
            </w:r>
          </w:p>
        </w:tc>
      </w:tr>
      <w:tr w:rsidR="008572F7" w:rsidRPr="00A04DAC" w14:paraId="7ADC7DFA" w14:textId="77777777" w:rsidTr="00931D58">
        <w:trPr>
          <w:trHeight w:val="288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17E37AC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Fergusson DM, Horwood LJ, Swain-Campbell NR. Cannabis dependence and psychotic symptoms in young people. Psychological Medicine. 2003;33(1):15-21. doi:10.1017/S0033291702006402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22A7D47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314E4AF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395E9E4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93A7AE9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38A277E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619E782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AD36527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"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psychotic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symptoms" and not depression</w:t>
            </w:r>
          </w:p>
        </w:tc>
      </w:tr>
      <w:tr w:rsidR="008572F7" w:rsidRPr="00A04DAC" w14:paraId="41CBC4C8" w14:textId="77777777" w:rsidTr="00931D58">
        <w:trPr>
          <w:trHeight w:val="288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7D9E6D7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Wittchen HU, Fröhlich C, Behrendt S, et al. Cannabis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use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and cannabis use disorders and their relationship to mental disorders: A 10-year prospective-longitudinal community study in adolescents. Drug and Alcohol Dependence. 2007;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88:S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60-S70.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doi:10.1016/j.drugalcdep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.2006.12.013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D79AC3B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FD14374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A1581E5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6251658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7D6F3E0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C56C445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7B47A7C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temporal association of cannabis - depression not established</w:t>
            </w:r>
          </w:p>
        </w:tc>
      </w:tr>
      <w:tr w:rsidR="008572F7" w:rsidRPr="00A04DAC" w14:paraId="78DE1D81" w14:textId="77777777" w:rsidTr="00931D58">
        <w:trPr>
          <w:trHeight w:val="288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41490F69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563C1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sz w:val="18"/>
                <w:szCs w:val="18"/>
              </w:rPr>
              <w:t>Fergusson DM, Boden JM. Cannabis use and later life outcomes. Addiction. 2008;103(6):969-976. doi:10.1111/j.1360-0443.</w:t>
            </w:r>
            <w:proofErr w:type="gramStart"/>
            <w:r w:rsidRPr="00D813AB">
              <w:rPr>
                <w:rFonts w:ascii="Times New Roman" w:eastAsia="Times New Roman" w:hAnsi="Times New Roman"/>
                <w:sz w:val="18"/>
                <w:szCs w:val="18"/>
              </w:rPr>
              <w:t>2008.02221.x</w:t>
            </w:r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AE1186C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872A295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0D3DC37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AB3D24A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F975672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BDC387E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A7014E3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does not look at depression</w:t>
            </w:r>
          </w:p>
        </w:tc>
      </w:tr>
      <w:tr w:rsidR="008572F7" w:rsidRPr="00A04DAC" w14:paraId="430E6056" w14:textId="77777777" w:rsidTr="00931D58">
        <w:trPr>
          <w:trHeight w:val="288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C1EE448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Blanco C, Hasin DS, Wall MM, et al. Cannabis Use and Risk of Psychiatric Disorders: Prospective Evidence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From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a US National Longitudinal Study. JAMA Psychiatry. 2016;73(4):388-395. doi:10.1001/jamapsychiatry.2015.3229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8289943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88C89F6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2958E6A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E854F7F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B47B6EB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94131E8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include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52477A2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it is the same population as Feingold, 2014</w:t>
            </w:r>
          </w:p>
        </w:tc>
      </w:tr>
      <w:tr w:rsidR="008572F7" w:rsidRPr="00A04DAC" w14:paraId="4028B794" w14:textId="77777777" w:rsidTr="00931D58">
        <w:trPr>
          <w:trHeight w:val="288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9929EF5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Feingold D, Rehm J, Lev-Ran S. </w:t>
            </w: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 xml:space="preserve">Cannabis use and the course and outcome of major depressive disorder: A population based longitudinal study. Psychiatry Research.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2017;251:225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-234.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doi:10.1016/j.psychres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.2017.02.027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8E8DD12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yes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875BAA2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7858A15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90F0811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0B5561B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yes - people </w:t>
            </w: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with major depressive disorder at baseline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7B53329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exclude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D786E34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only looked at people with MDD at baseline</w:t>
            </w:r>
          </w:p>
        </w:tc>
      </w:tr>
      <w:tr w:rsidR="008572F7" w:rsidRPr="00A04DAC" w14:paraId="56D4CD32" w14:textId="77777777" w:rsidTr="00931D58">
        <w:trPr>
          <w:trHeight w:val="288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51777D0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Arseneault L. Cannabis use in adolescence and risk for adult psychosis: longitudinal prospective study. BMJ. 2002;325(7374):1212-1213. doi:10.1136/bmj.325.7374.1212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05C589B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1BFF778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C85832D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905FAE2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576B060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55951E0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Include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EA6FA15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8572F7" w:rsidRPr="00A04DAC" w14:paraId="469F552C" w14:textId="77777777" w:rsidTr="00931D58">
        <w:trPr>
          <w:trHeight w:val="288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CD0E1A3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Hawke LD, Wilkins L, Henderson J. Early cannabis initiation: Substance use and mental health profiles of service-seeking youth. Journal of Adolescence.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2020;83:112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-121.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doi:10.1016/j.adolescence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.2020.06.004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46D0853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5E53763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58AA5A2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3011B6E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C86342A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 - service seeking youth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38BE3A1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8A8966C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cross-sectional and special population</w:t>
            </w:r>
          </w:p>
        </w:tc>
      </w:tr>
      <w:tr w:rsidR="008572F7" w:rsidRPr="00A04DAC" w14:paraId="7962C3E6" w14:textId="77777777" w:rsidTr="00931D58">
        <w:trPr>
          <w:trHeight w:val="288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9934BB4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Gunn RL, Stevens AK, Micalizzi L, Jackson KM, Borsari B,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Metrik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J. Longitudinal associations between negative urgency, symptoms of depression,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cannabis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and alcohol use in veterans. Experimental and Clinical Psychopharmacology. 2020;28(4):426-437. doi:10.1037/pha0000357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2CC269C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CF20FED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D59EE75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E1DE5FB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C0CA22E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yes - Iraqi war veterans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BB689F1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4D6A41D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too niche of a population</w:t>
            </w:r>
          </w:p>
        </w:tc>
      </w:tr>
      <w:tr w:rsidR="008572F7" w:rsidRPr="00A04DAC" w14:paraId="799D659D" w14:textId="77777777" w:rsidTr="00931D58">
        <w:trPr>
          <w:trHeight w:val="288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D0246D0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Rasic D, Weerasinghe S, Asbridge M, Langille DB. Longitudinal associations of cannabis and illicit drug use with depression, suicidal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ideation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and suicidal attempts among Nova Scotia high school students. Drug and Alcohol Dependence. 2013;129(1):49-53.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doi:10.1016/j.drugalcdep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.2012.09.009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B6387EF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yes, but also other </w:t>
            </w:r>
            <w:proofErr w:type="spellStart"/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ilicit</w:t>
            </w:r>
            <w:proofErr w:type="spellEnd"/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drugs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462A4A7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75389CA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yes, but also concurrent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AD9CC3F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07D59C4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3E9759D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E51F7D5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looked at cannabis use and depression concurrently; longitudinal association was only on groups that used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cannabis+other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illicit drugs compared to cannabis users</w:t>
            </w:r>
          </w:p>
        </w:tc>
      </w:tr>
      <w:tr w:rsidR="008572F7" w:rsidRPr="00A04DAC" w14:paraId="61428D39" w14:textId="77777777" w:rsidTr="00931D58">
        <w:trPr>
          <w:trHeight w:val="288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65043EE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Danielsson AK, Lundin A,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Agardh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E,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Allebeck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P, Forsell Y. Cannabis use,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depression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and anxiety: A 3-year prospective population-based study. Journal of Affective Disorders.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2016;193:103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-108.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doi:10.1016/j.jad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.2015.12.045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04AB9BB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DC42494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8BC4676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9E81115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6E421E6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8F57B81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include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C8FBC95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572F7" w:rsidRPr="00A04DAC" w14:paraId="134F68F4" w14:textId="77777777" w:rsidTr="00931D58">
        <w:trPr>
          <w:trHeight w:val="288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130AF87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London-Nadeau K, Rioux C, Parent S, et al. Longitudinal associations of cannabis, depression, and anxiety in heterosexual and LGB adolescents. J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Abnorm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Psychol. 2021;130(4):333-345. doi:10.1037/abn0000542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3CAB67E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2C7E18F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924DFFF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6B22A8E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C175929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6C44FFC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43D6B70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does not provide needed information on cannabis - depression</w:t>
            </w:r>
          </w:p>
        </w:tc>
      </w:tr>
      <w:tr w:rsidR="008572F7" w:rsidRPr="00A04DAC" w14:paraId="2AE06011" w14:textId="77777777" w:rsidTr="00931D58">
        <w:trPr>
          <w:trHeight w:val="288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87A1422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Hengartner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MP, Angst J,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Ajdacic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-Gross V, Rössler W. Cannabis use during adolescence and the occurrence </w:t>
            </w: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 xml:space="preserve">of depression,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suicidality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and anxiety disorder across adulthood: Findings from a longitudinal cohort study over 30 years. Journal of Affective Disorders.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2020;272:98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-103.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doi:10.1016/j.jad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.2020.03.126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E633EBC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yes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06A78BB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FA66DE1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ED249AD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4612BEB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EDEA772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include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ECA886C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572F7" w:rsidRPr="00A04DAC" w14:paraId="2EA3BF85" w14:textId="77777777" w:rsidTr="00931D58">
        <w:trPr>
          <w:trHeight w:val="288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CD234EE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Dyar C, Bradley H, Morgan E, Sullivan PS,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Mustanski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B. Reduction and Cessation of Alcohol, Cannabis, and Stimulant Use: Prospective Associations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With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Changes in Depressive Symptoms Across Two Cohort Studies of Sexual and Gender Minorities. J Stud Alcohol Drugs. 2020;81(6):790-797.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745769D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EE42B18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2560B31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9F8179D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DAEC072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419C129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B142386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looks at changes in use, which is beyond the scope of this review</w:t>
            </w:r>
          </w:p>
        </w:tc>
      </w:tr>
      <w:tr w:rsidR="008572F7" w:rsidRPr="00A04DAC" w14:paraId="19FE97DD" w14:textId="77777777" w:rsidTr="00931D58">
        <w:trPr>
          <w:trHeight w:val="288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AF7241C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Fergusson DM, Horwood LJ, Ridder EM. Tests of causal linkages between cannabis use and psychotic symptoms. Addiction. 2005;100(3):354-366. doi:10.1111/j.1360-0443.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2005.01001.x</w:t>
            </w:r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6313B5C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9BF158F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2AAE052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06C8DAC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F83B7E7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B331080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10CFACE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psychotic symptoms but not depression</w:t>
            </w:r>
          </w:p>
        </w:tc>
      </w:tr>
      <w:tr w:rsidR="008572F7" w:rsidRPr="00A04DAC" w14:paraId="3D673C9E" w14:textId="77777777" w:rsidTr="00931D58">
        <w:trPr>
          <w:trHeight w:val="288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714C9D5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Feingold D, Weiser M, Rehm J, Lev-Ran S. The association between cannabis use and mood disorders: A longitudinal study. Journal of Affective Disorders.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2015;172:211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-218.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doi:10.1016/j.jad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.2014.10.006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38FD455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FD1A68E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8EF8215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75E3A11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4E6813B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9F89338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include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0349C91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8572F7" w:rsidRPr="00A04DAC" w14:paraId="3BDDAC68" w14:textId="77777777" w:rsidTr="00931D58">
        <w:trPr>
          <w:trHeight w:val="288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C8D605A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5A4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nb-NO"/>
              </w:rPr>
              <w:t xml:space="preserve">Campeny E, López-Pelayo H, Nutt D, et al. </w:t>
            </w: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The blind men and the elephant: Systematic review of systematic reviews of cannabis use related health harms. European Neuropsychopharmacology.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2020;33:1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-35.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doi:10.1016/j.euroneuro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.2020.02.003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6B62634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4E453A2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6695747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 - review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2460813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3B08D1B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722143B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16F09F4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systematic review</w:t>
            </w:r>
          </w:p>
        </w:tc>
      </w:tr>
      <w:tr w:rsidR="008572F7" w:rsidRPr="00A04DAC" w14:paraId="54E34C3E" w14:textId="77777777" w:rsidTr="00931D58">
        <w:trPr>
          <w:trHeight w:val="288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22BF8A8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Silins E, Horwood LJ, Patton GC, et al.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Young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adult sequelae of adolescent cannabis use: an integrative analysis.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The Lancet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Psychiatry. </w:t>
            </w:r>
            <w:r w:rsidRPr="00D813AB">
              <w:rPr>
                <w:rFonts w:ascii="Times New Roman" w:hAnsi="Times New Roman"/>
                <w:b/>
                <w:bCs/>
                <w:sz w:val="18"/>
                <w:szCs w:val="18"/>
              </w:rPr>
              <w:t>`</w:t>
            </w: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2014;1(4):286-293. doi:10.1016/S2215-0366(14)70307-4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BEF2DEF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1C1E8B1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70890FC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 - review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EAF06B5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BA154ED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743D5A7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0681B12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meta-analysis of three cohort studies which we already included</w:t>
            </w:r>
          </w:p>
        </w:tc>
      </w:tr>
      <w:tr w:rsidR="008572F7" w:rsidRPr="00A04DAC" w14:paraId="62DF3314" w14:textId="77777777" w:rsidTr="00931D58">
        <w:trPr>
          <w:trHeight w:val="288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EF0C409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Copeland WE, Hill SN, Shanahan L. Adult Psychiatric, Substance, and Functional Outcomes of Different Definitions of Early Cannabis Use. Journal of the American Academy of Child &amp; Adolescent Psychiatry. 2022;61(4):533-543.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doi:10.1016/j.jaac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.2021.07.824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59D5B1E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0BD8389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16BFF5A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72FFEB5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74B2584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8EB28E5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include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08CC144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27B77D54" w14:textId="77777777" w:rsidR="008572F7" w:rsidRDefault="008572F7" w:rsidP="008572F7">
      <w:pPr>
        <w:rPr>
          <w:rFonts w:ascii="Times New Roman" w:hAnsi="Times New Roman"/>
          <w:b/>
          <w:bCs/>
        </w:rPr>
      </w:pPr>
    </w:p>
    <w:p w14:paraId="454FCB0B" w14:textId="77777777" w:rsidR="008572F7" w:rsidRPr="00A04DAC" w:rsidRDefault="008572F7" w:rsidP="008572F7">
      <w:pPr>
        <w:rPr>
          <w:rFonts w:ascii="Times New Roman" w:hAnsi="Times New Roman"/>
          <w:b/>
          <w:bCs/>
        </w:rPr>
      </w:pPr>
      <w:r w:rsidRPr="00A04DAC">
        <w:rPr>
          <w:rFonts w:ascii="Times New Roman" w:hAnsi="Times New Roman"/>
          <w:b/>
          <w:bCs/>
        </w:rPr>
        <w:lastRenderedPageBreak/>
        <w:t>Ancestor Search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301"/>
        <w:gridCol w:w="2982"/>
        <w:gridCol w:w="1439"/>
        <w:gridCol w:w="1333"/>
        <w:gridCol w:w="1358"/>
        <w:gridCol w:w="1333"/>
        <w:gridCol w:w="1346"/>
        <w:gridCol w:w="933"/>
        <w:gridCol w:w="1038"/>
        <w:gridCol w:w="1553"/>
      </w:tblGrid>
      <w:tr w:rsidR="008572F7" w:rsidRPr="00A04DAC" w14:paraId="0C5C4BBD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426F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Parent Article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6334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Citation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BBA7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Does it mention cannabis?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AF83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Does it mention depression?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171E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Is it a longitudinal study?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D4A1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Does it specify cannabis use before depression?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12B5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Is it a special population?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8B16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Is it a review article?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A309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Decision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5427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Notes</w:t>
            </w:r>
          </w:p>
        </w:tc>
      </w:tr>
      <w:tr w:rsidR="008572F7" w:rsidRPr="00A04DAC" w14:paraId="64E805CD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BD256E5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Bovasso, 2001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F5C62BC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Assari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S, Mistry R, Caldwell CH, Zimmerman MA. Marijuana Use and Depressive Symptoms; Gender Differences in African American Adolescents. Front Psychol.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2018;9:2135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 doi:10.3389/fpsyg.2018.02135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644B470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4CB2D57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19737CD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1447B1A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B33872A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yes - African American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2D50D42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26A5CE3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57A6E59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path analysis rather than odds</w:t>
            </w:r>
          </w:p>
        </w:tc>
      </w:tr>
      <w:tr w:rsidR="008572F7" w:rsidRPr="00A04DAC" w14:paraId="2A2DA2A7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4336F87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Bovasso, 2001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44A50A8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Bechtold J, Simpson T, White HR, Pardini D. Chronic adolescent marijuana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use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as a risk factor for physical and mental health problems in young adult men. Psychol Addict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Behav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 2015;29(3):552-563. doi:10.1037/adb0000103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20502DE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54BBD37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5A6B428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75A3FD1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C4F143C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 - men only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0C81D6F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81E0AC8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390843C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does not provide depression outcomes</w:t>
            </w:r>
          </w:p>
        </w:tc>
      </w:tr>
      <w:tr w:rsidR="008572F7" w:rsidRPr="00A04DAC" w14:paraId="3D64AA5D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3C5A4A1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Bovasso, 2001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04984A9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Bornovalova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MA, Verhulst B, Webber T, McGue M, Iacono WG, Hicks BM. Genetic and environmental influences on the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codevelopment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among borderline personality disorder traits, major depression symptoms, and substance use disorder symptoms from adolescence to young adulthood. Dev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Psychopathol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 2018;30(1):49-65. doi:10.1017/S0954579417000463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F732EDE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0D9F4EE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4963916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218C6AD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B8AB1D6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2D55A87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DFEA338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CC85B55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not cannabis</w:t>
            </w:r>
          </w:p>
        </w:tc>
      </w:tr>
      <w:tr w:rsidR="008572F7" w:rsidRPr="00A04DAC" w14:paraId="7EBFC9E1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9E88D7F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Bovasso, 2001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9892790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5A4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nb-NO"/>
              </w:rPr>
              <w:t xml:space="preserve">de Graaf R, Radovanovic M, van Laar M, et al. </w:t>
            </w: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Early cannabis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use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and estimated risk of later onset of depression spells: Epidemiologic evidence from the population-based World Health Organization World Mental Health Survey Initiative. Am J Epidemiol. 2010;172(2):149-159. doi:10.1093/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aje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/kwq096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DBFA4C4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C20CACC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110B48D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 - cross sectional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8EB40CA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4216EBB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1A1F026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C86B126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6470CB8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cross-sectional</w:t>
            </w:r>
          </w:p>
        </w:tc>
      </w:tr>
      <w:tr w:rsidR="008572F7" w:rsidRPr="00A04DAC" w14:paraId="08443849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EB0B12E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Bovasso, 2001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B89EFAC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Dembo R, Krupa J, Wareham J, Schmeidler J, DiClemente RJ. A Multigroup, Longitudinal Study of Truant Youths, Marijuana Use, Depression, and STD-Associated Sexual Risk Behavior. J Child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Adolesc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Subst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Abuse. 2017;26(3):192-204. </w:t>
            </w: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doi:10.1080/1067828X.2016.1260510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5BCA200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09FD867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yes</w:t>
            </w:r>
            <w:proofErr w:type="gramEnd"/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but not as an outcome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F3DD1BD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1A43633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3C003CB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 - truant youth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85E3E3C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2868C8A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exlcude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ECA7702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not focused on cannabis - depression link</w:t>
            </w:r>
          </w:p>
        </w:tc>
      </w:tr>
      <w:tr w:rsidR="008572F7" w:rsidRPr="00A04DAC" w14:paraId="3A6FDA7E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C2FF09B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Bovasso, 2001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62E4AF8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Feingold D, Weinstein A. Cannabis and Depression. Adv Exp Med Biol.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2021;1264:67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-80. doi:10.1007/978-3-030-57369-0_5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8FECBB6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1D9C0C3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9C4C2CC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C71CA4C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46ABCAC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DD4DE03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A55F686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EDF5FEC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not a study</w:t>
            </w:r>
          </w:p>
        </w:tc>
      </w:tr>
      <w:tr w:rsidR="008572F7" w:rsidRPr="00A04DAC" w14:paraId="24439ACF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01DF3FB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Bovasso, 2001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825C6B7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Gorka SM, Shankman SA, Seeley JR,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Lewinsohn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PM. The moderating effect of parental illicit substance use disorders on the relation between adolescent depression and subsequent illicit substance use disorders. Drug Alcohol Depend. 2013;128(1-2):1-7.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doi:10.1016/j.drugalcdep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.2012.07.011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C452EEC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52608C6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F2B6348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E8C8259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F7144DB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 - youth with parents who use drugs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76B6C0F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bottom"/>
          </w:tcPr>
          <w:p w14:paraId="6F1D67DE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626A98E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not the right population</w:t>
            </w:r>
          </w:p>
        </w:tc>
      </w:tr>
      <w:tr w:rsidR="008572F7" w:rsidRPr="00A04DAC" w14:paraId="1FA5C5C6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096B218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Bovasso, 2001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03B13B7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Kuhns L, Kroon E, Colyer-Patel K, Cousijn J. Associations between cannabis use, cannabis use disorder, and mood disorders: longitudinal, genetic, and neurocognitive evidence. Psychopharmacology (Berl). Published online November 6, 2021. doi:10.1007/s00213-021-06001-8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5703AE2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D8FBD0E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E548A77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 - review article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C50E2E8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61D9282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78A4FDC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0265B19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A81C66B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review article</w:t>
            </w:r>
          </w:p>
        </w:tc>
      </w:tr>
      <w:tr w:rsidR="008572F7" w:rsidRPr="00A04DAC" w14:paraId="463858EC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5A0FAAC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Bovasso, 2001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BBD65BB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Lee JY, Brook JS, Kim W. Triple trajectories of alcohol use, tobacco use, and depressive symptoms as predictors of cannabis use disorders among urban adults. Psychol Addict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Behav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. 2018;32(4):466-474. doi:10.1037/adb00003731. Lee JY, Brook JS, Kim W. Triple trajectories of alcohol use, tobacco use, and depressive symptoms as predictors of cannabis use disorders among urban adults. Psychol Addict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Behav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 2018;32(4):466-474. doi:10.1037/adb0000373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BF4C18D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7B2198F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68B6CE6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DDD8741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69A77F8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EF93723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9C535F2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DB3650C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looks at depression - CUD</w:t>
            </w:r>
          </w:p>
        </w:tc>
      </w:tr>
      <w:tr w:rsidR="008572F7" w:rsidRPr="00A04DAC" w14:paraId="6C7CA797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AB82E39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Bovasso, 2001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6D22E68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Leventhal AM, Cho J, Stone MD, et al. Associations between anhedonia and marijuana use escalation across mid-adolescence. Addiction. 2017;112(12):2182-2190. doi:10.1111/add.13912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84AFC42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FBC5DD1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8682611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E893FDA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2637AC5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D69929C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62A499C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F56B578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anhedonia not depression</w:t>
            </w:r>
          </w:p>
        </w:tc>
      </w:tr>
      <w:tr w:rsidR="008572F7" w:rsidRPr="00A04DAC" w14:paraId="20CD8F9D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5363462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Bovasso, 2001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B845611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Looby A, Earleywine M. Negative consequences associated with dependence in daily cannabis users.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Subst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Abuse Treat Prev Policy.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2007;2:3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 doi:10.1186/1747-597X-2-3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EE68212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C18D9B6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064E7A0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A1683B2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CC721B4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E64B6AE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8C10536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FF18D7B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not depression</w:t>
            </w:r>
          </w:p>
        </w:tc>
      </w:tr>
      <w:tr w:rsidR="008572F7" w:rsidRPr="00A04DAC" w14:paraId="3B2F7147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90B2B1E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Bovasso, 2001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C81D067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Lucatch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AM, Coles AS, Hill KP, George TP. Cannabis and Mood Disorders. Curr Addict Rep. </w:t>
            </w: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2018;5(3):336-345. doi:10.1007/s40429-018-0214-y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B24C33A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C6270AB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7893FD6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762EE5B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95EC4F7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3B72281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3B3827C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8A19DCD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review article</w:t>
            </w:r>
          </w:p>
        </w:tc>
      </w:tr>
      <w:tr w:rsidR="008572F7" w:rsidRPr="00A04DAC" w14:paraId="7842C2EC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619864A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Bovasso, 2001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C418206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Pahl K, Brook JS, Koppel J. Trajectories of marijuana use and psychological adjustment among urban African American and Puerto Rican women. Psychol Med. 2011;41(8):1775-1783. doi:10.1017/S0033291710002345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8260269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5375501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6C4DF8E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9C11C68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06BA91B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 - African American and Puerto Rican women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D435D28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bottom"/>
          </w:tcPr>
          <w:p w14:paraId="3C599409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390E234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does not provide data on odds of depression after cannabis use (only average depression score)</w:t>
            </w:r>
          </w:p>
        </w:tc>
      </w:tr>
      <w:tr w:rsidR="008572F7" w:rsidRPr="00A04DAC" w14:paraId="6191F818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43CD65D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Bovasso, 2001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CF886BA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Rey JM, Tennant CC.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Cannabis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and mental health. BMJ. 2002;325(7374):1183-1184. doi:10.1136/bmj.325.7374.1183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555585A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62B32D0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2491F4B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A424FE5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CFFE141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F714505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7719274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B0C4A7A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review article</w:t>
            </w:r>
          </w:p>
        </w:tc>
      </w:tr>
      <w:tr w:rsidR="008572F7" w:rsidRPr="00A04DAC" w14:paraId="22CB8433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7E79F63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Bovasso, 2001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BDA7DAB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Smolkina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M, Morley KI, Rijsdijk F, et al. Cannabis and Depression: A Twin Model Approach to Co-morbidity.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Behav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Genet. 2017;47(4):394-404. doi:10.1007/s10519-017-9848-0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813E7C2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EAEC0C3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125D707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3B6E762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AD76B26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 - twins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53674C3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52A1C27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B86F0AB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does not report cannabis - depression</w:t>
            </w:r>
          </w:p>
        </w:tc>
      </w:tr>
      <w:tr w:rsidR="008572F7" w:rsidRPr="00A04DAC" w14:paraId="5F1B13CC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49B5537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Bovasso, 2001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6212422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Womack SR, Shaw DS, Weaver CM, Forbes EE. Bidirectional Associations Between Cannabis Use and Depressive Symptoms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From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Adolescence Through Early Adulthood Among At-Risk Young Men. J Stud Alcohol Drugs. 2016;77(2):287-297. doi:10.15288/jsad.2016.77.287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073D749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716E86E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4DFA6CC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30E83A1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EDC6EB6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 - at risk men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99010EF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6E69258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688F490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bidirectional and special population of men who are at risk for depression and cannabis use</w:t>
            </w:r>
          </w:p>
        </w:tc>
      </w:tr>
      <w:tr w:rsidR="008572F7" w:rsidRPr="00A04DAC" w14:paraId="33C364F8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CD370FF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Brook, 2002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6A2B217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Brook JS, Stimmel MA, Zhang C, Brook DW. The association between earlier marijuana use and subsequent academic achievement and health problems: a longitudinal study. Am J Addict. 2008;17(2):155-160. doi:10.1080/10550490701860930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A96F2D2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BEE53A8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10C270D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A430175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79B8FEA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5ECD681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9EDEC2D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78A67F8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not depression</w:t>
            </w:r>
          </w:p>
        </w:tc>
      </w:tr>
      <w:tr w:rsidR="008572F7" w:rsidRPr="00A04DAC" w14:paraId="5841AA01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A0549B2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Brook, 2002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7E91611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Brook JS, Zhang C,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Leukefeld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CG, Brook DW. Marijuana use from adolescence to adulthood: developmental trajectories and their outcomes. Soc Psychiatry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Psychiatr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Epidemiol. 2016;51(10):1405-1415. doi:10.1007/s00127-016-1229-0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400734C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05424BE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71269DC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873F8C9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41C0506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1F96E07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8FEDAE3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41FEFDD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not depression</w:t>
            </w:r>
          </w:p>
        </w:tc>
      </w:tr>
      <w:tr w:rsidR="008572F7" w:rsidRPr="00A04DAC" w14:paraId="45A65AC2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A23D575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Brook, 2002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BC0D553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Chinet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L,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Plancherel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B, Bolognini M, et al. Substance use and depression. Comparative course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in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adolescents.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Eur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Child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Adolesc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Psychiatry. 2006;15(3):149-155. doi:10.1007/s00787-005-0516-1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FC4B99B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9112AE1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2A6BCBA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1A2EDE2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28CC76E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DCB6FA5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086FEFC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5F0E5A2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looks at depression and cannabis simultaneously</w:t>
            </w:r>
          </w:p>
        </w:tc>
      </w:tr>
      <w:tr w:rsidR="008572F7" w:rsidRPr="00A04DAC" w14:paraId="3B456453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9F49554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Brook, 2002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7116A9E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Chuang CWI, Chan C, Leventhal </w:t>
            </w: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 xml:space="preserve">AM. Adolescent Emotional Pathology and Lifetime History of Alcohol or Drug Use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With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and Without Comorbid Tobacco Use. J Dual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Diagn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 2016;12(1):27-35. doi:10.1080/15504263.2016.1146557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2340497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no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0A102DA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BF7318C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534A538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FB33BA0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A031A47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413F5A1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CC2E12D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cross-sectional</w:t>
            </w:r>
          </w:p>
        </w:tc>
      </w:tr>
      <w:tr w:rsidR="008572F7" w:rsidRPr="00A04DAC" w14:paraId="1E5D9361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02689FC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Brook, 2002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1886D7A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Fairman BJ, Anthony JC. Are early-onset cannabis smokers at an increased risk of depression spells? J Affect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Disord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. 2012;138(1-2):54-62.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doi:10.1016/j.jad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.2011.12.031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9DCAE92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221FB4B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CB2476F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E6B4955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4E9442E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3E96DC2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D24652C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84A1D95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cross-sectional</w:t>
            </w:r>
          </w:p>
        </w:tc>
      </w:tr>
      <w:tr w:rsidR="008572F7" w:rsidRPr="00A04DAC" w14:paraId="7DE4CE78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6EBB733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Brook, 2002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BDFD388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Filipponi C, Petrocchi S,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Camerini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AL. Bullying and Substance Use in Early Adolescence: Investigating the Longitudinal and Reciprocal Effects Over 3 Years Using the Random Intercept Cross-Lagged Panel Model. Front Psychol.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2020;11:571943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 doi:10.3389/fpsyg.2020.571943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4C2BE20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E04DAE4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B4E540A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6FADD2D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103BD26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77C1E50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FA3D626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B5B7001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not depression</w:t>
            </w:r>
          </w:p>
        </w:tc>
      </w:tr>
      <w:tr w:rsidR="008572F7" w:rsidRPr="00A04DAC" w14:paraId="74796085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DD1D864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Brook, 2002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667457B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Gau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JM, Stice E, Rohde P, Seeley JR. Negative life events and substance use moderate cognitive behavioral adolescent depression prevention intervention.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Cogn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Behav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Ther. 2012;41(3):241-250. doi:10.1080/16506073.2011.649781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2E1284B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2D3B051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E2002EC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D1CD600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64A95AA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65C8887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6EE80DB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6D214EB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RCT and not cannabis</w:t>
            </w:r>
          </w:p>
        </w:tc>
      </w:tr>
      <w:tr w:rsidR="008572F7" w:rsidRPr="00A04DAC" w14:paraId="4F7BD9F4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F78D6E8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Brook, 2002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9D98795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Green KM,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Zebrak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KA, Fothergill KE, Robertson JA, Ensminger ME. Childhood and adolescent risk factors for comorbid depression and substance use disorders in adulthood. Addict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Behav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. 2012;37(11):1240-1247.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doi:10.1016/j.addbeh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.2012.06.008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93317FF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82C8CAB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01D5FDA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1F2FEF8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22C4298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703742B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A8C833E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B93C866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not longitudinal analysis</w:t>
            </w:r>
          </w:p>
        </w:tc>
      </w:tr>
      <w:tr w:rsidR="008572F7" w:rsidRPr="00A04DAC" w14:paraId="2AF0EE39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D654ADE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Brook, 2002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1F60FB3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5A4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nb-NO"/>
              </w:rPr>
              <w:t xml:space="preserve">Guttmannova K, Kosterman R, White HR, et al. </w:t>
            </w: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The association between regular marijuana use and adult mental health outcomes. Drug Alcohol Depend.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2017;179:109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-116.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doi:10.1016/j.drugalcdep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.2017.06.016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7C512D5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E702FD3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0E77F34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C07C7A9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18342BD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3A403CF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632EA0E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A49C3FF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not depression</w:t>
            </w:r>
          </w:p>
        </w:tc>
      </w:tr>
      <w:tr w:rsidR="008572F7" w:rsidRPr="00A04DAC" w14:paraId="5418B256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7EFB95A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Brook, 2002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2A697D3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McKowen JW, Tompson MC, Brown TA,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Asarnow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JR. Longitudinal associations between depression and problematic substance use in the Youth Partners in Care study. J Clin Child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Adolesc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Psychol. 2013;42(5):669-680. doi:10.1080/15374416.2012.759226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C1B434F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CF1F662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985C86C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C66A143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84572DC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B5454DD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D486E2F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EB8015A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not cannabis - depression and pts are receiving mental health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tx</w:t>
            </w:r>
            <w:proofErr w:type="spellEnd"/>
          </w:p>
        </w:tc>
      </w:tr>
      <w:tr w:rsidR="008572F7" w:rsidRPr="00A04DAC" w14:paraId="09A50C3C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27E6283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Brook, 2002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5960A30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Poudel A, Gautam S. Age of onset of </w:t>
            </w: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substance use and psychosocial problems among individuals with substance use disorders. BMC Psychiatry. 2017;17(1):10. doi:10.1186/s12888-016-1191-0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811C207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no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C4D8AA4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5CC9869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4FFBE06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229C9C4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82E3906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04E6656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AB8ABD6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cross-sectional</w:t>
            </w:r>
          </w:p>
        </w:tc>
      </w:tr>
      <w:tr w:rsidR="008572F7" w:rsidRPr="00A04DAC" w14:paraId="032E5706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BD304F5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Brook, 2002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971F676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Schwinn TM, Schinke SP, Trent DN. Substance use among late adolescent urban youths: mental health and gender influences. Addict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Behav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. 2010;35(1):30-34.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doi:10.1016/j.addbeh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.2009.08.005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408BCF8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E466777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DFBECF7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4BE8412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BDD4CD4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3D933E4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EA86143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CA7F9FD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cross-sectional</w:t>
            </w:r>
          </w:p>
        </w:tc>
      </w:tr>
      <w:tr w:rsidR="008572F7" w:rsidRPr="00A04DAC" w14:paraId="5FF89892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3CD3B40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Brook, 2002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366D754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Wymbs BT, McCarty CA, Mason WA, et al. Early adolescent substance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use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as a risk factor for developing conduct disorder and depression symptoms. J Stud Alcohol Drugs. 2014;75(2):279-289.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B5F6A29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yes</w:t>
            </w:r>
            <w:proofErr w:type="gramEnd"/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but only with alcohol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6788D06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9C6E8D6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EDF226B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1386A6A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C5754F9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D63C6F3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7D420BC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doesn't look at cannabis alone</w:t>
            </w:r>
          </w:p>
        </w:tc>
      </w:tr>
      <w:tr w:rsidR="008572F7" w:rsidRPr="00A04DAC" w14:paraId="78888B16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F0215CB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Degenhardt, 2013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E0AF724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Botsford SL, Yang S, George TP. Cannabis and Cannabinoids in Mood and Anxiety Disorders: Impact on Illness Onset and Course, and Assessment of Therapeutic Potential. Am J Addict. 2020;29(1):9-26. doi:10.1111/ajad.12963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5B81D95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353C08E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F0F0936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EE13FC0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2576838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E45DA0D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8CAF6EC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D6F792D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systematic review</w:t>
            </w:r>
          </w:p>
        </w:tc>
      </w:tr>
      <w:tr w:rsidR="008572F7" w:rsidRPr="00A04DAC" w14:paraId="45EB7461" w14:textId="77777777" w:rsidTr="00931D58">
        <w:trPr>
          <w:trHeight w:val="324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94CBFBB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Degenhardt, 2013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06442C7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Brook JS, Zhang C,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Rubenstone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E, Primack BA, Brook DW. Comorbid trajectories of substance use as predictors of Antisocial Personality Disorder, Major Depressive Episode, and Generalized Anxiety Disorder. Addict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Behav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2016;62:114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-121.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doi:10.1016/j.addbeh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.2016.06.003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162779B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yes - but with other substances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9932856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D7F47DA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6F46385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89A9964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DFB7463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2ACB263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6445130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does not report on cannabis alone</w:t>
            </w:r>
          </w:p>
        </w:tc>
      </w:tr>
      <w:tr w:rsidR="008572F7" w:rsidRPr="00A04DAC" w14:paraId="4C0BAED1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4DC9430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Degenhardt, 2013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D2DE54E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Hosseini S, Oremus M. The Effect of Age of Initiation of Cannabis Use on Psychosis, Depression, and Anxiety among Youth under 25 Years. Can J Psychiatry. 2019;64(5):304-312. doi:10.1177/0706743718809339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4C2C284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EAD3258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571457F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583BF6C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A538B79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21A5063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68ABEFC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3CD74EF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systematic review</w:t>
            </w:r>
          </w:p>
        </w:tc>
      </w:tr>
      <w:tr w:rsidR="008572F7" w:rsidRPr="00A04DAC" w14:paraId="62F97015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73E7864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Degenhardt, 2013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29D86D2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Keith DR, Hart CL, McNeil MP, Silver R, Goodwin RD. Frequent marijuana use, binge drinking and mental health problems among undergraduates. Am J Addict. 2015;24(6):499-506. doi:10.1111/ajad.12201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049EEBE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F58E1AB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FD60D26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1C35534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DA88309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4B7AD43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57EB7A3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957A8F3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cross-sectional</w:t>
            </w:r>
          </w:p>
        </w:tc>
      </w:tr>
      <w:tr w:rsidR="008572F7" w:rsidRPr="00A04DAC" w14:paraId="3B6B7230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64DAE7F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Degenhardt, 2013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D2C01F3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5A4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nb-NO"/>
              </w:rPr>
              <w:t xml:space="preserve">Renard J, Krebs MO, Le Pen G, Jay TM. </w:t>
            </w: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Long-term consequences of adolescent cannabinoid exposure in adult psychopathology. Front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Neurosci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2014;8:361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 doi:10.3389/fnins.2014.00361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C538983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BCF5650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yes - but with anxiety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C2EE7DF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E822151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144E8F6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BA9D240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CF3B386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C3AEB8E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does not look at depression alone</w:t>
            </w:r>
          </w:p>
        </w:tc>
      </w:tr>
      <w:tr w:rsidR="008572F7" w:rsidRPr="00A04DAC" w14:paraId="7F782CBA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4087FD8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Degenhardt, 2013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51D443A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Rhew IC, Fleming CB, Vander Stoep A,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Nicodimos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S, Zheng C, McCauley E. Examination of cumulative effects of early adolescent depression on cannabis and alcohol use disorder in late adolescence in a community-based cohort. Addiction. 2017;112(11):1952-1960. doi:10.1111/add.13907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ECF5F33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4842AB9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D67FD83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9753945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122EC20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3C95C38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EE3ACF5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F6EF9F7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looks at depression - cannabis</w:t>
            </w:r>
          </w:p>
        </w:tc>
      </w:tr>
      <w:tr w:rsidR="008572F7" w:rsidRPr="00A04DAC" w14:paraId="5D285B72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058DE05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Fergusson, 1997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C4A48CC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Brook JS, Stimmel MA, Zhang C, Brook DW. The association between earlier marijuana use and subsequent academic achievement and health problems: a longitudinal study. Am J Addict. 2008;17(2):155-160. doi:10.1080/10550490701860930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8D791ED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1060671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yes - with other metal health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F31F29F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A3581DF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1C4261F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CF7527E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724A6CE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4201092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does not separate depression from other mental health</w:t>
            </w:r>
          </w:p>
        </w:tc>
      </w:tr>
      <w:tr w:rsidR="008572F7" w:rsidRPr="00A04DAC" w14:paraId="4EF939B0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0491D45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Fergusson, 1997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FF4DFBF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Goldschmidt L, Richardson GA,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Larkby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C, Day NL. Early marijuana initiation: The link between prenatal marijuana exposure, early childhood behavior, and negative adult roles.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Neurotoxicol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Teratol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2016;58:40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-45.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doi:10.1016/j.ntt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.2016.05.011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03869A5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yes - prenatal exposure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F39AED0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2F45387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2354685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0DF4C68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18327CA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F9A73CE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35996C0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prenatal exposure to cannabis</w:t>
            </w:r>
          </w:p>
        </w:tc>
      </w:tr>
      <w:tr w:rsidR="008572F7" w:rsidRPr="00A04DAC" w14:paraId="760B1DE6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A26EB2E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Fergusson, 1997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219202C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Meier MH, Hill ML, Small PJ, Luthar SS. Associations of adolescent cannabis use with academic performance and mental health: A longitudinal study of upper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middle class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youth. Drug Alcohol Depend.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2015;156:207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-212.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doi:10.1016/j.drugalcdep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.2015.09.010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8F4175F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73153C1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A66EE73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9D69BBA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921026B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266802A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14F9510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5165D6D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"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internalizing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symptoms"</w:t>
            </w:r>
          </w:p>
        </w:tc>
      </w:tr>
      <w:tr w:rsidR="008572F7" w:rsidRPr="00A04DAC" w14:paraId="1CD6AECF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386F1C6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Fergusson, 1997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AF5FE18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Smolkina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M, Morley KI, Rijsdijk F, et al. Cannabis and Depression: A Twin Model Approach to Co-morbidity.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Behav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Genet. 2017;47(4):394-404. doi:10.1007/s10519-017-9848-0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A2184EF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2F590BB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1BE097B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27EB2B0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199DF47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717A2BA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0CA7DD5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34A1A11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genetic study</w:t>
            </w:r>
          </w:p>
        </w:tc>
      </w:tr>
      <w:tr w:rsidR="008572F7" w:rsidRPr="00A04DAC" w14:paraId="4784E00B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2FCEA40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Georgiades, 2008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BB39C26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Botsford SL, Yang S, George TP. Cannabis and Cannabinoids in Mood and Anxiety Disorders: Impact on Illness Onset and Course, and Assessment of Therapeutic Potential. Am J Addict. 2020;29(1):9-26. doi:10.1111/ajad.12963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47A443B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19870F6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0326BEE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 - review article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96345C6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078C599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4416468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BB5E44A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C03C40C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review article</w:t>
            </w:r>
          </w:p>
        </w:tc>
      </w:tr>
      <w:tr w:rsidR="008572F7" w:rsidRPr="00A04DAC" w14:paraId="5941D4E3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F93DE1C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Georgiades, 2008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6BCC963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Chadwick B, Miller ML, Hurd YL. Cannabis Use during Adolescent Development: Susceptibility to </w:t>
            </w: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 xml:space="preserve">Psychiatric Illness. Front Psychiatry.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2013;4:129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 doi:10.3389/fpsyt.2013.00129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386C66A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4769645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46F8CA9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674270D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10B2112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300996B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90A443C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9E88BA4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not a longitudinal study</w:t>
            </w:r>
          </w:p>
        </w:tc>
      </w:tr>
      <w:tr w:rsidR="008572F7" w:rsidRPr="00A04DAC" w14:paraId="4F0CB96F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D90FF27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Georgiades, 2008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E994A37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Esmaeelzadeh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S,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Moraros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J, Thorpe L, Bird Y. The association between depression, anxiety and substance use among Canadian post-secondary students.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Neuropsychiatr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Dis Treat.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2018;14:3241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-3251. doi:10.2147/NDT.S187419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9C11205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EDD3531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74E5770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37D5E33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B937D67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43EBF11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634E989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6EFF812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cross-sectional</w:t>
            </w:r>
          </w:p>
        </w:tc>
      </w:tr>
      <w:tr w:rsidR="008572F7" w:rsidRPr="00A04DAC" w14:paraId="762E8AB9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632AA92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Patton, 2002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0C6754F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Fischer AS, Tapert SF, Lee Louie D, Schatzberg AF, Singh MK. Cannabis and the Developing Adolescent Brain. Curr Treat Options Psychiatry. 2020;7(2):144-161. doi:10.1007/s40501-020-00202-2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88F4278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AF5EF93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7F4CF84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5C9D11E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A6867C1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2613AB1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7158181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F15E63D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review article</w:t>
            </w:r>
          </w:p>
        </w:tc>
      </w:tr>
      <w:tr w:rsidR="008572F7" w:rsidRPr="00A04DAC" w14:paraId="095B1B62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28CCFDE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Patton, 2002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F0F70CF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Gukasyan N, Strain EC. Relationship between cannabis use frequency and major depressive disorder in adolescents: Findings from the National Survey on Drug Use and Health 2012-2017. Drug Alcohol Depend.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2020;208:107867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doi:10.1016/j.drugalcdep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.2020.107867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E67841A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443972F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00BD9B0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1AB1932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BF247FD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8C090EC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E8489AB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DA26073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cross-sectional</w:t>
            </w:r>
          </w:p>
        </w:tc>
      </w:tr>
      <w:tr w:rsidR="008572F7" w:rsidRPr="00A04DAC" w14:paraId="2F084CD6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7363EF8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Patton, 2002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71A64B1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Hall W, Degenhardt L. Cannabis use and the risk of developing a psychotic disorder. World Psychiatry. 2008;7(2):68-71. doi:10.1002/j.2051-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5545.2008.tb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00158.x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A95C7C5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F1DB8DE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249F07E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 - review article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99BF56E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F2346EB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764638F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14C5C03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972AA9F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review article</w:t>
            </w:r>
          </w:p>
        </w:tc>
      </w:tr>
      <w:tr w:rsidR="008572F7" w:rsidRPr="00A04DAC" w14:paraId="20DB4559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C78749F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Patton, 2002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41EF185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5A4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nb-NO"/>
              </w:rPr>
              <w:t xml:space="preserve">Schaefer JD, Hamdi NR, Malone SM, et al. </w:t>
            </w: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Associations between adolescent cannabis use and young-adult functioning in three longitudinal twin studies. Proc Natl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Acad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Sci U S A. 2021;118(14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):e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2013180118. doi:10.1073/pnas.2013180118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2245B9A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7DAE615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3B983E1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F0516D2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1494617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 - twins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312A4FE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D50666F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include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0769913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572F7" w:rsidRPr="00A04DAC" w14:paraId="5C39C778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70019D6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Patton, 2002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9EBEA8D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Schuler MS, Vasilenko SA, Lanza ST. Age-varying associations between substance use behaviors and depressive symptoms during adolescence and young adulthood. Drug Alcohol Depend.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2015;157:75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-82.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doi:10.1016/j.drugalcdep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.2015.10.005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A920BD2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FDC6701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5688AE6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6A56502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220D432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0794D2A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8923DA5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D53A050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cross-sectional</w:t>
            </w:r>
          </w:p>
        </w:tc>
      </w:tr>
      <w:tr w:rsidR="008572F7" w:rsidRPr="00A04DAC" w14:paraId="1881E5E9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FA63F74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Patton, 2002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7DD1E75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Schwinn TM, Schinke SP, Trent DN. Substance use among late adolescent urban youths: mental health and gender influences. Addict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Behav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. </w:t>
            </w: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 xml:space="preserve">2010;35(1):30-34.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doi:10.1016/j.addbeh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.2009.08.005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8E635C3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2A949B6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37DBD15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9CBB308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6A02308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86CBDAD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EB57289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1F7BFB3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cross-sectional</w:t>
            </w:r>
          </w:p>
        </w:tc>
      </w:tr>
      <w:tr w:rsidR="008572F7" w:rsidRPr="00A04DAC" w14:paraId="31214FB3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A5DD1BF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Patton, 2002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C445C6A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Struble CA, Ellis JD, Cairncross M, Lister JJ, Lundahl LH. Demographic, Cannabis Use, and Depressive Correlates of Cannabis Use Consequences in Regular Cannabis Users. Am J Addict. 2019;28(4):295-302. doi:10.1111/ajad.12889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59A01AF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03F72BC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D21802C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93EE4CA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CDBD3D4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85A3991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85F4970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A913EC0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not depression</w:t>
            </w:r>
          </w:p>
        </w:tc>
      </w:tr>
      <w:tr w:rsidR="008572F7" w:rsidRPr="00A04DAC" w14:paraId="1577B170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5FB5AEB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Patton, 2002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6DBE1DA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Wilkinson AL, Halpern CT, Herring AH, et al. Testing Longitudinal Relationships Between Binge Drinking, Marijuana Use, and Depressive Symptoms and Moderation by Sex. J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Adolesc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Health. 2016;59(6):681-687.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doi:10.1016/j.jadohealth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.2016.07.010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C746B64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yes - but with alcohol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948DDA1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B6B3E89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C4AC777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BD2F4D3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7071F43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7473AA8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2A23FD6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looked at cannabis and alcohol predicting depression</w:t>
            </w:r>
          </w:p>
        </w:tc>
      </w:tr>
      <w:tr w:rsidR="008572F7" w:rsidRPr="00A04DAC" w14:paraId="66239D77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BDECE1C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Patton, 2002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D95D966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Womack SR, Shaw DS, Weaver CM, Forbes EE. Bidirectional Associations Between Cannabis Use and Depressive Symptoms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From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Adolescence Through Early Adulthood Among At-Risk Young Men. J Stud Alcohol Drugs. 2016;77(2):287-297. doi:10.15288/jsad.2016.77.287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8C1CDA3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DFAA6CD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3DDF656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54048B7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E32578B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yes - low SES/WIC receiving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C5538C6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bottom"/>
          </w:tcPr>
          <w:p w14:paraId="4C6FF67F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E50358F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limited population</w:t>
            </w:r>
          </w:p>
        </w:tc>
      </w:tr>
      <w:tr w:rsidR="008572F7" w:rsidRPr="00A04DAC" w14:paraId="3C79C6B7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F5CDB6F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van Laar, 2007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85B1F2C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Chiu ML, Cheng CF, Liang WM, Lin PT, Wu TN, Chen CY. The Temporal Relationship between Selected Mental Disorders and Substance-Related Disorders: A Nationwide Population-Based Cohort Study. Psychiatry J.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2018;2018:5697103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 doi:10.1155/2018/5697103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AC7998D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65A8366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96FBD57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EBF91EB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64D99A5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A0C2E66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05CE8A1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7553FB5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depression before cannabis use</w:t>
            </w:r>
          </w:p>
        </w:tc>
      </w:tr>
      <w:tr w:rsidR="008572F7" w:rsidRPr="00A04DAC" w14:paraId="1DEA26B8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6C92AA8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van Laar, 2007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E763026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Troup LJ, Andrzejewski JA,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Braunwalder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JT, Torrence RD. The relationship between cannabis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use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and measures of anxiety and depression in a sample of college campus cannabis users and non-users post state legalization in Colorado.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PeerJ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 2016;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4:e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2782. doi:10.7717/peerj.2782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721CF5C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71CE70C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AD87D0B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E41E5FC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120F053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7B0A30E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E6C1026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2B46742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cross-sectional</w:t>
            </w:r>
          </w:p>
        </w:tc>
      </w:tr>
      <w:tr w:rsidR="008572F7" w:rsidRPr="00A04DAC" w14:paraId="0AF807D5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ADC2F38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van Laar, 2007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C0C5109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Wright NE,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Scerpella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D,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Lisdahl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KM. Marijuana Use Is Associated with Behavioral Approach and Depressive Symptoms in Adolescents and Emerging Adults.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PLoS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One. 2016;11(11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):e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0166005.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doi:10.1371/journal.pone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.0166005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F8D8A01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3F429FF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8FBE92F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32DB034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ACD8599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98AF5BB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301D4C9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84CF24C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cross-sectional</w:t>
            </w:r>
          </w:p>
        </w:tc>
      </w:tr>
      <w:tr w:rsidR="008572F7" w:rsidRPr="00A04DAC" w14:paraId="2F282B74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8512F06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Brook, 2011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D85DF4F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Brook JS, Zhang C,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Leukefeld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CG, Brook DW. Marijuana use from adolescence to adulthood: developmental trajectories and their outcomes. Soc Psychiatry </w:t>
            </w:r>
            <w:proofErr w:type="spell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Psychiatr</w:t>
            </w:r>
            <w:proofErr w:type="spell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Epidemiol. 2016;51(10):1405-1415. doi:10.1007/s00127-016-1229-0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3D4A347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F88C2DE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CA8A3F3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CA6914C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D20D95E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03FACF0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5DA3919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FCD399D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does not look at depression alone</w:t>
            </w:r>
          </w:p>
        </w:tc>
      </w:tr>
      <w:tr w:rsidR="008572F7" w:rsidRPr="00A04DAC" w14:paraId="620AC14E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317DEE1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Brook, 2011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5CE1A22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Caldeira KM, O’Grady KE, Vincent KB, Arria AM. Marijuana use trajectories during the post-college transition: health outcomes in young adulthood. Drug Alcohol Depend. 2012;125(3):267-275. </w:t>
            </w:r>
            <w:proofErr w:type="gramStart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doi:10.1016/j.drugalcdep</w:t>
            </w:r>
            <w:proofErr w:type="gramEnd"/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.2012.02.022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ECD4D43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519E50B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yes - but only provides BDI score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D74D1CE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5A19A82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3B162CA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 - college students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727B912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9F3D1A4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9BE3BDA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does not provide OR information for depression, just average scores</w:t>
            </w:r>
          </w:p>
        </w:tc>
      </w:tr>
      <w:tr w:rsidR="008572F7" w:rsidRPr="00A04DAC" w14:paraId="7A3CE7DC" w14:textId="77777777" w:rsidTr="00931D58">
        <w:trPr>
          <w:trHeight w:val="288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1A6C67F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Brook, 2011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619C4F7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Green KM, Doherty EE, Ensminger ME. Long-term consequences of adolescent cannabis use: Examining intermediary processes. Am J Drug Alcohol Abuse. 2017;43(5):567-575. doi:10.1080/00952990.2016.1258706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5A5EE81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9BB9C3C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 - anxiety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D658DAD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BF9048F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B30AC34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54B20F4" w14:textId="77777777" w:rsidR="008572F7" w:rsidRPr="00D813AB" w:rsidRDefault="008572F7" w:rsidP="00931D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E3C1738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exclude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2538C5F" w14:textId="77777777" w:rsidR="008572F7" w:rsidRPr="00D813A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813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does not look at depression</w:t>
            </w:r>
          </w:p>
        </w:tc>
      </w:tr>
    </w:tbl>
    <w:p w14:paraId="0D97CA7A" w14:textId="77777777" w:rsidR="008572F7" w:rsidRPr="00A04DAC" w:rsidRDefault="008572F7" w:rsidP="008572F7">
      <w:pPr>
        <w:rPr>
          <w:rFonts w:ascii="Times New Roman" w:hAnsi="Times New Roman"/>
        </w:rPr>
        <w:sectPr w:rsidR="008572F7" w:rsidRPr="00A04DAC" w:rsidSect="008572F7">
          <w:footerReference w:type="default" r:id="rId5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133F5EFF" w14:textId="08E256FD" w:rsidR="008572F7" w:rsidRPr="000D58ED" w:rsidRDefault="008572F7" w:rsidP="008572F7">
      <w:pPr>
        <w:pStyle w:val="Heading2"/>
        <w:numPr>
          <w:ilvl w:val="0"/>
          <w:numId w:val="0"/>
        </w:numPr>
        <w:ind w:left="576" w:hanging="576"/>
        <w:jc w:val="center"/>
        <w:rPr>
          <w:rFonts w:ascii="Times New Roman" w:hAnsi="Times New Roman"/>
        </w:rPr>
      </w:pPr>
      <w:bookmarkStart w:id="2" w:name="_Toc105078150"/>
      <w:r>
        <w:rPr>
          <w:rFonts w:ascii="Times New Roman" w:hAnsi="Times New Roman"/>
        </w:rPr>
        <w:lastRenderedPageBreak/>
        <w:t xml:space="preserve">Supplement </w:t>
      </w:r>
      <w:r>
        <w:rPr>
          <w:rFonts w:ascii="Times New Roman" w:hAnsi="Times New Roman"/>
        </w:rPr>
        <w:t>III</w:t>
      </w:r>
      <w:r w:rsidRPr="000D58ED">
        <w:rPr>
          <w:rFonts w:ascii="Times New Roman" w:hAnsi="Times New Roman"/>
        </w:rPr>
        <w:t xml:space="preserve">: Coding sheet with </w:t>
      </w:r>
      <w:proofErr w:type="gramStart"/>
      <w:r w:rsidRPr="000D58ED">
        <w:rPr>
          <w:rFonts w:ascii="Times New Roman" w:hAnsi="Times New Roman"/>
        </w:rPr>
        <w:t>example</w:t>
      </w:r>
      <w:bookmarkEnd w:id="2"/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"/>
        <w:gridCol w:w="3618"/>
        <w:gridCol w:w="5305"/>
      </w:tblGrid>
      <w:tr w:rsidR="008572F7" w:rsidRPr="000D58ED" w14:paraId="4B9A73D4" w14:textId="77777777" w:rsidTr="00931D58">
        <w:tc>
          <w:tcPr>
            <w:tcW w:w="4045" w:type="dxa"/>
            <w:gridSpan w:val="2"/>
          </w:tcPr>
          <w:p w14:paraId="012C2AB7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b/>
                <w:bCs/>
                <w:szCs w:val="26"/>
              </w:rPr>
            </w:pPr>
            <w:r w:rsidRPr="000D58ED">
              <w:rPr>
                <w:rFonts w:ascii="Times New Roman" w:eastAsia="Times New Roman" w:hAnsi="Times New Roman"/>
                <w:b/>
                <w:bCs/>
                <w:szCs w:val="26"/>
              </w:rPr>
              <w:t>Article ID</w:t>
            </w:r>
          </w:p>
        </w:tc>
        <w:tc>
          <w:tcPr>
            <w:tcW w:w="5305" w:type="dxa"/>
          </w:tcPr>
          <w:p w14:paraId="166F6C4D" w14:textId="77777777" w:rsidR="008572F7" w:rsidRPr="00A072C8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A072C8">
              <w:rPr>
                <w:rFonts w:ascii="Times New Roman" w:eastAsia="Times New Roman" w:hAnsi="Times New Roman"/>
                <w:szCs w:val="26"/>
              </w:rPr>
              <w:t>1</w:t>
            </w:r>
          </w:p>
        </w:tc>
      </w:tr>
      <w:tr w:rsidR="008572F7" w:rsidRPr="000D58ED" w14:paraId="24BAE1F1" w14:textId="77777777" w:rsidTr="00931D58">
        <w:tc>
          <w:tcPr>
            <w:tcW w:w="4045" w:type="dxa"/>
            <w:gridSpan w:val="2"/>
          </w:tcPr>
          <w:p w14:paraId="7F5A77A6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b/>
                <w:bCs/>
                <w:szCs w:val="26"/>
              </w:rPr>
            </w:pPr>
            <w:r w:rsidRPr="000D58ED">
              <w:rPr>
                <w:rFonts w:ascii="Times New Roman" w:eastAsia="Times New Roman" w:hAnsi="Times New Roman"/>
                <w:b/>
                <w:bCs/>
                <w:szCs w:val="26"/>
              </w:rPr>
              <w:t>Effect ID</w:t>
            </w:r>
          </w:p>
        </w:tc>
        <w:tc>
          <w:tcPr>
            <w:tcW w:w="5305" w:type="dxa"/>
          </w:tcPr>
          <w:p w14:paraId="4CAD058D" w14:textId="77777777" w:rsidR="008572F7" w:rsidRPr="00A072C8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A072C8">
              <w:rPr>
                <w:rFonts w:ascii="Times New Roman" w:eastAsia="Times New Roman" w:hAnsi="Times New Roman"/>
                <w:szCs w:val="26"/>
              </w:rPr>
              <w:t>1</w:t>
            </w:r>
          </w:p>
        </w:tc>
      </w:tr>
      <w:tr w:rsidR="008572F7" w:rsidRPr="000D58ED" w14:paraId="317B331F" w14:textId="77777777" w:rsidTr="00931D58">
        <w:tc>
          <w:tcPr>
            <w:tcW w:w="4045" w:type="dxa"/>
            <w:gridSpan w:val="2"/>
          </w:tcPr>
          <w:p w14:paraId="307AADB9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b/>
                <w:bCs/>
                <w:szCs w:val="26"/>
              </w:rPr>
            </w:pPr>
            <w:r w:rsidRPr="000D58ED">
              <w:rPr>
                <w:rFonts w:ascii="Times New Roman" w:eastAsia="Times New Roman" w:hAnsi="Times New Roman"/>
                <w:b/>
                <w:bCs/>
                <w:szCs w:val="26"/>
              </w:rPr>
              <w:t>Article</w:t>
            </w:r>
          </w:p>
        </w:tc>
        <w:tc>
          <w:tcPr>
            <w:tcW w:w="5305" w:type="dxa"/>
          </w:tcPr>
          <w:p w14:paraId="6D675D82" w14:textId="77777777" w:rsidR="008572F7" w:rsidRPr="00A072C8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A072C8">
              <w:rPr>
                <w:rFonts w:ascii="Times New Roman" w:eastAsia="Times New Roman" w:hAnsi="Times New Roman"/>
                <w:szCs w:val="26"/>
              </w:rPr>
              <w:t>Arseneault, 2002</w:t>
            </w:r>
          </w:p>
        </w:tc>
      </w:tr>
      <w:tr w:rsidR="008572F7" w:rsidRPr="000D58ED" w14:paraId="2FD922E9" w14:textId="77777777" w:rsidTr="00931D58">
        <w:tc>
          <w:tcPr>
            <w:tcW w:w="4045" w:type="dxa"/>
            <w:gridSpan w:val="2"/>
          </w:tcPr>
          <w:p w14:paraId="5E64FF81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b/>
                <w:bCs/>
                <w:szCs w:val="26"/>
              </w:rPr>
            </w:pPr>
            <w:r w:rsidRPr="000D58ED">
              <w:rPr>
                <w:rFonts w:ascii="Times New Roman" w:eastAsia="Times New Roman" w:hAnsi="Times New Roman"/>
                <w:b/>
                <w:bCs/>
                <w:szCs w:val="26"/>
              </w:rPr>
              <w:t>Citation</w:t>
            </w:r>
          </w:p>
        </w:tc>
        <w:tc>
          <w:tcPr>
            <w:tcW w:w="5305" w:type="dxa"/>
          </w:tcPr>
          <w:p w14:paraId="63AAF07F" w14:textId="77777777" w:rsidR="008572F7" w:rsidRPr="00A072C8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A072C8">
              <w:rPr>
                <w:rFonts w:ascii="Times New Roman" w:eastAsia="Times New Roman" w:hAnsi="Times New Roman"/>
                <w:szCs w:val="26"/>
              </w:rPr>
              <w:t>Arseneault L. Cannabis use in adolescence and risk for adult psychosis: longitudinal prospective study. BMJ. 2002;325(7374):1212-1213. doi:10.1136/bmj.325.7374.1212</w:t>
            </w:r>
          </w:p>
        </w:tc>
      </w:tr>
      <w:tr w:rsidR="008572F7" w:rsidRPr="000D58ED" w14:paraId="4DE2B34F" w14:textId="77777777" w:rsidTr="00931D58">
        <w:tc>
          <w:tcPr>
            <w:tcW w:w="4045" w:type="dxa"/>
            <w:gridSpan w:val="2"/>
          </w:tcPr>
          <w:p w14:paraId="381D1844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b/>
                <w:bCs/>
                <w:szCs w:val="26"/>
              </w:rPr>
            </w:pPr>
            <w:r w:rsidRPr="000D58ED">
              <w:rPr>
                <w:rFonts w:ascii="Times New Roman" w:eastAsia="Times New Roman" w:hAnsi="Times New Roman"/>
                <w:b/>
                <w:bCs/>
                <w:szCs w:val="26"/>
              </w:rPr>
              <w:t>Study years (enrollment – final follow up)</w:t>
            </w:r>
          </w:p>
        </w:tc>
        <w:tc>
          <w:tcPr>
            <w:tcW w:w="5305" w:type="dxa"/>
          </w:tcPr>
          <w:p w14:paraId="4F38B774" w14:textId="77777777" w:rsidR="008572F7" w:rsidRPr="00A072C8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1972-1999</w:t>
            </w:r>
          </w:p>
        </w:tc>
      </w:tr>
      <w:tr w:rsidR="008572F7" w:rsidRPr="000D58ED" w14:paraId="6DD48C91" w14:textId="77777777" w:rsidTr="00931D58">
        <w:tc>
          <w:tcPr>
            <w:tcW w:w="4045" w:type="dxa"/>
            <w:gridSpan w:val="2"/>
          </w:tcPr>
          <w:p w14:paraId="0D05B332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b/>
                <w:bCs/>
                <w:szCs w:val="26"/>
              </w:rPr>
            </w:pPr>
            <w:r w:rsidRPr="000D58ED">
              <w:rPr>
                <w:rFonts w:ascii="Times New Roman" w:eastAsia="Times New Roman" w:hAnsi="Times New Roman"/>
                <w:b/>
                <w:bCs/>
                <w:szCs w:val="26"/>
              </w:rPr>
              <w:t>Setting</w:t>
            </w:r>
          </w:p>
        </w:tc>
        <w:tc>
          <w:tcPr>
            <w:tcW w:w="5305" w:type="dxa"/>
          </w:tcPr>
          <w:p w14:paraId="2EB8424F" w14:textId="77777777" w:rsidR="008572F7" w:rsidRPr="00A072C8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2E272D">
              <w:rPr>
                <w:rFonts w:ascii="Times New Roman" w:eastAsia="Times New Roman" w:hAnsi="Times New Roman"/>
                <w:szCs w:val="26"/>
              </w:rPr>
              <w:t>a general population birth cohort in Dunedin, New Zealand</w:t>
            </w:r>
          </w:p>
        </w:tc>
      </w:tr>
      <w:tr w:rsidR="008572F7" w:rsidRPr="000D58ED" w14:paraId="0116CEEF" w14:textId="77777777" w:rsidTr="00931D58">
        <w:tc>
          <w:tcPr>
            <w:tcW w:w="4045" w:type="dxa"/>
            <w:gridSpan w:val="2"/>
          </w:tcPr>
          <w:p w14:paraId="0E21758A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b/>
                <w:bCs/>
                <w:szCs w:val="26"/>
              </w:rPr>
            </w:pPr>
            <w:r w:rsidRPr="000D58ED">
              <w:rPr>
                <w:rFonts w:ascii="Times New Roman" w:eastAsia="Times New Roman" w:hAnsi="Times New Roman"/>
                <w:b/>
                <w:bCs/>
                <w:szCs w:val="26"/>
              </w:rPr>
              <w:t>Country Code</w:t>
            </w:r>
          </w:p>
        </w:tc>
        <w:tc>
          <w:tcPr>
            <w:tcW w:w="5305" w:type="dxa"/>
          </w:tcPr>
          <w:p w14:paraId="34A6E11C" w14:textId="77777777" w:rsidR="008572F7" w:rsidRPr="00A072C8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2</w:t>
            </w:r>
          </w:p>
        </w:tc>
      </w:tr>
      <w:tr w:rsidR="008572F7" w:rsidRPr="000D58ED" w14:paraId="2608E183" w14:textId="77777777" w:rsidTr="00931D58">
        <w:tc>
          <w:tcPr>
            <w:tcW w:w="427" w:type="dxa"/>
          </w:tcPr>
          <w:p w14:paraId="630D5F8B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0D58ED">
              <w:rPr>
                <w:rFonts w:ascii="Times New Roman" w:eastAsia="Times New Roman" w:hAnsi="Times New Roman"/>
                <w:szCs w:val="26"/>
              </w:rPr>
              <w:t>1</w:t>
            </w:r>
          </w:p>
        </w:tc>
        <w:tc>
          <w:tcPr>
            <w:tcW w:w="3618" w:type="dxa"/>
          </w:tcPr>
          <w:p w14:paraId="13174499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0D58ED">
              <w:rPr>
                <w:rFonts w:ascii="Times New Roman" w:eastAsia="Times New Roman" w:hAnsi="Times New Roman"/>
                <w:szCs w:val="26"/>
              </w:rPr>
              <w:t>US</w:t>
            </w:r>
          </w:p>
        </w:tc>
        <w:tc>
          <w:tcPr>
            <w:tcW w:w="5305" w:type="dxa"/>
          </w:tcPr>
          <w:p w14:paraId="7EAF4C23" w14:textId="77777777" w:rsidR="008572F7" w:rsidRPr="00A072C8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</w:p>
        </w:tc>
      </w:tr>
      <w:tr w:rsidR="008572F7" w:rsidRPr="000D58ED" w14:paraId="6319EE3A" w14:textId="77777777" w:rsidTr="00931D58">
        <w:tc>
          <w:tcPr>
            <w:tcW w:w="427" w:type="dxa"/>
          </w:tcPr>
          <w:p w14:paraId="3DC02FBD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0D58ED">
              <w:rPr>
                <w:rFonts w:ascii="Times New Roman" w:eastAsia="Times New Roman" w:hAnsi="Times New Roman"/>
                <w:szCs w:val="26"/>
              </w:rPr>
              <w:t>2</w:t>
            </w:r>
          </w:p>
        </w:tc>
        <w:tc>
          <w:tcPr>
            <w:tcW w:w="3618" w:type="dxa"/>
          </w:tcPr>
          <w:p w14:paraId="10F434A3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0D58ED">
              <w:rPr>
                <w:rFonts w:ascii="Times New Roman" w:eastAsia="Times New Roman" w:hAnsi="Times New Roman"/>
                <w:szCs w:val="26"/>
              </w:rPr>
              <w:t>Non-US</w:t>
            </w:r>
          </w:p>
        </w:tc>
        <w:tc>
          <w:tcPr>
            <w:tcW w:w="5305" w:type="dxa"/>
          </w:tcPr>
          <w:p w14:paraId="039415EE" w14:textId="77777777" w:rsidR="008572F7" w:rsidRPr="00A072C8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</w:p>
        </w:tc>
      </w:tr>
      <w:tr w:rsidR="008572F7" w:rsidRPr="000D58ED" w14:paraId="0E0A2518" w14:textId="77777777" w:rsidTr="00931D58">
        <w:tc>
          <w:tcPr>
            <w:tcW w:w="427" w:type="dxa"/>
          </w:tcPr>
          <w:p w14:paraId="74D50BB2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0D58ED">
              <w:rPr>
                <w:rFonts w:ascii="Times New Roman" w:eastAsia="Times New Roman" w:hAnsi="Times New Roman"/>
                <w:szCs w:val="26"/>
              </w:rPr>
              <w:t>3</w:t>
            </w:r>
          </w:p>
        </w:tc>
        <w:tc>
          <w:tcPr>
            <w:tcW w:w="3618" w:type="dxa"/>
          </w:tcPr>
          <w:p w14:paraId="2C2EA9B2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0D58ED">
              <w:rPr>
                <w:rFonts w:ascii="Times New Roman" w:eastAsia="Times New Roman" w:hAnsi="Times New Roman"/>
                <w:szCs w:val="26"/>
              </w:rPr>
              <w:t>Worldwide</w:t>
            </w:r>
          </w:p>
        </w:tc>
        <w:tc>
          <w:tcPr>
            <w:tcW w:w="5305" w:type="dxa"/>
          </w:tcPr>
          <w:p w14:paraId="1530D939" w14:textId="77777777" w:rsidR="008572F7" w:rsidRPr="00A072C8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</w:p>
        </w:tc>
      </w:tr>
      <w:tr w:rsidR="008572F7" w:rsidRPr="000D58ED" w14:paraId="135833FB" w14:textId="77777777" w:rsidTr="00931D58">
        <w:tc>
          <w:tcPr>
            <w:tcW w:w="4045" w:type="dxa"/>
            <w:gridSpan w:val="2"/>
          </w:tcPr>
          <w:p w14:paraId="363DC4D7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b/>
                <w:bCs/>
                <w:szCs w:val="26"/>
              </w:rPr>
            </w:pPr>
            <w:r w:rsidRPr="000D58ED">
              <w:rPr>
                <w:rFonts w:ascii="Times New Roman" w:eastAsia="Times New Roman" w:hAnsi="Times New Roman"/>
                <w:b/>
                <w:bCs/>
                <w:szCs w:val="26"/>
              </w:rPr>
              <w:t>State Code</w:t>
            </w:r>
          </w:p>
        </w:tc>
        <w:tc>
          <w:tcPr>
            <w:tcW w:w="5305" w:type="dxa"/>
          </w:tcPr>
          <w:p w14:paraId="7AB52BA4" w14:textId="77777777" w:rsidR="008572F7" w:rsidRPr="00A072C8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0</w:t>
            </w:r>
          </w:p>
        </w:tc>
      </w:tr>
      <w:tr w:rsidR="008572F7" w:rsidRPr="000D58ED" w14:paraId="521E0216" w14:textId="77777777" w:rsidTr="00931D58">
        <w:tc>
          <w:tcPr>
            <w:tcW w:w="427" w:type="dxa"/>
          </w:tcPr>
          <w:p w14:paraId="39CEF256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0D58ED">
              <w:rPr>
                <w:rFonts w:ascii="Times New Roman" w:eastAsia="Times New Roman" w:hAnsi="Times New Roman"/>
                <w:szCs w:val="26"/>
              </w:rPr>
              <w:t>1</w:t>
            </w:r>
          </w:p>
        </w:tc>
        <w:tc>
          <w:tcPr>
            <w:tcW w:w="3618" w:type="dxa"/>
          </w:tcPr>
          <w:p w14:paraId="53339207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0D58ED">
              <w:rPr>
                <w:rFonts w:ascii="Times New Roman" w:eastAsia="Times New Roman" w:hAnsi="Times New Roman"/>
                <w:szCs w:val="26"/>
              </w:rPr>
              <w:t>National or more than 1 state</w:t>
            </w:r>
          </w:p>
        </w:tc>
        <w:tc>
          <w:tcPr>
            <w:tcW w:w="5305" w:type="dxa"/>
          </w:tcPr>
          <w:p w14:paraId="7C75E6A3" w14:textId="77777777" w:rsidR="008572F7" w:rsidRPr="00A072C8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</w:p>
        </w:tc>
      </w:tr>
      <w:tr w:rsidR="008572F7" w:rsidRPr="000D58ED" w14:paraId="33C17DF8" w14:textId="77777777" w:rsidTr="00931D58">
        <w:tc>
          <w:tcPr>
            <w:tcW w:w="427" w:type="dxa"/>
          </w:tcPr>
          <w:p w14:paraId="6442DE08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0D58ED">
              <w:rPr>
                <w:rFonts w:ascii="Times New Roman" w:eastAsia="Times New Roman" w:hAnsi="Times New Roman"/>
                <w:szCs w:val="26"/>
              </w:rPr>
              <w:t>0</w:t>
            </w:r>
          </w:p>
        </w:tc>
        <w:tc>
          <w:tcPr>
            <w:tcW w:w="3618" w:type="dxa"/>
          </w:tcPr>
          <w:p w14:paraId="744CC327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0D58ED">
              <w:rPr>
                <w:rFonts w:ascii="Times New Roman" w:eastAsia="Times New Roman" w:hAnsi="Times New Roman"/>
                <w:szCs w:val="26"/>
              </w:rPr>
              <w:t>Non-US</w:t>
            </w:r>
          </w:p>
        </w:tc>
        <w:tc>
          <w:tcPr>
            <w:tcW w:w="5305" w:type="dxa"/>
          </w:tcPr>
          <w:p w14:paraId="3FE79EBD" w14:textId="77777777" w:rsidR="008572F7" w:rsidRPr="00A072C8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</w:p>
        </w:tc>
      </w:tr>
      <w:tr w:rsidR="008572F7" w:rsidRPr="000D58ED" w14:paraId="4B3B408B" w14:textId="77777777" w:rsidTr="00931D58">
        <w:tc>
          <w:tcPr>
            <w:tcW w:w="4045" w:type="dxa"/>
            <w:gridSpan w:val="2"/>
          </w:tcPr>
          <w:p w14:paraId="210A6D9C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b/>
                <w:bCs/>
                <w:szCs w:val="26"/>
              </w:rPr>
            </w:pPr>
            <w:r w:rsidRPr="000D58ED">
              <w:rPr>
                <w:rFonts w:ascii="Times New Roman" w:eastAsia="Times New Roman" w:hAnsi="Times New Roman"/>
                <w:b/>
                <w:bCs/>
                <w:szCs w:val="26"/>
              </w:rPr>
              <w:t>Ages of Participants</w:t>
            </w:r>
          </w:p>
        </w:tc>
        <w:tc>
          <w:tcPr>
            <w:tcW w:w="5305" w:type="dxa"/>
          </w:tcPr>
          <w:p w14:paraId="281BBD55" w14:textId="77777777" w:rsidR="008572F7" w:rsidRPr="00A072C8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2</w:t>
            </w:r>
          </w:p>
        </w:tc>
      </w:tr>
      <w:tr w:rsidR="008572F7" w:rsidRPr="000D58ED" w14:paraId="3E3F9CFA" w14:textId="77777777" w:rsidTr="00931D58">
        <w:tc>
          <w:tcPr>
            <w:tcW w:w="427" w:type="dxa"/>
          </w:tcPr>
          <w:p w14:paraId="3B27E618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0D58ED">
              <w:rPr>
                <w:rFonts w:ascii="Times New Roman" w:eastAsia="Times New Roman" w:hAnsi="Times New Roman"/>
                <w:szCs w:val="26"/>
              </w:rPr>
              <w:t>1</w:t>
            </w:r>
          </w:p>
        </w:tc>
        <w:tc>
          <w:tcPr>
            <w:tcW w:w="3618" w:type="dxa"/>
          </w:tcPr>
          <w:p w14:paraId="04B2F925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0D58ED">
              <w:rPr>
                <w:rFonts w:ascii="Times New Roman" w:eastAsia="Times New Roman" w:hAnsi="Times New Roman"/>
                <w:szCs w:val="26"/>
              </w:rPr>
              <w:t>Adults only</w:t>
            </w:r>
          </w:p>
        </w:tc>
        <w:tc>
          <w:tcPr>
            <w:tcW w:w="5305" w:type="dxa"/>
          </w:tcPr>
          <w:p w14:paraId="610CAC6C" w14:textId="77777777" w:rsidR="008572F7" w:rsidRPr="00A072C8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</w:p>
        </w:tc>
      </w:tr>
      <w:tr w:rsidR="008572F7" w:rsidRPr="000D58ED" w14:paraId="3706F6EC" w14:textId="77777777" w:rsidTr="00931D58">
        <w:tc>
          <w:tcPr>
            <w:tcW w:w="427" w:type="dxa"/>
          </w:tcPr>
          <w:p w14:paraId="2975F252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0D58ED">
              <w:rPr>
                <w:rFonts w:ascii="Times New Roman" w:eastAsia="Times New Roman" w:hAnsi="Times New Roman"/>
                <w:szCs w:val="26"/>
              </w:rPr>
              <w:t>2</w:t>
            </w:r>
          </w:p>
        </w:tc>
        <w:tc>
          <w:tcPr>
            <w:tcW w:w="3618" w:type="dxa"/>
          </w:tcPr>
          <w:p w14:paraId="2CDE02EA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0D58ED">
              <w:rPr>
                <w:rFonts w:ascii="Times New Roman" w:eastAsia="Times New Roman" w:hAnsi="Times New Roman"/>
                <w:szCs w:val="26"/>
              </w:rPr>
              <w:t>Under 18 only (at baseline)</w:t>
            </w:r>
          </w:p>
        </w:tc>
        <w:tc>
          <w:tcPr>
            <w:tcW w:w="5305" w:type="dxa"/>
          </w:tcPr>
          <w:p w14:paraId="5C229DA7" w14:textId="77777777" w:rsidR="008572F7" w:rsidRPr="00A072C8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</w:p>
        </w:tc>
      </w:tr>
      <w:tr w:rsidR="008572F7" w:rsidRPr="000D58ED" w14:paraId="18A2D6E3" w14:textId="77777777" w:rsidTr="00931D58">
        <w:tc>
          <w:tcPr>
            <w:tcW w:w="427" w:type="dxa"/>
          </w:tcPr>
          <w:p w14:paraId="213B7AC0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0D58ED">
              <w:rPr>
                <w:rFonts w:ascii="Times New Roman" w:eastAsia="Times New Roman" w:hAnsi="Times New Roman"/>
                <w:szCs w:val="26"/>
              </w:rPr>
              <w:t>3</w:t>
            </w:r>
          </w:p>
        </w:tc>
        <w:tc>
          <w:tcPr>
            <w:tcW w:w="3618" w:type="dxa"/>
          </w:tcPr>
          <w:p w14:paraId="01E0E861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0D58ED">
              <w:rPr>
                <w:rFonts w:ascii="Times New Roman" w:eastAsia="Times New Roman" w:hAnsi="Times New Roman"/>
                <w:szCs w:val="26"/>
              </w:rPr>
              <w:t>Mixed</w:t>
            </w:r>
          </w:p>
        </w:tc>
        <w:tc>
          <w:tcPr>
            <w:tcW w:w="5305" w:type="dxa"/>
          </w:tcPr>
          <w:p w14:paraId="2C3F6F70" w14:textId="77777777" w:rsidR="008572F7" w:rsidRPr="00A072C8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</w:p>
        </w:tc>
      </w:tr>
      <w:tr w:rsidR="008572F7" w:rsidRPr="000D58ED" w14:paraId="48142B3E" w14:textId="77777777" w:rsidTr="00931D58">
        <w:tc>
          <w:tcPr>
            <w:tcW w:w="427" w:type="dxa"/>
          </w:tcPr>
          <w:p w14:paraId="3A1A799D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0D58ED">
              <w:rPr>
                <w:rFonts w:ascii="Times New Roman" w:eastAsia="Times New Roman" w:hAnsi="Times New Roman"/>
                <w:szCs w:val="26"/>
              </w:rPr>
              <w:t>4</w:t>
            </w:r>
          </w:p>
        </w:tc>
        <w:tc>
          <w:tcPr>
            <w:tcW w:w="3618" w:type="dxa"/>
          </w:tcPr>
          <w:p w14:paraId="24B849E3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0D58ED">
              <w:rPr>
                <w:rFonts w:ascii="Times New Roman" w:eastAsia="Times New Roman" w:hAnsi="Times New Roman"/>
                <w:szCs w:val="26"/>
              </w:rPr>
              <w:t>Unclear</w:t>
            </w:r>
          </w:p>
        </w:tc>
        <w:tc>
          <w:tcPr>
            <w:tcW w:w="5305" w:type="dxa"/>
          </w:tcPr>
          <w:p w14:paraId="4CF758BD" w14:textId="77777777" w:rsidR="008572F7" w:rsidRPr="00A072C8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</w:p>
        </w:tc>
      </w:tr>
      <w:tr w:rsidR="008572F7" w:rsidRPr="000D58ED" w14:paraId="396A245A" w14:textId="77777777" w:rsidTr="00931D58">
        <w:tc>
          <w:tcPr>
            <w:tcW w:w="4045" w:type="dxa"/>
            <w:gridSpan w:val="2"/>
          </w:tcPr>
          <w:p w14:paraId="48CBC888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b/>
                <w:bCs/>
                <w:szCs w:val="26"/>
              </w:rPr>
            </w:pPr>
            <w:r w:rsidRPr="000D58ED">
              <w:rPr>
                <w:rFonts w:ascii="Times New Roman" w:eastAsia="Times New Roman" w:hAnsi="Times New Roman"/>
                <w:b/>
                <w:bCs/>
                <w:szCs w:val="26"/>
              </w:rPr>
              <w:t>Depression Definition</w:t>
            </w:r>
          </w:p>
        </w:tc>
        <w:tc>
          <w:tcPr>
            <w:tcW w:w="5305" w:type="dxa"/>
          </w:tcPr>
          <w:p w14:paraId="4CD8EF88" w14:textId="77777777" w:rsidR="008572F7" w:rsidRPr="00A072C8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1</w:t>
            </w:r>
          </w:p>
        </w:tc>
      </w:tr>
      <w:tr w:rsidR="008572F7" w:rsidRPr="000D58ED" w14:paraId="1E5D76FD" w14:textId="77777777" w:rsidTr="00931D58">
        <w:tc>
          <w:tcPr>
            <w:tcW w:w="427" w:type="dxa"/>
          </w:tcPr>
          <w:p w14:paraId="38015269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0D58ED">
              <w:rPr>
                <w:rFonts w:ascii="Times New Roman" w:eastAsia="Times New Roman" w:hAnsi="Times New Roman"/>
                <w:szCs w:val="26"/>
              </w:rPr>
              <w:t>1</w:t>
            </w:r>
          </w:p>
        </w:tc>
        <w:tc>
          <w:tcPr>
            <w:tcW w:w="3618" w:type="dxa"/>
          </w:tcPr>
          <w:p w14:paraId="25C34516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0D58ED">
              <w:rPr>
                <w:rFonts w:ascii="Times New Roman" w:eastAsia="Times New Roman" w:hAnsi="Times New Roman"/>
                <w:szCs w:val="26"/>
              </w:rPr>
              <w:t>Major Depressive Disorder (MDD)</w:t>
            </w:r>
          </w:p>
        </w:tc>
        <w:tc>
          <w:tcPr>
            <w:tcW w:w="5305" w:type="dxa"/>
          </w:tcPr>
          <w:p w14:paraId="4F3E26A5" w14:textId="77777777" w:rsidR="008572F7" w:rsidRPr="00A072C8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</w:p>
        </w:tc>
      </w:tr>
      <w:tr w:rsidR="008572F7" w:rsidRPr="000D58ED" w14:paraId="2DB6C769" w14:textId="77777777" w:rsidTr="00931D58">
        <w:tc>
          <w:tcPr>
            <w:tcW w:w="427" w:type="dxa"/>
          </w:tcPr>
          <w:p w14:paraId="02AA82BC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0D58ED">
              <w:rPr>
                <w:rFonts w:ascii="Times New Roman" w:eastAsia="Times New Roman" w:hAnsi="Times New Roman"/>
                <w:szCs w:val="26"/>
              </w:rPr>
              <w:t>2</w:t>
            </w:r>
          </w:p>
        </w:tc>
        <w:tc>
          <w:tcPr>
            <w:tcW w:w="3618" w:type="dxa"/>
          </w:tcPr>
          <w:p w14:paraId="626609F6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0D58ED">
              <w:rPr>
                <w:rFonts w:ascii="Times New Roman" w:eastAsia="Times New Roman" w:hAnsi="Times New Roman"/>
                <w:szCs w:val="26"/>
              </w:rPr>
              <w:t>Major Depressive Episode (MDE)</w:t>
            </w:r>
          </w:p>
        </w:tc>
        <w:tc>
          <w:tcPr>
            <w:tcW w:w="5305" w:type="dxa"/>
          </w:tcPr>
          <w:p w14:paraId="7F990DE3" w14:textId="77777777" w:rsidR="008572F7" w:rsidRPr="00A072C8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</w:p>
        </w:tc>
      </w:tr>
      <w:tr w:rsidR="008572F7" w:rsidRPr="000D58ED" w14:paraId="6CAEA28C" w14:textId="77777777" w:rsidTr="00931D58">
        <w:tc>
          <w:tcPr>
            <w:tcW w:w="427" w:type="dxa"/>
          </w:tcPr>
          <w:p w14:paraId="580CCA0E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0D58ED">
              <w:rPr>
                <w:rFonts w:ascii="Times New Roman" w:eastAsia="Times New Roman" w:hAnsi="Times New Roman"/>
                <w:szCs w:val="26"/>
              </w:rPr>
              <w:t>3</w:t>
            </w:r>
          </w:p>
        </w:tc>
        <w:tc>
          <w:tcPr>
            <w:tcW w:w="3618" w:type="dxa"/>
          </w:tcPr>
          <w:p w14:paraId="7DB05CCA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0D58ED">
              <w:rPr>
                <w:rFonts w:ascii="Times New Roman" w:eastAsia="Times New Roman" w:hAnsi="Times New Roman"/>
                <w:szCs w:val="26"/>
              </w:rPr>
              <w:t>Depressive symptoms</w:t>
            </w:r>
          </w:p>
        </w:tc>
        <w:tc>
          <w:tcPr>
            <w:tcW w:w="5305" w:type="dxa"/>
          </w:tcPr>
          <w:p w14:paraId="71E4AC30" w14:textId="77777777" w:rsidR="008572F7" w:rsidRPr="00A072C8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</w:p>
        </w:tc>
      </w:tr>
      <w:tr w:rsidR="008572F7" w:rsidRPr="000D58ED" w14:paraId="25E35C13" w14:textId="77777777" w:rsidTr="00931D58">
        <w:tc>
          <w:tcPr>
            <w:tcW w:w="427" w:type="dxa"/>
          </w:tcPr>
          <w:p w14:paraId="029ED178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0D58ED">
              <w:rPr>
                <w:rFonts w:ascii="Times New Roman" w:eastAsia="Times New Roman" w:hAnsi="Times New Roman"/>
                <w:szCs w:val="26"/>
              </w:rPr>
              <w:t>4</w:t>
            </w:r>
          </w:p>
        </w:tc>
        <w:tc>
          <w:tcPr>
            <w:tcW w:w="3618" w:type="dxa"/>
          </w:tcPr>
          <w:p w14:paraId="21D69EC5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0D58ED">
              <w:rPr>
                <w:rFonts w:ascii="Times New Roman" w:eastAsia="Times New Roman" w:hAnsi="Times New Roman"/>
                <w:szCs w:val="26"/>
              </w:rPr>
              <w:t>Depressive disorder, other</w:t>
            </w:r>
          </w:p>
        </w:tc>
        <w:tc>
          <w:tcPr>
            <w:tcW w:w="5305" w:type="dxa"/>
          </w:tcPr>
          <w:p w14:paraId="4195AB8F" w14:textId="77777777" w:rsidR="008572F7" w:rsidRPr="00A072C8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</w:p>
        </w:tc>
      </w:tr>
      <w:tr w:rsidR="008572F7" w:rsidRPr="000D58ED" w14:paraId="07BE31DA" w14:textId="77777777" w:rsidTr="00931D58">
        <w:tc>
          <w:tcPr>
            <w:tcW w:w="427" w:type="dxa"/>
          </w:tcPr>
          <w:p w14:paraId="1E50178D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0D58ED">
              <w:rPr>
                <w:rFonts w:ascii="Times New Roman" w:eastAsia="Times New Roman" w:hAnsi="Times New Roman"/>
                <w:szCs w:val="26"/>
              </w:rPr>
              <w:t>5</w:t>
            </w:r>
          </w:p>
        </w:tc>
        <w:tc>
          <w:tcPr>
            <w:tcW w:w="3618" w:type="dxa"/>
          </w:tcPr>
          <w:p w14:paraId="01A43D1D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0D58ED">
              <w:rPr>
                <w:rFonts w:ascii="Times New Roman" w:eastAsia="Times New Roman" w:hAnsi="Times New Roman"/>
                <w:szCs w:val="26"/>
              </w:rPr>
              <w:t>Depression, not otherwise specified</w:t>
            </w:r>
          </w:p>
        </w:tc>
        <w:tc>
          <w:tcPr>
            <w:tcW w:w="5305" w:type="dxa"/>
          </w:tcPr>
          <w:p w14:paraId="14C9408E" w14:textId="77777777" w:rsidR="008572F7" w:rsidRPr="00A072C8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</w:p>
        </w:tc>
      </w:tr>
      <w:tr w:rsidR="008572F7" w:rsidRPr="000D58ED" w14:paraId="12C6D831" w14:textId="77777777" w:rsidTr="00931D58">
        <w:tc>
          <w:tcPr>
            <w:tcW w:w="4045" w:type="dxa"/>
            <w:gridSpan w:val="2"/>
          </w:tcPr>
          <w:p w14:paraId="268B21E5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b/>
                <w:bCs/>
                <w:szCs w:val="26"/>
              </w:rPr>
            </w:pPr>
            <w:r w:rsidRPr="000D58ED">
              <w:rPr>
                <w:rFonts w:ascii="Times New Roman" w:eastAsia="Times New Roman" w:hAnsi="Times New Roman"/>
                <w:b/>
                <w:bCs/>
                <w:szCs w:val="26"/>
              </w:rPr>
              <w:lastRenderedPageBreak/>
              <w:t>Depression measure (open text)</w:t>
            </w:r>
          </w:p>
        </w:tc>
        <w:tc>
          <w:tcPr>
            <w:tcW w:w="5305" w:type="dxa"/>
          </w:tcPr>
          <w:p w14:paraId="42A01809" w14:textId="77777777" w:rsidR="008572F7" w:rsidRPr="00A072C8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DSM-IV</w:t>
            </w:r>
          </w:p>
        </w:tc>
      </w:tr>
      <w:tr w:rsidR="008572F7" w:rsidRPr="000D58ED" w14:paraId="6A2FCCF7" w14:textId="77777777" w:rsidTr="00931D58">
        <w:tc>
          <w:tcPr>
            <w:tcW w:w="4045" w:type="dxa"/>
            <w:gridSpan w:val="2"/>
          </w:tcPr>
          <w:p w14:paraId="71609389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b/>
                <w:bCs/>
                <w:szCs w:val="26"/>
              </w:rPr>
            </w:pPr>
            <w:r w:rsidRPr="000D58ED">
              <w:rPr>
                <w:rFonts w:ascii="Times New Roman" w:eastAsia="Times New Roman" w:hAnsi="Times New Roman"/>
                <w:b/>
                <w:bCs/>
                <w:szCs w:val="26"/>
              </w:rPr>
              <w:t>Depression measure (code)</w:t>
            </w:r>
          </w:p>
        </w:tc>
        <w:tc>
          <w:tcPr>
            <w:tcW w:w="5305" w:type="dxa"/>
          </w:tcPr>
          <w:p w14:paraId="2108D067" w14:textId="77777777" w:rsidR="008572F7" w:rsidRPr="00A072C8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1</w:t>
            </w:r>
          </w:p>
        </w:tc>
      </w:tr>
      <w:tr w:rsidR="008572F7" w:rsidRPr="000D58ED" w14:paraId="4C044311" w14:textId="77777777" w:rsidTr="00931D58">
        <w:tc>
          <w:tcPr>
            <w:tcW w:w="427" w:type="dxa"/>
          </w:tcPr>
          <w:p w14:paraId="46D71FDC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0D58ED">
              <w:rPr>
                <w:rFonts w:ascii="Times New Roman" w:eastAsia="Times New Roman" w:hAnsi="Times New Roman"/>
                <w:szCs w:val="26"/>
              </w:rPr>
              <w:t>1</w:t>
            </w:r>
          </w:p>
        </w:tc>
        <w:tc>
          <w:tcPr>
            <w:tcW w:w="3618" w:type="dxa"/>
          </w:tcPr>
          <w:p w14:paraId="45EE05A0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0D58ED">
              <w:rPr>
                <w:rFonts w:ascii="Times New Roman" w:eastAsia="Times New Roman" w:hAnsi="Times New Roman"/>
                <w:szCs w:val="26"/>
              </w:rPr>
              <w:t>DSM and its derivatives</w:t>
            </w:r>
          </w:p>
        </w:tc>
        <w:tc>
          <w:tcPr>
            <w:tcW w:w="5305" w:type="dxa"/>
          </w:tcPr>
          <w:p w14:paraId="575AA8A2" w14:textId="77777777" w:rsidR="008572F7" w:rsidRPr="00A072C8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</w:p>
        </w:tc>
      </w:tr>
      <w:tr w:rsidR="008572F7" w:rsidRPr="000D58ED" w14:paraId="7FE0E016" w14:textId="77777777" w:rsidTr="00931D58">
        <w:tc>
          <w:tcPr>
            <w:tcW w:w="427" w:type="dxa"/>
          </w:tcPr>
          <w:p w14:paraId="5A8DB273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0D58ED">
              <w:rPr>
                <w:rFonts w:ascii="Times New Roman" w:eastAsia="Times New Roman" w:hAnsi="Times New Roman"/>
                <w:szCs w:val="26"/>
              </w:rPr>
              <w:t>2</w:t>
            </w:r>
          </w:p>
        </w:tc>
        <w:tc>
          <w:tcPr>
            <w:tcW w:w="3618" w:type="dxa"/>
          </w:tcPr>
          <w:p w14:paraId="0903C65D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0D58ED">
              <w:rPr>
                <w:rFonts w:ascii="Times New Roman" w:eastAsia="Times New Roman" w:hAnsi="Times New Roman"/>
                <w:szCs w:val="26"/>
              </w:rPr>
              <w:t>Symptom Checklist 90-R</w:t>
            </w:r>
          </w:p>
        </w:tc>
        <w:tc>
          <w:tcPr>
            <w:tcW w:w="5305" w:type="dxa"/>
          </w:tcPr>
          <w:p w14:paraId="70DD966E" w14:textId="77777777" w:rsidR="008572F7" w:rsidRPr="00A072C8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</w:p>
        </w:tc>
      </w:tr>
      <w:tr w:rsidR="008572F7" w:rsidRPr="000D58ED" w14:paraId="44D8468A" w14:textId="77777777" w:rsidTr="00931D58">
        <w:tc>
          <w:tcPr>
            <w:tcW w:w="427" w:type="dxa"/>
          </w:tcPr>
          <w:p w14:paraId="71019C02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0D58ED">
              <w:rPr>
                <w:rFonts w:ascii="Times New Roman" w:eastAsia="Times New Roman" w:hAnsi="Times New Roman"/>
                <w:szCs w:val="26"/>
              </w:rPr>
              <w:t>3</w:t>
            </w:r>
          </w:p>
        </w:tc>
        <w:tc>
          <w:tcPr>
            <w:tcW w:w="3618" w:type="dxa"/>
          </w:tcPr>
          <w:p w14:paraId="65CAE7D8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0D58ED">
              <w:rPr>
                <w:rFonts w:ascii="Times New Roman" w:eastAsia="Times New Roman" w:hAnsi="Times New Roman"/>
                <w:szCs w:val="26"/>
              </w:rPr>
              <w:t xml:space="preserve">Clinical </w:t>
            </w:r>
            <w:proofErr w:type="spellStart"/>
            <w:r w:rsidRPr="000D58ED">
              <w:rPr>
                <w:rFonts w:ascii="Times New Roman" w:eastAsia="Times New Roman" w:hAnsi="Times New Roman"/>
                <w:szCs w:val="26"/>
              </w:rPr>
              <w:t>Interiew</w:t>
            </w:r>
            <w:proofErr w:type="spellEnd"/>
            <w:r w:rsidRPr="000D58ED">
              <w:rPr>
                <w:rFonts w:ascii="Times New Roman" w:eastAsia="Times New Roman" w:hAnsi="Times New Roman"/>
                <w:szCs w:val="26"/>
              </w:rPr>
              <w:t xml:space="preserve"> Schedule (CIS-R)</w:t>
            </w:r>
          </w:p>
        </w:tc>
        <w:tc>
          <w:tcPr>
            <w:tcW w:w="5305" w:type="dxa"/>
          </w:tcPr>
          <w:p w14:paraId="342D31B2" w14:textId="77777777" w:rsidR="008572F7" w:rsidRPr="00A072C8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</w:p>
        </w:tc>
      </w:tr>
      <w:tr w:rsidR="008572F7" w:rsidRPr="000D58ED" w14:paraId="2C77D72E" w14:textId="77777777" w:rsidTr="00931D58">
        <w:tc>
          <w:tcPr>
            <w:tcW w:w="427" w:type="dxa"/>
          </w:tcPr>
          <w:p w14:paraId="381703E9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0D58ED">
              <w:rPr>
                <w:rFonts w:ascii="Times New Roman" w:eastAsia="Times New Roman" w:hAnsi="Times New Roman"/>
                <w:szCs w:val="26"/>
              </w:rPr>
              <w:t>4</w:t>
            </w:r>
          </w:p>
        </w:tc>
        <w:tc>
          <w:tcPr>
            <w:tcW w:w="3618" w:type="dxa"/>
          </w:tcPr>
          <w:p w14:paraId="65FDCB13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0D58ED">
              <w:rPr>
                <w:rFonts w:ascii="Times New Roman" w:eastAsia="Times New Roman" w:hAnsi="Times New Roman"/>
                <w:szCs w:val="26"/>
              </w:rPr>
              <w:t>CES-D</w:t>
            </w:r>
          </w:p>
        </w:tc>
        <w:tc>
          <w:tcPr>
            <w:tcW w:w="5305" w:type="dxa"/>
          </w:tcPr>
          <w:p w14:paraId="5464720A" w14:textId="77777777" w:rsidR="008572F7" w:rsidRPr="00A072C8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</w:p>
        </w:tc>
      </w:tr>
      <w:tr w:rsidR="008572F7" w:rsidRPr="000D58ED" w14:paraId="709DD587" w14:textId="77777777" w:rsidTr="00931D58">
        <w:tc>
          <w:tcPr>
            <w:tcW w:w="427" w:type="dxa"/>
          </w:tcPr>
          <w:p w14:paraId="0C86C89F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0D58ED">
              <w:rPr>
                <w:rFonts w:ascii="Times New Roman" w:eastAsia="Times New Roman" w:hAnsi="Times New Roman"/>
                <w:szCs w:val="26"/>
              </w:rPr>
              <w:t>5</w:t>
            </w:r>
          </w:p>
        </w:tc>
        <w:tc>
          <w:tcPr>
            <w:tcW w:w="3618" w:type="dxa"/>
          </w:tcPr>
          <w:p w14:paraId="29CB2520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0D58ED">
              <w:rPr>
                <w:rFonts w:ascii="Times New Roman" w:eastAsia="Times New Roman" w:hAnsi="Times New Roman"/>
                <w:szCs w:val="26"/>
              </w:rPr>
              <w:t>Clinical diagnosis</w:t>
            </w:r>
          </w:p>
        </w:tc>
        <w:tc>
          <w:tcPr>
            <w:tcW w:w="5305" w:type="dxa"/>
          </w:tcPr>
          <w:p w14:paraId="715BFA4A" w14:textId="77777777" w:rsidR="008572F7" w:rsidRPr="00A072C8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</w:p>
        </w:tc>
      </w:tr>
      <w:tr w:rsidR="008572F7" w:rsidRPr="000D58ED" w14:paraId="0AADCA85" w14:textId="77777777" w:rsidTr="00931D58">
        <w:tc>
          <w:tcPr>
            <w:tcW w:w="427" w:type="dxa"/>
          </w:tcPr>
          <w:p w14:paraId="72158491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0D58ED">
              <w:rPr>
                <w:rFonts w:ascii="Times New Roman" w:eastAsia="Times New Roman" w:hAnsi="Times New Roman"/>
                <w:szCs w:val="26"/>
              </w:rPr>
              <w:t>6</w:t>
            </w:r>
          </w:p>
        </w:tc>
        <w:tc>
          <w:tcPr>
            <w:tcW w:w="3618" w:type="dxa"/>
          </w:tcPr>
          <w:p w14:paraId="3E8B9780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0D58ED">
              <w:rPr>
                <w:rFonts w:ascii="Times New Roman" w:eastAsia="Times New Roman" w:hAnsi="Times New Roman"/>
                <w:szCs w:val="26"/>
              </w:rPr>
              <w:t>Symptom Distress Checklist (SCL)</w:t>
            </w:r>
          </w:p>
        </w:tc>
        <w:tc>
          <w:tcPr>
            <w:tcW w:w="5305" w:type="dxa"/>
          </w:tcPr>
          <w:p w14:paraId="0C3FE7D7" w14:textId="77777777" w:rsidR="008572F7" w:rsidRPr="00A072C8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</w:p>
        </w:tc>
      </w:tr>
      <w:tr w:rsidR="008572F7" w:rsidRPr="000D58ED" w14:paraId="338EFEEF" w14:textId="77777777" w:rsidTr="00931D58">
        <w:tc>
          <w:tcPr>
            <w:tcW w:w="427" w:type="dxa"/>
          </w:tcPr>
          <w:p w14:paraId="483F189F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0D58ED">
              <w:rPr>
                <w:rFonts w:ascii="Times New Roman" w:eastAsia="Times New Roman" w:hAnsi="Times New Roman"/>
                <w:szCs w:val="26"/>
              </w:rPr>
              <w:t>7</w:t>
            </w:r>
          </w:p>
        </w:tc>
        <w:tc>
          <w:tcPr>
            <w:tcW w:w="3618" w:type="dxa"/>
          </w:tcPr>
          <w:p w14:paraId="37A07077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0D58ED">
              <w:rPr>
                <w:rFonts w:ascii="Times New Roman" w:eastAsia="Times New Roman" w:hAnsi="Times New Roman"/>
                <w:szCs w:val="26"/>
              </w:rPr>
              <w:t>Brief Symptom Inventory (BSI)</w:t>
            </w:r>
          </w:p>
        </w:tc>
        <w:tc>
          <w:tcPr>
            <w:tcW w:w="5305" w:type="dxa"/>
          </w:tcPr>
          <w:p w14:paraId="210763DE" w14:textId="77777777" w:rsidR="008572F7" w:rsidRPr="00A072C8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</w:p>
        </w:tc>
      </w:tr>
      <w:tr w:rsidR="008572F7" w:rsidRPr="000D58ED" w14:paraId="24CCEAAF" w14:textId="77777777" w:rsidTr="00931D58">
        <w:tc>
          <w:tcPr>
            <w:tcW w:w="427" w:type="dxa"/>
          </w:tcPr>
          <w:p w14:paraId="0FD6F503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0D58ED">
              <w:rPr>
                <w:rFonts w:ascii="Times New Roman" w:eastAsia="Times New Roman" w:hAnsi="Times New Roman"/>
                <w:szCs w:val="26"/>
              </w:rPr>
              <w:t>8</w:t>
            </w:r>
          </w:p>
        </w:tc>
        <w:tc>
          <w:tcPr>
            <w:tcW w:w="3618" w:type="dxa"/>
          </w:tcPr>
          <w:p w14:paraId="448233EE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0D58ED">
              <w:rPr>
                <w:rFonts w:ascii="Times New Roman" w:eastAsia="Times New Roman" w:hAnsi="Times New Roman"/>
                <w:szCs w:val="26"/>
              </w:rPr>
              <w:t>Composite International Diagnostic Interview (CIDI)</w:t>
            </w:r>
          </w:p>
        </w:tc>
        <w:tc>
          <w:tcPr>
            <w:tcW w:w="5305" w:type="dxa"/>
          </w:tcPr>
          <w:p w14:paraId="520F0202" w14:textId="77777777" w:rsidR="008572F7" w:rsidRPr="00A072C8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</w:p>
        </w:tc>
      </w:tr>
      <w:tr w:rsidR="008572F7" w:rsidRPr="000D58ED" w14:paraId="0B638EE5" w14:textId="77777777" w:rsidTr="00931D58">
        <w:tc>
          <w:tcPr>
            <w:tcW w:w="427" w:type="dxa"/>
          </w:tcPr>
          <w:p w14:paraId="6453FAE3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0D58ED">
              <w:rPr>
                <w:rFonts w:ascii="Times New Roman" w:eastAsia="Times New Roman" w:hAnsi="Times New Roman"/>
                <w:szCs w:val="26"/>
              </w:rPr>
              <w:t>9</w:t>
            </w:r>
          </w:p>
        </w:tc>
        <w:tc>
          <w:tcPr>
            <w:tcW w:w="3618" w:type="dxa"/>
          </w:tcPr>
          <w:p w14:paraId="04CCC2F7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0D58ED">
              <w:rPr>
                <w:rFonts w:ascii="Times New Roman" w:eastAsia="Times New Roman" w:hAnsi="Times New Roman"/>
                <w:szCs w:val="26"/>
              </w:rPr>
              <w:t>Other (specify)</w:t>
            </w:r>
          </w:p>
        </w:tc>
        <w:tc>
          <w:tcPr>
            <w:tcW w:w="5305" w:type="dxa"/>
          </w:tcPr>
          <w:p w14:paraId="3E6031CE" w14:textId="77777777" w:rsidR="008572F7" w:rsidRPr="00A072C8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</w:p>
        </w:tc>
      </w:tr>
      <w:tr w:rsidR="008572F7" w:rsidRPr="000D58ED" w14:paraId="2ECF88EC" w14:textId="77777777" w:rsidTr="00931D58">
        <w:tc>
          <w:tcPr>
            <w:tcW w:w="4045" w:type="dxa"/>
            <w:gridSpan w:val="2"/>
          </w:tcPr>
          <w:p w14:paraId="056D9F9E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b/>
                <w:bCs/>
                <w:szCs w:val="26"/>
              </w:rPr>
            </w:pPr>
            <w:r w:rsidRPr="000D58ED">
              <w:rPr>
                <w:rFonts w:ascii="Times New Roman" w:eastAsia="Times New Roman" w:hAnsi="Times New Roman"/>
                <w:b/>
                <w:bCs/>
                <w:szCs w:val="26"/>
              </w:rPr>
              <w:t>Method of Depression Assessment</w:t>
            </w:r>
          </w:p>
        </w:tc>
        <w:tc>
          <w:tcPr>
            <w:tcW w:w="5305" w:type="dxa"/>
          </w:tcPr>
          <w:p w14:paraId="59911B42" w14:textId="77777777" w:rsidR="008572F7" w:rsidRPr="00A072C8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1</w:t>
            </w:r>
          </w:p>
        </w:tc>
      </w:tr>
      <w:tr w:rsidR="008572F7" w:rsidRPr="000D58ED" w14:paraId="1B657D03" w14:textId="77777777" w:rsidTr="00931D58">
        <w:tc>
          <w:tcPr>
            <w:tcW w:w="427" w:type="dxa"/>
          </w:tcPr>
          <w:p w14:paraId="6AC48652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1</w:t>
            </w:r>
          </w:p>
        </w:tc>
        <w:tc>
          <w:tcPr>
            <w:tcW w:w="3618" w:type="dxa"/>
          </w:tcPr>
          <w:p w14:paraId="1061E7A9" w14:textId="77777777" w:rsidR="008572F7" w:rsidRPr="000D58ED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Self-report</w:t>
            </w:r>
          </w:p>
        </w:tc>
        <w:tc>
          <w:tcPr>
            <w:tcW w:w="5305" w:type="dxa"/>
          </w:tcPr>
          <w:p w14:paraId="1700F937" w14:textId="77777777" w:rsidR="008572F7" w:rsidRPr="00A072C8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</w:p>
        </w:tc>
      </w:tr>
      <w:tr w:rsidR="008572F7" w:rsidRPr="000D58ED" w14:paraId="1693414A" w14:textId="77777777" w:rsidTr="00931D58">
        <w:tc>
          <w:tcPr>
            <w:tcW w:w="427" w:type="dxa"/>
          </w:tcPr>
          <w:p w14:paraId="1F79A140" w14:textId="77777777" w:rsidR="008572F7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2</w:t>
            </w:r>
          </w:p>
        </w:tc>
        <w:tc>
          <w:tcPr>
            <w:tcW w:w="3618" w:type="dxa"/>
          </w:tcPr>
          <w:p w14:paraId="182BE0D4" w14:textId="77777777" w:rsidR="008572F7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Interview</w:t>
            </w:r>
          </w:p>
        </w:tc>
        <w:tc>
          <w:tcPr>
            <w:tcW w:w="5305" w:type="dxa"/>
          </w:tcPr>
          <w:p w14:paraId="665CF0EA" w14:textId="77777777" w:rsidR="008572F7" w:rsidRPr="00A072C8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</w:p>
        </w:tc>
      </w:tr>
      <w:tr w:rsidR="008572F7" w:rsidRPr="000D58ED" w14:paraId="262A1D28" w14:textId="77777777" w:rsidTr="00931D58">
        <w:tc>
          <w:tcPr>
            <w:tcW w:w="427" w:type="dxa"/>
          </w:tcPr>
          <w:p w14:paraId="2A3C6629" w14:textId="77777777" w:rsidR="008572F7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3</w:t>
            </w:r>
          </w:p>
        </w:tc>
        <w:tc>
          <w:tcPr>
            <w:tcW w:w="3618" w:type="dxa"/>
          </w:tcPr>
          <w:p w14:paraId="6A280829" w14:textId="77777777" w:rsidR="008572F7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Unclear</w:t>
            </w:r>
          </w:p>
        </w:tc>
        <w:tc>
          <w:tcPr>
            <w:tcW w:w="5305" w:type="dxa"/>
          </w:tcPr>
          <w:p w14:paraId="1CCE01DC" w14:textId="77777777" w:rsidR="008572F7" w:rsidRPr="00A072C8" w:rsidRDefault="008572F7" w:rsidP="00931D58">
            <w:pPr>
              <w:tabs>
                <w:tab w:val="left" w:pos="1335"/>
              </w:tabs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A072C8">
              <w:rPr>
                <w:rFonts w:ascii="Times New Roman" w:eastAsia="Times New Roman" w:hAnsi="Times New Roman"/>
                <w:szCs w:val="26"/>
              </w:rPr>
              <w:tab/>
            </w:r>
          </w:p>
        </w:tc>
      </w:tr>
      <w:tr w:rsidR="008572F7" w:rsidRPr="000D58ED" w14:paraId="3133DDC3" w14:textId="77777777" w:rsidTr="00931D58">
        <w:tc>
          <w:tcPr>
            <w:tcW w:w="4045" w:type="dxa"/>
            <w:gridSpan w:val="2"/>
          </w:tcPr>
          <w:p w14:paraId="38AD3EE7" w14:textId="77777777" w:rsidR="008572F7" w:rsidRPr="008C27DB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b/>
                <w:bCs/>
                <w:szCs w:val="26"/>
              </w:rPr>
            </w:pPr>
            <w:r w:rsidRPr="008C27DB">
              <w:rPr>
                <w:rFonts w:ascii="Times New Roman" w:eastAsia="Times New Roman" w:hAnsi="Times New Roman"/>
                <w:b/>
                <w:bCs/>
                <w:szCs w:val="26"/>
              </w:rPr>
              <w:t>Cannabis Measure Code</w:t>
            </w:r>
          </w:p>
        </w:tc>
        <w:tc>
          <w:tcPr>
            <w:tcW w:w="5305" w:type="dxa"/>
          </w:tcPr>
          <w:p w14:paraId="695306AC" w14:textId="77777777" w:rsidR="008572F7" w:rsidRPr="00A072C8" w:rsidRDefault="008572F7" w:rsidP="00931D58">
            <w:pPr>
              <w:tabs>
                <w:tab w:val="left" w:pos="1335"/>
              </w:tabs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3</w:t>
            </w:r>
          </w:p>
        </w:tc>
      </w:tr>
      <w:tr w:rsidR="008572F7" w:rsidRPr="000D58ED" w14:paraId="34F0737A" w14:textId="77777777" w:rsidTr="00931D58">
        <w:tc>
          <w:tcPr>
            <w:tcW w:w="427" w:type="dxa"/>
          </w:tcPr>
          <w:p w14:paraId="2DCF3D2F" w14:textId="77777777" w:rsidR="008572F7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1</w:t>
            </w:r>
          </w:p>
        </w:tc>
        <w:tc>
          <w:tcPr>
            <w:tcW w:w="3618" w:type="dxa"/>
          </w:tcPr>
          <w:p w14:paraId="026B0886" w14:textId="77777777" w:rsidR="008572F7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DSM</w:t>
            </w:r>
          </w:p>
        </w:tc>
        <w:tc>
          <w:tcPr>
            <w:tcW w:w="5305" w:type="dxa"/>
          </w:tcPr>
          <w:p w14:paraId="5F32A4FD" w14:textId="77777777" w:rsidR="008572F7" w:rsidRPr="00A072C8" w:rsidRDefault="008572F7" w:rsidP="00931D58">
            <w:pPr>
              <w:tabs>
                <w:tab w:val="left" w:pos="1335"/>
              </w:tabs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</w:p>
        </w:tc>
      </w:tr>
      <w:tr w:rsidR="008572F7" w:rsidRPr="000D58ED" w14:paraId="6CD5A74C" w14:textId="77777777" w:rsidTr="00931D58">
        <w:tc>
          <w:tcPr>
            <w:tcW w:w="427" w:type="dxa"/>
          </w:tcPr>
          <w:p w14:paraId="078AD994" w14:textId="77777777" w:rsidR="008572F7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2</w:t>
            </w:r>
          </w:p>
        </w:tc>
        <w:tc>
          <w:tcPr>
            <w:tcW w:w="3618" w:type="dxa"/>
          </w:tcPr>
          <w:p w14:paraId="74C9B677" w14:textId="77777777" w:rsidR="008572F7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Frequency (not a validated measure)</w:t>
            </w:r>
          </w:p>
        </w:tc>
        <w:tc>
          <w:tcPr>
            <w:tcW w:w="5305" w:type="dxa"/>
          </w:tcPr>
          <w:p w14:paraId="7969D9CE" w14:textId="77777777" w:rsidR="008572F7" w:rsidRPr="00A072C8" w:rsidRDefault="008572F7" w:rsidP="00931D58">
            <w:pPr>
              <w:tabs>
                <w:tab w:val="left" w:pos="1335"/>
              </w:tabs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</w:p>
        </w:tc>
      </w:tr>
      <w:tr w:rsidR="008572F7" w:rsidRPr="000D58ED" w14:paraId="77400639" w14:textId="77777777" w:rsidTr="00931D58">
        <w:tc>
          <w:tcPr>
            <w:tcW w:w="427" w:type="dxa"/>
          </w:tcPr>
          <w:p w14:paraId="5B800B5D" w14:textId="77777777" w:rsidR="008572F7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3</w:t>
            </w:r>
          </w:p>
        </w:tc>
        <w:tc>
          <w:tcPr>
            <w:tcW w:w="3618" w:type="dxa"/>
          </w:tcPr>
          <w:p w14:paraId="5A40D942" w14:textId="77777777" w:rsidR="008572F7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Dichotomized or categorizes</w:t>
            </w:r>
          </w:p>
        </w:tc>
        <w:tc>
          <w:tcPr>
            <w:tcW w:w="5305" w:type="dxa"/>
          </w:tcPr>
          <w:p w14:paraId="04DB9717" w14:textId="77777777" w:rsidR="008572F7" w:rsidRPr="00A072C8" w:rsidRDefault="008572F7" w:rsidP="00931D58">
            <w:pPr>
              <w:tabs>
                <w:tab w:val="left" w:pos="1335"/>
              </w:tabs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</w:p>
        </w:tc>
      </w:tr>
      <w:tr w:rsidR="008572F7" w:rsidRPr="000D58ED" w14:paraId="441EF62D" w14:textId="77777777" w:rsidTr="00931D58">
        <w:tc>
          <w:tcPr>
            <w:tcW w:w="4045" w:type="dxa"/>
            <w:gridSpan w:val="2"/>
          </w:tcPr>
          <w:p w14:paraId="6E3BB3BD" w14:textId="77777777" w:rsidR="008572F7" w:rsidRPr="008C27DB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b/>
                <w:bCs/>
                <w:szCs w:val="26"/>
              </w:rPr>
            </w:pPr>
            <w:r w:rsidRPr="008C27DB">
              <w:rPr>
                <w:rFonts w:ascii="Times New Roman" w:eastAsia="Times New Roman" w:hAnsi="Times New Roman"/>
                <w:b/>
                <w:bCs/>
                <w:szCs w:val="26"/>
              </w:rPr>
              <w:t>Method of Cannabis Use Assessment</w:t>
            </w:r>
          </w:p>
        </w:tc>
        <w:tc>
          <w:tcPr>
            <w:tcW w:w="5305" w:type="dxa"/>
          </w:tcPr>
          <w:p w14:paraId="036B3D65" w14:textId="77777777" w:rsidR="008572F7" w:rsidRPr="00A072C8" w:rsidRDefault="008572F7" w:rsidP="00931D58">
            <w:pPr>
              <w:tabs>
                <w:tab w:val="left" w:pos="1335"/>
              </w:tabs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1</w:t>
            </w:r>
          </w:p>
        </w:tc>
      </w:tr>
      <w:tr w:rsidR="008572F7" w:rsidRPr="000D58ED" w14:paraId="1DCAD966" w14:textId="77777777" w:rsidTr="00931D58">
        <w:tc>
          <w:tcPr>
            <w:tcW w:w="427" w:type="dxa"/>
          </w:tcPr>
          <w:p w14:paraId="72D6F5CF" w14:textId="77777777" w:rsidR="008572F7" w:rsidRPr="008C27DB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8C27DB">
              <w:rPr>
                <w:rFonts w:ascii="Times New Roman" w:eastAsia="Times New Roman" w:hAnsi="Times New Roman"/>
                <w:szCs w:val="26"/>
              </w:rPr>
              <w:t>1</w:t>
            </w:r>
          </w:p>
        </w:tc>
        <w:tc>
          <w:tcPr>
            <w:tcW w:w="3618" w:type="dxa"/>
          </w:tcPr>
          <w:p w14:paraId="3BA101C2" w14:textId="77777777" w:rsidR="008572F7" w:rsidRPr="008C27DB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8C27DB">
              <w:rPr>
                <w:rFonts w:ascii="Times New Roman" w:eastAsia="Times New Roman" w:hAnsi="Times New Roman"/>
                <w:szCs w:val="26"/>
              </w:rPr>
              <w:t>Self-report</w:t>
            </w:r>
          </w:p>
        </w:tc>
        <w:tc>
          <w:tcPr>
            <w:tcW w:w="5305" w:type="dxa"/>
          </w:tcPr>
          <w:p w14:paraId="2ACD372F" w14:textId="77777777" w:rsidR="008572F7" w:rsidRPr="00A072C8" w:rsidRDefault="008572F7" w:rsidP="00931D58">
            <w:pPr>
              <w:tabs>
                <w:tab w:val="left" w:pos="1335"/>
              </w:tabs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</w:p>
        </w:tc>
      </w:tr>
      <w:tr w:rsidR="008572F7" w:rsidRPr="000D58ED" w14:paraId="34A311A3" w14:textId="77777777" w:rsidTr="00931D58">
        <w:tc>
          <w:tcPr>
            <w:tcW w:w="427" w:type="dxa"/>
          </w:tcPr>
          <w:p w14:paraId="0A02D0EF" w14:textId="77777777" w:rsidR="008572F7" w:rsidRPr="008C27DB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8C27DB">
              <w:rPr>
                <w:rFonts w:ascii="Times New Roman" w:eastAsia="Times New Roman" w:hAnsi="Times New Roman"/>
                <w:szCs w:val="26"/>
              </w:rPr>
              <w:t>2</w:t>
            </w:r>
          </w:p>
        </w:tc>
        <w:tc>
          <w:tcPr>
            <w:tcW w:w="3618" w:type="dxa"/>
          </w:tcPr>
          <w:p w14:paraId="2916211D" w14:textId="77777777" w:rsidR="008572F7" w:rsidRPr="008C27DB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8C27DB">
              <w:rPr>
                <w:rFonts w:ascii="Times New Roman" w:eastAsia="Times New Roman" w:hAnsi="Times New Roman"/>
                <w:szCs w:val="26"/>
              </w:rPr>
              <w:t>Interview</w:t>
            </w:r>
          </w:p>
        </w:tc>
        <w:tc>
          <w:tcPr>
            <w:tcW w:w="5305" w:type="dxa"/>
          </w:tcPr>
          <w:p w14:paraId="51012987" w14:textId="77777777" w:rsidR="008572F7" w:rsidRPr="00A072C8" w:rsidRDefault="008572F7" w:rsidP="00931D58">
            <w:pPr>
              <w:tabs>
                <w:tab w:val="left" w:pos="1335"/>
              </w:tabs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</w:p>
        </w:tc>
      </w:tr>
      <w:tr w:rsidR="008572F7" w:rsidRPr="000D58ED" w14:paraId="3E5CADEB" w14:textId="77777777" w:rsidTr="00931D58">
        <w:tc>
          <w:tcPr>
            <w:tcW w:w="427" w:type="dxa"/>
          </w:tcPr>
          <w:p w14:paraId="6EE85BC6" w14:textId="77777777" w:rsidR="008572F7" w:rsidRPr="008C27DB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8C27DB">
              <w:rPr>
                <w:rFonts w:ascii="Times New Roman" w:eastAsia="Times New Roman" w:hAnsi="Times New Roman"/>
                <w:szCs w:val="26"/>
              </w:rPr>
              <w:t>3</w:t>
            </w:r>
          </w:p>
        </w:tc>
        <w:tc>
          <w:tcPr>
            <w:tcW w:w="3618" w:type="dxa"/>
          </w:tcPr>
          <w:p w14:paraId="6315B8A8" w14:textId="77777777" w:rsidR="008572F7" w:rsidRPr="008C27DB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8C27DB">
              <w:rPr>
                <w:rFonts w:ascii="Times New Roman" w:eastAsia="Times New Roman" w:hAnsi="Times New Roman"/>
                <w:szCs w:val="26"/>
              </w:rPr>
              <w:t>Unclear</w:t>
            </w:r>
          </w:p>
        </w:tc>
        <w:tc>
          <w:tcPr>
            <w:tcW w:w="5305" w:type="dxa"/>
          </w:tcPr>
          <w:p w14:paraId="5359FD71" w14:textId="77777777" w:rsidR="008572F7" w:rsidRPr="00A072C8" w:rsidRDefault="008572F7" w:rsidP="00931D58">
            <w:pPr>
              <w:tabs>
                <w:tab w:val="left" w:pos="1335"/>
              </w:tabs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</w:p>
        </w:tc>
      </w:tr>
      <w:tr w:rsidR="008572F7" w:rsidRPr="000D58ED" w14:paraId="19163A4F" w14:textId="77777777" w:rsidTr="00931D58">
        <w:tc>
          <w:tcPr>
            <w:tcW w:w="4045" w:type="dxa"/>
            <w:gridSpan w:val="2"/>
          </w:tcPr>
          <w:p w14:paraId="0488F05C" w14:textId="77777777" w:rsidR="008572F7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b/>
                <w:bCs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Cs w:val="26"/>
              </w:rPr>
              <w:t>Population (exposed group) – open text</w:t>
            </w:r>
          </w:p>
        </w:tc>
        <w:tc>
          <w:tcPr>
            <w:tcW w:w="5305" w:type="dxa"/>
          </w:tcPr>
          <w:p w14:paraId="1479A0B0" w14:textId="77777777" w:rsidR="008572F7" w:rsidRPr="00A072C8" w:rsidRDefault="008572F7" w:rsidP="00931D58">
            <w:pPr>
              <w:tabs>
                <w:tab w:val="left" w:pos="1335"/>
              </w:tabs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Cannabis user by age 15</w:t>
            </w:r>
          </w:p>
        </w:tc>
      </w:tr>
      <w:tr w:rsidR="008572F7" w:rsidRPr="000D58ED" w14:paraId="3391DF53" w14:textId="77777777" w:rsidTr="00931D58">
        <w:tc>
          <w:tcPr>
            <w:tcW w:w="4045" w:type="dxa"/>
            <w:gridSpan w:val="2"/>
          </w:tcPr>
          <w:p w14:paraId="04C7AF49" w14:textId="77777777" w:rsidR="008572F7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b/>
                <w:bCs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Cs w:val="26"/>
              </w:rPr>
              <w:t>Heavy/Problematic Use</w:t>
            </w:r>
          </w:p>
        </w:tc>
        <w:tc>
          <w:tcPr>
            <w:tcW w:w="5305" w:type="dxa"/>
          </w:tcPr>
          <w:p w14:paraId="7B9C3B0A" w14:textId="77777777" w:rsidR="008572F7" w:rsidRPr="00A072C8" w:rsidRDefault="008572F7" w:rsidP="00931D58">
            <w:pPr>
              <w:tabs>
                <w:tab w:val="left" w:pos="1335"/>
              </w:tabs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0</w:t>
            </w:r>
          </w:p>
        </w:tc>
      </w:tr>
      <w:tr w:rsidR="008572F7" w:rsidRPr="000D58ED" w14:paraId="6B47FFC4" w14:textId="77777777" w:rsidTr="00931D58">
        <w:tc>
          <w:tcPr>
            <w:tcW w:w="427" w:type="dxa"/>
          </w:tcPr>
          <w:p w14:paraId="7E31542E" w14:textId="77777777" w:rsidR="008572F7" w:rsidRPr="007D6E3B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7D6E3B">
              <w:rPr>
                <w:rFonts w:ascii="Times New Roman" w:eastAsia="Times New Roman" w:hAnsi="Times New Roman"/>
                <w:szCs w:val="26"/>
              </w:rPr>
              <w:t>1</w:t>
            </w:r>
          </w:p>
        </w:tc>
        <w:tc>
          <w:tcPr>
            <w:tcW w:w="3618" w:type="dxa"/>
          </w:tcPr>
          <w:p w14:paraId="45777188" w14:textId="77777777" w:rsidR="008572F7" w:rsidRPr="007D6E3B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7D6E3B">
              <w:rPr>
                <w:rFonts w:ascii="Times New Roman" w:eastAsia="Times New Roman" w:hAnsi="Times New Roman"/>
                <w:szCs w:val="26"/>
              </w:rPr>
              <w:t>Heavy/Problematic</w:t>
            </w:r>
          </w:p>
        </w:tc>
        <w:tc>
          <w:tcPr>
            <w:tcW w:w="5305" w:type="dxa"/>
          </w:tcPr>
          <w:p w14:paraId="124B3BF6" w14:textId="77777777" w:rsidR="008572F7" w:rsidRPr="00A072C8" w:rsidRDefault="008572F7" w:rsidP="00931D58">
            <w:pPr>
              <w:tabs>
                <w:tab w:val="left" w:pos="1335"/>
              </w:tabs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</w:p>
        </w:tc>
      </w:tr>
      <w:tr w:rsidR="008572F7" w:rsidRPr="000D58ED" w14:paraId="3CB1A890" w14:textId="77777777" w:rsidTr="00931D58">
        <w:tc>
          <w:tcPr>
            <w:tcW w:w="427" w:type="dxa"/>
          </w:tcPr>
          <w:p w14:paraId="442BF345" w14:textId="77777777" w:rsidR="008572F7" w:rsidRPr="007D6E3B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7D6E3B">
              <w:rPr>
                <w:rFonts w:ascii="Times New Roman" w:eastAsia="Times New Roman" w:hAnsi="Times New Roman"/>
                <w:szCs w:val="26"/>
              </w:rPr>
              <w:t>0</w:t>
            </w:r>
          </w:p>
        </w:tc>
        <w:tc>
          <w:tcPr>
            <w:tcW w:w="3618" w:type="dxa"/>
          </w:tcPr>
          <w:p w14:paraId="65207BA6" w14:textId="77777777" w:rsidR="008572F7" w:rsidRPr="007D6E3B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7D6E3B">
              <w:rPr>
                <w:rFonts w:ascii="Times New Roman" w:eastAsia="Times New Roman" w:hAnsi="Times New Roman"/>
                <w:szCs w:val="26"/>
              </w:rPr>
              <w:t>Not heavy</w:t>
            </w:r>
          </w:p>
        </w:tc>
        <w:tc>
          <w:tcPr>
            <w:tcW w:w="5305" w:type="dxa"/>
          </w:tcPr>
          <w:p w14:paraId="2A348A7D" w14:textId="77777777" w:rsidR="008572F7" w:rsidRPr="00A072C8" w:rsidRDefault="008572F7" w:rsidP="00931D58">
            <w:pPr>
              <w:tabs>
                <w:tab w:val="left" w:pos="1335"/>
              </w:tabs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</w:p>
        </w:tc>
      </w:tr>
      <w:tr w:rsidR="008572F7" w:rsidRPr="000D58ED" w14:paraId="6022681B" w14:textId="77777777" w:rsidTr="00931D58">
        <w:tc>
          <w:tcPr>
            <w:tcW w:w="4045" w:type="dxa"/>
            <w:gridSpan w:val="2"/>
          </w:tcPr>
          <w:p w14:paraId="069C7D46" w14:textId="77777777" w:rsidR="008572F7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b/>
                <w:bCs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Cs w:val="26"/>
              </w:rPr>
              <w:t>Onset of Cannabis use</w:t>
            </w:r>
          </w:p>
        </w:tc>
        <w:tc>
          <w:tcPr>
            <w:tcW w:w="5305" w:type="dxa"/>
          </w:tcPr>
          <w:p w14:paraId="3C7E9B8E" w14:textId="77777777" w:rsidR="008572F7" w:rsidRPr="00A072C8" w:rsidRDefault="008572F7" w:rsidP="00931D58">
            <w:pPr>
              <w:tabs>
                <w:tab w:val="left" w:pos="1335"/>
              </w:tabs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1</w:t>
            </w:r>
          </w:p>
        </w:tc>
      </w:tr>
      <w:tr w:rsidR="008572F7" w:rsidRPr="000D58ED" w14:paraId="141090CE" w14:textId="77777777" w:rsidTr="00931D58">
        <w:tc>
          <w:tcPr>
            <w:tcW w:w="427" w:type="dxa"/>
          </w:tcPr>
          <w:p w14:paraId="2300C5A0" w14:textId="77777777" w:rsidR="008572F7" w:rsidRPr="00A5792A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A5792A">
              <w:rPr>
                <w:rFonts w:ascii="Times New Roman" w:eastAsia="Times New Roman" w:hAnsi="Times New Roman"/>
                <w:szCs w:val="26"/>
              </w:rPr>
              <w:lastRenderedPageBreak/>
              <w:t>1</w:t>
            </w:r>
          </w:p>
        </w:tc>
        <w:tc>
          <w:tcPr>
            <w:tcW w:w="3618" w:type="dxa"/>
          </w:tcPr>
          <w:p w14:paraId="6FAA6197" w14:textId="77777777" w:rsidR="008572F7" w:rsidRPr="00A5792A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A5792A">
              <w:rPr>
                <w:rFonts w:ascii="Times New Roman" w:eastAsia="Times New Roman" w:hAnsi="Times New Roman"/>
                <w:szCs w:val="26"/>
              </w:rPr>
              <w:t>Early</w:t>
            </w:r>
          </w:p>
        </w:tc>
        <w:tc>
          <w:tcPr>
            <w:tcW w:w="5305" w:type="dxa"/>
          </w:tcPr>
          <w:p w14:paraId="766ECF38" w14:textId="77777777" w:rsidR="008572F7" w:rsidRPr="00A072C8" w:rsidRDefault="008572F7" w:rsidP="00931D58">
            <w:pPr>
              <w:tabs>
                <w:tab w:val="left" w:pos="1335"/>
              </w:tabs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</w:p>
        </w:tc>
      </w:tr>
      <w:tr w:rsidR="008572F7" w:rsidRPr="000D58ED" w14:paraId="3519F4FD" w14:textId="77777777" w:rsidTr="00931D58">
        <w:tc>
          <w:tcPr>
            <w:tcW w:w="427" w:type="dxa"/>
          </w:tcPr>
          <w:p w14:paraId="5A8FF33F" w14:textId="77777777" w:rsidR="008572F7" w:rsidRPr="00A5792A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A5792A">
              <w:rPr>
                <w:rFonts w:ascii="Times New Roman" w:eastAsia="Times New Roman" w:hAnsi="Times New Roman"/>
                <w:szCs w:val="26"/>
              </w:rPr>
              <w:t>0</w:t>
            </w:r>
          </w:p>
        </w:tc>
        <w:tc>
          <w:tcPr>
            <w:tcW w:w="3618" w:type="dxa"/>
          </w:tcPr>
          <w:p w14:paraId="5F738B81" w14:textId="77777777" w:rsidR="008572F7" w:rsidRPr="00A5792A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A5792A">
              <w:rPr>
                <w:rFonts w:ascii="Times New Roman" w:eastAsia="Times New Roman" w:hAnsi="Times New Roman"/>
                <w:szCs w:val="26"/>
              </w:rPr>
              <w:t>Not early</w:t>
            </w:r>
          </w:p>
        </w:tc>
        <w:tc>
          <w:tcPr>
            <w:tcW w:w="5305" w:type="dxa"/>
          </w:tcPr>
          <w:p w14:paraId="6EBBC8F9" w14:textId="77777777" w:rsidR="008572F7" w:rsidRPr="00A072C8" w:rsidRDefault="008572F7" w:rsidP="00931D58">
            <w:pPr>
              <w:tabs>
                <w:tab w:val="left" w:pos="1335"/>
              </w:tabs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</w:p>
        </w:tc>
      </w:tr>
      <w:tr w:rsidR="008572F7" w:rsidRPr="000D58ED" w14:paraId="442F98BF" w14:textId="77777777" w:rsidTr="00931D58">
        <w:tc>
          <w:tcPr>
            <w:tcW w:w="4045" w:type="dxa"/>
            <w:gridSpan w:val="2"/>
          </w:tcPr>
          <w:p w14:paraId="3FD8638E" w14:textId="77777777" w:rsidR="008572F7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b/>
                <w:bCs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Cs w:val="26"/>
              </w:rPr>
              <w:t>Follow-up period (months)</w:t>
            </w:r>
          </w:p>
        </w:tc>
        <w:tc>
          <w:tcPr>
            <w:tcW w:w="5305" w:type="dxa"/>
          </w:tcPr>
          <w:p w14:paraId="6B7009A9" w14:textId="77777777" w:rsidR="008572F7" w:rsidRPr="00A072C8" w:rsidRDefault="008572F7" w:rsidP="00931D58">
            <w:pPr>
              <w:tabs>
                <w:tab w:val="left" w:pos="1335"/>
              </w:tabs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468</w:t>
            </w:r>
          </w:p>
        </w:tc>
      </w:tr>
      <w:tr w:rsidR="008572F7" w:rsidRPr="000D58ED" w14:paraId="414CC8E3" w14:textId="77777777" w:rsidTr="00931D58">
        <w:tc>
          <w:tcPr>
            <w:tcW w:w="4045" w:type="dxa"/>
            <w:gridSpan w:val="2"/>
          </w:tcPr>
          <w:p w14:paraId="7103B711" w14:textId="77777777" w:rsidR="008572F7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b/>
                <w:bCs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Cs w:val="26"/>
              </w:rPr>
              <w:t>Total (N)</w:t>
            </w:r>
          </w:p>
        </w:tc>
        <w:tc>
          <w:tcPr>
            <w:tcW w:w="5305" w:type="dxa"/>
          </w:tcPr>
          <w:p w14:paraId="369305A8" w14:textId="77777777" w:rsidR="008572F7" w:rsidRPr="00A072C8" w:rsidRDefault="008572F7" w:rsidP="00931D58">
            <w:pPr>
              <w:tabs>
                <w:tab w:val="left" w:pos="1335"/>
              </w:tabs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759</w:t>
            </w:r>
          </w:p>
        </w:tc>
      </w:tr>
      <w:tr w:rsidR="008572F7" w:rsidRPr="000D58ED" w14:paraId="72820266" w14:textId="77777777" w:rsidTr="00931D58">
        <w:tc>
          <w:tcPr>
            <w:tcW w:w="4045" w:type="dxa"/>
            <w:gridSpan w:val="2"/>
          </w:tcPr>
          <w:p w14:paraId="39C3718D" w14:textId="77777777" w:rsidR="008572F7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b/>
                <w:bCs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Cs w:val="26"/>
              </w:rPr>
              <w:t>aOR</w:t>
            </w:r>
            <w:proofErr w:type="spellEnd"/>
          </w:p>
        </w:tc>
        <w:tc>
          <w:tcPr>
            <w:tcW w:w="5305" w:type="dxa"/>
          </w:tcPr>
          <w:p w14:paraId="19E7F3D5" w14:textId="77777777" w:rsidR="008572F7" w:rsidRPr="00A072C8" w:rsidRDefault="008572F7" w:rsidP="00931D58">
            <w:pPr>
              <w:tabs>
                <w:tab w:val="left" w:pos="1335"/>
              </w:tabs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1.02</w:t>
            </w:r>
          </w:p>
        </w:tc>
      </w:tr>
      <w:tr w:rsidR="008572F7" w:rsidRPr="000D58ED" w14:paraId="2E610E01" w14:textId="77777777" w:rsidTr="00931D58">
        <w:tc>
          <w:tcPr>
            <w:tcW w:w="4045" w:type="dxa"/>
            <w:gridSpan w:val="2"/>
          </w:tcPr>
          <w:p w14:paraId="00A302F6" w14:textId="77777777" w:rsidR="008572F7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b/>
                <w:bCs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Cs w:val="26"/>
              </w:rPr>
              <w:t>95% Confidence Interval</w:t>
            </w:r>
          </w:p>
        </w:tc>
        <w:tc>
          <w:tcPr>
            <w:tcW w:w="5305" w:type="dxa"/>
          </w:tcPr>
          <w:p w14:paraId="08B54D3F" w14:textId="77777777" w:rsidR="008572F7" w:rsidRPr="00A072C8" w:rsidRDefault="008572F7" w:rsidP="00931D58">
            <w:pPr>
              <w:tabs>
                <w:tab w:val="left" w:pos="1335"/>
              </w:tabs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0.34 – 3.04</w:t>
            </w:r>
          </w:p>
        </w:tc>
      </w:tr>
      <w:tr w:rsidR="008572F7" w:rsidRPr="000D58ED" w14:paraId="27C6BB08" w14:textId="77777777" w:rsidTr="00931D58">
        <w:tc>
          <w:tcPr>
            <w:tcW w:w="4045" w:type="dxa"/>
            <w:gridSpan w:val="2"/>
          </w:tcPr>
          <w:p w14:paraId="5C631078" w14:textId="77777777" w:rsidR="008572F7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b/>
                <w:bCs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Cs w:val="26"/>
              </w:rPr>
              <w:t>Adjustments/Control variables</w:t>
            </w:r>
          </w:p>
        </w:tc>
        <w:tc>
          <w:tcPr>
            <w:tcW w:w="5305" w:type="dxa"/>
          </w:tcPr>
          <w:p w14:paraId="5F7BB474" w14:textId="77777777" w:rsidR="008572F7" w:rsidRPr="00A072C8" w:rsidRDefault="008572F7" w:rsidP="00931D58">
            <w:pPr>
              <w:tabs>
                <w:tab w:val="left" w:pos="1335"/>
              </w:tabs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 w:rsidRPr="00397E82">
              <w:rPr>
                <w:rFonts w:ascii="Times New Roman" w:eastAsia="Times New Roman" w:hAnsi="Times New Roman"/>
                <w:szCs w:val="26"/>
              </w:rPr>
              <w:t>childhood psychotic symptoms and se of other drugs in adolescence</w:t>
            </w:r>
          </w:p>
        </w:tc>
      </w:tr>
      <w:tr w:rsidR="008572F7" w:rsidRPr="000D58ED" w14:paraId="10888CB4" w14:textId="77777777" w:rsidTr="00931D58">
        <w:tc>
          <w:tcPr>
            <w:tcW w:w="4045" w:type="dxa"/>
            <w:gridSpan w:val="2"/>
          </w:tcPr>
          <w:p w14:paraId="0E01E32C" w14:textId="77777777" w:rsidR="008572F7" w:rsidRDefault="008572F7" w:rsidP="00931D58">
            <w:pPr>
              <w:spacing w:after="160" w:line="259" w:lineRule="auto"/>
              <w:ind w:firstLine="0"/>
              <w:rPr>
                <w:rFonts w:ascii="Times New Roman" w:eastAsia="Times New Roman" w:hAnsi="Times New Roman"/>
                <w:b/>
                <w:bCs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Cs w:val="26"/>
              </w:rPr>
              <w:t>Risk of Bias results</w:t>
            </w:r>
          </w:p>
        </w:tc>
        <w:tc>
          <w:tcPr>
            <w:tcW w:w="5305" w:type="dxa"/>
          </w:tcPr>
          <w:p w14:paraId="7974CA79" w14:textId="77777777" w:rsidR="008572F7" w:rsidRPr="00A072C8" w:rsidRDefault="008572F7" w:rsidP="00931D58">
            <w:pPr>
              <w:tabs>
                <w:tab w:val="left" w:pos="1335"/>
              </w:tabs>
              <w:spacing w:after="160" w:line="259" w:lineRule="auto"/>
              <w:ind w:firstLine="0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17.5</w:t>
            </w:r>
          </w:p>
        </w:tc>
      </w:tr>
    </w:tbl>
    <w:p w14:paraId="618A9BE5" w14:textId="77777777" w:rsidR="008572F7" w:rsidRDefault="008572F7" w:rsidP="008572F7">
      <w:pPr>
        <w:spacing w:after="160" w:line="259" w:lineRule="auto"/>
        <w:ind w:firstLine="0"/>
        <w:rPr>
          <w:rFonts w:ascii="Times New Roman" w:eastAsia="Times New Roman" w:hAnsi="Times New Roman"/>
          <w:b/>
          <w:bCs/>
          <w:szCs w:val="26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14:paraId="1D8B9D79" w14:textId="7F12926A" w:rsidR="008572F7" w:rsidRPr="000B4799" w:rsidRDefault="008572F7" w:rsidP="008572F7">
      <w:pPr>
        <w:pStyle w:val="Heading2"/>
        <w:numPr>
          <w:ilvl w:val="0"/>
          <w:numId w:val="0"/>
        </w:numPr>
        <w:ind w:left="576" w:hanging="576"/>
        <w:jc w:val="center"/>
        <w:rPr>
          <w:rFonts w:ascii="Times New Roman" w:eastAsiaTheme="minorHAnsi" w:hAnsi="Times New Roman"/>
        </w:rPr>
      </w:pPr>
      <w:bookmarkStart w:id="3" w:name="_Toc105078151"/>
      <w:r>
        <w:rPr>
          <w:rFonts w:ascii="Times New Roman" w:hAnsi="Times New Roman"/>
        </w:rPr>
        <w:lastRenderedPageBreak/>
        <w:t>Supplement</w:t>
      </w:r>
      <w:r w:rsidRPr="000B47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IV</w:t>
      </w:r>
      <w:r w:rsidRPr="000B4799">
        <w:rPr>
          <w:rFonts w:ascii="Times New Roman" w:hAnsi="Times New Roman"/>
        </w:rPr>
        <w:t xml:space="preserve">: </w:t>
      </w:r>
      <w:r w:rsidRPr="000B4799">
        <w:rPr>
          <w:rFonts w:ascii="Times New Roman" w:eastAsiaTheme="minorHAnsi" w:hAnsi="Times New Roman"/>
        </w:rPr>
        <w:t>Tool to Assess Risk of Bias in Cohort Studies</w:t>
      </w:r>
      <w:bookmarkEnd w:id="3"/>
    </w:p>
    <w:p w14:paraId="1024F969" w14:textId="77777777" w:rsidR="008572F7" w:rsidRDefault="008572F7" w:rsidP="008572F7">
      <w:pPr>
        <w:pStyle w:val="Heading2"/>
        <w:rPr>
          <w:highlight w:val="yellow"/>
        </w:rPr>
      </w:pPr>
      <w:r>
        <w:rPr>
          <w:highlight w:val="yellow"/>
        </w:rPr>
        <w:br w:type="page"/>
      </w:r>
    </w:p>
    <w:p w14:paraId="7580EB70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ascii="Calibri-Bold" w:eastAsiaTheme="minorHAnsi" w:hAnsi="Calibri-Bold" w:cs="Calibri-Bold"/>
          <w:b/>
          <w:bCs/>
          <w:szCs w:val="24"/>
        </w:rPr>
      </w:pPr>
      <w:r w:rsidRPr="003073BE">
        <w:rPr>
          <w:rFonts w:eastAsiaTheme="minorHAnsi" w:cs="Calibri"/>
          <w:b/>
          <w:bCs/>
          <w:szCs w:val="24"/>
        </w:rPr>
        <w:lastRenderedPageBreak/>
        <w:t>1.</w:t>
      </w:r>
      <w:r>
        <w:rPr>
          <w:rFonts w:eastAsiaTheme="minorHAnsi" w:cs="Calibri"/>
          <w:szCs w:val="24"/>
        </w:rPr>
        <w:t xml:space="preserve"> </w:t>
      </w:r>
      <w:r>
        <w:rPr>
          <w:rFonts w:ascii="Calibri-Bold" w:eastAsiaTheme="minorHAnsi" w:hAnsi="Calibri-Bold" w:cs="Calibri-Bold"/>
          <w:b/>
          <w:bCs/>
          <w:szCs w:val="24"/>
        </w:rPr>
        <w:t>Was selection of exposed and non‐exposed cohorts drawn from the same population?</w:t>
      </w:r>
    </w:p>
    <w:p w14:paraId="6DD50DAA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</w:p>
    <w:p w14:paraId="217A14D7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>Definitely yes</w:t>
      </w:r>
      <w:r>
        <w:rPr>
          <w:rFonts w:eastAsiaTheme="minorHAnsi" w:cs="Calibri"/>
          <w:szCs w:val="24"/>
        </w:rPr>
        <w:tab/>
        <w:t xml:space="preserve"> </w:t>
      </w:r>
      <w:r>
        <w:rPr>
          <w:rFonts w:eastAsiaTheme="minorHAnsi" w:cs="Calibri"/>
          <w:szCs w:val="24"/>
        </w:rPr>
        <w:tab/>
        <w:t xml:space="preserve">Probably yes </w:t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  <w:t xml:space="preserve">Probably </w:t>
      </w:r>
      <w:proofErr w:type="gramStart"/>
      <w:r>
        <w:rPr>
          <w:rFonts w:eastAsiaTheme="minorHAnsi" w:cs="Calibri"/>
          <w:szCs w:val="24"/>
        </w:rPr>
        <w:t>no</w:t>
      </w:r>
      <w:proofErr w:type="gramEnd"/>
      <w:r>
        <w:rPr>
          <w:rFonts w:eastAsiaTheme="minorHAnsi" w:cs="Calibri"/>
          <w:szCs w:val="24"/>
        </w:rPr>
        <w:t xml:space="preserve"> </w:t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  <w:t>Definitely no</w:t>
      </w:r>
    </w:p>
    <w:p w14:paraId="637E4D1A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 xml:space="preserve">(low risk of bias) </w:t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  <w:t>(high risk of bias)</w:t>
      </w:r>
    </w:p>
    <w:p w14:paraId="7F60C5D8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</w:p>
    <w:p w14:paraId="3E92E2C9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>Examples of low risk of bias: Exposed and unexposed drawn for same administrative data base</w:t>
      </w:r>
    </w:p>
    <w:p w14:paraId="2413017A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>of patients presenting at same points of care over the same time frame</w:t>
      </w:r>
    </w:p>
    <w:p w14:paraId="082C719A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</w:p>
    <w:p w14:paraId="2C0ED0FA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>Examples of high risk of bias: exposed and unexposed presenting to different points of care or</w:t>
      </w:r>
    </w:p>
    <w:p w14:paraId="4F73CADB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 xml:space="preserve">over a different </w:t>
      </w:r>
      <w:proofErr w:type="gramStart"/>
      <w:r>
        <w:rPr>
          <w:rFonts w:eastAsiaTheme="minorHAnsi" w:cs="Calibri"/>
          <w:szCs w:val="24"/>
        </w:rPr>
        <w:t>time</w:t>
      </w:r>
      <w:proofErr w:type="gramEnd"/>
      <w:r>
        <w:rPr>
          <w:rFonts w:eastAsiaTheme="minorHAnsi" w:cs="Calibri"/>
          <w:szCs w:val="24"/>
        </w:rPr>
        <w:t xml:space="preserve"> frame</w:t>
      </w:r>
    </w:p>
    <w:p w14:paraId="283A0AB4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ascii="Calibri-Bold" w:eastAsiaTheme="minorHAnsi" w:hAnsi="Calibri-Bold" w:cs="Calibri-Bold"/>
          <w:b/>
          <w:bCs/>
          <w:szCs w:val="24"/>
        </w:rPr>
      </w:pPr>
    </w:p>
    <w:p w14:paraId="55B95862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ascii="Calibri-Bold" w:eastAsiaTheme="minorHAnsi" w:hAnsi="Calibri-Bold" w:cs="Calibri-Bold"/>
          <w:b/>
          <w:bCs/>
          <w:szCs w:val="24"/>
        </w:rPr>
      </w:pPr>
      <w:r>
        <w:rPr>
          <w:rFonts w:ascii="Calibri-Bold" w:eastAsiaTheme="minorHAnsi" w:hAnsi="Calibri-Bold" w:cs="Calibri-Bold"/>
          <w:b/>
          <w:bCs/>
          <w:szCs w:val="24"/>
        </w:rPr>
        <w:t>2. Can we be confident in the assessment of exposure?</w:t>
      </w:r>
    </w:p>
    <w:p w14:paraId="42807BE5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</w:p>
    <w:p w14:paraId="561DE74B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>Definitely yes</w:t>
      </w:r>
      <w:r>
        <w:rPr>
          <w:rFonts w:eastAsiaTheme="minorHAnsi" w:cs="Calibri"/>
          <w:szCs w:val="24"/>
        </w:rPr>
        <w:tab/>
        <w:t xml:space="preserve"> </w:t>
      </w:r>
      <w:r>
        <w:rPr>
          <w:rFonts w:eastAsiaTheme="minorHAnsi" w:cs="Calibri"/>
          <w:szCs w:val="24"/>
        </w:rPr>
        <w:tab/>
        <w:t xml:space="preserve">Probably yes </w:t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  <w:t xml:space="preserve">Probably </w:t>
      </w:r>
      <w:proofErr w:type="gramStart"/>
      <w:r>
        <w:rPr>
          <w:rFonts w:eastAsiaTheme="minorHAnsi" w:cs="Calibri"/>
          <w:szCs w:val="24"/>
        </w:rPr>
        <w:t>no</w:t>
      </w:r>
      <w:proofErr w:type="gramEnd"/>
      <w:r>
        <w:rPr>
          <w:rFonts w:eastAsiaTheme="minorHAnsi" w:cs="Calibri"/>
          <w:szCs w:val="24"/>
        </w:rPr>
        <w:t xml:space="preserve"> </w:t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  <w:t>Definitely no</w:t>
      </w:r>
    </w:p>
    <w:p w14:paraId="543EFFB0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 xml:space="preserve">(low risk of bias) </w:t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  <w:t>(high risk of bias)</w:t>
      </w:r>
    </w:p>
    <w:p w14:paraId="0FE3DBCE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</w:p>
    <w:p w14:paraId="337431A6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>Examples of low risk of bias: Secure record [e.g. surgical records, pharmacy records]; Repeated</w:t>
      </w:r>
    </w:p>
    <w:p w14:paraId="0BA16F8B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>interview or other ascertainment asking about current use/</w:t>
      </w:r>
      <w:proofErr w:type="gramStart"/>
      <w:r>
        <w:rPr>
          <w:rFonts w:eastAsiaTheme="minorHAnsi" w:cs="Calibri"/>
          <w:szCs w:val="24"/>
        </w:rPr>
        <w:t>exposure</w:t>
      </w:r>
      <w:proofErr w:type="gramEnd"/>
    </w:p>
    <w:p w14:paraId="4B40F0DA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</w:p>
    <w:p w14:paraId="1564AE5E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>Examples of higher risk of bias: Structured interview at a single point in time; Written self</w:t>
      </w:r>
    </w:p>
    <w:p w14:paraId="52821773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proofErr w:type="gramStart"/>
      <w:r>
        <w:rPr>
          <w:rFonts w:eastAsiaTheme="minorHAnsi" w:cs="Calibri"/>
          <w:szCs w:val="24"/>
        </w:rPr>
        <w:t>report;</w:t>
      </w:r>
      <w:proofErr w:type="gramEnd"/>
      <w:r>
        <w:rPr>
          <w:rFonts w:eastAsiaTheme="minorHAnsi" w:cs="Calibri"/>
          <w:szCs w:val="24"/>
        </w:rPr>
        <w:t xml:space="preserve"> Individuals who are asked to retrospectively confirm their exposure status may be</w:t>
      </w:r>
    </w:p>
    <w:p w14:paraId="63CA85AB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>subject to recall bias – less likely to recall an exposure if they have not developed an adverse</w:t>
      </w:r>
    </w:p>
    <w:p w14:paraId="6B76EABA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>outcome, and more likely to recall an exposure (whether an exposure occurred or not) if they</w:t>
      </w:r>
    </w:p>
    <w:p w14:paraId="4C17DA34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>have developed an adverse outcome.</w:t>
      </w:r>
    </w:p>
    <w:p w14:paraId="4A1AE7D0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</w:p>
    <w:p w14:paraId="053BF820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 xml:space="preserve">Examples of high risk of bias: uncertain how exposure information </w:t>
      </w:r>
      <w:proofErr w:type="gramStart"/>
      <w:r>
        <w:rPr>
          <w:rFonts w:eastAsiaTheme="minorHAnsi" w:cs="Calibri"/>
          <w:szCs w:val="24"/>
        </w:rPr>
        <w:t>obtained</w:t>
      </w:r>
      <w:proofErr w:type="gramEnd"/>
    </w:p>
    <w:p w14:paraId="68AA83C4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ascii="Calibri-Bold" w:eastAsiaTheme="minorHAnsi" w:hAnsi="Calibri-Bold" w:cs="Calibri-Bold"/>
          <w:b/>
          <w:bCs/>
          <w:szCs w:val="24"/>
        </w:rPr>
      </w:pPr>
    </w:p>
    <w:p w14:paraId="708DF37B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ascii="Calibri-Bold" w:eastAsiaTheme="minorHAnsi" w:hAnsi="Calibri-Bold" w:cs="Calibri-Bold"/>
          <w:b/>
          <w:bCs/>
          <w:szCs w:val="24"/>
        </w:rPr>
      </w:pPr>
      <w:r>
        <w:rPr>
          <w:rFonts w:ascii="Calibri-Bold" w:eastAsiaTheme="minorHAnsi" w:hAnsi="Calibri-Bold" w:cs="Calibri-Bold"/>
          <w:b/>
          <w:bCs/>
          <w:szCs w:val="24"/>
        </w:rPr>
        <w:t>3. Can we be confident that the outcome of interest was not present at start of study</w:t>
      </w:r>
    </w:p>
    <w:p w14:paraId="10C2AA80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</w:p>
    <w:p w14:paraId="1713AADF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>Definitely yes</w:t>
      </w:r>
      <w:r>
        <w:rPr>
          <w:rFonts w:eastAsiaTheme="minorHAnsi" w:cs="Calibri"/>
          <w:szCs w:val="24"/>
        </w:rPr>
        <w:tab/>
        <w:t xml:space="preserve"> </w:t>
      </w:r>
      <w:r>
        <w:rPr>
          <w:rFonts w:eastAsiaTheme="minorHAnsi" w:cs="Calibri"/>
          <w:szCs w:val="24"/>
        </w:rPr>
        <w:tab/>
        <w:t xml:space="preserve">Probably yes </w:t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  <w:t xml:space="preserve">Probably </w:t>
      </w:r>
      <w:proofErr w:type="gramStart"/>
      <w:r>
        <w:rPr>
          <w:rFonts w:eastAsiaTheme="minorHAnsi" w:cs="Calibri"/>
          <w:szCs w:val="24"/>
        </w:rPr>
        <w:t>no</w:t>
      </w:r>
      <w:proofErr w:type="gramEnd"/>
      <w:r>
        <w:rPr>
          <w:rFonts w:eastAsiaTheme="minorHAnsi" w:cs="Calibri"/>
          <w:szCs w:val="24"/>
        </w:rPr>
        <w:t xml:space="preserve"> </w:t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  <w:t>Definitely no</w:t>
      </w:r>
    </w:p>
    <w:p w14:paraId="688EF398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 xml:space="preserve">(low risk of bias) </w:t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  <w:t>(high risk of bias)</w:t>
      </w:r>
    </w:p>
    <w:p w14:paraId="4F23EC1A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 w:val="22"/>
        </w:rPr>
      </w:pPr>
    </w:p>
    <w:p w14:paraId="30259224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ascii="Calibri-Bold" w:eastAsiaTheme="minorHAnsi" w:hAnsi="Calibri-Bold" w:cs="Calibri-Bold"/>
          <w:b/>
          <w:bCs/>
          <w:szCs w:val="24"/>
        </w:rPr>
      </w:pPr>
      <w:r>
        <w:rPr>
          <w:rFonts w:ascii="Calibri-Bold" w:eastAsiaTheme="minorHAnsi" w:hAnsi="Calibri-Bold" w:cs="Calibri-Bold"/>
          <w:b/>
          <w:bCs/>
          <w:szCs w:val="24"/>
        </w:rPr>
        <w:t>4. Did the study match exposed and unexposed for all variables that are associated with the</w:t>
      </w:r>
    </w:p>
    <w:p w14:paraId="2C6429C0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ascii="Calibri-Bold" w:eastAsiaTheme="minorHAnsi" w:hAnsi="Calibri-Bold" w:cs="Calibri-Bold"/>
          <w:b/>
          <w:bCs/>
          <w:szCs w:val="24"/>
        </w:rPr>
      </w:pPr>
      <w:r>
        <w:rPr>
          <w:rFonts w:ascii="Calibri-Bold" w:eastAsiaTheme="minorHAnsi" w:hAnsi="Calibri-Bold" w:cs="Calibri-Bold"/>
          <w:b/>
          <w:bCs/>
          <w:szCs w:val="24"/>
        </w:rPr>
        <w:t>outcome of interest or did the statistical analysis adjust for these prognostic variables?</w:t>
      </w:r>
    </w:p>
    <w:p w14:paraId="19A266D8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</w:p>
    <w:p w14:paraId="065039E0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>Definitely yes</w:t>
      </w:r>
      <w:r>
        <w:rPr>
          <w:rFonts w:eastAsiaTheme="minorHAnsi" w:cs="Calibri"/>
          <w:szCs w:val="24"/>
        </w:rPr>
        <w:tab/>
        <w:t xml:space="preserve"> </w:t>
      </w:r>
      <w:r>
        <w:rPr>
          <w:rFonts w:eastAsiaTheme="minorHAnsi" w:cs="Calibri"/>
          <w:szCs w:val="24"/>
        </w:rPr>
        <w:tab/>
        <w:t xml:space="preserve">Probably yes </w:t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  <w:t xml:space="preserve">Probably </w:t>
      </w:r>
      <w:proofErr w:type="gramStart"/>
      <w:r>
        <w:rPr>
          <w:rFonts w:eastAsiaTheme="minorHAnsi" w:cs="Calibri"/>
          <w:szCs w:val="24"/>
        </w:rPr>
        <w:t>no</w:t>
      </w:r>
      <w:proofErr w:type="gramEnd"/>
      <w:r>
        <w:rPr>
          <w:rFonts w:eastAsiaTheme="minorHAnsi" w:cs="Calibri"/>
          <w:szCs w:val="24"/>
        </w:rPr>
        <w:t xml:space="preserve"> </w:t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  <w:t>Definitely no</w:t>
      </w:r>
    </w:p>
    <w:p w14:paraId="4EC8EBD7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 xml:space="preserve">(low risk of bias) </w:t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  <w:t>(high risk of bias)</w:t>
      </w:r>
    </w:p>
    <w:p w14:paraId="0D0C6A0E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</w:p>
    <w:p w14:paraId="304D517C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>Examples of low risk of bias: comprehensive matching or adjustment for all plausible prognostic</w:t>
      </w:r>
    </w:p>
    <w:p w14:paraId="213BD6F1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>variables</w:t>
      </w:r>
    </w:p>
    <w:p w14:paraId="0FB1ADAD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</w:p>
    <w:p w14:paraId="2E607C52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>Examples of higher risk of bias: matching or adjustment for most plausible prognostic variables</w:t>
      </w:r>
    </w:p>
    <w:p w14:paraId="468E31A7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</w:p>
    <w:p w14:paraId="5813A1AB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>Examples of high risk of bias: matching or adjustment for a minority of plausible prognostic</w:t>
      </w:r>
    </w:p>
    <w:p w14:paraId="042DFA56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lastRenderedPageBreak/>
        <w:t>variables, or no matching or adjustment at all. Statements of no differences between groups or</w:t>
      </w:r>
    </w:p>
    <w:p w14:paraId="72E96737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 xml:space="preserve">that differences were not statistically significant are not sufficient for </w:t>
      </w:r>
      <w:proofErr w:type="gramStart"/>
      <w:r>
        <w:rPr>
          <w:rFonts w:eastAsiaTheme="minorHAnsi" w:cs="Calibri"/>
          <w:szCs w:val="24"/>
        </w:rPr>
        <w:t>establishing</w:t>
      </w:r>
      <w:proofErr w:type="gramEnd"/>
    </w:p>
    <w:p w14:paraId="7F29AF19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>comparability.</w:t>
      </w:r>
    </w:p>
    <w:p w14:paraId="7D2F57AD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b/>
          <w:bCs/>
          <w:szCs w:val="24"/>
        </w:rPr>
      </w:pPr>
    </w:p>
    <w:p w14:paraId="1C4382F5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ascii="Calibri-Bold" w:eastAsiaTheme="minorHAnsi" w:hAnsi="Calibri-Bold" w:cs="Calibri-Bold"/>
          <w:b/>
          <w:bCs/>
          <w:szCs w:val="24"/>
        </w:rPr>
      </w:pPr>
      <w:r w:rsidRPr="00AE63AA">
        <w:rPr>
          <w:rFonts w:eastAsiaTheme="minorHAnsi" w:cs="Calibri"/>
          <w:b/>
          <w:bCs/>
          <w:szCs w:val="24"/>
        </w:rPr>
        <w:t>5.</w:t>
      </w:r>
      <w:r>
        <w:rPr>
          <w:rFonts w:eastAsiaTheme="minorHAnsi" w:cs="Calibri"/>
          <w:szCs w:val="24"/>
        </w:rPr>
        <w:t xml:space="preserve"> </w:t>
      </w:r>
      <w:r>
        <w:rPr>
          <w:rFonts w:ascii="Calibri-Bold" w:eastAsiaTheme="minorHAnsi" w:hAnsi="Calibri-Bold" w:cs="Calibri-Bold"/>
          <w:b/>
          <w:bCs/>
          <w:szCs w:val="24"/>
        </w:rPr>
        <w:t>Can we be confident in the assessment of the presence or absence of prognostic factors?</w:t>
      </w:r>
    </w:p>
    <w:p w14:paraId="6503B543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</w:p>
    <w:p w14:paraId="5A4DB763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>Definitely yes</w:t>
      </w:r>
      <w:r>
        <w:rPr>
          <w:rFonts w:eastAsiaTheme="minorHAnsi" w:cs="Calibri"/>
          <w:szCs w:val="24"/>
        </w:rPr>
        <w:tab/>
        <w:t xml:space="preserve"> </w:t>
      </w:r>
      <w:r>
        <w:rPr>
          <w:rFonts w:eastAsiaTheme="minorHAnsi" w:cs="Calibri"/>
          <w:szCs w:val="24"/>
        </w:rPr>
        <w:tab/>
        <w:t xml:space="preserve">Probably yes </w:t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  <w:t xml:space="preserve">Probably </w:t>
      </w:r>
      <w:proofErr w:type="gramStart"/>
      <w:r>
        <w:rPr>
          <w:rFonts w:eastAsiaTheme="minorHAnsi" w:cs="Calibri"/>
          <w:szCs w:val="24"/>
        </w:rPr>
        <w:t>no</w:t>
      </w:r>
      <w:proofErr w:type="gramEnd"/>
      <w:r>
        <w:rPr>
          <w:rFonts w:eastAsiaTheme="minorHAnsi" w:cs="Calibri"/>
          <w:szCs w:val="24"/>
        </w:rPr>
        <w:t xml:space="preserve"> </w:t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  <w:t>Definitely no</w:t>
      </w:r>
    </w:p>
    <w:p w14:paraId="728127F4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 xml:space="preserve">(low risk of bias) </w:t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  <w:t>(high risk of bias)</w:t>
      </w:r>
    </w:p>
    <w:p w14:paraId="5FE6B76C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</w:p>
    <w:p w14:paraId="311786C6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>Examples of low risk of bias: Interview of all participants; self‐completed survey from all</w:t>
      </w:r>
    </w:p>
    <w:p w14:paraId="6E9A19EA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proofErr w:type="gramStart"/>
      <w:r>
        <w:rPr>
          <w:rFonts w:eastAsiaTheme="minorHAnsi" w:cs="Calibri"/>
          <w:szCs w:val="24"/>
        </w:rPr>
        <w:t>participants;</w:t>
      </w:r>
      <w:proofErr w:type="gramEnd"/>
      <w:r>
        <w:rPr>
          <w:rFonts w:eastAsiaTheme="minorHAnsi" w:cs="Calibri"/>
          <w:szCs w:val="24"/>
        </w:rPr>
        <w:t xml:space="preserve"> review of charts with reproducibility demonstrated; from data base with</w:t>
      </w:r>
    </w:p>
    <w:p w14:paraId="28E12ADB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>documentation of accuracy of abstraction of prognostic data</w:t>
      </w:r>
    </w:p>
    <w:p w14:paraId="6135EF58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</w:p>
    <w:p w14:paraId="6D2BF05D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>Examples of higher risk of bias: Chart review without demonstration of reproducibility; data</w:t>
      </w:r>
    </w:p>
    <w:p w14:paraId="49B1011E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 xml:space="preserve">base with uncertain quality of abstraction of prognostic </w:t>
      </w:r>
      <w:proofErr w:type="gramStart"/>
      <w:r>
        <w:rPr>
          <w:rFonts w:eastAsiaTheme="minorHAnsi" w:cs="Calibri"/>
          <w:szCs w:val="24"/>
        </w:rPr>
        <w:t>information</w:t>
      </w:r>
      <w:proofErr w:type="gramEnd"/>
    </w:p>
    <w:p w14:paraId="2684B3F1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</w:p>
    <w:p w14:paraId="4BF7E86F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>Examples of high risk of bias: Prognostic information from data base with no available</w:t>
      </w:r>
    </w:p>
    <w:p w14:paraId="009CD9E6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>documentation of quality of abstraction of prognostic variables</w:t>
      </w:r>
    </w:p>
    <w:p w14:paraId="1C5FEB6D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 w:val="22"/>
        </w:rPr>
      </w:pPr>
    </w:p>
    <w:p w14:paraId="26D78825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ascii="Calibri-Bold" w:eastAsiaTheme="minorHAnsi" w:hAnsi="Calibri-Bold" w:cs="Calibri-Bold"/>
          <w:b/>
          <w:bCs/>
          <w:szCs w:val="24"/>
        </w:rPr>
      </w:pPr>
      <w:r>
        <w:rPr>
          <w:rFonts w:ascii="Calibri-Bold" w:eastAsiaTheme="minorHAnsi" w:hAnsi="Calibri-Bold" w:cs="Calibri-Bold"/>
          <w:b/>
          <w:bCs/>
          <w:szCs w:val="24"/>
        </w:rPr>
        <w:t>6. Can we be confident in the assessment of outcome?</w:t>
      </w:r>
    </w:p>
    <w:p w14:paraId="358EC6BA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</w:p>
    <w:p w14:paraId="416A9025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>Definitely yes</w:t>
      </w:r>
      <w:r>
        <w:rPr>
          <w:rFonts w:eastAsiaTheme="minorHAnsi" w:cs="Calibri"/>
          <w:szCs w:val="24"/>
        </w:rPr>
        <w:tab/>
        <w:t xml:space="preserve"> </w:t>
      </w:r>
      <w:r>
        <w:rPr>
          <w:rFonts w:eastAsiaTheme="minorHAnsi" w:cs="Calibri"/>
          <w:szCs w:val="24"/>
        </w:rPr>
        <w:tab/>
        <w:t xml:space="preserve">Probably yes </w:t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  <w:t xml:space="preserve">Probably </w:t>
      </w:r>
      <w:proofErr w:type="gramStart"/>
      <w:r>
        <w:rPr>
          <w:rFonts w:eastAsiaTheme="minorHAnsi" w:cs="Calibri"/>
          <w:szCs w:val="24"/>
        </w:rPr>
        <w:t>no</w:t>
      </w:r>
      <w:proofErr w:type="gramEnd"/>
      <w:r>
        <w:rPr>
          <w:rFonts w:eastAsiaTheme="minorHAnsi" w:cs="Calibri"/>
          <w:szCs w:val="24"/>
        </w:rPr>
        <w:t xml:space="preserve"> </w:t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  <w:t>Definitely no</w:t>
      </w:r>
    </w:p>
    <w:p w14:paraId="3028B103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 xml:space="preserve">(low risk of bias) </w:t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  <w:t>(high risk of bias)</w:t>
      </w:r>
    </w:p>
    <w:p w14:paraId="241B8434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</w:p>
    <w:p w14:paraId="4EAB76A3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>Examples of low risk of bias: Independent blind assessment; Record linkage; For some</w:t>
      </w:r>
    </w:p>
    <w:p w14:paraId="22F32A73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>outcomes (e.g. fractured hip), reference to the medical record is sufficient to satisfy the</w:t>
      </w:r>
    </w:p>
    <w:p w14:paraId="65B05272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>requirement for confirmation of the fracture.</w:t>
      </w:r>
    </w:p>
    <w:p w14:paraId="3857C2FF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</w:p>
    <w:p w14:paraId="19E0737A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>Examples of higher risk of bias: Independent assessment unblinded; self‐report; For some</w:t>
      </w:r>
    </w:p>
    <w:p w14:paraId="52BAC3B2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>outcomes (e.g. vertebral fracture where reference to x‐rays would be required) reference to</w:t>
      </w:r>
    </w:p>
    <w:p w14:paraId="61F25C3A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>the medical record would not be adequate outcomes.</w:t>
      </w:r>
    </w:p>
    <w:p w14:paraId="29C911BC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</w:p>
    <w:p w14:paraId="21BA2C05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>Examples of high risk of bias: uncertain (no description)</w:t>
      </w:r>
    </w:p>
    <w:p w14:paraId="7E3783AB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ascii="Calibri-Bold" w:eastAsiaTheme="minorHAnsi" w:hAnsi="Calibri-Bold" w:cs="Calibri-Bold"/>
          <w:b/>
          <w:bCs/>
          <w:szCs w:val="24"/>
        </w:rPr>
      </w:pPr>
    </w:p>
    <w:p w14:paraId="32C33EBE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ascii="Calibri-Bold" w:eastAsiaTheme="minorHAnsi" w:hAnsi="Calibri-Bold" w:cs="Calibri-Bold"/>
          <w:b/>
          <w:bCs/>
          <w:szCs w:val="24"/>
        </w:rPr>
      </w:pPr>
      <w:r>
        <w:rPr>
          <w:rFonts w:ascii="Calibri-Bold" w:eastAsiaTheme="minorHAnsi" w:hAnsi="Calibri-Bold" w:cs="Calibri-Bold"/>
          <w:b/>
          <w:bCs/>
          <w:szCs w:val="24"/>
        </w:rPr>
        <w:t xml:space="preserve">7. Was the </w:t>
      </w:r>
      <w:proofErr w:type="gramStart"/>
      <w:r>
        <w:rPr>
          <w:rFonts w:ascii="Calibri-Bold" w:eastAsiaTheme="minorHAnsi" w:hAnsi="Calibri-Bold" w:cs="Calibri-Bold"/>
          <w:b/>
          <w:bCs/>
          <w:szCs w:val="24"/>
        </w:rPr>
        <w:t>follow up</w:t>
      </w:r>
      <w:proofErr w:type="gramEnd"/>
      <w:r>
        <w:rPr>
          <w:rFonts w:ascii="Calibri-Bold" w:eastAsiaTheme="minorHAnsi" w:hAnsi="Calibri-Bold" w:cs="Calibri-Bold"/>
          <w:b/>
          <w:bCs/>
          <w:szCs w:val="24"/>
        </w:rPr>
        <w:t xml:space="preserve"> of cohorts adequate?</w:t>
      </w:r>
    </w:p>
    <w:p w14:paraId="074AD02D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</w:p>
    <w:p w14:paraId="5C20F6F5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>Definitely yes</w:t>
      </w:r>
      <w:r>
        <w:rPr>
          <w:rFonts w:eastAsiaTheme="minorHAnsi" w:cs="Calibri"/>
          <w:szCs w:val="24"/>
        </w:rPr>
        <w:tab/>
        <w:t xml:space="preserve"> </w:t>
      </w:r>
      <w:r>
        <w:rPr>
          <w:rFonts w:eastAsiaTheme="minorHAnsi" w:cs="Calibri"/>
          <w:szCs w:val="24"/>
        </w:rPr>
        <w:tab/>
        <w:t xml:space="preserve">Probably yes </w:t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  <w:t xml:space="preserve">Probably </w:t>
      </w:r>
      <w:proofErr w:type="gramStart"/>
      <w:r>
        <w:rPr>
          <w:rFonts w:eastAsiaTheme="minorHAnsi" w:cs="Calibri"/>
          <w:szCs w:val="24"/>
        </w:rPr>
        <w:t>no</w:t>
      </w:r>
      <w:proofErr w:type="gramEnd"/>
      <w:r>
        <w:rPr>
          <w:rFonts w:eastAsiaTheme="minorHAnsi" w:cs="Calibri"/>
          <w:szCs w:val="24"/>
        </w:rPr>
        <w:t xml:space="preserve"> </w:t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  <w:t>Definitely no</w:t>
      </w:r>
    </w:p>
    <w:p w14:paraId="77AF0013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 xml:space="preserve">(low risk of bias) </w:t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  <w:t>(high risk of bias)</w:t>
      </w:r>
    </w:p>
    <w:p w14:paraId="0FA2C866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</w:p>
    <w:p w14:paraId="72EEAF51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>Examples of low risk of bias: No missing outcome data; Reasons for missing outcome data</w:t>
      </w:r>
    </w:p>
    <w:p w14:paraId="49C8B474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>unlikely to be related to true outcome (for survival data, censoring is unlikely to introduce bias</w:t>
      </w:r>
      <w:proofErr w:type="gramStart"/>
      <w:r>
        <w:rPr>
          <w:rFonts w:eastAsiaTheme="minorHAnsi" w:cs="Calibri"/>
          <w:szCs w:val="24"/>
        </w:rPr>
        <w:t>);</w:t>
      </w:r>
      <w:proofErr w:type="gramEnd"/>
    </w:p>
    <w:p w14:paraId="33BFB410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>Missing outcome data balanced in numbers across intervention groups, with similar reasons for</w:t>
      </w:r>
    </w:p>
    <w:p w14:paraId="5C6B8F32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>missing data across groups; For dichotomous outcome data, the proportion of missing</w:t>
      </w:r>
    </w:p>
    <w:p w14:paraId="256152A6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 xml:space="preserve">outcomes compared with observed event risk is not enough to have </w:t>
      </w:r>
      <w:proofErr w:type="spellStart"/>
      <w:proofErr w:type="gramStart"/>
      <w:r>
        <w:rPr>
          <w:rFonts w:eastAsiaTheme="minorHAnsi" w:cs="Calibri"/>
          <w:szCs w:val="24"/>
        </w:rPr>
        <w:t>a</w:t>
      </w:r>
      <w:proofErr w:type="spellEnd"/>
      <w:proofErr w:type="gramEnd"/>
      <w:r>
        <w:rPr>
          <w:rFonts w:eastAsiaTheme="minorHAnsi" w:cs="Calibri"/>
          <w:szCs w:val="24"/>
        </w:rPr>
        <w:t xml:space="preserve"> important impact on the</w:t>
      </w:r>
    </w:p>
    <w:p w14:paraId="21AC69D9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lastRenderedPageBreak/>
        <w:t xml:space="preserve">intervention effect </w:t>
      </w:r>
      <w:proofErr w:type="gramStart"/>
      <w:r>
        <w:rPr>
          <w:rFonts w:eastAsiaTheme="minorHAnsi" w:cs="Calibri"/>
          <w:szCs w:val="24"/>
        </w:rPr>
        <w:t>estimate</w:t>
      </w:r>
      <w:proofErr w:type="gramEnd"/>
      <w:r>
        <w:rPr>
          <w:rFonts w:eastAsiaTheme="minorHAnsi" w:cs="Calibri"/>
          <w:szCs w:val="24"/>
        </w:rPr>
        <w:t>; For continuous outcome data, plausible effect size (difference in</w:t>
      </w:r>
    </w:p>
    <w:p w14:paraId="6E655E81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>means or standardized difference in means) among missing outcomes is not large enough to</w:t>
      </w:r>
    </w:p>
    <w:p w14:paraId="41E76F4D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 xml:space="preserve">have an important impact on the observed effect size; Missing data have been imputed </w:t>
      </w:r>
      <w:proofErr w:type="gramStart"/>
      <w:r>
        <w:rPr>
          <w:rFonts w:eastAsiaTheme="minorHAnsi" w:cs="Calibri"/>
          <w:szCs w:val="24"/>
        </w:rPr>
        <w:t>using</w:t>
      </w:r>
      <w:proofErr w:type="gramEnd"/>
    </w:p>
    <w:p w14:paraId="66A5C14D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>appropriate methods.</w:t>
      </w:r>
    </w:p>
    <w:p w14:paraId="7FF58920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</w:p>
    <w:p w14:paraId="099A8EE2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 xml:space="preserve">Examples of high risk of bias: Reason for missing outcome data likely to be related to </w:t>
      </w:r>
      <w:proofErr w:type="gramStart"/>
      <w:r>
        <w:rPr>
          <w:rFonts w:eastAsiaTheme="minorHAnsi" w:cs="Calibri"/>
          <w:szCs w:val="24"/>
        </w:rPr>
        <w:t>true</w:t>
      </w:r>
      <w:proofErr w:type="gramEnd"/>
    </w:p>
    <w:p w14:paraId="09682A21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>outcome, with either imbalance in numbers or reasons for missing data across intervention</w:t>
      </w:r>
    </w:p>
    <w:p w14:paraId="7C24E609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proofErr w:type="gramStart"/>
      <w:r>
        <w:rPr>
          <w:rFonts w:eastAsiaTheme="minorHAnsi" w:cs="Calibri"/>
          <w:szCs w:val="24"/>
        </w:rPr>
        <w:t>groups;</w:t>
      </w:r>
      <w:proofErr w:type="gramEnd"/>
      <w:r>
        <w:rPr>
          <w:rFonts w:eastAsiaTheme="minorHAnsi" w:cs="Calibri"/>
          <w:szCs w:val="24"/>
        </w:rPr>
        <w:t xml:space="preserve"> For dichotomous outcome data, the proportion of missing outcomes compared with</w:t>
      </w:r>
    </w:p>
    <w:p w14:paraId="2E99F45C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>observed event risk is enough to induce important bias in intervention effect estimate; For</w:t>
      </w:r>
    </w:p>
    <w:p w14:paraId="63404875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>continuous outcome data, plausible effect size (difference in means or standardized difference</w:t>
      </w:r>
    </w:p>
    <w:p w14:paraId="3428A4F2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>in means) among missing outcomes is large enough to induce clinically relevant bias in the</w:t>
      </w:r>
    </w:p>
    <w:p w14:paraId="164C95BC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>observed effect size.</w:t>
      </w:r>
    </w:p>
    <w:p w14:paraId="1318FB28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 w:val="22"/>
        </w:rPr>
      </w:pPr>
    </w:p>
    <w:p w14:paraId="4067E74D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ascii="Calibri-Bold" w:eastAsiaTheme="minorHAnsi" w:hAnsi="Calibri-Bold" w:cs="Calibri-Bold"/>
          <w:b/>
          <w:bCs/>
          <w:szCs w:val="24"/>
        </w:rPr>
      </w:pPr>
      <w:r>
        <w:rPr>
          <w:rFonts w:ascii="Calibri-Bold" w:eastAsiaTheme="minorHAnsi" w:hAnsi="Calibri-Bold" w:cs="Calibri-Bold"/>
          <w:b/>
          <w:bCs/>
          <w:szCs w:val="24"/>
        </w:rPr>
        <w:t>8. Were co‐Interventions similar between groups?</w:t>
      </w:r>
    </w:p>
    <w:p w14:paraId="6D215088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</w:p>
    <w:p w14:paraId="321B7043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>Definitely yes</w:t>
      </w:r>
      <w:r>
        <w:rPr>
          <w:rFonts w:eastAsiaTheme="minorHAnsi" w:cs="Calibri"/>
          <w:szCs w:val="24"/>
        </w:rPr>
        <w:tab/>
        <w:t xml:space="preserve"> </w:t>
      </w:r>
      <w:r>
        <w:rPr>
          <w:rFonts w:eastAsiaTheme="minorHAnsi" w:cs="Calibri"/>
          <w:szCs w:val="24"/>
        </w:rPr>
        <w:tab/>
        <w:t xml:space="preserve">Probably yes </w:t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  <w:t xml:space="preserve">Probably </w:t>
      </w:r>
      <w:proofErr w:type="gramStart"/>
      <w:r>
        <w:rPr>
          <w:rFonts w:eastAsiaTheme="minorHAnsi" w:cs="Calibri"/>
          <w:szCs w:val="24"/>
        </w:rPr>
        <w:t>no</w:t>
      </w:r>
      <w:proofErr w:type="gramEnd"/>
      <w:r>
        <w:rPr>
          <w:rFonts w:eastAsiaTheme="minorHAnsi" w:cs="Calibri"/>
          <w:szCs w:val="24"/>
        </w:rPr>
        <w:t xml:space="preserve"> </w:t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  <w:t>Definitely no</w:t>
      </w:r>
    </w:p>
    <w:p w14:paraId="61AE81BF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 xml:space="preserve">(low risk of bias) </w:t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ab/>
        <w:t>(high risk of bias)</w:t>
      </w:r>
    </w:p>
    <w:p w14:paraId="7EB45A32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</w:p>
    <w:p w14:paraId="67F519E3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>Examples of low risk of bias: Most or all relevant co‐interventions that might influence the</w:t>
      </w:r>
    </w:p>
    <w:p w14:paraId="40EEFEB1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 xml:space="preserve">outcome of interest </w:t>
      </w:r>
      <w:proofErr w:type="gramStart"/>
      <w:r>
        <w:rPr>
          <w:rFonts w:eastAsiaTheme="minorHAnsi" w:cs="Calibri"/>
          <w:szCs w:val="24"/>
        </w:rPr>
        <w:t>are</w:t>
      </w:r>
      <w:proofErr w:type="gramEnd"/>
      <w:r>
        <w:rPr>
          <w:rFonts w:eastAsiaTheme="minorHAnsi" w:cs="Calibri"/>
          <w:szCs w:val="24"/>
        </w:rPr>
        <w:t xml:space="preserve"> documented to be similar in the exposed and unexposed.</w:t>
      </w:r>
    </w:p>
    <w:p w14:paraId="2BADB55A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</w:p>
    <w:p w14:paraId="42130A7F" w14:textId="77777777" w:rsidR="008572F7" w:rsidRDefault="008572F7" w:rsidP="008572F7">
      <w:pPr>
        <w:autoSpaceDE w:val="0"/>
        <w:autoSpaceDN w:val="0"/>
        <w:adjustRightInd w:val="0"/>
        <w:spacing w:line="240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>Examples of high risk of bias: Few or no relevant co‐interventions that might influence the</w:t>
      </w:r>
    </w:p>
    <w:p w14:paraId="6F868AF1" w14:textId="77777777" w:rsidR="008572F7" w:rsidRDefault="008572F7" w:rsidP="008572F7">
      <w:pPr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 xml:space="preserve">outcome of interest </w:t>
      </w:r>
      <w:proofErr w:type="gramStart"/>
      <w:r>
        <w:rPr>
          <w:rFonts w:eastAsiaTheme="minorHAnsi" w:cs="Calibri"/>
          <w:szCs w:val="24"/>
        </w:rPr>
        <w:t>are</w:t>
      </w:r>
      <w:proofErr w:type="gramEnd"/>
      <w:r>
        <w:rPr>
          <w:rFonts w:eastAsiaTheme="minorHAnsi" w:cs="Calibri"/>
          <w:szCs w:val="24"/>
        </w:rPr>
        <w:t xml:space="preserve"> documented to be similar in the exposed and unexposed.</w:t>
      </w:r>
    </w:p>
    <w:p w14:paraId="178D3378" w14:textId="77777777" w:rsidR="008572F7" w:rsidRDefault="008572F7" w:rsidP="008572F7">
      <w:pPr>
        <w:spacing w:after="160" w:line="259" w:lineRule="auto"/>
        <w:ind w:firstLine="0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br w:type="page"/>
      </w:r>
    </w:p>
    <w:p w14:paraId="1EFC3612" w14:textId="77777777" w:rsidR="008572F7" w:rsidRDefault="008572F7" w:rsidP="008572F7">
      <w:pPr>
        <w:ind w:firstLine="0"/>
        <w:rPr>
          <w:rFonts w:ascii="Times New Roman" w:hAnsi="Times New Roman"/>
        </w:rPr>
        <w:sectPr w:rsidR="008572F7" w:rsidSect="008572F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CB32236" w14:textId="67F67B57" w:rsidR="008572F7" w:rsidRPr="000B4799" w:rsidRDefault="008572F7" w:rsidP="008572F7">
      <w:pPr>
        <w:pStyle w:val="Heading2"/>
        <w:numPr>
          <w:ilvl w:val="0"/>
          <w:numId w:val="0"/>
        </w:numPr>
        <w:ind w:left="720" w:hanging="720"/>
        <w:rPr>
          <w:rFonts w:ascii="Times New Roman" w:hAnsi="Times New Roman"/>
        </w:rPr>
      </w:pPr>
      <w:bookmarkStart w:id="4" w:name="_Toc105078152"/>
      <w:r>
        <w:rPr>
          <w:rFonts w:ascii="Times New Roman" w:hAnsi="Times New Roman"/>
        </w:rPr>
        <w:lastRenderedPageBreak/>
        <w:t>Supplement</w:t>
      </w:r>
      <w:r w:rsidRPr="000B4799">
        <w:rPr>
          <w:rFonts w:ascii="Times New Roman" w:hAnsi="Times New Roman"/>
        </w:rPr>
        <w:t xml:space="preserve"> V. Risk of Bias Results</w:t>
      </w:r>
      <w:bookmarkEnd w:id="4"/>
    </w:p>
    <w:tbl>
      <w:tblPr>
        <w:tblStyle w:val="TableGrid"/>
        <w:tblW w:w="13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1350"/>
        <w:gridCol w:w="1303"/>
        <w:gridCol w:w="1662"/>
        <w:gridCol w:w="1878"/>
        <w:gridCol w:w="1283"/>
        <w:gridCol w:w="1349"/>
        <w:gridCol w:w="1437"/>
        <w:gridCol w:w="1343"/>
      </w:tblGrid>
      <w:tr w:rsidR="008572F7" w:rsidRPr="0079086E" w14:paraId="3314DA07" w14:textId="77777777" w:rsidTr="00931D58">
        <w:tc>
          <w:tcPr>
            <w:tcW w:w="1530" w:type="dxa"/>
          </w:tcPr>
          <w:p w14:paraId="0F344B03" w14:textId="77777777" w:rsidR="008572F7" w:rsidRPr="00EC64EC" w:rsidRDefault="008572F7" w:rsidP="00931D58">
            <w:pPr>
              <w:spacing w:after="160" w:line="259" w:lineRule="auto"/>
              <w:ind w:firstLine="0"/>
              <w:rPr>
                <w:rFonts w:ascii="Times New Roman" w:hAnsi="Times New Roman"/>
                <w:b/>
                <w:bCs/>
                <w:szCs w:val="24"/>
              </w:rPr>
            </w:pPr>
            <w:r w:rsidRPr="00EC64EC">
              <w:rPr>
                <w:rFonts w:ascii="Times New Roman" w:hAnsi="Times New Roman"/>
                <w:b/>
                <w:bCs/>
                <w:szCs w:val="24"/>
              </w:rPr>
              <w:t>Article</w:t>
            </w:r>
          </w:p>
        </w:tc>
        <w:tc>
          <w:tcPr>
            <w:tcW w:w="1350" w:type="dxa"/>
          </w:tcPr>
          <w:p w14:paraId="642E59F3" w14:textId="77777777" w:rsidR="008572F7" w:rsidRPr="0079086E" w:rsidRDefault="008572F7" w:rsidP="00931D58">
            <w:pPr>
              <w:spacing w:after="160" w:line="259" w:lineRule="auto"/>
              <w:ind w:firstLine="0"/>
              <w:rPr>
                <w:rFonts w:ascii="Times New Roman" w:hAnsi="Times New Roman"/>
                <w:b/>
                <w:bCs/>
                <w:szCs w:val="24"/>
              </w:rPr>
            </w:pPr>
            <w:r w:rsidRPr="0079086E">
              <w:rPr>
                <w:rFonts w:ascii="Times New Roman" w:hAnsi="Times New Roman"/>
                <w:b/>
                <w:bCs/>
                <w:szCs w:val="24"/>
              </w:rPr>
              <w:t>1. Was selection of exposed and non-exposed cohorts drawn from the same population?</w:t>
            </w:r>
          </w:p>
        </w:tc>
        <w:tc>
          <w:tcPr>
            <w:tcW w:w="1303" w:type="dxa"/>
          </w:tcPr>
          <w:p w14:paraId="613DB164" w14:textId="77777777" w:rsidR="008572F7" w:rsidRPr="0079086E" w:rsidRDefault="008572F7" w:rsidP="00931D58">
            <w:pPr>
              <w:spacing w:after="160" w:line="259" w:lineRule="auto"/>
              <w:ind w:firstLine="0"/>
              <w:rPr>
                <w:rFonts w:ascii="Times New Roman" w:hAnsi="Times New Roman"/>
                <w:b/>
                <w:bCs/>
                <w:szCs w:val="24"/>
              </w:rPr>
            </w:pPr>
            <w:r w:rsidRPr="0079086E">
              <w:rPr>
                <w:rFonts w:ascii="Times New Roman" w:hAnsi="Times New Roman"/>
                <w:b/>
                <w:bCs/>
                <w:szCs w:val="24"/>
              </w:rPr>
              <w:t>2. Can we be confident in the assessment of the exposure?</w:t>
            </w:r>
          </w:p>
        </w:tc>
        <w:tc>
          <w:tcPr>
            <w:tcW w:w="1662" w:type="dxa"/>
          </w:tcPr>
          <w:p w14:paraId="16CB3BAC" w14:textId="77777777" w:rsidR="008572F7" w:rsidRPr="0079086E" w:rsidRDefault="008572F7" w:rsidP="00931D58">
            <w:pPr>
              <w:spacing w:after="160" w:line="259" w:lineRule="auto"/>
              <w:ind w:firstLine="0"/>
              <w:rPr>
                <w:rFonts w:ascii="Times New Roman" w:hAnsi="Times New Roman"/>
                <w:b/>
                <w:bCs/>
                <w:szCs w:val="24"/>
              </w:rPr>
            </w:pPr>
            <w:r w:rsidRPr="0079086E">
              <w:rPr>
                <w:rFonts w:ascii="Times New Roman" w:hAnsi="Times New Roman"/>
                <w:b/>
                <w:bCs/>
                <w:szCs w:val="24"/>
              </w:rPr>
              <w:t xml:space="preserve">3. Can we be confident that the outcome of interest was not present at </w:t>
            </w:r>
            <w:proofErr w:type="gramStart"/>
            <w:r w:rsidRPr="0079086E">
              <w:rPr>
                <w:rFonts w:ascii="Times New Roman" w:hAnsi="Times New Roman"/>
                <w:b/>
                <w:bCs/>
                <w:szCs w:val="24"/>
              </w:rPr>
              <w:t>start</w:t>
            </w:r>
            <w:proofErr w:type="gramEnd"/>
            <w:r w:rsidRPr="0079086E">
              <w:rPr>
                <w:rFonts w:ascii="Times New Roman" w:hAnsi="Times New Roman"/>
                <w:b/>
                <w:bCs/>
                <w:szCs w:val="24"/>
              </w:rPr>
              <w:t xml:space="preserve"> of the study? [if it was controlled for = 1.75)</w:t>
            </w:r>
          </w:p>
        </w:tc>
        <w:tc>
          <w:tcPr>
            <w:tcW w:w="1878" w:type="dxa"/>
          </w:tcPr>
          <w:p w14:paraId="0DBCF002" w14:textId="77777777" w:rsidR="008572F7" w:rsidRPr="0079086E" w:rsidRDefault="008572F7" w:rsidP="00931D58">
            <w:pPr>
              <w:spacing w:after="160" w:line="259" w:lineRule="auto"/>
              <w:ind w:firstLine="0"/>
              <w:rPr>
                <w:rFonts w:ascii="Times New Roman" w:hAnsi="Times New Roman"/>
                <w:b/>
                <w:bCs/>
                <w:szCs w:val="24"/>
              </w:rPr>
            </w:pPr>
            <w:r w:rsidRPr="0079086E">
              <w:rPr>
                <w:rFonts w:ascii="Times New Roman" w:hAnsi="Times New Roman"/>
                <w:b/>
                <w:bCs/>
                <w:szCs w:val="24"/>
              </w:rPr>
              <w:t>4.Did the study match exposed and unexposed for all variables that are associated with the outcome of interest or did the statistical analysis adjust for these prognostic variables?</w:t>
            </w:r>
          </w:p>
        </w:tc>
        <w:tc>
          <w:tcPr>
            <w:tcW w:w="1283" w:type="dxa"/>
          </w:tcPr>
          <w:p w14:paraId="24502AE2" w14:textId="77777777" w:rsidR="008572F7" w:rsidRPr="0079086E" w:rsidRDefault="008572F7" w:rsidP="00931D58">
            <w:pPr>
              <w:spacing w:after="160" w:line="259" w:lineRule="auto"/>
              <w:ind w:firstLine="0"/>
              <w:rPr>
                <w:rFonts w:ascii="Times New Roman" w:hAnsi="Times New Roman"/>
                <w:b/>
                <w:bCs/>
                <w:szCs w:val="24"/>
              </w:rPr>
            </w:pPr>
            <w:r w:rsidRPr="0079086E">
              <w:rPr>
                <w:rFonts w:ascii="Times New Roman" w:hAnsi="Times New Roman"/>
                <w:b/>
                <w:bCs/>
                <w:szCs w:val="24"/>
              </w:rPr>
              <w:t>5. Can we be confident in the assessment of the presence or absence of prognostic factors?</w:t>
            </w:r>
          </w:p>
        </w:tc>
        <w:tc>
          <w:tcPr>
            <w:tcW w:w="1349" w:type="dxa"/>
          </w:tcPr>
          <w:p w14:paraId="3289F5BF" w14:textId="77777777" w:rsidR="008572F7" w:rsidRPr="0079086E" w:rsidRDefault="008572F7" w:rsidP="00931D58">
            <w:pPr>
              <w:spacing w:after="160" w:line="259" w:lineRule="auto"/>
              <w:ind w:firstLine="0"/>
              <w:rPr>
                <w:rFonts w:ascii="Times New Roman" w:hAnsi="Times New Roman"/>
                <w:b/>
                <w:bCs/>
                <w:szCs w:val="24"/>
              </w:rPr>
            </w:pPr>
            <w:r w:rsidRPr="0079086E">
              <w:rPr>
                <w:rFonts w:ascii="Times New Roman" w:hAnsi="Times New Roman"/>
                <w:b/>
                <w:bCs/>
                <w:szCs w:val="24"/>
              </w:rPr>
              <w:t>6. Can we be confident in the assessment of outcome?</w:t>
            </w:r>
          </w:p>
        </w:tc>
        <w:tc>
          <w:tcPr>
            <w:tcW w:w="1437" w:type="dxa"/>
          </w:tcPr>
          <w:p w14:paraId="71A56B76" w14:textId="77777777" w:rsidR="008572F7" w:rsidRPr="0079086E" w:rsidRDefault="008572F7" w:rsidP="00931D58">
            <w:pPr>
              <w:spacing w:after="160" w:line="259" w:lineRule="auto"/>
              <w:ind w:firstLine="0"/>
              <w:rPr>
                <w:rFonts w:ascii="Times New Roman" w:hAnsi="Times New Roman"/>
                <w:b/>
                <w:bCs/>
                <w:szCs w:val="24"/>
              </w:rPr>
            </w:pPr>
            <w:r w:rsidRPr="0079086E">
              <w:rPr>
                <w:rFonts w:ascii="Times New Roman" w:hAnsi="Times New Roman"/>
                <w:b/>
                <w:bCs/>
                <w:szCs w:val="24"/>
              </w:rPr>
              <w:t>7. Was the follow up of cohorts adequate?</w:t>
            </w:r>
          </w:p>
        </w:tc>
        <w:tc>
          <w:tcPr>
            <w:tcW w:w="1343" w:type="dxa"/>
          </w:tcPr>
          <w:p w14:paraId="72188E37" w14:textId="77777777" w:rsidR="008572F7" w:rsidRPr="0079086E" w:rsidRDefault="008572F7" w:rsidP="00931D58">
            <w:pPr>
              <w:spacing w:after="160" w:line="259" w:lineRule="auto"/>
              <w:ind w:firstLine="0"/>
              <w:rPr>
                <w:rFonts w:ascii="Times New Roman" w:hAnsi="Times New Roman"/>
                <w:b/>
                <w:bCs/>
                <w:szCs w:val="24"/>
              </w:rPr>
            </w:pPr>
            <w:r w:rsidRPr="0079086E">
              <w:rPr>
                <w:rFonts w:ascii="Times New Roman" w:hAnsi="Times New Roman"/>
                <w:b/>
                <w:bCs/>
                <w:szCs w:val="24"/>
              </w:rPr>
              <w:t>Mean</w:t>
            </w:r>
          </w:p>
        </w:tc>
      </w:tr>
      <w:tr w:rsidR="008572F7" w:rsidRPr="001A74B7" w14:paraId="400599CF" w14:textId="77777777" w:rsidTr="00931D58">
        <w:trPr>
          <w:trHeight w:val="288"/>
        </w:trPr>
        <w:tc>
          <w:tcPr>
            <w:tcW w:w="1530" w:type="dxa"/>
            <w:shd w:val="clear" w:color="auto" w:fill="D9D9D9" w:themeFill="background1" w:themeFillShade="D9"/>
            <w:noWrap/>
            <w:hideMark/>
          </w:tcPr>
          <w:p w14:paraId="41FD16BC" w14:textId="77777777" w:rsidR="008572F7" w:rsidRPr="00D6576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szCs w:val="24"/>
              </w:rPr>
            </w:pPr>
            <w:r w:rsidRPr="00D6576B">
              <w:rPr>
                <w:rFonts w:ascii="Times New Roman" w:eastAsia="Times New Roman" w:hAnsi="Times New Roman"/>
                <w:szCs w:val="24"/>
              </w:rPr>
              <w:t>Arseneault, 2002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55DFC1F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219DF23A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2.5</w:t>
            </w:r>
          </w:p>
        </w:tc>
        <w:tc>
          <w:tcPr>
            <w:tcW w:w="1662" w:type="dxa"/>
            <w:shd w:val="clear" w:color="auto" w:fill="D9D9D9" w:themeFill="background1" w:themeFillShade="D9"/>
            <w:vAlign w:val="center"/>
          </w:tcPr>
          <w:p w14:paraId="4362610E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2.5</w:t>
            </w: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30322297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3.5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14:paraId="0E65BFCB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707B866A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14:paraId="4DE08F23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3AE00AA8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79086E">
              <w:rPr>
                <w:rFonts w:ascii="Times New Roman" w:hAnsi="Times New Roman"/>
                <w:b/>
                <w:bCs/>
                <w:color w:val="000000"/>
                <w:szCs w:val="24"/>
              </w:rPr>
              <w:t>2.64</w:t>
            </w:r>
          </w:p>
        </w:tc>
      </w:tr>
      <w:tr w:rsidR="008572F7" w:rsidRPr="001A74B7" w14:paraId="6AF93095" w14:textId="77777777" w:rsidTr="00931D58">
        <w:trPr>
          <w:trHeight w:val="288"/>
        </w:trPr>
        <w:tc>
          <w:tcPr>
            <w:tcW w:w="1530" w:type="dxa"/>
            <w:noWrap/>
            <w:hideMark/>
          </w:tcPr>
          <w:p w14:paraId="31EA7EAE" w14:textId="77777777" w:rsidR="008572F7" w:rsidRPr="00D6576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szCs w:val="24"/>
              </w:rPr>
            </w:pPr>
            <w:r w:rsidRPr="00D6576B">
              <w:rPr>
                <w:rFonts w:ascii="Times New Roman" w:eastAsia="Times New Roman" w:hAnsi="Times New Roman"/>
                <w:szCs w:val="24"/>
              </w:rPr>
              <w:t>Blanco, 2016</w:t>
            </w:r>
          </w:p>
        </w:tc>
        <w:tc>
          <w:tcPr>
            <w:tcW w:w="1350" w:type="dxa"/>
            <w:vAlign w:val="center"/>
          </w:tcPr>
          <w:p w14:paraId="0C0AA2F2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303" w:type="dxa"/>
            <w:vAlign w:val="center"/>
          </w:tcPr>
          <w:p w14:paraId="0F19C734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2.5</w:t>
            </w:r>
          </w:p>
        </w:tc>
        <w:tc>
          <w:tcPr>
            <w:tcW w:w="1662" w:type="dxa"/>
            <w:vAlign w:val="center"/>
          </w:tcPr>
          <w:p w14:paraId="6AFBCC96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2.5</w:t>
            </w:r>
          </w:p>
        </w:tc>
        <w:tc>
          <w:tcPr>
            <w:tcW w:w="1878" w:type="dxa"/>
            <w:vAlign w:val="center"/>
          </w:tcPr>
          <w:p w14:paraId="58E48742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5225D70D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14:paraId="10B7F307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1.5</w:t>
            </w:r>
          </w:p>
        </w:tc>
        <w:tc>
          <w:tcPr>
            <w:tcW w:w="1437" w:type="dxa"/>
            <w:vAlign w:val="center"/>
          </w:tcPr>
          <w:p w14:paraId="7BF31D32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343" w:type="dxa"/>
            <w:vAlign w:val="center"/>
          </w:tcPr>
          <w:p w14:paraId="38B3F635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79086E">
              <w:rPr>
                <w:rFonts w:ascii="Times New Roman" w:hAnsi="Times New Roman"/>
                <w:b/>
                <w:bCs/>
                <w:color w:val="000000"/>
                <w:szCs w:val="24"/>
              </w:rPr>
              <w:t>1.93</w:t>
            </w:r>
          </w:p>
        </w:tc>
      </w:tr>
      <w:tr w:rsidR="008572F7" w:rsidRPr="001A74B7" w14:paraId="1403EAF8" w14:textId="77777777" w:rsidTr="00931D58">
        <w:trPr>
          <w:trHeight w:val="288"/>
        </w:trPr>
        <w:tc>
          <w:tcPr>
            <w:tcW w:w="1530" w:type="dxa"/>
            <w:shd w:val="clear" w:color="auto" w:fill="D9D9D9" w:themeFill="background1" w:themeFillShade="D9"/>
            <w:noWrap/>
            <w:hideMark/>
          </w:tcPr>
          <w:p w14:paraId="74C9C275" w14:textId="77777777" w:rsidR="008572F7" w:rsidRPr="00D6576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szCs w:val="24"/>
              </w:rPr>
            </w:pPr>
            <w:r w:rsidRPr="00D6576B">
              <w:rPr>
                <w:rFonts w:ascii="Times New Roman" w:eastAsia="Times New Roman" w:hAnsi="Times New Roman"/>
                <w:szCs w:val="24"/>
              </w:rPr>
              <w:t>Bovasso, 2001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B35E5EE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5DC2DD29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662" w:type="dxa"/>
            <w:shd w:val="clear" w:color="auto" w:fill="D9D9D9" w:themeFill="background1" w:themeFillShade="D9"/>
            <w:vAlign w:val="center"/>
          </w:tcPr>
          <w:p w14:paraId="17AB57EC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2358AD09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2.5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14:paraId="1BF303DE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54E82E12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2.5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14:paraId="6A3C3AE2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3.5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23ABE1D8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79086E">
              <w:rPr>
                <w:rFonts w:ascii="Times New Roman" w:hAnsi="Times New Roman"/>
                <w:b/>
                <w:bCs/>
                <w:color w:val="000000"/>
                <w:szCs w:val="24"/>
              </w:rPr>
              <w:t>2.07</w:t>
            </w:r>
          </w:p>
        </w:tc>
      </w:tr>
      <w:tr w:rsidR="008572F7" w:rsidRPr="001A74B7" w14:paraId="34D17D46" w14:textId="77777777" w:rsidTr="00931D58">
        <w:trPr>
          <w:trHeight w:val="288"/>
        </w:trPr>
        <w:tc>
          <w:tcPr>
            <w:tcW w:w="1530" w:type="dxa"/>
            <w:noWrap/>
            <w:hideMark/>
          </w:tcPr>
          <w:p w14:paraId="7559FB37" w14:textId="77777777" w:rsidR="008572F7" w:rsidRPr="00D6576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szCs w:val="24"/>
              </w:rPr>
            </w:pPr>
            <w:r w:rsidRPr="00D6576B">
              <w:rPr>
                <w:rFonts w:ascii="Times New Roman" w:eastAsia="Times New Roman" w:hAnsi="Times New Roman"/>
                <w:szCs w:val="24"/>
              </w:rPr>
              <w:t xml:space="preserve">Brook, 2002 </w:t>
            </w:r>
          </w:p>
        </w:tc>
        <w:tc>
          <w:tcPr>
            <w:tcW w:w="1350" w:type="dxa"/>
            <w:vAlign w:val="center"/>
          </w:tcPr>
          <w:p w14:paraId="180765FE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303" w:type="dxa"/>
            <w:vAlign w:val="center"/>
          </w:tcPr>
          <w:p w14:paraId="6EE0823C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662" w:type="dxa"/>
            <w:vAlign w:val="center"/>
          </w:tcPr>
          <w:p w14:paraId="35F12425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1878" w:type="dxa"/>
            <w:vAlign w:val="center"/>
          </w:tcPr>
          <w:p w14:paraId="7F046C17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1.5</w:t>
            </w:r>
          </w:p>
        </w:tc>
        <w:tc>
          <w:tcPr>
            <w:tcW w:w="1283" w:type="dxa"/>
            <w:vAlign w:val="center"/>
          </w:tcPr>
          <w:p w14:paraId="67B3A796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1.5</w:t>
            </w:r>
          </w:p>
        </w:tc>
        <w:tc>
          <w:tcPr>
            <w:tcW w:w="1349" w:type="dxa"/>
            <w:vAlign w:val="center"/>
          </w:tcPr>
          <w:p w14:paraId="723121CC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2.5</w:t>
            </w:r>
          </w:p>
        </w:tc>
        <w:tc>
          <w:tcPr>
            <w:tcW w:w="1437" w:type="dxa"/>
            <w:vAlign w:val="center"/>
          </w:tcPr>
          <w:p w14:paraId="61EA760F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2.5</w:t>
            </w:r>
          </w:p>
        </w:tc>
        <w:tc>
          <w:tcPr>
            <w:tcW w:w="1343" w:type="dxa"/>
            <w:vAlign w:val="center"/>
          </w:tcPr>
          <w:p w14:paraId="7AC00D77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79086E">
              <w:rPr>
                <w:rFonts w:ascii="Times New Roman" w:hAnsi="Times New Roman"/>
                <w:b/>
                <w:bCs/>
                <w:color w:val="000000"/>
                <w:szCs w:val="24"/>
              </w:rPr>
              <w:t>2.29</w:t>
            </w:r>
          </w:p>
        </w:tc>
      </w:tr>
      <w:tr w:rsidR="008572F7" w:rsidRPr="001A74B7" w14:paraId="1C86269D" w14:textId="77777777" w:rsidTr="00931D58">
        <w:trPr>
          <w:trHeight w:val="288"/>
        </w:trPr>
        <w:tc>
          <w:tcPr>
            <w:tcW w:w="1530" w:type="dxa"/>
            <w:shd w:val="clear" w:color="auto" w:fill="D9D9D9" w:themeFill="background1" w:themeFillShade="D9"/>
            <w:noWrap/>
            <w:hideMark/>
          </w:tcPr>
          <w:p w14:paraId="63BFC7C2" w14:textId="77777777" w:rsidR="008572F7" w:rsidRPr="00D6576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szCs w:val="24"/>
              </w:rPr>
            </w:pPr>
            <w:r w:rsidRPr="00D6576B">
              <w:rPr>
                <w:rFonts w:ascii="Times New Roman" w:eastAsia="Times New Roman" w:hAnsi="Times New Roman"/>
                <w:szCs w:val="24"/>
              </w:rPr>
              <w:t xml:space="preserve">Brook, 2011 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F5F5BCE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1851D11E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662" w:type="dxa"/>
            <w:shd w:val="clear" w:color="auto" w:fill="D9D9D9" w:themeFill="background1" w:themeFillShade="D9"/>
            <w:vAlign w:val="center"/>
          </w:tcPr>
          <w:p w14:paraId="15D0393A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70302AED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14:paraId="02EBC388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29B8EE95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2.5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14:paraId="36A58A1F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07B09664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79086E">
              <w:rPr>
                <w:rFonts w:ascii="Times New Roman" w:hAnsi="Times New Roman"/>
                <w:b/>
                <w:bCs/>
                <w:color w:val="000000"/>
                <w:szCs w:val="24"/>
              </w:rPr>
              <w:t>2.50</w:t>
            </w:r>
          </w:p>
        </w:tc>
      </w:tr>
      <w:tr w:rsidR="008572F7" w:rsidRPr="001A74B7" w14:paraId="2E353DBE" w14:textId="77777777" w:rsidTr="00931D58">
        <w:trPr>
          <w:trHeight w:val="288"/>
        </w:trPr>
        <w:tc>
          <w:tcPr>
            <w:tcW w:w="1530" w:type="dxa"/>
            <w:noWrap/>
            <w:hideMark/>
          </w:tcPr>
          <w:p w14:paraId="618415EC" w14:textId="77777777" w:rsidR="008572F7" w:rsidRPr="00D6576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szCs w:val="24"/>
              </w:rPr>
            </w:pPr>
            <w:r w:rsidRPr="00D6576B">
              <w:rPr>
                <w:rFonts w:ascii="Times New Roman" w:eastAsia="Times New Roman" w:hAnsi="Times New Roman"/>
                <w:szCs w:val="24"/>
              </w:rPr>
              <w:t>Copeland, 2022</w:t>
            </w:r>
          </w:p>
        </w:tc>
        <w:tc>
          <w:tcPr>
            <w:tcW w:w="1350" w:type="dxa"/>
            <w:vAlign w:val="center"/>
          </w:tcPr>
          <w:p w14:paraId="2349E41D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303" w:type="dxa"/>
            <w:vAlign w:val="center"/>
          </w:tcPr>
          <w:p w14:paraId="64C0FD28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2.5</w:t>
            </w:r>
          </w:p>
        </w:tc>
        <w:tc>
          <w:tcPr>
            <w:tcW w:w="1662" w:type="dxa"/>
            <w:vAlign w:val="center"/>
          </w:tcPr>
          <w:p w14:paraId="5ABCD274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1.75</w:t>
            </w:r>
          </w:p>
        </w:tc>
        <w:tc>
          <w:tcPr>
            <w:tcW w:w="1878" w:type="dxa"/>
            <w:vAlign w:val="center"/>
          </w:tcPr>
          <w:p w14:paraId="18E28DB3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283" w:type="dxa"/>
            <w:vAlign w:val="center"/>
          </w:tcPr>
          <w:p w14:paraId="4662D289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349" w:type="dxa"/>
            <w:vAlign w:val="center"/>
          </w:tcPr>
          <w:p w14:paraId="5833A8AF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2.5</w:t>
            </w:r>
          </w:p>
        </w:tc>
        <w:tc>
          <w:tcPr>
            <w:tcW w:w="1437" w:type="dxa"/>
            <w:vAlign w:val="center"/>
          </w:tcPr>
          <w:p w14:paraId="50DB3663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343" w:type="dxa"/>
            <w:vAlign w:val="center"/>
          </w:tcPr>
          <w:p w14:paraId="04C254A0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79086E">
              <w:rPr>
                <w:rFonts w:ascii="Times New Roman" w:hAnsi="Times New Roman"/>
                <w:b/>
                <w:bCs/>
                <w:color w:val="000000"/>
                <w:szCs w:val="24"/>
              </w:rPr>
              <w:t>1.54</w:t>
            </w:r>
          </w:p>
        </w:tc>
      </w:tr>
      <w:tr w:rsidR="008572F7" w:rsidRPr="001A74B7" w14:paraId="6EE426A4" w14:textId="77777777" w:rsidTr="00931D58">
        <w:trPr>
          <w:trHeight w:val="288"/>
        </w:trPr>
        <w:tc>
          <w:tcPr>
            <w:tcW w:w="1530" w:type="dxa"/>
            <w:shd w:val="clear" w:color="auto" w:fill="D9D9D9" w:themeFill="background1" w:themeFillShade="D9"/>
            <w:noWrap/>
            <w:hideMark/>
          </w:tcPr>
          <w:p w14:paraId="4B8E5DAA" w14:textId="77777777" w:rsidR="008572F7" w:rsidRPr="00D6576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szCs w:val="24"/>
              </w:rPr>
            </w:pPr>
            <w:r w:rsidRPr="00D6576B">
              <w:rPr>
                <w:rFonts w:ascii="Times New Roman" w:eastAsia="Times New Roman" w:hAnsi="Times New Roman"/>
                <w:szCs w:val="24"/>
              </w:rPr>
              <w:t>Danielsson, 2015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FAC3314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7C304474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662" w:type="dxa"/>
            <w:shd w:val="clear" w:color="auto" w:fill="D9D9D9" w:themeFill="background1" w:themeFillShade="D9"/>
            <w:vAlign w:val="center"/>
          </w:tcPr>
          <w:p w14:paraId="62BF0D33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566A4F7E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14:paraId="4778792D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73CD9C78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2.5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14:paraId="31F8A1BA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2.5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2A613968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79086E">
              <w:rPr>
                <w:rFonts w:ascii="Times New Roman" w:hAnsi="Times New Roman"/>
                <w:b/>
                <w:bCs/>
                <w:color w:val="000000"/>
                <w:szCs w:val="24"/>
              </w:rPr>
              <w:t>2.29</w:t>
            </w:r>
          </w:p>
        </w:tc>
      </w:tr>
      <w:tr w:rsidR="008572F7" w:rsidRPr="001A74B7" w14:paraId="0C74D639" w14:textId="77777777" w:rsidTr="00931D58">
        <w:trPr>
          <w:trHeight w:val="288"/>
        </w:trPr>
        <w:tc>
          <w:tcPr>
            <w:tcW w:w="1530" w:type="dxa"/>
            <w:noWrap/>
            <w:hideMark/>
          </w:tcPr>
          <w:p w14:paraId="41AB55F1" w14:textId="77777777" w:rsidR="008572F7" w:rsidRPr="00D6576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szCs w:val="24"/>
              </w:rPr>
            </w:pPr>
            <w:r w:rsidRPr="00D6576B">
              <w:rPr>
                <w:rFonts w:ascii="Times New Roman" w:eastAsia="Times New Roman" w:hAnsi="Times New Roman"/>
                <w:szCs w:val="24"/>
              </w:rPr>
              <w:t>Degenhardt, 2013</w:t>
            </w:r>
          </w:p>
        </w:tc>
        <w:tc>
          <w:tcPr>
            <w:tcW w:w="1350" w:type="dxa"/>
            <w:vAlign w:val="center"/>
          </w:tcPr>
          <w:p w14:paraId="650CDBD6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303" w:type="dxa"/>
            <w:vAlign w:val="center"/>
          </w:tcPr>
          <w:p w14:paraId="395A800D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662" w:type="dxa"/>
            <w:vAlign w:val="center"/>
          </w:tcPr>
          <w:p w14:paraId="5FEF4E5C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1.75</w:t>
            </w:r>
          </w:p>
        </w:tc>
        <w:tc>
          <w:tcPr>
            <w:tcW w:w="1878" w:type="dxa"/>
            <w:vAlign w:val="center"/>
          </w:tcPr>
          <w:p w14:paraId="7A9DFEE1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2.5</w:t>
            </w:r>
          </w:p>
        </w:tc>
        <w:tc>
          <w:tcPr>
            <w:tcW w:w="1283" w:type="dxa"/>
            <w:vAlign w:val="center"/>
          </w:tcPr>
          <w:p w14:paraId="1A47E751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2.5</w:t>
            </w:r>
          </w:p>
        </w:tc>
        <w:tc>
          <w:tcPr>
            <w:tcW w:w="1349" w:type="dxa"/>
            <w:vAlign w:val="center"/>
          </w:tcPr>
          <w:p w14:paraId="5381BF5A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2.5</w:t>
            </w:r>
          </w:p>
        </w:tc>
        <w:tc>
          <w:tcPr>
            <w:tcW w:w="1437" w:type="dxa"/>
            <w:vAlign w:val="center"/>
          </w:tcPr>
          <w:p w14:paraId="3396D0FD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343" w:type="dxa"/>
            <w:vAlign w:val="center"/>
          </w:tcPr>
          <w:p w14:paraId="3BDC45F7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79086E">
              <w:rPr>
                <w:rFonts w:ascii="Times New Roman" w:hAnsi="Times New Roman"/>
                <w:b/>
                <w:bCs/>
                <w:color w:val="000000"/>
                <w:szCs w:val="24"/>
              </w:rPr>
              <w:t>2.32</w:t>
            </w:r>
          </w:p>
        </w:tc>
      </w:tr>
      <w:tr w:rsidR="008572F7" w:rsidRPr="001A74B7" w14:paraId="25D4259E" w14:textId="77777777" w:rsidTr="00931D58">
        <w:trPr>
          <w:trHeight w:val="288"/>
        </w:trPr>
        <w:tc>
          <w:tcPr>
            <w:tcW w:w="1530" w:type="dxa"/>
            <w:shd w:val="clear" w:color="auto" w:fill="D9D9D9" w:themeFill="background1" w:themeFillShade="D9"/>
            <w:noWrap/>
            <w:hideMark/>
          </w:tcPr>
          <w:p w14:paraId="794AF2BD" w14:textId="77777777" w:rsidR="008572F7" w:rsidRPr="00D6576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szCs w:val="24"/>
              </w:rPr>
            </w:pPr>
            <w:r w:rsidRPr="00D6576B">
              <w:rPr>
                <w:rFonts w:ascii="Times New Roman" w:eastAsia="Times New Roman" w:hAnsi="Times New Roman"/>
                <w:szCs w:val="24"/>
              </w:rPr>
              <w:t xml:space="preserve">Feingold, 2015 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B4F390A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394C228E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662" w:type="dxa"/>
            <w:shd w:val="clear" w:color="auto" w:fill="D9D9D9" w:themeFill="background1" w:themeFillShade="D9"/>
            <w:vAlign w:val="center"/>
          </w:tcPr>
          <w:p w14:paraId="38D666F8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1.75</w:t>
            </w: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14391994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14:paraId="6D97024D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5540455F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14:paraId="1DB24207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5A9BCB53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79086E">
              <w:rPr>
                <w:rFonts w:ascii="Times New Roman" w:hAnsi="Times New Roman"/>
                <w:b/>
                <w:bCs/>
                <w:color w:val="000000"/>
                <w:szCs w:val="24"/>
              </w:rPr>
              <w:t>1.96</w:t>
            </w:r>
          </w:p>
        </w:tc>
      </w:tr>
      <w:tr w:rsidR="008572F7" w:rsidRPr="001A74B7" w14:paraId="54FEE802" w14:textId="77777777" w:rsidTr="00931D58">
        <w:trPr>
          <w:trHeight w:val="288"/>
        </w:trPr>
        <w:tc>
          <w:tcPr>
            <w:tcW w:w="1530" w:type="dxa"/>
            <w:noWrap/>
            <w:hideMark/>
          </w:tcPr>
          <w:p w14:paraId="56B3D88B" w14:textId="77777777" w:rsidR="008572F7" w:rsidRPr="00D6576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szCs w:val="24"/>
              </w:rPr>
            </w:pPr>
            <w:r w:rsidRPr="00D6576B">
              <w:rPr>
                <w:rFonts w:ascii="Times New Roman" w:eastAsia="Times New Roman" w:hAnsi="Times New Roman"/>
                <w:szCs w:val="24"/>
              </w:rPr>
              <w:t>Fergusson, 1997</w:t>
            </w:r>
          </w:p>
        </w:tc>
        <w:tc>
          <w:tcPr>
            <w:tcW w:w="1350" w:type="dxa"/>
            <w:vAlign w:val="center"/>
          </w:tcPr>
          <w:p w14:paraId="4C872489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303" w:type="dxa"/>
            <w:vAlign w:val="center"/>
          </w:tcPr>
          <w:p w14:paraId="77918604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662" w:type="dxa"/>
            <w:vAlign w:val="center"/>
          </w:tcPr>
          <w:p w14:paraId="24CF3706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878" w:type="dxa"/>
            <w:vAlign w:val="center"/>
          </w:tcPr>
          <w:p w14:paraId="3C7EA67D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1283" w:type="dxa"/>
            <w:vAlign w:val="center"/>
          </w:tcPr>
          <w:p w14:paraId="61C5E3EC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14:paraId="7FC5BEC1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2.5</w:t>
            </w:r>
          </w:p>
        </w:tc>
        <w:tc>
          <w:tcPr>
            <w:tcW w:w="1437" w:type="dxa"/>
            <w:vAlign w:val="center"/>
          </w:tcPr>
          <w:p w14:paraId="6033F323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343" w:type="dxa"/>
            <w:vAlign w:val="center"/>
          </w:tcPr>
          <w:p w14:paraId="44037DD3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79086E">
              <w:rPr>
                <w:rFonts w:ascii="Times New Roman" w:hAnsi="Times New Roman"/>
                <w:b/>
                <w:bCs/>
                <w:color w:val="000000"/>
                <w:szCs w:val="24"/>
              </w:rPr>
              <w:t>2.64</w:t>
            </w:r>
          </w:p>
        </w:tc>
      </w:tr>
      <w:tr w:rsidR="008572F7" w:rsidRPr="001A74B7" w14:paraId="2DDE4F67" w14:textId="77777777" w:rsidTr="00931D58">
        <w:trPr>
          <w:trHeight w:val="288"/>
        </w:trPr>
        <w:tc>
          <w:tcPr>
            <w:tcW w:w="1530" w:type="dxa"/>
            <w:shd w:val="clear" w:color="auto" w:fill="D9D9D9" w:themeFill="background1" w:themeFillShade="D9"/>
            <w:noWrap/>
            <w:hideMark/>
          </w:tcPr>
          <w:p w14:paraId="52178531" w14:textId="77777777" w:rsidR="008572F7" w:rsidRPr="00D6576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szCs w:val="24"/>
              </w:rPr>
            </w:pPr>
            <w:r w:rsidRPr="00D6576B">
              <w:rPr>
                <w:rFonts w:ascii="Times New Roman" w:eastAsia="Times New Roman" w:hAnsi="Times New Roman"/>
                <w:szCs w:val="24"/>
              </w:rPr>
              <w:lastRenderedPageBreak/>
              <w:t>Gage, 2015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B5D9B4A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011B54B5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662" w:type="dxa"/>
            <w:shd w:val="clear" w:color="auto" w:fill="D9D9D9" w:themeFill="background1" w:themeFillShade="D9"/>
            <w:vAlign w:val="center"/>
          </w:tcPr>
          <w:p w14:paraId="108D49BF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1.75</w:t>
            </w: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1752DB63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2.5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14:paraId="60B73061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2.5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6EC7DF67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2.5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14:paraId="04D252A1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13B8A6A9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79086E">
              <w:rPr>
                <w:rFonts w:ascii="Times New Roman" w:hAnsi="Times New Roman"/>
                <w:b/>
                <w:bCs/>
                <w:color w:val="000000"/>
                <w:szCs w:val="24"/>
              </w:rPr>
              <w:t>2.32</w:t>
            </w:r>
          </w:p>
        </w:tc>
      </w:tr>
      <w:tr w:rsidR="008572F7" w:rsidRPr="001A74B7" w14:paraId="4570AFB0" w14:textId="77777777" w:rsidTr="00931D58">
        <w:trPr>
          <w:trHeight w:val="288"/>
        </w:trPr>
        <w:tc>
          <w:tcPr>
            <w:tcW w:w="1530" w:type="dxa"/>
            <w:noWrap/>
            <w:hideMark/>
          </w:tcPr>
          <w:p w14:paraId="4498EA20" w14:textId="77777777" w:rsidR="008572F7" w:rsidRPr="00D6576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D6576B">
              <w:rPr>
                <w:rFonts w:ascii="Times New Roman" w:eastAsia="Times New Roman" w:hAnsi="Times New Roman"/>
                <w:szCs w:val="24"/>
              </w:rPr>
              <w:t>Georglades</w:t>
            </w:r>
            <w:proofErr w:type="spellEnd"/>
            <w:r w:rsidRPr="00D6576B">
              <w:rPr>
                <w:rFonts w:ascii="Times New Roman" w:eastAsia="Times New Roman" w:hAnsi="Times New Roman"/>
                <w:szCs w:val="24"/>
              </w:rPr>
              <w:t>, 2007</w:t>
            </w:r>
          </w:p>
        </w:tc>
        <w:tc>
          <w:tcPr>
            <w:tcW w:w="1350" w:type="dxa"/>
            <w:vAlign w:val="center"/>
          </w:tcPr>
          <w:p w14:paraId="395AA0F2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303" w:type="dxa"/>
            <w:vAlign w:val="center"/>
          </w:tcPr>
          <w:p w14:paraId="64DD3D27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662" w:type="dxa"/>
            <w:vAlign w:val="center"/>
          </w:tcPr>
          <w:p w14:paraId="167FE7D3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1.75</w:t>
            </w:r>
          </w:p>
        </w:tc>
        <w:tc>
          <w:tcPr>
            <w:tcW w:w="1878" w:type="dxa"/>
            <w:vAlign w:val="center"/>
          </w:tcPr>
          <w:p w14:paraId="43ED3749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1.5</w:t>
            </w:r>
          </w:p>
        </w:tc>
        <w:tc>
          <w:tcPr>
            <w:tcW w:w="1283" w:type="dxa"/>
            <w:vAlign w:val="center"/>
          </w:tcPr>
          <w:p w14:paraId="7E6EB6BE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14:paraId="7865A54F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2.5</w:t>
            </w:r>
          </w:p>
        </w:tc>
        <w:tc>
          <w:tcPr>
            <w:tcW w:w="1437" w:type="dxa"/>
            <w:vAlign w:val="center"/>
          </w:tcPr>
          <w:p w14:paraId="6E83C580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343" w:type="dxa"/>
            <w:vAlign w:val="center"/>
          </w:tcPr>
          <w:p w14:paraId="503CBECD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79086E">
              <w:rPr>
                <w:rFonts w:ascii="Times New Roman" w:hAnsi="Times New Roman"/>
                <w:b/>
                <w:bCs/>
                <w:color w:val="000000"/>
                <w:szCs w:val="24"/>
              </w:rPr>
              <w:t>1.96</w:t>
            </w:r>
          </w:p>
        </w:tc>
      </w:tr>
      <w:tr w:rsidR="008572F7" w:rsidRPr="001A74B7" w14:paraId="66E0708B" w14:textId="77777777" w:rsidTr="00931D58">
        <w:trPr>
          <w:trHeight w:val="288"/>
        </w:trPr>
        <w:tc>
          <w:tcPr>
            <w:tcW w:w="1530" w:type="dxa"/>
            <w:shd w:val="clear" w:color="auto" w:fill="D9D9D9" w:themeFill="background1" w:themeFillShade="D9"/>
            <w:noWrap/>
            <w:hideMark/>
          </w:tcPr>
          <w:p w14:paraId="0F10DE63" w14:textId="77777777" w:rsidR="008572F7" w:rsidRPr="00D6576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szCs w:val="24"/>
              </w:rPr>
            </w:pPr>
            <w:r w:rsidRPr="00D6576B">
              <w:rPr>
                <w:rFonts w:ascii="Times New Roman" w:eastAsia="Times New Roman" w:hAnsi="Times New Roman"/>
                <w:szCs w:val="24"/>
              </w:rPr>
              <w:t>Harder, 2006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5304193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7750746C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662" w:type="dxa"/>
            <w:shd w:val="clear" w:color="auto" w:fill="D9D9D9" w:themeFill="background1" w:themeFillShade="D9"/>
            <w:vAlign w:val="center"/>
          </w:tcPr>
          <w:p w14:paraId="648F5323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1.75</w:t>
            </w: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697541F3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14:paraId="526FF81E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2C8E85DE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2.5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14:paraId="72B26FDC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2.5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427A3F70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79086E">
              <w:rPr>
                <w:rFonts w:ascii="Times New Roman" w:hAnsi="Times New Roman"/>
                <w:b/>
                <w:bCs/>
                <w:color w:val="000000"/>
                <w:szCs w:val="24"/>
              </w:rPr>
              <w:t>1.96</w:t>
            </w:r>
          </w:p>
        </w:tc>
      </w:tr>
      <w:tr w:rsidR="008572F7" w:rsidRPr="001A74B7" w14:paraId="1677DA7E" w14:textId="77777777" w:rsidTr="00931D58">
        <w:trPr>
          <w:trHeight w:val="288"/>
        </w:trPr>
        <w:tc>
          <w:tcPr>
            <w:tcW w:w="1530" w:type="dxa"/>
            <w:noWrap/>
            <w:hideMark/>
          </w:tcPr>
          <w:p w14:paraId="4B4A81ED" w14:textId="77777777" w:rsidR="008572F7" w:rsidRPr="00D6576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szCs w:val="24"/>
              </w:rPr>
            </w:pPr>
            <w:r w:rsidRPr="00D6576B">
              <w:rPr>
                <w:rFonts w:ascii="Times New Roman" w:eastAsia="Times New Roman" w:hAnsi="Times New Roman"/>
                <w:szCs w:val="24"/>
              </w:rPr>
              <w:t xml:space="preserve">Harder, 2008 </w:t>
            </w:r>
          </w:p>
        </w:tc>
        <w:tc>
          <w:tcPr>
            <w:tcW w:w="1350" w:type="dxa"/>
            <w:vAlign w:val="center"/>
          </w:tcPr>
          <w:p w14:paraId="04673D7D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303" w:type="dxa"/>
            <w:vAlign w:val="center"/>
          </w:tcPr>
          <w:p w14:paraId="07AE9677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662" w:type="dxa"/>
            <w:vAlign w:val="center"/>
          </w:tcPr>
          <w:p w14:paraId="4FCF1398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878" w:type="dxa"/>
            <w:vAlign w:val="center"/>
          </w:tcPr>
          <w:p w14:paraId="562F892E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1.5</w:t>
            </w:r>
          </w:p>
        </w:tc>
        <w:tc>
          <w:tcPr>
            <w:tcW w:w="1283" w:type="dxa"/>
            <w:vAlign w:val="center"/>
          </w:tcPr>
          <w:p w14:paraId="78AE972E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14:paraId="5CEAA802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437" w:type="dxa"/>
            <w:vAlign w:val="center"/>
          </w:tcPr>
          <w:p w14:paraId="313C4EF0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343" w:type="dxa"/>
            <w:vAlign w:val="center"/>
          </w:tcPr>
          <w:p w14:paraId="71AD0A7A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79086E">
              <w:rPr>
                <w:rFonts w:ascii="Times New Roman" w:hAnsi="Times New Roman"/>
                <w:b/>
                <w:bCs/>
                <w:color w:val="000000"/>
                <w:szCs w:val="24"/>
              </w:rPr>
              <w:t>1.93</w:t>
            </w:r>
          </w:p>
        </w:tc>
      </w:tr>
      <w:tr w:rsidR="008572F7" w:rsidRPr="001A74B7" w14:paraId="4B03D343" w14:textId="77777777" w:rsidTr="00931D58">
        <w:trPr>
          <w:trHeight w:val="288"/>
        </w:trPr>
        <w:tc>
          <w:tcPr>
            <w:tcW w:w="1530" w:type="dxa"/>
            <w:shd w:val="clear" w:color="auto" w:fill="D9D9D9" w:themeFill="background1" w:themeFillShade="D9"/>
            <w:noWrap/>
            <w:hideMark/>
          </w:tcPr>
          <w:p w14:paraId="0F05C41B" w14:textId="77777777" w:rsidR="008572F7" w:rsidRPr="00D6576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D6576B">
              <w:rPr>
                <w:rFonts w:ascii="Times New Roman" w:eastAsia="Times New Roman" w:hAnsi="Times New Roman"/>
                <w:szCs w:val="24"/>
              </w:rPr>
              <w:t>Hengartner</w:t>
            </w:r>
            <w:proofErr w:type="spellEnd"/>
            <w:r w:rsidRPr="00D6576B">
              <w:rPr>
                <w:rFonts w:ascii="Times New Roman" w:eastAsia="Times New Roman" w:hAnsi="Times New Roman"/>
                <w:szCs w:val="24"/>
              </w:rPr>
              <w:t>, 2020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B40F95A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36AADEB8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662" w:type="dxa"/>
            <w:shd w:val="clear" w:color="auto" w:fill="D9D9D9" w:themeFill="background1" w:themeFillShade="D9"/>
            <w:vAlign w:val="center"/>
          </w:tcPr>
          <w:p w14:paraId="542EF768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1.75</w:t>
            </w: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28D64453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2.5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14:paraId="3F07DB13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2B6C4736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14:paraId="73F4BE40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2.5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0F33A313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79086E">
              <w:rPr>
                <w:rFonts w:ascii="Times New Roman" w:hAnsi="Times New Roman"/>
                <w:b/>
                <w:bCs/>
                <w:color w:val="000000"/>
                <w:szCs w:val="24"/>
              </w:rPr>
              <w:t>2.11</w:t>
            </w:r>
          </w:p>
        </w:tc>
      </w:tr>
      <w:tr w:rsidR="008572F7" w:rsidRPr="001A74B7" w14:paraId="48E5A300" w14:textId="77777777" w:rsidTr="00931D58">
        <w:trPr>
          <w:trHeight w:val="288"/>
        </w:trPr>
        <w:tc>
          <w:tcPr>
            <w:tcW w:w="1530" w:type="dxa"/>
            <w:noWrap/>
            <w:hideMark/>
          </w:tcPr>
          <w:p w14:paraId="6CCC967E" w14:textId="77777777" w:rsidR="008572F7" w:rsidRPr="00D6576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szCs w:val="24"/>
              </w:rPr>
            </w:pPr>
            <w:r w:rsidRPr="00D6576B">
              <w:rPr>
                <w:rFonts w:ascii="Times New Roman" w:eastAsia="Times New Roman" w:hAnsi="Times New Roman"/>
                <w:szCs w:val="24"/>
              </w:rPr>
              <w:t>Manrique-Garcia, 2012</w:t>
            </w:r>
          </w:p>
        </w:tc>
        <w:tc>
          <w:tcPr>
            <w:tcW w:w="1350" w:type="dxa"/>
            <w:vAlign w:val="center"/>
          </w:tcPr>
          <w:p w14:paraId="7FB641DA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303" w:type="dxa"/>
            <w:vAlign w:val="center"/>
          </w:tcPr>
          <w:p w14:paraId="0E093F8F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662" w:type="dxa"/>
            <w:vAlign w:val="center"/>
          </w:tcPr>
          <w:p w14:paraId="13D81211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3.5</w:t>
            </w:r>
          </w:p>
        </w:tc>
        <w:tc>
          <w:tcPr>
            <w:tcW w:w="1878" w:type="dxa"/>
            <w:vAlign w:val="center"/>
          </w:tcPr>
          <w:p w14:paraId="6339C3BB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1.5</w:t>
            </w:r>
          </w:p>
        </w:tc>
        <w:tc>
          <w:tcPr>
            <w:tcW w:w="1283" w:type="dxa"/>
            <w:vAlign w:val="center"/>
          </w:tcPr>
          <w:p w14:paraId="3A16C78F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14:paraId="16F27EA3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437" w:type="dxa"/>
            <w:vAlign w:val="center"/>
          </w:tcPr>
          <w:p w14:paraId="6FF0E3D7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343" w:type="dxa"/>
            <w:vAlign w:val="center"/>
          </w:tcPr>
          <w:p w14:paraId="0761AAE4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79086E">
              <w:rPr>
                <w:rFonts w:ascii="Times New Roman" w:hAnsi="Times New Roman"/>
                <w:b/>
                <w:bCs/>
                <w:color w:val="000000"/>
                <w:szCs w:val="24"/>
              </w:rPr>
              <w:t>1.86</w:t>
            </w:r>
          </w:p>
        </w:tc>
      </w:tr>
      <w:tr w:rsidR="008572F7" w:rsidRPr="001A74B7" w14:paraId="3E129811" w14:textId="77777777" w:rsidTr="00931D58">
        <w:trPr>
          <w:trHeight w:val="288"/>
        </w:trPr>
        <w:tc>
          <w:tcPr>
            <w:tcW w:w="1530" w:type="dxa"/>
            <w:shd w:val="clear" w:color="auto" w:fill="D9D9D9" w:themeFill="background1" w:themeFillShade="D9"/>
            <w:noWrap/>
            <w:hideMark/>
          </w:tcPr>
          <w:p w14:paraId="2CAB1D5B" w14:textId="77777777" w:rsidR="008572F7" w:rsidRPr="00D6576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szCs w:val="24"/>
              </w:rPr>
            </w:pPr>
            <w:r w:rsidRPr="00D6576B">
              <w:rPr>
                <w:rFonts w:ascii="Times New Roman" w:eastAsia="Times New Roman" w:hAnsi="Times New Roman"/>
                <w:szCs w:val="24"/>
              </w:rPr>
              <w:t>Marmorstein, 2011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B91E42E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66EB946C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2.5</w:t>
            </w:r>
          </w:p>
        </w:tc>
        <w:tc>
          <w:tcPr>
            <w:tcW w:w="1662" w:type="dxa"/>
            <w:shd w:val="clear" w:color="auto" w:fill="D9D9D9" w:themeFill="background1" w:themeFillShade="D9"/>
            <w:vAlign w:val="center"/>
          </w:tcPr>
          <w:p w14:paraId="76A9D9A9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6D100DD8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1.5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14:paraId="1BF01593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647876DA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14:paraId="7C7469D9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190DB62D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79086E">
              <w:rPr>
                <w:rFonts w:ascii="Times New Roman" w:hAnsi="Times New Roman"/>
                <w:b/>
                <w:bCs/>
                <w:color w:val="000000"/>
                <w:szCs w:val="24"/>
              </w:rPr>
              <w:t>1.71</w:t>
            </w:r>
          </w:p>
        </w:tc>
      </w:tr>
      <w:tr w:rsidR="008572F7" w:rsidRPr="001A74B7" w14:paraId="031DD00F" w14:textId="77777777" w:rsidTr="00931D58">
        <w:trPr>
          <w:trHeight w:val="288"/>
        </w:trPr>
        <w:tc>
          <w:tcPr>
            <w:tcW w:w="1530" w:type="dxa"/>
            <w:noWrap/>
            <w:hideMark/>
          </w:tcPr>
          <w:p w14:paraId="6A609519" w14:textId="77777777" w:rsidR="008572F7" w:rsidRPr="00D6576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szCs w:val="24"/>
              </w:rPr>
            </w:pPr>
            <w:r w:rsidRPr="00D6576B">
              <w:rPr>
                <w:rFonts w:ascii="Times New Roman" w:eastAsia="Times New Roman" w:hAnsi="Times New Roman"/>
                <w:szCs w:val="24"/>
              </w:rPr>
              <w:t>Paton, 1977</w:t>
            </w:r>
          </w:p>
        </w:tc>
        <w:tc>
          <w:tcPr>
            <w:tcW w:w="1350" w:type="dxa"/>
            <w:vAlign w:val="center"/>
          </w:tcPr>
          <w:p w14:paraId="1644C085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303" w:type="dxa"/>
            <w:vAlign w:val="center"/>
          </w:tcPr>
          <w:p w14:paraId="669A5906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1662" w:type="dxa"/>
            <w:vAlign w:val="center"/>
          </w:tcPr>
          <w:p w14:paraId="4A56298C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878" w:type="dxa"/>
            <w:vAlign w:val="center"/>
          </w:tcPr>
          <w:p w14:paraId="6684CF0D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1283" w:type="dxa"/>
            <w:vAlign w:val="center"/>
          </w:tcPr>
          <w:p w14:paraId="100814D8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14:paraId="21146442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437" w:type="dxa"/>
            <w:vAlign w:val="center"/>
          </w:tcPr>
          <w:p w14:paraId="2656FDE3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3.5</w:t>
            </w:r>
          </w:p>
        </w:tc>
        <w:tc>
          <w:tcPr>
            <w:tcW w:w="1343" w:type="dxa"/>
            <w:vAlign w:val="center"/>
          </w:tcPr>
          <w:p w14:paraId="7256B2FF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79086E">
              <w:rPr>
                <w:rFonts w:ascii="Times New Roman" w:hAnsi="Times New Roman"/>
                <w:b/>
                <w:bCs/>
                <w:color w:val="000000"/>
                <w:szCs w:val="24"/>
              </w:rPr>
              <w:t>3.21</w:t>
            </w:r>
          </w:p>
        </w:tc>
      </w:tr>
      <w:tr w:rsidR="008572F7" w:rsidRPr="001A74B7" w14:paraId="0BB5C263" w14:textId="77777777" w:rsidTr="00931D58">
        <w:trPr>
          <w:trHeight w:val="288"/>
        </w:trPr>
        <w:tc>
          <w:tcPr>
            <w:tcW w:w="1530" w:type="dxa"/>
            <w:shd w:val="clear" w:color="auto" w:fill="D9D9D9" w:themeFill="background1" w:themeFillShade="D9"/>
            <w:noWrap/>
            <w:hideMark/>
          </w:tcPr>
          <w:p w14:paraId="29C386D3" w14:textId="77777777" w:rsidR="008572F7" w:rsidRPr="00D6576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szCs w:val="24"/>
              </w:rPr>
            </w:pPr>
            <w:r w:rsidRPr="00D6576B">
              <w:rPr>
                <w:rFonts w:ascii="Times New Roman" w:eastAsia="Times New Roman" w:hAnsi="Times New Roman"/>
                <w:szCs w:val="24"/>
              </w:rPr>
              <w:t>Patton, 2002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D18090C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2E1FEB46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662" w:type="dxa"/>
            <w:shd w:val="clear" w:color="auto" w:fill="D9D9D9" w:themeFill="background1" w:themeFillShade="D9"/>
            <w:vAlign w:val="center"/>
          </w:tcPr>
          <w:p w14:paraId="1991B513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05DC48D0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14:paraId="6EE1FBCC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6E85AFB3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2.5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14:paraId="19B26A21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6C9E3074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79086E">
              <w:rPr>
                <w:rFonts w:ascii="Times New Roman" w:hAnsi="Times New Roman"/>
                <w:b/>
                <w:bCs/>
                <w:color w:val="000000"/>
                <w:szCs w:val="24"/>
              </w:rPr>
              <w:t>2.21</w:t>
            </w:r>
          </w:p>
        </w:tc>
      </w:tr>
      <w:tr w:rsidR="008572F7" w:rsidRPr="001A74B7" w14:paraId="371EA393" w14:textId="77777777" w:rsidTr="00931D58">
        <w:trPr>
          <w:trHeight w:val="288"/>
        </w:trPr>
        <w:tc>
          <w:tcPr>
            <w:tcW w:w="1530" w:type="dxa"/>
            <w:noWrap/>
            <w:hideMark/>
          </w:tcPr>
          <w:p w14:paraId="56EF0756" w14:textId="77777777" w:rsidR="008572F7" w:rsidRPr="00D6576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szCs w:val="24"/>
              </w:rPr>
            </w:pPr>
            <w:r w:rsidRPr="00D6576B">
              <w:rPr>
                <w:rFonts w:ascii="Times New Roman" w:eastAsia="Times New Roman" w:hAnsi="Times New Roman"/>
                <w:szCs w:val="24"/>
              </w:rPr>
              <w:t>Pedersen, 2008</w:t>
            </w:r>
          </w:p>
        </w:tc>
        <w:tc>
          <w:tcPr>
            <w:tcW w:w="1350" w:type="dxa"/>
            <w:vAlign w:val="center"/>
          </w:tcPr>
          <w:p w14:paraId="2AF95100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303" w:type="dxa"/>
            <w:vAlign w:val="center"/>
          </w:tcPr>
          <w:p w14:paraId="39A52FE9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662" w:type="dxa"/>
            <w:vAlign w:val="center"/>
          </w:tcPr>
          <w:p w14:paraId="112BDF5B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1.75</w:t>
            </w:r>
          </w:p>
        </w:tc>
        <w:tc>
          <w:tcPr>
            <w:tcW w:w="1878" w:type="dxa"/>
            <w:vAlign w:val="center"/>
          </w:tcPr>
          <w:p w14:paraId="5B245423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283" w:type="dxa"/>
            <w:vAlign w:val="center"/>
          </w:tcPr>
          <w:p w14:paraId="1BBCB7C1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14:paraId="31E23650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2.5</w:t>
            </w:r>
          </w:p>
        </w:tc>
        <w:tc>
          <w:tcPr>
            <w:tcW w:w="1437" w:type="dxa"/>
            <w:vAlign w:val="center"/>
          </w:tcPr>
          <w:p w14:paraId="4E4A74AD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343" w:type="dxa"/>
            <w:vAlign w:val="center"/>
          </w:tcPr>
          <w:p w14:paraId="196AF3FB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79086E">
              <w:rPr>
                <w:rFonts w:ascii="Times New Roman" w:hAnsi="Times New Roman"/>
                <w:b/>
                <w:bCs/>
                <w:color w:val="000000"/>
                <w:szCs w:val="24"/>
              </w:rPr>
              <w:t>2.04</w:t>
            </w:r>
          </w:p>
        </w:tc>
      </w:tr>
      <w:tr w:rsidR="008572F7" w:rsidRPr="001A74B7" w14:paraId="36613221" w14:textId="77777777" w:rsidTr="00931D58">
        <w:trPr>
          <w:trHeight w:val="288"/>
        </w:trPr>
        <w:tc>
          <w:tcPr>
            <w:tcW w:w="1530" w:type="dxa"/>
            <w:shd w:val="clear" w:color="auto" w:fill="D9D9D9" w:themeFill="background1" w:themeFillShade="D9"/>
            <w:noWrap/>
            <w:hideMark/>
          </w:tcPr>
          <w:p w14:paraId="2D760B81" w14:textId="77777777" w:rsidR="008572F7" w:rsidRPr="00D6576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szCs w:val="24"/>
              </w:rPr>
            </w:pPr>
            <w:r w:rsidRPr="00D6576B">
              <w:rPr>
                <w:rFonts w:ascii="Times New Roman" w:eastAsia="Times New Roman" w:hAnsi="Times New Roman"/>
                <w:szCs w:val="24"/>
              </w:rPr>
              <w:t>Schaefer, 2021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4A42A2F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48F30A24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662" w:type="dxa"/>
            <w:shd w:val="clear" w:color="auto" w:fill="D9D9D9" w:themeFill="background1" w:themeFillShade="D9"/>
            <w:vAlign w:val="center"/>
          </w:tcPr>
          <w:p w14:paraId="2ED8E258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1.75</w:t>
            </w: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51700696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14:paraId="51B9804F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547C2C0B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2.5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14:paraId="3AB27791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6BA1B9C9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79086E">
              <w:rPr>
                <w:rFonts w:ascii="Times New Roman" w:hAnsi="Times New Roman"/>
                <w:b/>
                <w:bCs/>
                <w:color w:val="000000"/>
                <w:szCs w:val="24"/>
              </w:rPr>
              <w:t>2.32</w:t>
            </w:r>
          </w:p>
        </w:tc>
      </w:tr>
      <w:tr w:rsidR="008572F7" w:rsidRPr="001A74B7" w14:paraId="105C2951" w14:textId="77777777" w:rsidTr="00931D58">
        <w:trPr>
          <w:trHeight w:val="288"/>
        </w:trPr>
        <w:tc>
          <w:tcPr>
            <w:tcW w:w="1530" w:type="dxa"/>
            <w:noWrap/>
            <w:hideMark/>
          </w:tcPr>
          <w:p w14:paraId="49CCFB39" w14:textId="77777777" w:rsidR="008572F7" w:rsidRPr="00D6576B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szCs w:val="24"/>
              </w:rPr>
            </w:pPr>
            <w:r w:rsidRPr="00D6576B">
              <w:rPr>
                <w:rFonts w:ascii="Times New Roman" w:eastAsia="Times New Roman" w:hAnsi="Times New Roman"/>
                <w:szCs w:val="24"/>
              </w:rPr>
              <w:t>van Laar, 2007</w:t>
            </w:r>
          </w:p>
        </w:tc>
        <w:tc>
          <w:tcPr>
            <w:tcW w:w="1350" w:type="dxa"/>
            <w:vAlign w:val="center"/>
          </w:tcPr>
          <w:p w14:paraId="57CE8E60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303" w:type="dxa"/>
            <w:vAlign w:val="center"/>
          </w:tcPr>
          <w:p w14:paraId="2A38DC75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662" w:type="dxa"/>
            <w:vAlign w:val="center"/>
          </w:tcPr>
          <w:p w14:paraId="626E3757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1.75</w:t>
            </w:r>
          </w:p>
        </w:tc>
        <w:tc>
          <w:tcPr>
            <w:tcW w:w="1878" w:type="dxa"/>
            <w:vAlign w:val="center"/>
          </w:tcPr>
          <w:p w14:paraId="394DDF58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283" w:type="dxa"/>
            <w:vAlign w:val="center"/>
          </w:tcPr>
          <w:p w14:paraId="7B7E0B88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14:paraId="2D8D5512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437" w:type="dxa"/>
            <w:vAlign w:val="center"/>
          </w:tcPr>
          <w:p w14:paraId="22056656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343" w:type="dxa"/>
            <w:vAlign w:val="center"/>
          </w:tcPr>
          <w:p w14:paraId="4433C011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79086E">
              <w:rPr>
                <w:rFonts w:ascii="Times New Roman" w:hAnsi="Times New Roman"/>
                <w:b/>
                <w:bCs/>
                <w:color w:val="000000"/>
                <w:szCs w:val="24"/>
              </w:rPr>
              <w:t>1.82</w:t>
            </w:r>
          </w:p>
        </w:tc>
      </w:tr>
      <w:tr w:rsidR="008572F7" w:rsidRPr="001A74B7" w14:paraId="39044AF3" w14:textId="77777777" w:rsidTr="00931D58">
        <w:trPr>
          <w:trHeight w:val="288"/>
        </w:trPr>
        <w:tc>
          <w:tcPr>
            <w:tcW w:w="1530" w:type="dxa"/>
            <w:shd w:val="clear" w:color="auto" w:fill="D9D9D9" w:themeFill="background1" w:themeFillShade="D9"/>
            <w:noWrap/>
            <w:hideMark/>
          </w:tcPr>
          <w:p w14:paraId="3AA9B36F" w14:textId="77777777" w:rsidR="008572F7" w:rsidRPr="001A74B7" w:rsidRDefault="008572F7" w:rsidP="00931D58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1A74B7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Overall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B558D35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9086E">
              <w:rPr>
                <w:rFonts w:ascii="Times New Roman" w:hAnsi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3C16E29A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b/>
                <w:bCs/>
                <w:color w:val="000000"/>
                <w:szCs w:val="24"/>
              </w:rPr>
              <w:t>2.82</w:t>
            </w:r>
          </w:p>
        </w:tc>
        <w:tc>
          <w:tcPr>
            <w:tcW w:w="1662" w:type="dxa"/>
            <w:shd w:val="clear" w:color="auto" w:fill="D9D9D9" w:themeFill="background1" w:themeFillShade="D9"/>
            <w:vAlign w:val="center"/>
          </w:tcPr>
          <w:p w14:paraId="54FFF833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b/>
                <w:bCs/>
                <w:color w:val="000000"/>
                <w:szCs w:val="24"/>
              </w:rPr>
              <w:t>2.18</w:t>
            </w: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7AE19696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b/>
                <w:bCs/>
                <w:color w:val="000000"/>
                <w:szCs w:val="24"/>
              </w:rPr>
              <w:t>2.14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14:paraId="3B5B056F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b/>
                <w:bCs/>
                <w:color w:val="000000"/>
                <w:szCs w:val="24"/>
              </w:rPr>
              <w:t>2.20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2DEC406D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b/>
                <w:bCs/>
                <w:color w:val="000000"/>
                <w:szCs w:val="24"/>
              </w:rPr>
              <w:t>2.32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14:paraId="5B706BEA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086E">
              <w:rPr>
                <w:rFonts w:ascii="Times New Roman" w:hAnsi="Times New Roman"/>
                <w:b/>
                <w:bCs/>
                <w:color w:val="000000"/>
                <w:szCs w:val="24"/>
              </w:rPr>
              <w:t>2.50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02E8D371" w14:textId="77777777" w:rsidR="008572F7" w:rsidRPr="0079086E" w:rsidRDefault="008572F7" w:rsidP="00931D58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79086E">
              <w:rPr>
                <w:rFonts w:ascii="Times New Roman" w:hAnsi="Times New Roman"/>
                <w:b/>
                <w:bCs/>
                <w:color w:val="000000"/>
                <w:szCs w:val="24"/>
              </w:rPr>
              <w:t>2.17</w:t>
            </w:r>
          </w:p>
        </w:tc>
      </w:tr>
    </w:tbl>
    <w:p w14:paraId="74BC2F42" w14:textId="77777777" w:rsidR="008572F7" w:rsidRPr="00AA378F" w:rsidRDefault="008572F7" w:rsidP="008572F7">
      <w:pPr>
        <w:spacing w:after="160" w:line="259" w:lineRule="auto"/>
        <w:ind w:firstLine="0"/>
        <w:rPr>
          <w:rFonts w:ascii="Times New Roman" w:hAnsi="Times New Roman"/>
          <w:highlight w:val="yellow"/>
        </w:rPr>
        <w:sectPr w:rsidR="008572F7" w:rsidRPr="00AA378F" w:rsidSect="008572F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26DE5CB" w14:textId="77777777" w:rsidR="008572F7" w:rsidRDefault="008572F7" w:rsidP="008572F7">
      <w:pPr>
        <w:spacing w:after="160" w:line="259" w:lineRule="auto"/>
        <w:ind w:firstLine="0"/>
      </w:pPr>
    </w:p>
    <w:p w14:paraId="38EA8AB6" w14:textId="77777777" w:rsidR="002C46B1" w:rsidRDefault="002C46B1"/>
    <w:sectPr w:rsidR="002C46B1" w:rsidSect="00857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83637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7D158F75" w14:textId="77777777" w:rsidR="008572F7" w:rsidRPr="00EA7E31" w:rsidRDefault="008572F7">
        <w:pPr>
          <w:pStyle w:val="Footer"/>
          <w:jc w:val="right"/>
          <w:rPr>
            <w:rFonts w:ascii="Times New Roman" w:hAnsi="Times New Roman"/>
          </w:rPr>
        </w:pPr>
        <w:r w:rsidRPr="00EA7E31">
          <w:rPr>
            <w:rFonts w:ascii="Times New Roman" w:hAnsi="Times New Roman"/>
          </w:rPr>
          <w:fldChar w:fldCharType="begin"/>
        </w:r>
        <w:r w:rsidRPr="00EA7E31">
          <w:rPr>
            <w:rFonts w:ascii="Times New Roman" w:hAnsi="Times New Roman"/>
          </w:rPr>
          <w:instrText xml:space="preserve"> PAGE   \* MERGEFORMAT </w:instrText>
        </w:r>
        <w:r w:rsidRPr="00EA7E31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151</w:t>
        </w:r>
        <w:r w:rsidRPr="00EA7E31">
          <w:rPr>
            <w:rFonts w:ascii="Times New Roman" w:hAnsi="Times New Roman"/>
            <w:noProof/>
          </w:rPr>
          <w:fldChar w:fldCharType="end"/>
        </w:r>
      </w:p>
    </w:sdtContent>
  </w:sdt>
  <w:p w14:paraId="3F2D7F4E" w14:textId="77777777" w:rsidR="008572F7" w:rsidRDefault="008572F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033"/>
    <w:multiLevelType w:val="hybridMultilevel"/>
    <w:tmpl w:val="BEF071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5AA2"/>
    <w:multiLevelType w:val="multilevel"/>
    <w:tmpl w:val="73CE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9E5E9D"/>
    <w:multiLevelType w:val="hybridMultilevel"/>
    <w:tmpl w:val="DF869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F0C28"/>
    <w:multiLevelType w:val="hybridMultilevel"/>
    <w:tmpl w:val="2CA40E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31344"/>
    <w:multiLevelType w:val="hybridMultilevel"/>
    <w:tmpl w:val="7ED2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23906"/>
    <w:multiLevelType w:val="multilevel"/>
    <w:tmpl w:val="DABE2FF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243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859218E"/>
    <w:multiLevelType w:val="hybridMultilevel"/>
    <w:tmpl w:val="B7FCF882"/>
    <w:lvl w:ilvl="0" w:tplc="9C9EFC5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ED0DE7"/>
    <w:multiLevelType w:val="hybridMultilevel"/>
    <w:tmpl w:val="AAE81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A705A"/>
    <w:multiLevelType w:val="hybridMultilevel"/>
    <w:tmpl w:val="E5D26C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3B58CF"/>
    <w:multiLevelType w:val="hybridMultilevel"/>
    <w:tmpl w:val="712E9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A2501"/>
    <w:multiLevelType w:val="hybridMultilevel"/>
    <w:tmpl w:val="4B7E862C"/>
    <w:lvl w:ilvl="0" w:tplc="ADDC74DA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80774D"/>
    <w:multiLevelType w:val="hybridMultilevel"/>
    <w:tmpl w:val="0CC09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F1BAD"/>
    <w:multiLevelType w:val="hybridMultilevel"/>
    <w:tmpl w:val="CDCCAF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DF540D"/>
    <w:multiLevelType w:val="hybridMultilevel"/>
    <w:tmpl w:val="6BC84D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3429C"/>
    <w:multiLevelType w:val="hybridMultilevel"/>
    <w:tmpl w:val="5B22BC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B09A7"/>
    <w:multiLevelType w:val="hybridMultilevel"/>
    <w:tmpl w:val="81E84B0A"/>
    <w:lvl w:ilvl="0" w:tplc="B534031C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D32197"/>
    <w:multiLevelType w:val="hybridMultilevel"/>
    <w:tmpl w:val="1BC80EAC"/>
    <w:lvl w:ilvl="0" w:tplc="896C8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EC7086"/>
    <w:multiLevelType w:val="hybridMultilevel"/>
    <w:tmpl w:val="68002EB2"/>
    <w:lvl w:ilvl="0" w:tplc="7E006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7E83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08AC92C">
      <w:start w:val="1"/>
      <w:numFmt w:val="lowerRoman"/>
      <w:lvlText w:val="%3."/>
      <w:lvlJc w:val="right"/>
      <w:pPr>
        <w:ind w:left="2160" w:hanging="180"/>
      </w:pPr>
    </w:lvl>
    <w:lvl w:ilvl="3" w:tplc="135CFA2C" w:tentative="1">
      <w:start w:val="1"/>
      <w:numFmt w:val="decimal"/>
      <w:lvlText w:val="%4."/>
      <w:lvlJc w:val="left"/>
      <w:pPr>
        <w:ind w:left="2880" w:hanging="360"/>
      </w:pPr>
    </w:lvl>
    <w:lvl w:ilvl="4" w:tplc="32682176" w:tentative="1">
      <w:start w:val="1"/>
      <w:numFmt w:val="lowerLetter"/>
      <w:lvlText w:val="%5."/>
      <w:lvlJc w:val="left"/>
      <w:pPr>
        <w:ind w:left="3600" w:hanging="360"/>
      </w:pPr>
    </w:lvl>
    <w:lvl w:ilvl="5" w:tplc="18F00D84" w:tentative="1">
      <w:start w:val="1"/>
      <w:numFmt w:val="lowerRoman"/>
      <w:lvlText w:val="%6."/>
      <w:lvlJc w:val="right"/>
      <w:pPr>
        <w:ind w:left="4320" w:hanging="180"/>
      </w:pPr>
    </w:lvl>
    <w:lvl w:ilvl="6" w:tplc="023AB608" w:tentative="1">
      <w:start w:val="1"/>
      <w:numFmt w:val="decimal"/>
      <w:lvlText w:val="%7."/>
      <w:lvlJc w:val="left"/>
      <w:pPr>
        <w:ind w:left="5040" w:hanging="360"/>
      </w:pPr>
    </w:lvl>
    <w:lvl w:ilvl="7" w:tplc="BFE66AD6" w:tentative="1">
      <w:start w:val="1"/>
      <w:numFmt w:val="lowerLetter"/>
      <w:lvlText w:val="%8."/>
      <w:lvlJc w:val="left"/>
      <w:pPr>
        <w:ind w:left="5760" w:hanging="360"/>
      </w:pPr>
    </w:lvl>
    <w:lvl w:ilvl="8" w:tplc="07AE1B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31ABC"/>
    <w:multiLevelType w:val="hybridMultilevel"/>
    <w:tmpl w:val="0602DA6E"/>
    <w:lvl w:ilvl="0" w:tplc="607E1E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51F10"/>
    <w:multiLevelType w:val="hybridMultilevel"/>
    <w:tmpl w:val="81E84B0A"/>
    <w:lvl w:ilvl="0" w:tplc="B534031C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72529E"/>
    <w:multiLevelType w:val="hybridMultilevel"/>
    <w:tmpl w:val="71AE8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A8208D"/>
    <w:multiLevelType w:val="hybridMultilevel"/>
    <w:tmpl w:val="0E007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130EB7"/>
    <w:multiLevelType w:val="hybridMultilevel"/>
    <w:tmpl w:val="4CE2F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847786">
    <w:abstractNumId w:val="5"/>
  </w:num>
  <w:num w:numId="2" w16cid:durableId="1639070197">
    <w:abstractNumId w:val="13"/>
  </w:num>
  <w:num w:numId="3" w16cid:durableId="1690257472">
    <w:abstractNumId w:val="20"/>
  </w:num>
  <w:num w:numId="4" w16cid:durableId="1489587617">
    <w:abstractNumId w:val="19"/>
  </w:num>
  <w:num w:numId="5" w16cid:durableId="294483096">
    <w:abstractNumId w:val="10"/>
  </w:num>
  <w:num w:numId="6" w16cid:durableId="2039238500">
    <w:abstractNumId w:val="21"/>
  </w:num>
  <w:num w:numId="7" w16cid:durableId="2116972621">
    <w:abstractNumId w:val="8"/>
  </w:num>
  <w:num w:numId="8" w16cid:durableId="484862004">
    <w:abstractNumId w:val="12"/>
  </w:num>
  <w:num w:numId="9" w16cid:durableId="1612125958">
    <w:abstractNumId w:val="0"/>
  </w:num>
  <w:num w:numId="10" w16cid:durableId="1141578810">
    <w:abstractNumId w:val="11"/>
  </w:num>
  <w:num w:numId="11" w16cid:durableId="1409352486">
    <w:abstractNumId w:val="9"/>
  </w:num>
  <w:num w:numId="12" w16cid:durableId="1081483050">
    <w:abstractNumId w:val="7"/>
  </w:num>
  <w:num w:numId="13" w16cid:durableId="1002439295">
    <w:abstractNumId w:val="3"/>
  </w:num>
  <w:num w:numId="14" w16cid:durableId="521944099">
    <w:abstractNumId w:val="16"/>
  </w:num>
  <w:num w:numId="15" w16cid:durableId="2084834110">
    <w:abstractNumId w:val="15"/>
  </w:num>
  <w:num w:numId="16" w16cid:durableId="1395813805">
    <w:abstractNumId w:val="4"/>
  </w:num>
  <w:num w:numId="17" w16cid:durableId="862136144">
    <w:abstractNumId w:val="2"/>
  </w:num>
  <w:num w:numId="18" w16cid:durableId="959266738">
    <w:abstractNumId w:val="17"/>
  </w:num>
  <w:num w:numId="19" w16cid:durableId="1339969747">
    <w:abstractNumId w:val="1"/>
  </w:num>
  <w:num w:numId="20" w16cid:durableId="12360154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62542389">
    <w:abstractNumId w:val="18"/>
  </w:num>
  <w:num w:numId="22" w16cid:durableId="631518045">
    <w:abstractNumId w:val="6"/>
  </w:num>
  <w:num w:numId="23" w16cid:durableId="333261583">
    <w:abstractNumId w:val="14"/>
  </w:num>
  <w:num w:numId="24" w16cid:durableId="129625216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2F7"/>
    <w:rsid w:val="002C46B1"/>
    <w:rsid w:val="00527F1E"/>
    <w:rsid w:val="0055498E"/>
    <w:rsid w:val="008572F7"/>
    <w:rsid w:val="00B54689"/>
    <w:rsid w:val="00CA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DB2BA3"/>
  <w15:docId w15:val="{59E0851B-96C2-4F10-8424-FE94255D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2F7"/>
    <w:pPr>
      <w:spacing w:after="0" w:line="480" w:lineRule="auto"/>
      <w:ind w:firstLine="720"/>
    </w:pPr>
    <w:rPr>
      <w:rFonts w:ascii="Calibri" w:eastAsia="Calibri" w:hAnsi="Calibri" w:cs="Times New Roman"/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72F7"/>
    <w:pPr>
      <w:keepNext/>
      <w:keepLines/>
      <w:numPr>
        <w:numId w:val="1"/>
      </w:numPr>
      <w:spacing w:before="120" w:after="120"/>
      <w:jc w:val="center"/>
      <w:outlineLvl w:val="0"/>
    </w:pPr>
    <w:rPr>
      <w:rFonts w:eastAsia="Times New Roman"/>
      <w:b/>
      <w:bCs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2F7"/>
    <w:pPr>
      <w:keepNext/>
      <w:keepLines/>
      <w:numPr>
        <w:ilvl w:val="1"/>
        <w:numId w:val="1"/>
      </w:numPr>
      <w:spacing w:before="12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72F7"/>
    <w:pPr>
      <w:keepNext/>
      <w:keepLines/>
      <w:numPr>
        <w:ilvl w:val="2"/>
        <w:numId w:val="1"/>
      </w:numPr>
      <w:spacing w:before="120"/>
      <w:ind w:left="720"/>
      <w:outlineLvl w:val="2"/>
    </w:pPr>
    <w:rPr>
      <w:rFonts w:eastAsia="Times New Roman" w:cstheme="minorHAns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572F7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572F7"/>
    <w:pPr>
      <w:keepNext/>
      <w:keepLines/>
      <w:numPr>
        <w:ilvl w:val="4"/>
        <w:numId w:val="1"/>
      </w:numPr>
      <w:spacing w:before="12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572F7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6E6E6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572F7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2F7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2F7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2F7"/>
    <w:rPr>
      <w:rFonts w:ascii="Calibri" w:eastAsia="Times New Roman" w:hAnsi="Calibri" w:cs="Times New Roman"/>
      <w:b/>
      <w:bCs/>
      <w:caps/>
      <w:kern w:val="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572F7"/>
    <w:rPr>
      <w:rFonts w:ascii="Calibri" w:eastAsia="Times New Roman" w:hAnsi="Calibri" w:cs="Times New Roman"/>
      <w:b/>
      <w:bCs/>
      <w:kern w:val="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72F7"/>
    <w:rPr>
      <w:rFonts w:ascii="Calibri" w:eastAsia="Times New Roman" w:hAnsi="Calibri" w:cstheme="minorHAnsi"/>
      <w:b/>
      <w:bCs/>
      <w:i/>
      <w:kern w:val="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572F7"/>
    <w:rPr>
      <w:rFonts w:ascii="Calibri" w:eastAsia="Calibri" w:hAnsi="Calibri" w:cs="Times New Roman"/>
      <w:b/>
      <w:kern w:val="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572F7"/>
    <w:rPr>
      <w:rFonts w:ascii="Calibri" w:eastAsia="Times New Roman" w:hAnsi="Calibri" w:cs="Times New Roman"/>
      <w:kern w:val="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572F7"/>
    <w:rPr>
      <w:rFonts w:ascii="Cambria" w:eastAsia="Times New Roman" w:hAnsi="Cambria" w:cs="Times New Roman"/>
      <w:i/>
      <w:iCs/>
      <w:color w:val="6E6E6E"/>
      <w:kern w:val="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572F7"/>
    <w:rPr>
      <w:rFonts w:ascii="Cambria" w:eastAsia="Times New Roman" w:hAnsi="Cambria" w:cs="Times New Roman"/>
      <w:i/>
      <w:iCs/>
      <w:color w:val="404040"/>
      <w:kern w:val="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2F7"/>
    <w:rPr>
      <w:rFonts w:ascii="Cambria" w:eastAsia="Times New Roman" w:hAnsi="Cambria" w:cs="Times New Roman"/>
      <w:color w:val="404040"/>
      <w:kern w:val="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2F7"/>
    <w:rPr>
      <w:rFonts w:ascii="Cambria" w:eastAsia="Times New Roman" w:hAnsi="Cambria" w:cs="Times New Roman"/>
      <w:i/>
      <w:iCs/>
      <w:color w:val="404040"/>
      <w:kern w:val="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572F7"/>
    <w:pPr>
      <w:spacing w:line="240" w:lineRule="auto"/>
    </w:pPr>
    <w:rPr>
      <w:bCs/>
      <w:i/>
      <w:szCs w:val="18"/>
    </w:rPr>
  </w:style>
  <w:style w:type="paragraph" w:styleId="ListParagraph">
    <w:name w:val="List Paragraph"/>
    <w:basedOn w:val="Normal"/>
    <w:uiPriority w:val="34"/>
    <w:qFormat/>
    <w:rsid w:val="008572F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572F7"/>
    <w:pPr>
      <w:spacing w:line="240" w:lineRule="auto"/>
      <w:ind w:firstLine="0"/>
      <w:contextualSpacing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2F7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857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72F7"/>
    <w:pPr>
      <w:spacing w:after="160" w:line="240" w:lineRule="auto"/>
      <w:ind w:firstLine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72F7"/>
    <w:rPr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2F7"/>
    <w:rPr>
      <w:b/>
      <w:bCs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2F7"/>
    <w:pPr>
      <w:spacing w:line="240" w:lineRule="auto"/>
      <w:ind w:firstLine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2F7"/>
    <w:rPr>
      <w:rFonts w:ascii="Segoe UI" w:hAnsi="Segoe UI" w:cs="Segoe UI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72F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572F7"/>
    <w:pPr>
      <w:spacing w:after="0" w:line="240" w:lineRule="auto"/>
      <w:ind w:firstLine="720"/>
    </w:pPr>
    <w:rPr>
      <w:rFonts w:ascii="Times New Roman" w:eastAsia="Calibri" w:hAnsi="Times New Roman" w:cs="Times New Roman"/>
      <w:kern w:val="0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572F7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8572F7"/>
    <w:pPr>
      <w:tabs>
        <w:tab w:val="left" w:pos="1100"/>
        <w:tab w:val="right" w:leader="dot" w:pos="9350"/>
      </w:tabs>
      <w:spacing w:after="100"/>
    </w:pPr>
    <w:rPr>
      <w:rFonts w:ascii="Times New Roman" w:hAnsi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8572F7"/>
    <w:pPr>
      <w:tabs>
        <w:tab w:val="left" w:pos="1540"/>
        <w:tab w:val="right" w:leader="dot" w:pos="9350"/>
      </w:tabs>
      <w:spacing w:line="240" w:lineRule="auto"/>
      <w:ind w:left="245"/>
    </w:pPr>
  </w:style>
  <w:style w:type="paragraph" w:styleId="TOC3">
    <w:name w:val="toc 3"/>
    <w:basedOn w:val="Normal"/>
    <w:next w:val="Normal"/>
    <w:autoRedefine/>
    <w:uiPriority w:val="39"/>
    <w:unhideWhenUsed/>
    <w:rsid w:val="008572F7"/>
    <w:pPr>
      <w:tabs>
        <w:tab w:val="left" w:pos="1906"/>
        <w:tab w:val="right" w:leader="dot" w:pos="9350"/>
      </w:tabs>
      <w:spacing w:after="100" w:line="240" w:lineRule="auto"/>
      <w:ind w:left="480"/>
    </w:pPr>
  </w:style>
  <w:style w:type="paragraph" w:styleId="Header">
    <w:name w:val="header"/>
    <w:basedOn w:val="Normal"/>
    <w:link w:val="HeaderChar"/>
    <w:uiPriority w:val="99"/>
    <w:unhideWhenUsed/>
    <w:rsid w:val="008572F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2F7"/>
    <w:rPr>
      <w:rFonts w:ascii="Calibri" w:eastAsia="Calibri" w:hAnsi="Calibri" w:cs="Times New Roman"/>
      <w:kern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8572F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2F7"/>
    <w:rPr>
      <w:rFonts w:ascii="Calibri" w:eastAsia="Calibri" w:hAnsi="Calibri" w:cs="Times New Roman"/>
      <w:kern w:val="0"/>
      <w:sz w:val="24"/>
    </w:rPr>
  </w:style>
  <w:style w:type="paragraph" w:styleId="TableofFigures">
    <w:name w:val="table of figures"/>
    <w:basedOn w:val="Normal"/>
    <w:next w:val="Normal"/>
    <w:uiPriority w:val="99"/>
    <w:unhideWhenUsed/>
    <w:rsid w:val="008572F7"/>
    <w:pPr>
      <w:ind w:left="720" w:hanging="720"/>
    </w:pPr>
  </w:style>
  <w:style w:type="paragraph" w:styleId="Bibliography">
    <w:name w:val="Bibliography"/>
    <w:basedOn w:val="Normal"/>
    <w:next w:val="Normal"/>
    <w:uiPriority w:val="37"/>
    <w:unhideWhenUsed/>
    <w:rsid w:val="008572F7"/>
    <w:pPr>
      <w:tabs>
        <w:tab w:val="left" w:pos="504"/>
      </w:tabs>
      <w:spacing w:after="240" w:line="240" w:lineRule="auto"/>
      <w:ind w:left="504" w:hanging="504"/>
    </w:pPr>
  </w:style>
  <w:style w:type="paragraph" w:customStyle="1" w:styleId="MDPI31text">
    <w:name w:val="MDPI_3.1_text"/>
    <w:qFormat/>
    <w:rsid w:val="008572F7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styleId="Revision">
    <w:name w:val="Revision"/>
    <w:hidden/>
    <w:uiPriority w:val="99"/>
    <w:semiHidden/>
    <w:rsid w:val="008572F7"/>
    <w:pPr>
      <w:spacing w:after="0" w:line="240" w:lineRule="auto"/>
    </w:pPr>
    <w:rPr>
      <w:kern w:val="0"/>
    </w:rPr>
  </w:style>
  <w:style w:type="table" w:styleId="TableGrid">
    <w:name w:val="Table Grid"/>
    <w:basedOn w:val="TableNormal"/>
    <w:uiPriority w:val="39"/>
    <w:rsid w:val="008572F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8572F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Cs w:val="24"/>
    </w:rPr>
  </w:style>
  <w:style w:type="character" w:customStyle="1" w:styleId="cf01">
    <w:name w:val="cf01"/>
    <w:basedOn w:val="DefaultParagraphFont"/>
    <w:rsid w:val="008572F7"/>
    <w:rPr>
      <w:rFonts w:ascii="Segoe UI" w:hAnsi="Segoe UI" w:cs="Segoe UI" w:hint="default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72F7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8572F7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572F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572F7"/>
    <w:pPr>
      <w:spacing w:after="160" w:line="259" w:lineRule="auto"/>
      <w:ind w:firstLine="0"/>
    </w:pPr>
    <w:rPr>
      <w:rFonts w:ascii="Times New Roman" w:eastAsiaTheme="minorHAnsi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8572F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572F7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572F7"/>
    <w:rPr>
      <w:color w:val="605E5C"/>
      <w:shd w:val="clear" w:color="auto" w:fill="E1DFDD"/>
    </w:rPr>
  </w:style>
  <w:style w:type="paragraph" w:customStyle="1" w:styleId="speakable">
    <w:name w:val="speakable"/>
    <w:basedOn w:val="Normal"/>
    <w:rsid w:val="008572F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8572F7"/>
  </w:style>
  <w:style w:type="character" w:customStyle="1" w:styleId="marktop3b398h">
    <w:name w:val="marktop3b398h"/>
    <w:basedOn w:val="DefaultParagraphFont"/>
    <w:rsid w:val="008572F7"/>
  </w:style>
  <w:style w:type="paragraph" w:customStyle="1" w:styleId="xxxmsonormal">
    <w:name w:val="x_x_xmsonormal"/>
    <w:basedOn w:val="Normal"/>
    <w:rsid w:val="008572F7"/>
    <w:pPr>
      <w:spacing w:line="240" w:lineRule="auto"/>
      <w:ind w:firstLine="0"/>
    </w:pPr>
    <w:rPr>
      <w:rFonts w:eastAsiaTheme="minorHAnsi" w:cs="Calibri"/>
      <w:sz w:val="22"/>
    </w:rPr>
  </w:style>
  <w:style w:type="paragraph" w:customStyle="1" w:styleId="APA3">
    <w:name w:val="APA 3"/>
    <w:link w:val="APA3Char"/>
    <w:qFormat/>
    <w:rsid w:val="008572F7"/>
    <w:rPr>
      <w:rFonts w:ascii="Times New Roman" w:eastAsia="Times New Roman" w:hAnsi="Times New Roman" w:cstheme="minorHAnsi"/>
      <w:b/>
      <w:bCs/>
      <w:i/>
      <w:kern w:val="0"/>
      <w:sz w:val="24"/>
    </w:rPr>
  </w:style>
  <w:style w:type="paragraph" w:customStyle="1" w:styleId="APA2">
    <w:name w:val="APA 2"/>
    <w:basedOn w:val="APA3"/>
    <w:link w:val="APA2Char"/>
    <w:qFormat/>
    <w:rsid w:val="008572F7"/>
    <w:rPr>
      <w:i w:val="0"/>
    </w:rPr>
  </w:style>
  <w:style w:type="character" w:customStyle="1" w:styleId="APA3Char">
    <w:name w:val="APA 3 Char"/>
    <w:basedOn w:val="DefaultParagraphFont"/>
    <w:link w:val="APA3"/>
    <w:rsid w:val="008572F7"/>
    <w:rPr>
      <w:rFonts w:ascii="Times New Roman" w:eastAsia="Times New Roman" w:hAnsi="Times New Roman" w:cstheme="minorHAnsi"/>
      <w:b/>
      <w:bCs/>
      <w:i/>
      <w:kern w:val="0"/>
      <w:sz w:val="24"/>
    </w:rPr>
  </w:style>
  <w:style w:type="paragraph" w:customStyle="1" w:styleId="APA1">
    <w:name w:val="APA 1"/>
    <w:basedOn w:val="APA2"/>
    <w:link w:val="APA1Char"/>
    <w:qFormat/>
    <w:rsid w:val="008572F7"/>
    <w:pPr>
      <w:jc w:val="center"/>
    </w:pPr>
  </w:style>
  <w:style w:type="character" w:customStyle="1" w:styleId="APA2Char">
    <w:name w:val="APA 2 Char"/>
    <w:basedOn w:val="APA3Char"/>
    <w:link w:val="APA2"/>
    <w:rsid w:val="008572F7"/>
    <w:rPr>
      <w:rFonts w:ascii="Times New Roman" w:eastAsia="Times New Roman" w:hAnsi="Times New Roman" w:cstheme="minorHAnsi"/>
      <w:b/>
      <w:bCs/>
      <w:i w:val="0"/>
      <w:kern w:val="0"/>
      <w:sz w:val="24"/>
    </w:rPr>
  </w:style>
  <w:style w:type="character" w:customStyle="1" w:styleId="APA1Char">
    <w:name w:val="APA 1 Char"/>
    <w:basedOn w:val="APA2Char"/>
    <w:link w:val="APA1"/>
    <w:rsid w:val="008572F7"/>
    <w:rPr>
      <w:rFonts w:ascii="Times New Roman" w:eastAsia="Times New Roman" w:hAnsi="Times New Roman" w:cstheme="minorHAnsi"/>
      <w:b/>
      <w:bCs/>
      <w:i w:val="0"/>
      <w:kern w:val="0"/>
      <w:sz w:val="24"/>
    </w:rPr>
  </w:style>
  <w:style w:type="paragraph" w:customStyle="1" w:styleId="Default">
    <w:name w:val="Default"/>
    <w:rsid w:val="008572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val="en-CA" w:eastAsia="en-CA"/>
    </w:rPr>
  </w:style>
  <w:style w:type="paragraph" w:customStyle="1" w:styleId="Style1">
    <w:name w:val="Style1"/>
    <w:basedOn w:val="Heading2"/>
    <w:link w:val="Style1Char"/>
    <w:qFormat/>
    <w:rsid w:val="008572F7"/>
    <w:pPr>
      <w:numPr>
        <w:ilvl w:val="0"/>
        <w:numId w:val="0"/>
      </w:numPr>
      <w:ind w:left="576" w:hanging="576"/>
    </w:pPr>
    <w:rPr>
      <w:rFonts w:ascii="Times New Roman" w:hAnsi="Times New Roman"/>
    </w:rPr>
  </w:style>
  <w:style w:type="character" w:customStyle="1" w:styleId="Style1Char">
    <w:name w:val="Style1 Char"/>
    <w:basedOn w:val="Heading2Char"/>
    <w:link w:val="Style1"/>
    <w:rsid w:val="008572F7"/>
    <w:rPr>
      <w:rFonts w:ascii="Times New Roman" w:eastAsia="Times New Roman" w:hAnsi="Times New Roman" w:cs="Times New Roman"/>
      <w:b/>
      <w:bCs/>
      <w:kern w:val="0"/>
      <w:sz w:val="24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857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4868</Words>
  <Characters>28821</Characters>
  <Application>Microsoft Office Word</Application>
  <DocSecurity>0</DocSecurity>
  <Lines>2058</Lines>
  <Paragraphs>1203</Paragraphs>
  <ScaleCrop>false</ScaleCrop>
  <Company/>
  <LinksUpToDate>false</LinksUpToDate>
  <CharactersWithSpaces>32486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Churchill, Victoria</dc:creator>
  <cp:keywords/>
  <dc:description/>
  <cp:lastModifiedBy>Churchill, Victoria</cp:lastModifiedBy>
  <cp:revision>1</cp:revision>
  <dcterms:created xsi:type="dcterms:W3CDTF">2024-03-21T17:32:00Z</dcterms:created>
  <dcterms:modified xsi:type="dcterms:W3CDTF">2024-03-21T17:34:00Z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bab5d524-2be5-4d4a-9552-e220e7dc77b2</vt:lpwstr>
  </property>
</Properties>
</file>