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rFonts w:ascii="Cambria" w:cs="Cambria" w:eastAsia="Cambria" w:hAnsi="Cambria"/>
          <w:b w:val="1"/>
          <w:sz w:val="29"/>
          <w:szCs w:val="29"/>
        </w:rPr>
      </w:pPr>
      <w:r w:rsidDel="00000000" w:rsidR="00000000" w:rsidRPr="00000000">
        <w:rPr>
          <w:rFonts w:ascii="Cambria" w:cs="Cambria" w:eastAsia="Cambria" w:hAnsi="Cambria"/>
          <w:b w:val="1"/>
          <w:sz w:val="29"/>
          <w:szCs w:val="29"/>
          <w:rtl w:val="0"/>
        </w:rPr>
        <w:t xml:space="preserve">Appendix</w:t>
      </w:r>
    </w:p>
    <w:p w:rsidR="00000000" w:rsidDel="00000000" w:rsidP="00000000" w:rsidRDefault="00000000" w:rsidRPr="00000000" w14:paraId="00000002">
      <w:pPr>
        <w:spacing w:line="240" w:lineRule="auto"/>
        <w:jc w:val="both"/>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03">
      <w:pPr>
        <w:rPr>
          <w:rFonts w:ascii="Cambria" w:cs="Cambria" w:eastAsia="Cambria" w:hAnsi="Cambria"/>
          <w:sz w:val="20"/>
          <w:szCs w:val="20"/>
          <w:u w:val="single"/>
        </w:rPr>
      </w:pPr>
      <w:r w:rsidDel="00000000" w:rsidR="00000000" w:rsidRPr="00000000">
        <w:rPr>
          <w:rFonts w:ascii="Cambria" w:cs="Cambria" w:eastAsia="Cambria" w:hAnsi="Cambria"/>
          <w:sz w:val="20"/>
          <w:szCs w:val="20"/>
          <w:u w:val="single"/>
          <w:rtl w:val="0"/>
        </w:rPr>
        <w:t xml:space="preserve">1. Coding of predictors variables and description of scales</w:t>
      </w:r>
    </w:p>
    <w:p w:rsidR="00000000" w:rsidDel="00000000" w:rsidP="00000000" w:rsidRDefault="00000000" w:rsidRPr="00000000" w14:paraId="00000004">
      <w:pPr>
        <w:rPr>
          <w:rFonts w:ascii="Cambria" w:cs="Cambria" w:eastAsia="Cambria" w:hAnsi="Cambria"/>
          <w:sz w:val="20"/>
          <w:szCs w:val="20"/>
          <w:u w:val="single"/>
        </w:rPr>
      </w:pPr>
      <w:r w:rsidDel="00000000" w:rsidR="00000000" w:rsidRPr="00000000">
        <w:rPr>
          <w:rtl w:val="0"/>
        </w:rPr>
      </w:r>
    </w:p>
    <w:p w:rsidR="00000000" w:rsidDel="00000000" w:rsidP="00000000" w:rsidRDefault="00000000" w:rsidRPr="00000000" w14:paraId="00000005">
      <w:pPr>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Gender was coded as 0=male and 1=female. Age was included as a metric variable. Housing was dichotomized to obtain the categories 0=Refugee accommodation and 1=Other accommodation (consisting of response options “Private flat”, “Shared flat”, “Assisted living”,  and “Other” ). Marital status was obtained by recoding part of the response options, resulting in 0=Single, 1=Married and 2=Post-relationship (made up of “Divorced / Separated” and “Widowed”) as factor levels. Occupation was dichotomized as a variable with the levels 0=Unemployed and 1=Employed (including response options “Protected employment”, “Employee”, “Retirement/Pension”, “Military service/Community”, “Self-employed”). Last residence country was obtained by retaining the four most represented countries across the analysis sample, i.e. 1=Afghanistan, 2=Iran, 3=Syria, 4=Turkey, and summarizing the remaining response options under the level 0=Other. Both variables medication and psychotherapy were coded as binary, with the level 0=”No” and 1=”Yes” (indicating the participant was/was not currently receiving psychotherapy or medication). Years of schooling was included as a metric variable. Change in social status was calculated by subtracting “Social status after migration” from “Social status before migration”. Specifically, each item was rated on a 5-point Likert scale ranging from upper social status (1) to lower social status (5). Consequently, negative change scores represented a decline in social status and vice versa. Intervention level was coded as 0=No intervention, 1=Non-expert intervention, 2=Group intervention and 3=Individual expert intervention. Migrant identity was assessed using the item with “Would you call yourself a migrant?”, with response options ranging from 1=”Yes”, definitely” to 5=”No, definitely not”. The migrant identity variable used in analysis was dichotomized due to sparsity of responses on some levels, resulting in 0=Not yes (Consisting of “No, definitely not”, “Rather not”, “Undecided”) and 1=Yes (“Yes, definitely”, “Rather yes”). Cultural belonging was assessed using the item “Think about your cultural values and traditions: Towards which culture do you feel the strongest sense of belonging?” The cultural belonging variable used in analysis was dichotomized due to sparsity of responses on some levels; as a result, the factor levels were 0=Not culture of country of origin (consisting of original response options “German culture”, “Other culture”, “No culture”) and 1=Culture of your country of origin. Means of flight was coded as 0=”Alone” and 1=”Not alone”.  Residence status was also used a dichotomized variable with levels 0=Insecure (“Temporary residence permit”, “No residence permit”, “Other”) and 1=Secure (“Permanent residence permit”, “Permit for permanent residence in the EU”).  The Brief Resilience Scale (BRS) - a six-item scale with each idem ranging from 1 (Strongly disagree) to 5 (Strongly agree) - was used to measure resilience, where increasing sum scores indicate higher resilience. Reliability for this scale is acceptable with Cronbach’s alpha ranging from .80 to .91 and test-retest-reliability at .69 and .62 for one month and three months intervals, respectively (Smith et al., 2008). The General Self-Efficacy Scale (GSE) was used to measure perceived self-efficacy. Specifically, this scale consists of 10 which are rated on a 4-point Likert scale ranging from 1 (Not at all true) to 4 (Exactly true), where higher sum scores indicate higher levels of self-efficacy. In terms of reliability the GSE showed acceptable scores, with Cronbach’s alpha values ranging from .76 to .90 and the majority of values in the high .80s (Schwarzer, 1995). The Strength and Difficulties Questionnaire (SDQ) measures a range of emotional and social problems and resources, with 25 items (from 0 (Not true) to 2 (Certainly true)) covering emotional symptoms, conduct problems, hyperactivity/inattention, peer problems, and prosocial behavior (Goodman, 1997). Subscales for each of these aspects were used in analysis. A brief version of the World Health Organization - Quality of Life (WHOQOL) questionnaire was used to measure different aspects of quality of life. The instrument covers the aspects physical health, psychological health, social relationships and environment using 26 questions on a 5-point Likert scale. Subscales physical health, psychological health and social relationships were used as separate predictors in analysis, having shown at least marginally acceptable scores of internal consistency in previous studies (Cronbach’s alpha of .82, .75, and .66, respectively; (The WHOQOL Group, 1998). The Harvard Trauma Questionnaire (HTQ) was employed to assess trauma symptom load on a metric scale. Specifically, participants responded to 40 items with response options ranging 1 (Not at all) to 4 (Extremely); responses were then summed up and divided by the number of items. The scale has shown good reliability with a Cronbach’s alpha of .96 and a test-retest reliability of .92 (Mollica et al., 1992). Flight reasons were assessed through the item “Why did you migrate?”, with multiple responses possible (including “War”, “Natural disaster”, “Economic crisis”, “Individual reasons”, “Political and religious persecution”, “Social reasons”, “Other”). The variable was dichotomized with levels 0=One reasons, and 1=Multiple reasons. Means of flight was also dichotomized with levels 0=”Alone” and1=”Not alone”. Lastly, sense of disconnect was assessed by using the four items from the Challenged Sense of Belonging Scale (CSBS) (Fuchs et al., 2021) in addition to two further items, namely “I have a sense of belonging” and “I am comfortable that my background and experiences are so different from those who are usually around me”. Participants were asked to indicate whether they identify with the statements, responding on a binary yes/no-scale. The last two items were inverted, and all affirming responses were summed and divided by the number of items, resulting in a metric sense of belonging score for each participant. </w:t>
      </w:r>
    </w:p>
    <w:p w:rsidR="00000000" w:rsidDel="00000000" w:rsidP="00000000" w:rsidRDefault="00000000" w:rsidRPr="00000000" w14:paraId="00000006">
      <w:pPr>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07">
      <w:pPr>
        <w:jc w:val="both"/>
        <w:rPr>
          <w:rFonts w:ascii="Cambria" w:cs="Cambria" w:eastAsia="Cambria" w:hAnsi="Cambria"/>
          <w:sz w:val="20"/>
          <w:szCs w:val="20"/>
          <w:u w:val="single"/>
        </w:rPr>
      </w:pPr>
      <w:r w:rsidDel="00000000" w:rsidR="00000000" w:rsidRPr="00000000">
        <w:rPr>
          <w:rFonts w:ascii="Cambria" w:cs="Cambria" w:eastAsia="Cambria" w:hAnsi="Cambria"/>
          <w:sz w:val="20"/>
          <w:szCs w:val="20"/>
          <w:u w:val="single"/>
          <w:rtl w:val="0"/>
        </w:rPr>
        <w:t xml:space="preserve">2. Secondary analysis</w:t>
      </w:r>
    </w:p>
    <w:p w:rsidR="00000000" w:rsidDel="00000000" w:rsidP="00000000" w:rsidRDefault="00000000" w:rsidRPr="00000000" w14:paraId="00000008">
      <w:pPr>
        <w:jc w:val="both"/>
        <w:rPr>
          <w:rFonts w:ascii="Cambria" w:cs="Cambria" w:eastAsia="Cambria" w:hAnsi="Cambria"/>
          <w:sz w:val="20"/>
          <w:szCs w:val="20"/>
          <w:u w:val="single"/>
        </w:rPr>
      </w:pPr>
      <w:r w:rsidDel="00000000" w:rsidR="00000000" w:rsidRPr="00000000">
        <w:rPr>
          <w:rtl w:val="0"/>
        </w:rPr>
      </w:r>
    </w:p>
    <w:p w:rsidR="00000000" w:rsidDel="00000000" w:rsidP="00000000" w:rsidRDefault="00000000" w:rsidRPr="00000000" w14:paraId="00000009">
      <w:pPr>
        <w:jc w:val="both"/>
        <w:rPr>
          <w:rFonts w:ascii="Cambria" w:cs="Cambria" w:eastAsia="Cambria" w:hAnsi="Cambria"/>
          <w:sz w:val="20"/>
          <w:szCs w:val="20"/>
        </w:rPr>
        <w:sectPr>
          <w:pgSz w:h="16834" w:w="11909" w:orient="portrait"/>
          <w:pgMar w:bottom="1440" w:top="1440" w:left="1440" w:right="1440" w:header="720" w:footer="720"/>
          <w:pgNumType w:start="1"/>
        </w:sectPr>
      </w:pPr>
      <w:r w:rsidDel="00000000" w:rsidR="00000000" w:rsidRPr="00000000">
        <w:rPr>
          <w:rFonts w:ascii="Cambria" w:cs="Cambria" w:eastAsia="Cambria" w:hAnsi="Cambria"/>
          <w:sz w:val="20"/>
          <w:szCs w:val="20"/>
          <w:rtl w:val="0"/>
        </w:rPr>
        <w:t xml:space="preserve">To receive tentative evidence on dropout characteristics within intervention groups, per variable, dropout vs. no dropout comparisons were performed per variable, per intervention group. These analyses were computed using the non-imputed data set. The results for the first two intervention groups - the “no intervention” and the “non-expert intervention” groups - are shown in Table 1. Results for the groups “group intervention” and “individual expert intervention” are shown in Table 2.</w:t>
      </w:r>
    </w:p>
    <w:p w:rsidR="00000000" w:rsidDel="00000000" w:rsidP="00000000" w:rsidRDefault="00000000" w:rsidRPr="00000000" w14:paraId="0000000A">
      <w:pPr>
        <w:spacing w:before="200" w:line="480" w:lineRule="auto"/>
        <w:rPr>
          <w:b w:val="1"/>
          <w:sz w:val="20"/>
          <w:szCs w:val="20"/>
        </w:rPr>
      </w:pPr>
      <w:r w:rsidDel="00000000" w:rsidR="00000000" w:rsidRPr="00000000">
        <w:rPr>
          <w:b w:val="1"/>
          <w:sz w:val="20"/>
          <w:szCs w:val="20"/>
          <w:rtl w:val="0"/>
        </w:rPr>
        <w:t xml:space="preserve">Table 1</w:t>
      </w:r>
    </w:p>
    <w:p w:rsidR="00000000" w:rsidDel="00000000" w:rsidP="00000000" w:rsidRDefault="00000000" w:rsidRPr="00000000" w14:paraId="0000000B">
      <w:pPr>
        <w:spacing w:line="480" w:lineRule="auto"/>
        <w:rPr>
          <w:i w:val="1"/>
          <w:sz w:val="20"/>
          <w:szCs w:val="20"/>
        </w:rPr>
      </w:pPr>
      <w:r w:rsidDel="00000000" w:rsidR="00000000" w:rsidRPr="00000000">
        <w:rPr>
          <w:i w:val="1"/>
          <w:sz w:val="20"/>
          <w:szCs w:val="20"/>
          <w:rtl w:val="0"/>
        </w:rPr>
        <w:t xml:space="preserve">Per-variable, within-intervention group comparisons for non-imputed data – “no intervention” and “non-expert intervention” groups</w:t>
      </w:r>
    </w:p>
    <w:tbl>
      <w:tblPr>
        <w:tblStyle w:val="Table1"/>
        <w:tblW w:w="12797.0" w:type="dxa"/>
        <w:jc w:val="left"/>
        <w:tblLayout w:type="fixed"/>
        <w:tblLook w:val="0400"/>
      </w:tblPr>
      <w:tblGrid>
        <w:gridCol w:w="1728"/>
        <w:gridCol w:w="1920"/>
        <w:gridCol w:w="2372"/>
        <w:gridCol w:w="1181"/>
        <w:gridCol w:w="2043"/>
        <w:gridCol w:w="2372"/>
        <w:gridCol w:w="1181"/>
        <w:tblGridChange w:id="0">
          <w:tblGrid>
            <w:gridCol w:w="1728"/>
            <w:gridCol w:w="1920"/>
            <w:gridCol w:w="2372"/>
            <w:gridCol w:w="1181"/>
            <w:gridCol w:w="2043"/>
            <w:gridCol w:w="2372"/>
            <w:gridCol w:w="1181"/>
          </w:tblGrid>
        </w:tblGridChange>
      </w:tblGrid>
      <w:tr>
        <w:trPr>
          <w:cantSplit w:val="0"/>
          <w:tblHeader w:val="1"/>
        </w:trPr>
        <w:tc>
          <w:tcPr>
            <w:tcBorders>
              <w:top w:color="000000" w:space="0" w:sz="8" w:val="single"/>
              <w:left w:color="000000" w:space="0" w:sz="0" w:val="nil"/>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 </w:t>
            </w:r>
          </w:p>
        </w:tc>
        <w:tc>
          <w:tcPr>
            <w:gridSpan w:val="3"/>
            <w:tcBorders>
              <w:top w:color="000000" w:space="0" w:sz="8" w:val="single"/>
              <w:left w:color="000000" w:space="0" w:sz="0" w:val="nil"/>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b w:val="1"/>
                <w:sz w:val="16"/>
                <w:szCs w:val="16"/>
                <w:rtl w:val="0"/>
              </w:rPr>
              <w:t xml:space="preserve">No intervention</w:t>
            </w: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b w:val="1"/>
                <w:sz w:val="16"/>
                <w:szCs w:val="16"/>
                <w:rtl w:val="0"/>
              </w:rPr>
              <w:t xml:space="preserve">Non-expert intervention</w:t>
            </w:r>
            <w:r w:rsidDel="00000000" w:rsidR="00000000" w:rsidRPr="00000000">
              <w:rPr>
                <w:rtl w:val="0"/>
              </w:rPr>
            </w:r>
          </w:p>
        </w:tc>
      </w:tr>
      <w:tr>
        <w:trPr>
          <w:cantSplit w:val="0"/>
          <w:tblHeader w:val="1"/>
        </w:trPr>
        <w:tc>
          <w:tcPr>
            <w:tcBorders>
              <w:top w:color="000000" w:space="0" w:sz="8" w:val="single"/>
              <w:left w:color="000000" w:space="0" w:sz="0" w:val="nil"/>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b w:val="1"/>
                <w:sz w:val="16"/>
                <w:szCs w:val="16"/>
                <w:rtl w:val="0"/>
              </w:rPr>
              <w:t xml:space="preserve">Variable</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b w:val="1"/>
                <w:sz w:val="16"/>
                <w:szCs w:val="16"/>
                <w:rtl w:val="0"/>
              </w:rPr>
              <w:t xml:space="preserve">Dropout</w:t>
            </w:r>
            <w:r w:rsidDel="00000000" w:rsidR="00000000" w:rsidRPr="00000000">
              <w:rPr>
                <w:sz w:val="16"/>
                <w:szCs w:val="16"/>
                <w:rtl w:val="0"/>
              </w:rPr>
              <w:t xml:space="preserve">, N = 4</w:t>
            </w:r>
            <w:r w:rsidDel="00000000" w:rsidR="00000000" w:rsidRPr="00000000">
              <w:rPr>
                <w:sz w:val="16"/>
                <w:szCs w:val="16"/>
                <w:vertAlign w:val="superscript"/>
                <w:rtl w:val="0"/>
              </w:rPr>
              <w:t xml:space="preserve">a</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b w:val="1"/>
                <w:sz w:val="16"/>
                <w:szCs w:val="16"/>
                <w:rtl w:val="0"/>
              </w:rPr>
              <w:t xml:space="preserve">No dropout</w:t>
            </w:r>
            <w:r w:rsidDel="00000000" w:rsidR="00000000" w:rsidRPr="00000000">
              <w:rPr>
                <w:sz w:val="16"/>
                <w:szCs w:val="16"/>
                <w:rtl w:val="0"/>
              </w:rPr>
              <w:t xml:space="preserve">, N = 22</w:t>
            </w:r>
            <w:r w:rsidDel="00000000" w:rsidR="00000000" w:rsidRPr="00000000">
              <w:rPr>
                <w:sz w:val="16"/>
                <w:szCs w:val="16"/>
                <w:vertAlign w:val="superscript"/>
                <w:rtl w:val="0"/>
              </w:rPr>
              <w:t xml:space="preserve">a</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b w:val="1"/>
                <w:sz w:val="16"/>
                <w:szCs w:val="16"/>
                <w:rtl w:val="0"/>
              </w:rPr>
              <w:t xml:space="preserve">p-value</w:t>
            </w:r>
            <w:r w:rsidDel="00000000" w:rsidR="00000000" w:rsidRPr="00000000">
              <w:rPr>
                <w:sz w:val="16"/>
                <w:szCs w:val="16"/>
                <w:vertAlign w:val="superscript"/>
                <w:rtl w:val="0"/>
              </w:rPr>
              <w:t xml:space="preserve">b</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b w:val="1"/>
                <w:sz w:val="16"/>
                <w:szCs w:val="16"/>
                <w:rtl w:val="0"/>
              </w:rPr>
              <w:t xml:space="preserve">Dropout</w:t>
            </w:r>
            <w:r w:rsidDel="00000000" w:rsidR="00000000" w:rsidRPr="00000000">
              <w:rPr>
                <w:sz w:val="16"/>
                <w:szCs w:val="16"/>
                <w:rtl w:val="0"/>
              </w:rPr>
              <w:t xml:space="preserve">, N = 12</w:t>
            </w:r>
            <w:r w:rsidDel="00000000" w:rsidR="00000000" w:rsidRPr="00000000">
              <w:rPr>
                <w:sz w:val="16"/>
                <w:szCs w:val="16"/>
                <w:vertAlign w:val="superscript"/>
                <w:rtl w:val="0"/>
              </w:rPr>
              <w:t xml:space="preserve">a</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b w:val="1"/>
                <w:sz w:val="16"/>
                <w:szCs w:val="16"/>
                <w:rtl w:val="0"/>
              </w:rPr>
              <w:t xml:space="preserve">No dropout</w:t>
            </w:r>
            <w:r w:rsidDel="00000000" w:rsidR="00000000" w:rsidRPr="00000000">
              <w:rPr>
                <w:sz w:val="16"/>
                <w:szCs w:val="16"/>
                <w:rtl w:val="0"/>
              </w:rPr>
              <w:t xml:space="preserve">, N = 29</w:t>
            </w:r>
            <w:r w:rsidDel="00000000" w:rsidR="00000000" w:rsidRPr="00000000">
              <w:rPr>
                <w:sz w:val="16"/>
                <w:szCs w:val="16"/>
                <w:vertAlign w:val="superscript"/>
                <w:rtl w:val="0"/>
              </w:rPr>
              <w:t xml:space="preserve">a</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b w:val="1"/>
                <w:sz w:val="16"/>
                <w:szCs w:val="16"/>
                <w:rtl w:val="0"/>
              </w:rPr>
              <w:t xml:space="preserve">p-value</w:t>
            </w:r>
            <w:r w:rsidDel="00000000" w:rsidR="00000000" w:rsidRPr="00000000">
              <w:rPr>
                <w:sz w:val="16"/>
                <w:szCs w:val="16"/>
                <w:vertAlign w:val="superscript"/>
                <w:rtl w:val="0"/>
              </w:rPr>
              <w:t xml:space="preserve">c</w:t>
            </w:r>
            <w:r w:rsidDel="00000000" w:rsidR="00000000" w:rsidRPr="00000000">
              <w:rPr>
                <w:rtl w:val="0"/>
              </w:rPr>
            </w:r>
          </w:p>
        </w:tc>
      </w:tr>
      <w:tr>
        <w:trPr>
          <w:cantSplit w:val="0"/>
          <w:tblHeader w:val="0"/>
        </w:trPr>
        <w:tc>
          <w:tcPr>
            <w:tcBorders>
              <w:top w:color="000000" w:space="0" w:sz="8" w:val="single"/>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Gender</w:t>
            </w:r>
          </w:p>
        </w:tc>
        <w:tc>
          <w:tcPr>
            <w:tcBorders>
              <w:top w:color="000000" w:space="0" w:sz="8" w:val="single"/>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0.6</w:t>
            </w:r>
          </w:p>
        </w:tc>
        <w:tc>
          <w:tcPr>
            <w:tcBorders>
              <w:top w:color="000000" w:space="0" w:sz="8" w:val="single"/>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&gt;0.9</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Male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 (75%)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12 (55%)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9 (75%)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22 (76%)</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Female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 (25%)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10 (45%)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 (25%)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7 (24%)</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Age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30.00 (11.78)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29.77 (11.55)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&gt;0.9</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27.75 (7.65)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27.31 (8.90)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0.9</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Housing</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0.6</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0.5</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Other accommodation</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4 (100%)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17 (77%)</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9 (75%)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18 (62%)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Refugee accommodation</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 (0%)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5 (23%)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 (25%)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11 (38%)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Residence status</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&gt;0.9</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0.7</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Insecure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 (0%)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 (4.5%)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 (8.3%)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5 (17%)</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Secure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4 (100%)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21 (95%)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11 (92%)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24 (83%)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Marital status</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&gt;0.9</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0.7</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Post-relationship</w:t>
            </w:r>
            <w:r w:rsidDel="00000000" w:rsidR="00000000" w:rsidRPr="00000000">
              <w:rPr>
                <w:sz w:val="16"/>
                <w:szCs w:val="16"/>
                <w:vertAlign w:val="superscript"/>
                <w:rtl w:val="0"/>
              </w:rPr>
              <w:t xml:space="preserv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 (0%)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 (0%)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 (0%)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 (10%)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Single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 (50%)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9 (41%)</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8 (67%)</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16 (55%)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Married</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 (50%)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13 (59%)</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4 (33%)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10 (34%)</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MADRS score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17.00 (13.08)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12.43 (7.81)</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0.6</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20.45 (8.51)</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14.75 (6.72)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0.065</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HTQ score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1.57 (0.33)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1.89 (0.40)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2.30 (0.62)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8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2.21 (0.50)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8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0.7</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8A">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BRS score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8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3.21 (0.70)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3.12 (0.68)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8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2.83 (0.66)</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2.81 (0.58)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9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&gt;0.9</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91">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GSE score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27.25 (5.12)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9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27.18 (6.76)</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9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&gt;0.9</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9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24.18 (4.33)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9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25.54 (6.19)</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0.4</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Social status difference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9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-0.25 (0.96)</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9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0.27 (1.32)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9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0.4</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9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-1.25 (0.97)</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9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-0.63 (0.93)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9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0.075</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9F">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WHOQOL-Social scale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A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3.00 (0.72)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A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3.65 (0.71)</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A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A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3.15 (1.12)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A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3.10 (0.88)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A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0.9</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A6">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WHOQOL-Physical health scale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3.41 (0.86)</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A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3.37 (0.58)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A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&gt;0.9</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A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3.20 (0.75)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A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3.17 (0.77)</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A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&gt;0.9</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AD">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WHOQOL-Psychological health scale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A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3.50 (0.76)</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A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3.39 (0.62)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B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B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2.92 (0.50)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B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3.01 (0.58)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B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0.7</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B4">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SDQ-Emotional problem scale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2.05 (0.25)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2.01 (0.48)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B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2.05 (0.55)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B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2.25 (0.50)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B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0.3</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BB">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SDQ-Conductance problem scale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B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1.30 (0.12)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B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1.54 (0.45)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B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0.046</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B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1.42 (0.16)</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C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1.67 (0.34)</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C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0.002</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C2">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SDQ-Hyperactivity scale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C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1.45 (0.30)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C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1.72 (0.48)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C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C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2.02 (0.48)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C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2.18 (0.33)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C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0.3</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C9">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SDQ-Prosocial scale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C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2.75 (0.30)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C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2.69 (0.35)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C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0.7</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C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2.53 (0.34)</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C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2.60 (0.47)</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C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0.6</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D0">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SDQ-Peer problem scale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D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1.90 (0.35)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1.63 (0.33)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D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1.93 (0.40)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D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1.92 (0.39)</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D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&gt;0.9</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D7">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Medication</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D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D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D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D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D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D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&gt;0.9</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DE">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Yes</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D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 (25%)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E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 (0%)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E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E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 (25%)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E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7 (25%)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E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E5">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No</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E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 (75%)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E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22 (100%)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E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E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9 (75%)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E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21 (75%)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E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EC">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Psychotherapy</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E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E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E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&gt;0.9</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F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F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F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0.2</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F3">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Yes</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F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 (0%)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F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 (4.5%)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F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F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4 (33%)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F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4 (14%)</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F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FA">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No</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F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4 (100%)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F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21 (95%)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F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F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8 (67%)</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24 (86%)</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0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01">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Migrant identity</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0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0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0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&gt;0.9</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0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0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0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0.7</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08">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Not yes</w:t>
            </w:r>
            <w:r w:rsidDel="00000000" w:rsidR="00000000" w:rsidRPr="00000000">
              <w:rPr>
                <w:sz w:val="16"/>
                <w:szCs w:val="16"/>
                <w:vertAlign w:val="superscript"/>
                <w:rtl w:val="0"/>
              </w:rPr>
              <w:t xml:space="preserve">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0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 (25%)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0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8 (36%)</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0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0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 (8.3%)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0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6 (21%)</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0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0F">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Yes</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1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 (75%)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1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14 (64%)</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1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1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11 (92%)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1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22 (79%)</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1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16">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Last residence country</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1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1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1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0.6</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1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1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1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0.11</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1D">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Afghanistan</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1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 (0%)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1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 (0%)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2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2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 (0%)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2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10 (36%)</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2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24">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Iran</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2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 (0%)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2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4 (18%)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2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2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 (25%)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2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5 (18%)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2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2B">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Syria</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2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 (25%)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2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9 (41%)</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2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2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4 (33%)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3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5 (18%)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3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32">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Turkey</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3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 (25%)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3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 (9.1%)</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3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3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 (8.3%)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3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 (11%)</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3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39">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Other</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3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 (50%)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3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7 (32%)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3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3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4 (33%)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3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5 (18%)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3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40">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Years of schooling</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4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10.50 (2.38)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4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10.09 (4.02)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4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4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10.00 (3.05)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4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7.22 (4.94)</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4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0.039</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47">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Occupation</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4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4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4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0.6</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4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4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4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0.7</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4E">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Unemployed</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4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 (50%)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5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15 (71%)</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5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5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10 (83%)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5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21 (72%)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5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55">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Employed</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5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 (50%)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5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6 (29%)</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5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5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 (17%)</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5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8 (28%)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5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5C">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Sense of cultural belonging</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5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5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5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0.6</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6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6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6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0.4</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63">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Culture of country of origin</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6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 (75%)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6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12 (55%)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6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6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5 (42%)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6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15 (56%)</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6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6A">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Not culture of origin</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6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 (25%)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6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10 (45%)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6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6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7 (58%)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6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12 (44%)</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7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71">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Sense of disconnect</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7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0.42 (0.22)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7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0.41 (0.21)</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7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&gt;0.9</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7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0.50 (0.25)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7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0.55 (0.26)</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7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0.6</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78">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Flight reason</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7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7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7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&gt;0.9</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7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7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7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&gt;0.9</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7F">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One reason</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8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 (75%)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8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15 (68%)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8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8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9 (75%)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8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21 (72%)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8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86">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More than one reason</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8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 (25%)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8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7 (32%)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8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8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 (25%)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8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8 (28%)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8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8D">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Means of flight</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8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8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9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0.072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9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9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9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0.5</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94">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Alone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9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 (75%)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9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5 (23%)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9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9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5 (42%)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9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15 (54%)</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9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9B">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Not alone</w:t>
            </w:r>
          </w:p>
        </w:tc>
        <w:tc>
          <w:tcPr>
            <w:tcBorders>
              <w:top w:color="000000" w:space="0" w:sz="0" w:val="nil"/>
              <w:left w:color="000000" w:space="0" w:sz="0" w:val="nil"/>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9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 (25%)</w:t>
            </w:r>
          </w:p>
        </w:tc>
        <w:tc>
          <w:tcPr>
            <w:tcBorders>
              <w:top w:color="000000" w:space="0" w:sz="0" w:val="nil"/>
              <w:left w:color="000000" w:space="0" w:sz="0" w:val="nil"/>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9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17 (77%)</w:t>
            </w:r>
          </w:p>
        </w:tc>
        <w:tc>
          <w:tcPr>
            <w:tcBorders>
              <w:top w:color="000000" w:space="0" w:sz="0" w:val="nil"/>
              <w:left w:color="000000" w:space="0" w:sz="0" w:val="nil"/>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9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9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7 (58%)</w:t>
            </w:r>
          </w:p>
        </w:tc>
        <w:tc>
          <w:tcPr>
            <w:tcBorders>
              <w:top w:color="000000" w:space="0" w:sz="0" w:val="nil"/>
              <w:left w:color="000000" w:space="0" w:sz="0" w:val="nil"/>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A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13 (46%)</w:t>
            </w:r>
          </w:p>
        </w:tc>
        <w:tc>
          <w:tcPr>
            <w:tcBorders>
              <w:top w:color="000000" w:space="0" w:sz="0" w:val="nil"/>
              <w:left w:color="000000" w:space="0" w:sz="0" w:val="nil"/>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A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gridSpan w:val="7"/>
            <w:tcBorders>
              <w:top w:color="000000" w:space="0" w:sz="8" w:val="single"/>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A2">
            <w:pPr>
              <w:pBdr>
                <w:top w:color="000000" w:space="0" w:sz="0" w:val="none"/>
                <w:left w:color="000000" w:space="0" w:sz="0" w:val="none"/>
                <w:bottom w:color="000000" w:space="0" w:sz="0" w:val="none"/>
                <w:right w:color="000000" w:space="0" w:sz="0" w:val="none"/>
              </w:pBdr>
              <w:spacing w:line="480" w:lineRule="auto"/>
              <w:ind w:left="100" w:right="100" w:firstLine="0"/>
              <w:rPr>
                <w:i w:val="1"/>
                <w:sz w:val="16"/>
                <w:szCs w:val="16"/>
              </w:rPr>
            </w:pPr>
            <w:r w:rsidDel="00000000" w:rsidR="00000000" w:rsidRPr="00000000">
              <w:rPr>
                <w:rtl w:val="0"/>
              </w:rPr>
            </w:r>
          </w:p>
          <w:p w:rsidR="00000000" w:rsidDel="00000000" w:rsidP="00000000" w:rsidRDefault="00000000" w:rsidRPr="00000000" w14:paraId="000001A3">
            <w:pPr>
              <w:pBdr>
                <w:top w:color="000000" w:space="0" w:sz="0" w:val="none"/>
                <w:left w:color="000000" w:space="0" w:sz="0" w:val="none"/>
                <w:bottom w:color="000000" w:space="0" w:sz="0" w:val="none"/>
                <w:right w:color="000000" w:space="0" w:sz="0" w:val="none"/>
              </w:pBdr>
              <w:spacing w:line="480" w:lineRule="auto"/>
              <w:ind w:left="100" w:right="100" w:firstLine="0"/>
              <w:rPr>
                <w:sz w:val="16"/>
                <w:szCs w:val="16"/>
              </w:rPr>
            </w:pPr>
            <w:r w:rsidDel="00000000" w:rsidR="00000000" w:rsidRPr="00000000">
              <w:rPr>
                <w:i w:val="1"/>
                <w:sz w:val="16"/>
                <w:szCs w:val="16"/>
                <w:rtl w:val="0"/>
              </w:rPr>
              <w:t xml:space="preserve">Note</w:t>
            </w:r>
            <w:r w:rsidDel="00000000" w:rsidR="00000000" w:rsidRPr="00000000">
              <w:rPr>
                <w:sz w:val="16"/>
                <w:szCs w:val="16"/>
                <w:rtl w:val="0"/>
              </w:rPr>
              <w:t xml:space="preserve">. n = Number, SD = Standard deviation, MADRS = Montgomery Asberg Depression Rating Scale, HTQ = Harvard Trauma Questionnaire, BRS = Brief Resilience Scale, GSE = Generalized Self-Efficacy Scale, SDQ = Strengths and Difficulties Questionnaire, WHOQOL = World Health Organisation Quality of Life. Number of observations does not add up to overall sample size for all variables since statistics are computed for non-imputed data. </w:t>
            </w:r>
          </w:p>
        </w:tc>
      </w:tr>
      <w:tr>
        <w:trPr>
          <w:cantSplit w:val="0"/>
          <w:tblHeader w:val="0"/>
        </w:trPr>
        <w:tc>
          <w:tcPr>
            <w:gridSpan w:val="7"/>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AA">
            <w:pPr>
              <w:pBdr>
                <w:top w:color="000000" w:space="0" w:sz="0" w:val="none"/>
                <w:left w:color="000000" w:space="0" w:sz="0" w:val="none"/>
                <w:bottom w:color="000000" w:space="0" w:sz="0" w:val="none"/>
                <w:right w:color="000000" w:space="0" w:sz="0" w:val="none"/>
              </w:pBdr>
              <w:spacing w:line="480" w:lineRule="auto"/>
              <w:ind w:left="100" w:right="100" w:firstLine="0"/>
              <w:rPr>
                <w:sz w:val="16"/>
                <w:szCs w:val="16"/>
              </w:rPr>
            </w:pPr>
            <w:r w:rsidDel="00000000" w:rsidR="00000000" w:rsidRPr="00000000">
              <w:rPr>
                <w:sz w:val="16"/>
                <w:szCs w:val="16"/>
                <w:vertAlign w:val="superscript"/>
                <w:rtl w:val="0"/>
              </w:rPr>
              <w:t xml:space="preserve">a</w:t>
            </w:r>
            <w:r w:rsidDel="00000000" w:rsidR="00000000" w:rsidRPr="00000000">
              <w:rPr>
                <w:sz w:val="16"/>
                <w:szCs w:val="16"/>
                <w:rtl w:val="0"/>
              </w:rPr>
              <w:t xml:space="preserve">n (%) for categorical variables; Mean (SD) for metric variables. </w:t>
            </w:r>
            <w:r w:rsidDel="00000000" w:rsidR="00000000" w:rsidRPr="00000000">
              <w:rPr>
                <w:sz w:val="16"/>
                <w:szCs w:val="16"/>
                <w:vertAlign w:val="superscript"/>
                <w:rtl w:val="0"/>
              </w:rPr>
              <w:t xml:space="preserve">b</w:t>
            </w:r>
            <w:r w:rsidDel="00000000" w:rsidR="00000000" w:rsidRPr="00000000">
              <w:rPr>
                <w:sz w:val="16"/>
                <w:szCs w:val="16"/>
                <w:rtl w:val="0"/>
              </w:rPr>
              <w:t xml:space="preserve">Fisher's exact test for categorical variables; Welch Two Sample t-test for metric variables. </w:t>
            </w:r>
            <w:r w:rsidDel="00000000" w:rsidR="00000000" w:rsidRPr="00000000">
              <w:rPr>
                <w:sz w:val="16"/>
                <w:szCs w:val="16"/>
                <w:vertAlign w:val="superscript"/>
                <w:rtl w:val="0"/>
              </w:rPr>
              <w:t xml:space="preserve">c</w:t>
            </w:r>
            <w:r w:rsidDel="00000000" w:rsidR="00000000" w:rsidRPr="00000000">
              <w:rPr>
                <w:sz w:val="16"/>
                <w:szCs w:val="16"/>
                <w:rtl w:val="0"/>
              </w:rPr>
              <w:t xml:space="preserve">Fisher's exact test or Pearson's Chi-squared test for categorical variables; Welch Two Sample t-test for metric variables. </w:t>
            </w:r>
            <w:r w:rsidDel="00000000" w:rsidR="00000000" w:rsidRPr="00000000">
              <w:rPr>
                <w:sz w:val="16"/>
                <w:szCs w:val="16"/>
                <w:vertAlign w:val="superscript"/>
                <w:rtl w:val="0"/>
              </w:rPr>
              <w:t xml:space="preserve">d</w:t>
            </w:r>
            <w:r w:rsidDel="00000000" w:rsidR="00000000" w:rsidRPr="00000000">
              <w:rPr>
                <w:sz w:val="16"/>
                <w:szCs w:val="16"/>
                <w:rtl w:val="0"/>
              </w:rPr>
              <w:t xml:space="preserve">Includes response options “divorced/separated” and “widowed”. </w:t>
            </w:r>
            <w:r w:rsidDel="00000000" w:rsidR="00000000" w:rsidRPr="00000000">
              <w:rPr>
                <w:sz w:val="16"/>
                <w:szCs w:val="16"/>
                <w:vertAlign w:val="superscript"/>
                <w:rtl w:val="0"/>
              </w:rPr>
              <w:t xml:space="preserve">e</w:t>
            </w:r>
            <w:r w:rsidDel="00000000" w:rsidR="00000000" w:rsidRPr="00000000">
              <w:rPr>
                <w:sz w:val="16"/>
                <w:szCs w:val="16"/>
                <w:rtl w:val="0"/>
              </w:rPr>
              <w:t xml:space="preserve">Contains the response options “No”, “Rather not”, and “Undecided”.</w:t>
            </w:r>
          </w:p>
        </w:tc>
      </w:tr>
    </w:tbl>
    <w:p w:rsidR="00000000" w:rsidDel="00000000" w:rsidP="00000000" w:rsidRDefault="00000000" w:rsidRPr="00000000" w14:paraId="000001B1">
      <w:pPr>
        <w:spacing w:line="480" w:lineRule="auto"/>
        <w:rPr/>
        <w:sectPr>
          <w:type w:val="nextPage"/>
          <w:pgSz w:h="11909" w:w="16834"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1B2">
      <w:pPr>
        <w:spacing w:before="200" w:line="480" w:lineRule="auto"/>
        <w:rPr>
          <w:b w:val="1"/>
          <w:sz w:val="20"/>
          <w:szCs w:val="20"/>
        </w:rPr>
      </w:pPr>
      <w:r w:rsidDel="00000000" w:rsidR="00000000" w:rsidRPr="00000000">
        <w:rPr>
          <w:b w:val="1"/>
          <w:sz w:val="20"/>
          <w:szCs w:val="20"/>
          <w:rtl w:val="0"/>
        </w:rPr>
        <w:t xml:space="preserve">Table 2</w:t>
      </w:r>
    </w:p>
    <w:p w:rsidR="00000000" w:rsidDel="00000000" w:rsidP="00000000" w:rsidRDefault="00000000" w:rsidRPr="00000000" w14:paraId="000001B3">
      <w:pPr>
        <w:spacing w:line="480" w:lineRule="auto"/>
        <w:rPr>
          <w:i w:val="1"/>
          <w:sz w:val="20"/>
          <w:szCs w:val="20"/>
        </w:rPr>
      </w:pPr>
      <w:r w:rsidDel="00000000" w:rsidR="00000000" w:rsidRPr="00000000">
        <w:rPr>
          <w:i w:val="1"/>
          <w:sz w:val="20"/>
          <w:szCs w:val="20"/>
          <w:rtl w:val="0"/>
        </w:rPr>
        <w:t xml:space="preserve">Per-variable, within-intervention group comparisons for non-imputed data – “group intervention” and “individual expert intervention” groups</w:t>
      </w:r>
    </w:p>
    <w:tbl>
      <w:tblPr>
        <w:tblStyle w:val="Table2"/>
        <w:tblW w:w="12920.0" w:type="dxa"/>
        <w:jc w:val="left"/>
        <w:tblLayout w:type="fixed"/>
        <w:tblLook w:val="0400"/>
      </w:tblPr>
      <w:tblGrid>
        <w:gridCol w:w="1728"/>
        <w:gridCol w:w="2043"/>
        <w:gridCol w:w="2372"/>
        <w:gridCol w:w="1181"/>
        <w:gridCol w:w="2043"/>
        <w:gridCol w:w="2372"/>
        <w:gridCol w:w="1181"/>
        <w:tblGridChange w:id="0">
          <w:tblGrid>
            <w:gridCol w:w="1728"/>
            <w:gridCol w:w="2043"/>
            <w:gridCol w:w="2372"/>
            <w:gridCol w:w="1181"/>
            <w:gridCol w:w="2043"/>
            <w:gridCol w:w="2372"/>
            <w:gridCol w:w="1181"/>
          </w:tblGrid>
        </w:tblGridChange>
      </w:tblGrid>
      <w:tr>
        <w:trPr>
          <w:cantSplit w:val="0"/>
          <w:tblHeader w:val="1"/>
        </w:trPr>
        <w:tc>
          <w:tcPr>
            <w:tcBorders>
              <w:top w:color="000000" w:space="0" w:sz="8" w:val="single"/>
              <w:left w:color="000000" w:space="0" w:sz="0" w:val="nil"/>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B4">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 </w:t>
            </w:r>
          </w:p>
        </w:tc>
        <w:tc>
          <w:tcPr>
            <w:gridSpan w:val="3"/>
            <w:tcBorders>
              <w:top w:color="000000" w:space="0" w:sz="8" w:val="single"/>
              <w:left w:color="000000" w:space="0" w:sz="0" w:val="nil"/>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B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b w:val="1"/>
                <w:sz w:val="16"/>
                <w:szCs w:val="16"/>
                <w:rtl w:val="0"/>
              </w:rPr>
              <w:t xml:space="preserve">Group intervention</w:t>
            </w: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B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b w:val="1"/>
                <w:sz w:val="16"/>
                <w:szCs w:val="16"/>
                <w:rtl w:val="0"/>
              </w:rPr>
              <w:t xml:space="preserve">Individual expert intervention</w:t>
            </w:r>
            <w:r w:rsidDel="00000000" w:rsidR="00000000" w:rsidRPr="00000000">
              <w:rPr>
                <w:rtl w:val="0"/>
              </w:rPr>
            </w:r>
          </w:p>
        </w:tc>
      </w:tr>
      <w:tr>
        <w:trPr>
          <w:cantSplit w:val="0"/>
          <w:tblHeader w:val="1"/>
        </w:trPr>
        <w:tc>
          <w:tcPr>
            <w:tcBorders>
              <w:top w:color="000000" w:space="0" w:sz="8" w:val="single"/>
              <w:left w:color="000000" w:space="0" w:sz="0" w:val="nil"/>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B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b w:val="1"/>
                <w:sz w:val="16"/>
                <w:szCs w:val="16"/>
                <w:rtl w:val="0"/>
              </w:rPr>
              <w:t xml:space="preserve">Variable</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B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b w:val="1"/>
                <w:sz w:val="16"/>
                <w:szCs w:val="16"/>
                <w:rtl w:val="0"/>
              </w:rPr>
              <w:t xml:space="preserve">Dropout</w:t>
            </w:r>
            <w:r w:rsidDel="00000000" w:rsidR="00000000" w:rsidRPr="00000000">
              <w:rPr>
                <w:sz w:val="16"/>
                <w:szCs w:val="16"/>
                <w:rtl w:val="0"/>
              </w:rPr>
              <w:t xml:space="preserve">, N = 52</w:t>
            </w:r>
            <w:r w:rsidDel="00000000" w:rsidR="00000000" w:rsidRPr="00000000">
              <w:rPr>
                <w:sz w:val="16"/>
                <w:szCs w:val="16"/>
                <w:vertAlign w:val="superscript"/>
                <w:rtl w:val="0"/>
              </w:rPr>
              <w:t xml:space="preserve">a</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B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b w:val="1"/>
                <w:sz w:val="16"/>
                <w:szCs w:val="16"/>
                <w:rtl w:val="0"/>
              </w:rPr>
              <w:t xml:space="preserve">No dropout</w:t>
            </w:r>
            <w:r w:rsidDel="00000000" w:rsidR="00000000" w:rsidRPr="00000000">
              <w:rPr>
                <w:sz w:val="16"/>
                <w:szCs w:val="16"/>
                <w:rtl w:val="0"/>
              </w:rPr>
              <w:t xml:space="preserve">, N = 33</w:t>
            </w:r>
            <w:r w:rsidDel="00000000" w:rsidR="00000000" w:rsidRPr="00000000">
              <w:rPr>
                <w:sz w:val="16"/>
                <w:szCs w:val="16"/>
                <w:vertAlign w:val="superscript"/>
                <w:rtl w:val="0"/>
              </w:rPr>
              <w:t xml:space="preserve">a</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B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b w:val="1"/>
                <w:sz w:val="16"/>
                <w:szCs w:val="16"/>
                <w:rtl w:val="0"/>
              </w:rPr>
              <w:t xml:space="preserve">p-value</w:t>
            </w:r>
            <w:r w:rsidDel="00000000" w:rsidR="00000000" w:rsidRPr="00000000">
              <w:rPr>
                <w:sz w:val="16"/>
                <w:szCs w:val="16"/>
                <w:vertAlign w:val="superscript"/>
                <w:rtl w:val="0"/>
              </w:rPr>
              <w:t xml:space="preserve">b</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B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b w:val="1"/>
                <w:sz w:val="16"/>
                <w:szCs w:val="16"/>
                <w:rtl w:val="0"/>
              </w:rPr>
              <w:t xml:space="preserve">Dropout</w:t>
            </w:r>
            <w:r w:rsidDel="00000000" w:rsidR="00000000" w:rsidRPr="00000000">
              <w:rPr>
                <w:sz w:val="16"/>
                <w:szCs w:val="16"/>
                <w:rtl w:val="0"/>
              </w:rPr>
              <w:t xml:space="preserve">, N = 22</w:t>
            </w:r>
            <w:r w:rsidDel="00000000" w:rsidR="00000000" w:rsidRPr="00000000">
              <w:rPr>
                <w:sz w:val="16"/>
                <w:szCs w:val="16"/>
                <w:vertAlign w:val="superscript"/>
                <w:rtl w:val="0"/>
              </w:rPr>
              <w:t xml:space="preserve">a</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C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b w:val="1"/>
                <w:sz w:val="16"/>
                <w:szCs w:val="16"/>
                <w:rtl w:val="0"/>
              </w:rPr>
              <w:t xml:space="preserve">No dropout</w:t>
            </w:r>
            <w:r w:rsidDel="00000000" w:rsidR="00000000" w:rsidRPr="00000000">
              <w:rPr>
                <w:sz w:val="16"/>
                <w:szCs w:val="16"/>
                <w:rtl w:val="0"/>
              </w:rPr>
              <w:t xml:space="preserve">, N = 45</w:t>
            </w:r>
            <w:r w:rsidDel="00000000" w:rsidR="00000000" w:rsidRPr="00000000">
              <w:rPr>
                <w:sz w:val="16"/>
                <w:szCs w:val="16"/>
                <w:vertAlign w:val="superscript"/>
                <w:rtl w:val="0"/>
              </w:rPr>
              <w:t xml:space="preserve">a</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C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b w:val="1"/>
                <w:sz w:val="16"/>
                <w:szCs w:val="16"/>
                <w:rtl w:val="0"/>
              </w:rPr>
              <w:t xml:space="preserve">p-value</w:t>
            </w:r>
            <w:r w:rsidDel="00000000" w:rsidR="00000000" w:rsidRPr="00000000">
              <w:rPr>
                <w:rtl w:val="0"/>
              </w:rPr>
            </w:r>
          </w:p>
        </w:tc>
      </w:tr>
      <w:tr>
        <w:trPr>
          <w:cantSplit w:val="0"/>
          <w:tblHeader w:val="0"/>
        </w:trPr>
        <w:tc>
          <w:tcPr>
            <w:tcBorders>
              <w:top w:color="000000" w:space="0" w:sz="8" w:val="single"/>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C2">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Gender</w:t>
            </w:r>
          </w:p>
        </w:tc>
        <w:tc>
          <w:tcPr>
            <w:tcBorders>
              <w:top w:color="000000" w:space="0" w:sz="8" w:val="single"/>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C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C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C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0.7</w:t>
            </w:r>
          </w:p>
        </w:tc>
        <w:tc>
          <w:tcPr>
            <w:tcBorders>
              <w:top w:color="000000" w:space="0" w:sz="8" w:val="single"/>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C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C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C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0.2</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C9">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Male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C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32 (62%)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C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19 (58%)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C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C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16 (73%)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C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26 (58%)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C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D0">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Female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D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20 (38%)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D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14 (42%)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D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D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6 (27%)</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D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19 (42%)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D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D7">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Age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D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30.65 (8.79)</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D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30.73 (9.31)</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D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&gt;0.9</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D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29.23 (11.44)</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D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34.71 (11.43)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D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0.072</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DE">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Housing</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D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E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E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0.4</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E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E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E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0.082</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E5">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Other accommodation</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E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29 (56%)</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E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15 (45%)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E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E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14 (64%)</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E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18 (41%)</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E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EC">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Refugee accommodation</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E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23 (44%)</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E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18 (55%)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E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F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8 (36%)</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F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26 (59%)</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F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F3">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Residence status</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F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F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F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0.7</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F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F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F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0.5</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FA">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Insecure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F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5 (9.6%)</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F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 (6.3%)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F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F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 (9.1%)</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F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8 (18%)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0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01">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Secure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0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47 (90%)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0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30 (94%)</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0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0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20 (91%)</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0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37 (82%)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0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08">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Marital status</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0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0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0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0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0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0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0.7</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0F">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Post-relationship</w:t>
            </w:r>
            <w:r w:rsidDel="00000000" w:rsidR="00000000" w:rsidRPr="00000000">
              <w:rPr>
                <w:sz w:val="16"/>
                <w:szCs w:val="16"/>
                <w:vertAlign w:val="superscript"/>
                <w:rtl w:val="0"/>
              </w:rPr>
              <w:t xml:space="preserve">c</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1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6 (12%)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1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5 (15%)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1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1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 (9.1%)</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1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6 (13%)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1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16">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Single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1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23 (44%)</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1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16 (48%)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1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1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11 (50%)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1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17 (38%)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1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1D">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Married</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1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23 (44%)</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1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12 (36%)</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2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2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9 (41%)</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2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22 (49%)</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2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24">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MADRS score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2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24.06 (9.92)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2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22.91 (9.02)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2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0.6</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2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26.86 (10.89)</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2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27.27 (8.87)</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2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0.9</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2B">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HTQ score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2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2.49 (0.61)</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2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2.53 (0.52)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2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2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2.84 (0.58)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3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2.85 (0.56)</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3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&gt;0.9</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32">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BRS score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3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2.69 (0.71)</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3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2.87 (0.94)</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3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3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2.47 (0.69)</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3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2.70 (0.93)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3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0.3</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39">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GSE score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3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24.33 (7.27)</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3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23.79 (7.13)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3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0.7</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3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23.00 (6.90)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3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22.89 (8.78)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3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&gt;0.9</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40">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Social status difference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4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-1.12 (1.24)</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4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-0.85 (1.20)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4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4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-1.71 (1.19)</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4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-1.05 (1.41)</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4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0.054</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47">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WHOQOL-Social scale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4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2.87 (0.87)</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4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2.69 (0.70)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4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4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2.75 (1.24)</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4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2.46 (0.97)</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4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0.4</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4E">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WHOQOL-Physical health scale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4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2.92 (0.68)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5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2.95 (0.62)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5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5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2.94 (0.86)</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5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2.86 (0.69)</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5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0.7</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55">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WHOQOL-Psychological health scale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5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2.55 (0.55)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5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2.74 (0.60)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5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5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2.52 (0.70)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5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2.18 (0.66)</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5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0.078</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5C">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SDQ-Emotional problem scale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5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2.33 (0.43)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5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2.53 (0.44)</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5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6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2.52 (0.48)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6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2.66 (0.38)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6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0.2</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63">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SDQ-Conductance problem scale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6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1.58 (0.32)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6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1.67 (0.30)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6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6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1.62 (0.33)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6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1.69 (0.36)</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6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0.5</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6A">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SDQ-Hyperactivity scale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6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2.04 (0.38)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6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1.99 (0.36)</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6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0.6</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6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2.18 (0.46)</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6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2.15 (0.41)</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7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0.8</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71">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SDQ-Prosocial scale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7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2.69 (0.36)</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7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2.74 (0.29)</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7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7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2.70 (0.39)</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7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2.77 (0.27)</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7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0.4</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78">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SDQ-Peer problem scale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7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2.01 (0.39)</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7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1.86 (0.33)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7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0.070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7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1.93 (0.43)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7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1.96 (0.43)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7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0.8</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7F">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Medication</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8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8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8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0.4</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8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8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8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0.2</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86">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Yes</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8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17 (33%)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8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14 (42%)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8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8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9 (43%)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8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26 (59%)</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8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8D">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No</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8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35 (67%)</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8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19 (58%)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9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9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12 (57%)</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9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18 (41%)</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9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94">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Psychotherapy</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9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9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9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0.7</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9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9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9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0.7</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9B">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Yes</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9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11 (22%)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9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6 (18%)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9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9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 (15%)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A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9 (20%)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A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A2">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No</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A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40 (78%)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A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27 (82%)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A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A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17 (85%)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A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35 (80%)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A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A9">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Migrant identity</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A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A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A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0.7</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A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A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A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0.7</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B0">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Not yes</w:t>
            </w:r>
            <w:r w:rsidDel="00000000" w:rsidR="00000000" w:rsidRPr="00000000">
              <w:rPr>
                <w:sz w:val="16"/>
                <w:szCs w:val="16"/>
                <w:vertAlign w:val="superscript"/>
                <w:rtl w:val="0"/>
              </w:rPr>
              <w:t xml:space="preserv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B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8 (15%)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B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6 (18%)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B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B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 (15%)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B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10 (23%)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B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B7">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Yes</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B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44 (85%)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B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27 (82%)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B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B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17 (85%)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B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34 (77%)</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B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BE">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Last residence country</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B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C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C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&gt;0.9</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C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C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C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0.2</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C5">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Afghanistan</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C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11 (22%)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C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10 (30%)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C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C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10 (45%)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C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12 (27%)</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C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CC">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Iran</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C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9 (18%)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C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4 (12%)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C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D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 (9.1%)</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D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8 (18%)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D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D3">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Syria</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D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14 (27%)</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D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8 (24%)</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D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D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 (9.1%)</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D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13 (29%)</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D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DA">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Turkey</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D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6 (12%)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D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4 (12%)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D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D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 (9.1%)</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D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 (4.4%)</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E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E1">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Other</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E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11 (22%)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E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7 (21%)</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E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E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6 (27%)</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E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10 (22%)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E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E8">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Years of schooling</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E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9.22 (4.33)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E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7.91 (4.03)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E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E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8.70 (4.11)</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E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9.35 (3.64)</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E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0.5</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EF">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Occupation</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F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F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F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0.7</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F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F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F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0.8</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F6">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Unemployed</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F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46 (90%)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F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27 (87%)</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F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F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18 (82%)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F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33 (75%)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F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FD">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Employed</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F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5 (9.8%)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F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4 (13%)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0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0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4 (18%)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0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11 (25%)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0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04">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Sense of cultural belonging</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0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0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0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0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0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0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0.8</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0B">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Culture of country of origin</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0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27 (53%)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0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16 (50%)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0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0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10 (50%)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1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23 (53%)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1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12">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Not culture of origin</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1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24 (47%)</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1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16 (50%)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1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1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10 (50%)</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1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20 (47%)</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1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19">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Sense of disconnect</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1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0.57 (0.18)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1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0.62 (0.19)</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1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1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0.65 (0.17)</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1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0.63 (0.21)</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1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0.8</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20">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Flight reason</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2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2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2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2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2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2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0.5</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27">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One reason</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2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33 (63%)</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2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20 (61%)</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2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2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14 (64%)</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2C">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25 (56%)</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2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2E">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More than one reason</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2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19 (37%)</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3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13 (39%)</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3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3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8 (36%)</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33">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20 (44%)</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3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35">
            <w:pPr>
              <w:pBdr>
                <w:top w:color="000000" w:space="0" w:sz="0" w:val="none"/>
                <w:left w:color="000000" w:space="0" w:sz="0" w:val="none"/>
                <w:bottom w:color="000000" w:space="0" w:sz="0" w:val="none"/>
                <w:right w:color="000000" w:space="0" w:sz="0" w:val="none"/>
              </w:pBdr>
              <w:spacing w:line="240" w:lineRule="auto"/>
              <w:ind w:left="100" w:right="100" w:firstLine="0"/>
              <w:rPr>
                <w:sz w:val="16"/>
                <w:szCs w:val="16"/>
              </w:rPr>
            </w:pPr>
            <w:r w:rsidDel="00000000" w:rsidR="00000000" w:rsidRPr="00000000">
              <w:rPr>
                <w:sz w:val="16"/>
                <w:szCs w:val="16"/>
                <w:rtl w:val="0"/>
              </w:rPr>
              <w:t xml:space="preserve">Means of flight</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3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3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3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&gt;0.9</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3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3A">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3B">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0.5</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3C">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Alone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3D">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23 (44%)</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3E">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15 (45%)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3F">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40">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10 (48%)</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41">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17 (39%)</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42">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43">
            <w:pPr>
              <w:pBdr>
                <w:top w:color="000000" w:space="0" w:sz="0" w:val="none"/>
                <w:left w:color="000000" w:space="0" w:sz="0" w:val="none"/>
                <w:bottom w:color="000000" w:space="0" w:sz="0" w:val="none"/>
                <w:right w:color="000000" w:space="0" w:sz="0" w:val="none"/>
              </w:pBdr>
              <w:spacing w:line="240" w:lineRule="auto"/>
              <w:ind w:left="300" w:right="100" w:firstLine="0"/>
              <w:rPr>
                <w:sz w:val="16"/>
                <w:szCs w:val="16"/>
              </w:rPr>
            </w:pPr>
            <w:r w:rsidDel="00000000" w:rsidR="00000000" w:rsidRPr="00000000">
              <w:rPr>
                <w:sz w:val="16"/>
                <w:szCs w:val="16"/>
                <w:rtl w:val="0"/>
              </w:rPr>
              <w:t xml:space="preserve">Not alone</w:t>
            </w:r>
          </w:p>
        </w:tc>
        <w:tc>
          <w:tcPr>
            <w:tcBorders>
              <w:top w:color="000000" w:space="0" w:sz="0" w:val="nil"/>
              <w:left w:color="000000" w:space="0" w:sz="0" w:val="nil"/>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44">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29 (56%)</w:t>
            </w:r>
          </w:p>
        </w:tc>
        <w:tc>
          <w:tcPr>
            <w:tcBorders>
              <w:top w:color="000000" w:space="0" w:sz="0" w:val="nil"/>
              <w:left w:color="000000" w:space="0" w:sz="0" w:val="nil"/>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45">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18 (55%)</w:t>
            </w:r>
          </w:p>
        </w:tc>
        <w:tc>
          <w:tcPr>
            <w:tcBorders>
              <w:top w:color="000000" w:space="0" w:sz="0" w:val="nil"/>
              <w:left w:color="000000" w:space="0" w:sz="0" w:val="nil"/>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46">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47">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11 (52%)</w:t>
            </w:r>
          </w:p>
        </w:tc>
        <w:tc>
          <w:tcPr>
            <w:tcBorders>
              <w:top w:color="000000" w:space="0" w:sz="0" w:val="nil"/>
              <w:left w:color="000000" w:space="0" w:sz="0" w:val="nil"/>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48">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sz w:val="16"/>
                <w:szCs w:val="16"/>
                <w:rtl w:val="0"/>
              </w:rPr>
              <w:t xml:space="preserve">27 (61%)</w:t>
            </w:r>
          </w:p>
        </w:tc>
        <w:tc>
          <w:tcPr>
            <w:tcBorders>
              <w:top w:color="000000" w:space="0" w:sz="0" w:val="nil"/>
              <w:left w:color="000000" w:space="0" w:sz="0" w:val="nil"/>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49">
            <w:pPr>
              <w:pBdr>
                <w:top w:color="000000" w:space="0" w:sz="0" w:val="none"/>
                <w:left w:color="000000" w:space="0" w:sz="0" w:val="none"/>
                <w:bottom w:color="000000" w:space="0" w:sz="0" w:val="none"/>
                <w:right w:color="000000" w:space="0" w:sz="0" w:val="none"/>
              </w:pBdr>
              <w:spacing w:line="240" w:lineRule="auto"/>
              <w:ind w:left="100" w:right="100" w:firstLine="0"/>
              <w:jc w:val="center"/>
              <w:rPr>
                <w:sz w:val="16"/>
                <w:szCs w:val="16"/>
              </w:rPr>
            </w:pPr>
            <w:r w:rsidDel="00000000" w:rsidR="00000000" w:rsidRPr="00000000">
              <w:rPr>
                <w:rtl w:val="0"/>
              </w:rPr>
            </w:r>
          </w:p>
        </w:tc>
      </w:tr>
      <w:tr>
        <w:trPr>
          <w:cantSplit w:val="0"/>
          <w:tblHeader w:val="0"/>
        </w:trPr>
        <w:tc>
          <w:tcPr>
            <w:gridSpan w:val="7"/>
            <w:tcBorders>
              <w:top w:color="000000" w:space="0" w:sz="8" w:val="single"/>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4A">
            <w:pPr>
              <w:pBdr>
                <w:top w:color="000000" w:space="0" w:sz="0" w:val="none"/>
                <w:left w:color="000000" w:space="0" w:sz="0" w:val="none"/>
                <w:bottom w:color="000000" w:space="0" w:sz="0" w:val="none"/>
                <w:right w:color="000000" w:space="0" w:sz="0" w:val="none"/>
              </w:pBdr>
              <w:spacing w:line="480" w:lineRule="auto"/>
              <w:ind w:left="100" w:right="100" w:firstLine="0"/>
              <w:rPr>
                <w:i w:val="1"/>
                <w:sz w:val="16"/>
                <w:szCs w:val="16"/>
              </w:rPr>
            </w:pPr>
            <w:r w:rsidDel="00000000" w:rsidR="00000000" w:rsidRPr="00000000">
              <w:rPr>
                <w:rtl w:val="0"/>
              </w:rPr>
            </w:r>
          </w:p>
          <w:p w:rsidR="00000000" w:rsidDel="00000000" w:rsidP="00000000" w:rsidRDefault="00000000" w:rsidRPr="00000000" w14:paraId="0000034B">
            <w:pPr>
              <w:pBdr>
                <w:top w:color="000000" w:space="0" w:sz="0" w:val="none"/>
                <w:left w:color="000000" w:space="0" w:sz="0" w:val="none"/>
                <w:bottom w:color="000000" w:space="0" w:sz="0" w:val="none"/>
                <w:right w:color="000000" w:space="0" w:sz="0" w:val="none"/>
              </w:pBdr>
              <w:spacing w:line="480" w:lineRule="auto"/>
              <w:ind w:left="100" w:right="100" w:firstLine="0"/>
              <w:rPr>
                <w:sz w:val="16"/>
                <w:szCs w:val="16"/>
              </w:rPr>
            </w:pPr>
            <w:r w:rsidDel="00000000" w:rsidR="00000000" w:rsidRPr="00000000">
              <w:rPr>
                <w:i w:val="1"/>
                <w:sz w:val="16"/>
                <w:szCs w:val="16"/>
                <w:rtl w:val="0"/>
              </w:rPr>
              <w:t xml:space="preserve">Note</w:t>
            </w:r>
            <w:r w:rsidDel="00000000" w:rsidR="00000000" w:rsidRPr="00000000">
              <w:rPr>
                <w:sz w:val="16"/>
                <w:szCs w:val="16"/>
                <w:rtl w:val="0"/>
              </w:rPr>
              <w:t xml:space="preserve">. n = Number, SD = Standard deviation, MADRS = Montgomery Asberg Depression Rating Scale, HTQ = Harvard Trauma Questionnaire, BRS = Brief Resilience Scale, GSE = Generalized Self-Efficacy Scale, SDQ = Strengths and Difficulties Questionnaire, WHOQOL = World Health Organisation Quality of Life. Number of observations does not add up to overall sample size for all variables since statistics are computed for non-imputed data. </w:t>
            </w:r>
          </w:p>
        </w:tc>
      </w:tr>
      <w:tr>
        <w:trPr>
          <w:cantSplit w:val="0"/>
          <w:tblHeader w:val="0"/>
        </w:trPr>
        <w:tc>
          <w:tcPr>
            <w:gridSpan w:val="7"/>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52">
            <w:pPr>
              <w:pBdr>
                <w:top w:color="000000" w:space="0" w:sz="0" w:val="none"/>
                <w:left w:color="000000" w:space="0" w:sz="0" w:val="none"/>
                <w:bottom w:color="000000" w:space="0" w:sz="0" w:val="none"/>
                <w:right w:color="000000" w:space="0" w:sz="0" w:val="none"/>
              </w:pBdr>
              <w:spacing w:line="480" w:lineRule="auto"/>
              <w:ind w:left="100" w:right="100" w:firstLine="0"/>
              <w:rPr>
                <w:sz w:val="16"/>
                <w:szCs w:val="16"/>
              </w:rPr>
            </w:pPr>
            <w:r w:rsidDel="00000000" w:rsidR="00000000" w:rsidRPr="00000000">
              <w:rPr>
                <w:sz w:val="16"/>
                <w:szCs w:val="16"/>
                <w:vertAlign w:val="superscript"/>
                <w:rtl w:val="0"/>
              </w:rPr>
              <w:t xml:space="preserve">a</w:t>
            </w:r>
            <w:r w:rsidDel="00000000" w:rsidR="00000000" w:rsidRPr="00000000">
              <w:rPr>
                <w:sz w:val="16"/>
                <w:szCs w:val="16"/>
                <w:rtl w:val="0"/>
              </w:rPr>
              <w:t xml:space="preserve">n (%) for categorical variables; Mean (SD) for metric variables. </w:t>
            </w:r>
            <w:r w:rsidDel="00000000" w:rsidR="00000000" w:rsidRPr="00000000">
              <w:rPr>
                <w:sz w:val="16"/>
                <w:szCs w:val="16"/>
                <w:vertAlign w:val="superscript"/>
                <w:rtl w:val="0"/>
              </w:rPr>
              <w:t xml:space="preserve">b</w:t>
            </w:r>
            <w:r w:rsidDel="00000000" w:rsidR="00000000" w:rsidRPr="00000000">
              <w:rPr>
                <w:sz w:val="16"/>
                <w:szCs w:val="16"/>
                <w:rtl w:val="0"/>
              </w:rPr>
              <w:t xml:space="preserve">Fisher's exact test or Pearson's Chi-squared test for categorical variables; Welch Two Sample t-test for metric variables. </w:t>
            </w:r>
            <w:r w:rsidDel="00000000" w:rsidR="00000000" w:rsidRPr="00000000">
              <w:rPr>
                <w:sz w:val="16"/>
                <w:szCs w:val="16"/>
                <w:vertAlign w:val="superscript"/>
                <w:rtl w:val="0"/>
              </w:rPr>
              <w:t xml:space="preserve">c</w:t>
            </w:r>
            <w:r w:rsidDel="00000000" w:rsidR="00000000" w:rsidRPr="00000000">
              <w:rPr>
                <w:sz w:val="16"/>
                <w:szCs w:val="16"/>
                <w:rtl w:val="0"/>
              </w:rPr>
              <w:t xml:space="preserve">Includes response options “divorced/separated” and “widowed”. </w:t>
            </w:r>
            <w:r w:rsidDel="00000000" w:rsidR="00000000" w:rsidRPr="00000000">
              <w:rPr>
                <w:sz w:val="16"/>
                <w:szCs w:val="16"/>
                <w:vertAlign w:val="superscript"/>
                <w:rtl w:val="0"/>
              </w:rPr>
              <w:t xml:space="preserve">d</w:t>
            </w:r>
            <w:r w:rsidDel="00000000" w:rsidR="00000000" w:rsidRPr="00000000">
              <w:rPr>
                <w:sz w:val="16"/>
                <w:szCs w:val="16"/>
                <w:rtl w:val="0"/>
              </w:rPr>
              <w:t xml:space="preserve">Contains the response options “No”, “Rather not”, and “Undecided”.</w:t>
            </w:r>
          </w:p>
        </w:tc>
      </w:tr>
    </w:tbl>
    <w:p w:rsidR="00000000" w:rsidDel="00000000" w:rsidP="00000000" w:rsidRDefault="00000000" w:rsidRPr="00000000" w14:paraId="00000359">
      <w:pPr>
        <w:rPr>
          <w:rFonts w:ascii="Cambria" w:cs="Cambria" w:eastAsia="Cambria" w:hAnsi="Cambria"/>
        </w:rPr>
        <w:sectPr>
          <w:type w:val="nextPage"/>
          <w:pgSz w:h="11909" w:w="16834"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35A">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References: </w:t>
      </w:r>
    </w:p>
    <w:p w:rsidR="00000000" w:rsidDel="00000000" w:rsidP="00000000" w:rsidRDefault="00000000" w:rsidRPr="00000000" w14:paraId="0000035B">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35C">
      <w:pPr>
        <w:pBdr>
          <w:top w:space="0" w:sz="0" w:val="nil"/>
          <w:left w:space="0" w:sz="0" w:val="nil"/>
          <w:bottom w:space="0" w:sz="0" w:val="nil"/>
          <w:right w:space="0" w:sz="0" w:val="nil"/>
          <w:between w:space="0" w:sz="0" w:val="nil"/>
        </w:pBdr>
        <w:spacing w:line="240" w:lineRule="auto"/>
        <w:ind w:left="720" w:hanging="72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Development of the World Health Organization WHOQOL-BREF quality of life assessment. The WHOQOL Group. (1998). </w:t>
      </w:r>
      <w:r w:rsidDel="00000000" w:rsidR="00000000" w:rsidRPr="00000000">
        <w:rPr>
          <w:rFonts w:ascii="Cambria" w:cs="Cambria" w:eastAsia="Cambria" w:hAnsi="Cambria"/>
          <w:i w:val="1"/>
          <w:color w:val="000000"/>
          <w:sz w:val="20"/>
          <w:szCs w:val="20"/>
          <w:rtl w:val="0"/>
        </w:rPr>
        <w:t xml:space="preserve">Psychol Med</w:t>
      </w:r>
      <w:r w:rsidDel="00000000" w:rsidR="00000000" w:rsidRPr="00000000">
        <w:rPr>
          <w:rFonts w:ascii="Cambria" w:cs="Cambria" w:eastAsia="Cambria" w:hAnsi="Cambria"/>
          <w:color w:val="000000"/>
          <w:sz w:val="20"/>
          <w:szCs w:val="20"/>
          <w:rtl w:val="0"/>
        </w:rPr>
        <w:t xml:space="preserve">,</w:t>
      </w:r>
      <w:r w:rsidDel="00000000" w:rsidR="00000000" w:rsidRPr="00000000">
        <w:rPr>
          <w:rFonts w:ascii="Cambria" w:cs="Cambria" w:eastAsia="Cambria" w:hAnsi="Cambria"/>
          <w:i w:val="1"/>
          <w:color w:val="000000"/>
          <w:sz w:val="20"/>
          <w:szCs w:val="20"/>
          <w:rtl w:val="0"/>
        </w:rPr>
        <w:t xml:space="preserve"> 28</w:t>
      </w:r>
      <w:r w:rsidDel="00000000" w:rsidR="00000000" w:rsidRPr="00000000">
        <w:rPr>
          <w:rFonts w:ascii="Cambria" w:cs="Cambria" w:eastAsia="Cambria" w:hAnsi="Cambria"/>
          <w:color w:val="000000"/>
          <w:sz w:val="20"/>
          <w:szCs w:val="20"/>
          <w:rtl w:val="0"/>
        </w:rPr>
        <w:t xml:space="preserve">(3), 551-558. </w:t>
      </w:r>
      <w:hyperlink r:id="rId7">
        <w:r w:rsidDel="00000000" w:rsidR="00000000" w:rsidRPr="00000000">
          <w:rPr>
            <w:rFonts w:ascii="Cambria" w:cs="Cambria" w:eastAsia="Cambria" w:hAnsi="Cambria"/>
            <w:color w:val="0000ff"/>
            <w:sz w:val="20"/>
            <w:szCs w:val="20"/>
            <w:u w:val="single"/>
            <w:rtl w:val="0"/>
          </w:rPr>
          <w:t xml:space="preserve">https://doi.org/10.1017/s0033291798006667</w:t>
        </w:r>
      </w:hyperlink>
      <w:r w:rsidDel="00000000" w:rsidR="00000000" w:rsidRPr="00000000">
        <w:rPr>
          <w:rFonts w:ascii="Cambria" w:cs="Cambria" w:eastAsia="Cambria" w:hAnsi="Cambria"/>
          <w:color w:val="000000"/>
          <w:sz w:val="20"/>
          <w:szCs w:val="20"/>
          <w:rtl w:val="0"/>
        </w:rPr>
        <w:t xml:space="preserve"> </w:t>
      </w:r>
    </w:p>
    <w:p w:rsidR="00000000" w:rsidDel="00000000" w:rsidP="00000000" w:rsidRDefault="00000000" w:rsidRPr="00000000" w14:paraId="0000035D">
      <w:pPr>
        <w:pBdr>
          <w:top w:space="0" w:sz="0" w:val="nil"/>
          <w:left w:space="0" w:sz="0" w:val="nil"/>
          <w:bottom w:space="0" w:sz="0" w:val="nil"/>
          <w:right w:space="0" w:sz="0" w:val="nil"/>
          <w:between w:space="0" w:sz="0" w:val="nil"/>
        </w:pBdr>
        <w:spacing w:line="240" w:lineRule="auto"/>
        <w:ind w:left="720" w:hanging="72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Fuchs, L. M., Jacobsen, J., Walther, L., Hahn, E., Ta, T. M. T., Bajbouj, M., &amp; von Scheve, C. (2021). The Challenged Sense of Belonging Scale (CSBS)—a validation study in English, Arabic, and Farsi/Dari among refugees and asylum seekers in Germany. </w:t>
      </w:r>
      <w:r w:rsidDel="00000000" w:rsidR="00000000" w:rsidRPr="00000000">
        <w:rPr>
          <w:rFonts w:ascii="Cambria" w:cs="Cambria" w:eastAsia="Cambria" w:hAnsi="Cambria"/>
          <w:i w:val="1"/>
          <w:color w:val="000000"/>
          <w:sz w:val="20"/>
          <w:szCs w:val="20"/>
          <w:rtl w:val="0"/>
        </w:rPr>
        <w:t xml:space="preserve">Measurement Instruments for the Social Sciences</w:t>
      </w:r>
      <w:r w:rsidDel="00000000" w:rsidR="00000000" w:rsidRPr="00000000">
        <w:rPr>
          <w:rFonts w:ascii="Cambria" w:cs="Cambria" w:eastAsia="Cambria" w:hAnsi="Cambria"/>
          <w:color w:val="000000"/>
          <w:sz w:val="20"/>
          <w:szCs w:val="20"/>
          <w:rtl w:val="0"/>
        </w:rPr>
        <w:t xml:space="preserve">,</w:t>
      </w:r>
      <w:r w:rsidDel="00000000" w:rsidR="00000000" w:rsidRPr="00000000">
        <w:rPr>
          <w:rFonts w:ascii="Cambria" w:cs="Cambria" w:eastAsia="Cambria" w:hAnsi="Cambria"/>
          <w:i w:val="1"/>
          <w:color w:val="000000"/>
          <w:sz w:val="20"/>
          <w:szCs w:val="20"/>
          <w:rtl w:val="0"/>
        </w:rPr>
        <w:t xml:space="preserve"> 3</w:t>
      </w:r>
      <w:r w:rsidDel="00000000" w:rsidR="00000000" w:rsidRPr="00000000">
        <w:rPr>
          <w:rFonts w:ascii="Cambria" w:cs="Cambria" w:eastAsia="Cambria" w:hAnsi="Cambria"/>
          <w:color w:val="000000"/>
          <w:sz w:val="20"/>
          <w:szCs w:val="20"/>
          <w:rtl w:val="0"/>
        </w:rPr>
        <w:t xml:space="preserve">(1), 3. </w:t>
      </w:r>
      <w:hyperlink r:id="rId8">
        <w:r w:rsidDel="00000000" w:rsidR="00000000" w:rsidRPr="00000000">
          <w:rPr>
            <w:rFonts w:ascii="Cambria" w:cs="Cambria" w:eastAsia="Cambria" w:hAnsi="Cambria"/>
            <w:color w:val="0000ff"/>
            <w:sz w:val="20"/>
            <w:szCs w:val="20"/>
            <w:u w:val="single"/>
            <w:rtl w:val="0"/>
          </w:rPr>
          <w:t xml:space="preserve">https://doi.org/10.1186/s42409-021-00021-y</w:t>
        </w:r>
      </w:hyperlink>
      <w:r w:rsidDel="00000000" w:rsidR="00000000" w:rsidRPr="00000000">
        <w:rPr>
          <w:rFonts w:ascii="Cambria" w:cs="Cambria" w:eastAsia="Cambria" w:hAnsi="Cambria"/>
          <w:color w:val="000000"/>
          <w:sz w:val="20"/>
          <w:szCs w:val="20"/>
          <w:rtl w:val="0"/>
        </w:rPr>
        <w:t xml:space="preserve"> </w:t>
      </w:r>
    </w:p>
    <w:p w:rsidR="00000000" w:rsidDel="00000000" w:rsidP="00000000" w:rsidRDefault="00000000" w:rsidRPr="00000000" w14:paraId="0000035E">
      <w:pPr>
        <w:pBdr>
          <w:top w:space="0" w:sz="0" w:val="nil"/>
          <w:left w:space="0" w:sz="0" w:val="nil"/>
          <w:bottom w:space="0" w:sz="0" w:val="nil"/>
          <w:right w:space="0" w:sz="0" w:val="nil"/>
          <w:between w:space="0" w:sz="0" w:val="nil"/>
        </w:pBdr>
        <w:spacing w:line="240" w:lineRule="auto"/>
        <w:ind w:left="720" w:hanging="72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Goodman, R. (1997). The Strengths and Difficulties Questionnaire: a research note. </w:t>
      </w:r>
      <w:r w:rsidDel="00000000" w:rsidR="00000000" w:rsidRPr="00000000">
        <w:rPr>
          <w:rFonts w:ascii="Cambria" w:cs="Cambria" w:eastAsia="Cambria" w:hAnsi="Cambria"/>
          <w:i w:val="1"/>
          <w:color w:val="000000"/>
          <w:sz w:val="20"/>
          <w:szCs w:val="20"/>
          <w:rtl w:val="0"/>
        </w:rPr>
        <w:t xml:space="preserve">J Child Psychol Psychiatry</w:t>
      </w:r>
      <w:r w:rsidDel="00000000" w:rsidR="00000000" w:rsidRPr="00000000">
        <w:rPr>
          <w:rFonts w:ascii="Cambria" w:cs="Cambria" w:eastAsia="Cambria" w:hAnsi="Cambria"/>
          <w:color w:val="000000"/>
          <w:sz w:val="20"/>
          <w:szCs w:val="20"/>
          <w:rtl w:val="0"/>
        </w:rPr>
        <w:t xml:space="preserve">,</w:t>
      </w:r>
      <w:r w:rsidDel="00000000" w:rsidR="00000000" w:rsidRPr="00000000">
        <w:rPr>
          <w:rFonts w:ascii="Cambria" w:cs="Cambria" w:eastAsia="Cambria" w:hAnsi="Cambria"/>
          <w:i w:val="1"/>
          <w:color w:val="000000"/>
          <w:sz w:val="20"/>
          <w:szCs w:val="20"/>
          <w:rtl w:val="0"/>
        </w:rPr>
        <w:t xml:space="preserve"> 38</w:t>
      </w:r>
      <w:r w:rsidDel="00000000" w:rsidR="00000000" w:rsidRPr="00000000">
        <w:rPr>
          <w:rFonts w:ascii="Cambria" w:cs="Cambria" w:eastAsia="Cambria" w:hAnsi="Cambria"/>
          <w:color w:val="000000"/>
          <w:sz w:val="20"/>
          <w:szCs w:val="20"/>
          <w:rtl w:val="0"/>
        </w:rPr>
        <w:t xml:space="preserve">(5), 581-586. </w:t>
      </w:r>
      <w:hyperlink r:id="rId9">
        <w:r w:rsidDel="00000000" w:rsidR="00000000" w:rsidRPr="00000000">
          <w:rPr>
            <w:rFonts w:ascii="Cambria" w:cs="Cambria" w:eastAsia="Cambria" w:hAnsi="Cambria"/>
            <w:color w:val="0000ff"/>
            <w:sz w:val="20"/>
            <w:szCs w:val="20"/>
            <w:u w:val="single"/>
            <w:rtl w:val="0"/>
          </w:rPr>
          <w:t xml:space="preserve">https://doi.org/10.1111/j.1469-7610.1997.tb01545.x</w:t>
        </w:r>
      </w:hyperlink>
      <w:r w:rsidDel="00000000" w:rsidR="00000000" w:rsidRPr="00000000">
        <w:rPr>
          <w:rFonts w:ascii="Cambria" w:cs="Cambria" w:eastAsia="Cambria" w:hAnsi="Cambria"/>
          <w:color w:val="000000"/>
          <w:sz w:val="20"/>
          <w:szCs w:val="20"/>
          <w:rtl w:val="0"/>
        </w:rPr>
        <w:t xml:space="preserve"> </w:t>
      </w:r>
    </w:p>
    <w:p w:rsidR="00000000" w:rsidDel="00000000" w:rsidP="00000000" w:rsidRDefault="00000000" w:rsidRPr="00000000" w14:paraId="0000035F">
      <w:pPr>
        <w:pBdr>
          <w:top w:space="0" w:sz="0" w:val="nil"/>
          <w:left w:space="0" w:sz="0" w:val="nil"/>
          <w:bottom w:space="0" w:sz="0" w:val="nil"/>
          <w:right w:space="0" w:sz="0" w:val="nil"/>
          <w:between w:space="0" w:sz="0" w:val="nil"/>
        </w:pBdr>
        <w:spacing w:line="240" w:lineRule="auto"/>
        <w:ind w:left="720" w:hanging="72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Mollica, R. F., Caspi-Yavin, Y., Bollini, P., Truong, T., Tor, S., &amp; Lavelle, J. (1992). The Harvard Trauma Questionnaire. Validating a cross-cultural instrument for measuring torture, trauma, and posttraumatic stress disorder in Indochinese refugees. </w:t>
      </w:r>
      <w:r w:rsidDel="00000000" w:rsidR="00000000" w:rsidRPr="00000000">
        <w:rPr>
          <w:rFonts w:ascii="Cambria" w:cs="Cambria" w:eastAsia="Cambria" w:hAnsi="Cambria"/>
          <w:i w:val="1"/>
          <w:color w:val="000000"/>
          <w:sz w:val="20"/>
          <w:szCs w:val="20"/>
          <w:rtl w:val="0"/>
        </w:rPr>
        <w:t xml:space="preserve">J Nerv Ment Dis</w:t>
      </w:r>
      <w:r w:rsidDel="00000000" w:rsidR="00000000" w:rsidRPr="00000000">
        <w:rPr>
          <w:rFonts w:ascii="Cambria" w:cs="Cambria" w:eastAsia="Cambria" w:hAnsi="Cambria"/>
          <w:color w:val="000000"/>
          <w:sz w:val="20"/>
          <w:szCs w:val="20"/>
          <w:rtl w:val="0"/>
        </w:rPr>
        <w:t xml:space="preserve">,</w:t>
      </w:r>
      <w:r w:rsidDel="00000000" w:rsidR="00000000" w:rsidRPr="00000000">
        <w:rPr>
          <w:rFonts w:ascii="Cambria" w:cs="Cambria" w:eastAsia="Cambria" w:hAnsi="Cambria"/>
          <w:i w:val="1"/>
          <w:color w:val="000000"/>
          <w:sz w:val="20"/>
          <w:szCs w:val="20"/>
          <w:rtl w:val="0"/>
        </w:rPr>
        <w:t xml:space="preserve"> 180</w:t>
      </w:r>
      <w:r w:rsidDel="00000000" w:rsidR="00000000" w:rsidRPr="00000000">
        <w:rPr>
          <w:rFonts w:ascii="Cambria" w:cs="Cambria" w:eastAsia="Cambria" w:hAnsi="Cambria"/>
          <w:color w:val="000000"/>
          <w:sz w:val="20"/>
          <w:szCs w:val="20"/>
          <w:rtl w:val="0"/>
        </w:rPr>
        <w:t xml:space="preserve">(2), 111-116. </w:t>
      </w:r>
    </w:p>
    <w:p w:rsidR="00000000" w:rsidDel="00000000" w:rsidP="00000000" w:rsidRDefault="00000000" w:rsidRPr="00000000" w14:paraId="00000360">
      <w:pPr>
        <w:pBdr>
          <w:top w:space="0" w:sz="0" w:val="nil"/>
          <w:left w:space="0" w:sz="0" w:val="nil"/>
          <w:bottom w:space="0" w:sz="0" w:val="nil"/>
          <w:right w:space="0" w:sz="0" w:val="nil"/>
          <w:between w:space="0" w:sz="0" w:val="nil"/>
        </w:pBdr>
        <w:spacing w:line="240" w:lineRule="auto"/>
        <w:ind w:left="720" w:hanging="72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Schwarzer, R., &amp; Jerusalem, M. (). . (1995). Generalized Self-Efficacy scale. In </w:t>
      </w:r>
      <w:r w:rsidDel="00000000" w:rsidR="00000000" w:rsidRPr="00000000">
        <w:rPr>
          <w:rFonts w:ascii="Cambria" w:cs="Cambria" w:eastAsia="Cambria" w:hAnsi="Cambria"/>
          <w:i w:val="1"/>
          <w:color w:val="000000"/>
          <w:sz w:val="20"/>
          <w:szCs w:val="20"/>
          <w:rtl w:val="0"/>
        </w:rPr>
        <w:t xml:space="preserve">Measures in health psychology: A user’s portfolio. Causal and control beliefs</w:t>
      </w:r>
      <w:r w:rsidDel="00000000" w:rsidR="00000000" w:rsidRPr="00000000">
        <w:rPr>
          <w:rFonts w:ascii="Cambria" w:cs="Cambria" w:eastAsia="Cambria" w:hAnsi="Cambria"/>
          <w:color w:val="000000"/>
          <w:sz w:val="20"/>
          <w:szCs w:val="20"/>
          <w:rtl w:val="0"/>
        </w:rPr>
        <w:t xml:space="preserve"> (pp. 35-37). J. Weinman, S. Wright, &amp; M. Johnston. </w:t>
      </w:r>
      <w:hyperlink r:id="rId10">
        <w:r w:rsidDel="00000000" w:rsidR="00000000" w:rsidRPr="00000000">
          <w:rPr>
            <w:rFonts w:ascii="Cambria" w:cs="Cambria" w:eastAsia="Cambria" w:hAnsi="Cambria"/>
            <w:color w:val="0000ff"/>
            <w:sz w:val="20"/>
            <w:szCs w:val="20"/>
            <w:u w:val="single"/>
            <w:rtl w:val="0"/>
          </w:rPr>
          <w:t xml:space="preserve">http://userpage.fu-berlin.de/~health/selfscal.htm</w:t>
        </w:r>
      </w:hyperlink>
      <w:r w:rsidDel="00000000" w:rsidR="00000000" w:rsidRPr="00000000">
        <w:rPr>
          <w:rFonts w:ascii="Cambria" w:cs="Cambria" w:eastAsia="Cambria" w:hAnsi="Cambria"/>
          <w:color w:val="000000"/>
          <w:sz w:val="20"/>
          <w:szCs w:val="20"/>
          <w:rtl w:val="0"/>
        </w:rPr>
        <w:t xml:space="preserve"> </w:t>
      </w:r>
    </w:p>
    <w:p w:rsidR="00000000" w:rsidDel="00000000" w:rsidP="00000000" w:rsidRDefault="00000000" w:rsidRPr="00000000" w14:paraId="00000361">
      <w:pPr>
        <w:pBdr>
          <w:top w:space="0" w:sz="0" w:val="nil"/>
          <w:left w:space="0" w:sz="0" w:val="nil"/>
          <w:bottom w:space="0" w:sz="0" w:val="nil"/>
          <w:right w:space="0" w:sz="0" w:val="nil"/>
          <w:between w:space="0" w:sz="0" w:val="nil"/>
        </w:pBdr>
        <w:spacing w:line="240" w:lineRule="auto"/>
        <w:ind w:left="720" w:hanging="72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Smith, B. W., Dalen, J., Wiggins, K., Tooley, E., Christopher, P., &amp; Bernard, J. (2008). The brief resilience scale: assessing the ability to bounce back. </w:t>
      </w:r>
      <w:r w:rsidDel="00000000" w:rsidR="00000000" w:rsidRPr="00000000">
        <w:rPr>
          <w:rFonts w:ascii="Cambria" w:cs="Cambria" w:eastAsia="Cambria" w:hAnsi="Cambria"/>
          <w:i w:val="1"/>
          <w:color w:val="000000"/>
          <w:sz w:val="20"/>
          <w:szCs w:val="20"/>
          <w:rtl w:val="0"/>
        </w:rPr>
        <w:t xml:space="preserve">Int J Behav Med</w:t>
      </w:r>
      <w:r w:rsidDel="00000000" w:rsidR="00000000" w:rsidRPr="00000000">
        <w:rPr>
          <w:rFonts w:ascii="Cambria" w:cs="Cambria" w:eastAsia="Cambria" w:hAnsi="Cambria"/>
          <w:color w:val="000000"/>
          <w:sz w:val="20"/>
          <w:szCs w:val="20"/>
          <w:rtl w:val="0"/>
        </w:rPr>
        <w:t xml:space="preserve">,</w:t>
      </w:r>
      <w:r w:rsidDel="00000000" w:rsidR="00000000" w:rsidRPr="00000000">
        <w:rPr>
          <w:rFonts w:ascii="Cambria" w:cs="Cambria" w:eastAsia="Cambria" w:hAnsi="Cambria"/>
          <w:i w:val="1"/>
          <w:color w:val="000000"/>
          <w:sz w:val="20"/>
          <w:szCs w:val="20"/>
          <w:rtl w:val="0"/>
        </w:rPr>
        <w:t xml:space="preserve"> 15</w:t>
      </w:r>
      <w:r w:rsidDel="00000000" w:rsidR="00000000" w:rsidRPr="00000000">
        <w:rPr>
          <w:rFonts w:ascii="Cambria" w:cs="Cambria" w:eastAsia="Cambria" w:hAnsi="Cambria"/>
          <w:color w:val="000000"/>
          <w:sz w:val="20"/>
          <w:szCs w:val="20"/>
          <w:rtl w:val="0"/>
        </w:rPr>
        <w:t xml:space="preserve">(3), 194-200. </w:t>
      </w:r>
      <w:hyperlink r:id="rId11">
        <w:r w:rsidDel="00000000" w:rsidR="00000000" w:rsidRPr="00000000">
          <w:rPr>
            <w:rFonts w:ascii="Cambria" w:cs="Cambria" w:eastAsia="Cambria" w:hAnsi="Cambria"/>
            <w:color w:val="0000ff"/>
            <w:sz w:val="20"/>
            <w:szCs w:val="20"/>
            <w:u w:val="single"/>
            <w:rtl w:val="0"/>
          </w:rPr>
          <w:t xml:space="preserve">https://doi.org/10.1080/10705500802222972</w:t>
        </w:r>
      </w:hyperlink>
      <w:r w:rsidDel="00000000" w:rsidR="00000000" w:rsidRPr="00000000">
        <w:rPr>
          <w:rFonts w:ascii="Cambria" w:cs="Cambria" w:eastAsia="Cambria" w:hAnsi="Cambria"/>
          <w:color w:val="000000"/>
          <w:sz w:val="20"/>
          <w:szCs w:val="20"/>
          <w:rtl w:val="0"/>
        </w:rPr>
        <w:t xml:space="preserve"> </w:t>
      </w:r>
    </w:p>
    <w:p w:rsidR="00000000" w:rsidDel="00000000" w:rsidP="00000000" w:rsidRDefault="00000000" w:rsidRPr="00000000" w14:paraId="00000362">
      <w:pPr>
        <w:rPr>
          <w:rFonts w:ascii="Calibri" w:cs="Calibri" w:eastAsia="Calibri" w:hAnsi="Calibri"/>
        </w:rPr>
      </w:pPr>
      <w:r w:rsidDel="00000000" w:rsidR="00000000" w:rsidRPr="00000000">
        <w:rPr>
          <w:rtl w:val="0"/>
        </w:rPr>
      </w:r>
    </w:p>
    <w:sectPr>
      <w:type w:val="nextPage"/>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rd" w:default="1">
    <w:name w:val="Normal"/>
    <w:qFormat w:val="1"/>
  </w:style>
  <w:style w:type="paragraph" w:styleId="berschrift1">
    <w:name w:val="heading 1"/>
    <w:basedOn w:val="Standard"/>
    <w:next w:val="Standard"/>
    <w:uiPriority w:val="9"/>
    <w:qFormat w:val="1"/>
    <w:pPr>
      <w:keepNext w:val="1"/>
      <w:keepLines w:val="1"/>
      <w:spacing w:after="120" w:before="400"/>
      <w:outlineLvl w:val="0"/>
    </w:pPr>
    <w:rPr>
      <w:sz w:val="40"/>
      <w:szCs w:val="40"/>
    </w:rPr>
  </w:style>
  <w:style w:type="paragraph" w:styleId="berschrift2">
    <w:name w:val="heading 2"/>
    <w:basedOn w:val="Standard"/>
    <w:next w:val="Standard"/>
    <w:uiPriority w:val="9"/>
    <w:semiHidden w:val="1"/>
    <w:unhideWhenUsed w:val="1"/>
    <w:qFormat w:val="1"/>
    <w:pPr>
      <w:keepNext w:val="1"/>
      <w:keepLines w:val="1"/>
      <w:spacing w:after="120" w:before="360"/>
      <w:outlineLvl w:val="1"/>
    </w:pPr>
    <w:rPr>
      <w:sz w:val="32"/>
      <w:szCs w:val="32"/>
    </w:rPr>
  </w:style>
  <w:style w:type="paragraph" w:styleId="berschrift3">
    <w:name w:val="heading 3"/>
    <w:basedOn w:val="Standard"/>
    <w:next w:val="Standard"/>
    <w:uiPriority w:val="9"/>
    <w:semiHidden w:val="1"/>
    <w:unhideWhenUsed w:val="1"/>
    <w:qFormat w:val="1"/>
    <w:pPr>
      <w:keepNext w:val="1"/>
      <w:keepLines w:val="1"/>
      <w:spacing w:after="80" w:before="320"/>
      <w:outlineLvl w:val="2"/>
    </w:pPr>
    <w:rPr>
      <w:color w:val="434343"/>
      <w:sz w:val="28"/>
      <w:szCs w:val="28"/>
    </w:rPr>
  </w:style>
  <w:style w:type="paragraph" w:styleId="berschrift4">
    <w:name w:val="heading 4"/>
    <w:basedOn w:val="Standard"/>
    <w:next w:val="Standard"/>
    <w:uiPriority w:val="9"/>
    <w:semiHidden w:val="1"/>
    <w:unhideWhenUsed w:val="1"/>
    <w:qFormat w:val="1"/>
    <w:pPr>
      <w:keepNext w:val="1"/>
      <w:keepLines w:val="1"/>
      <w:spacing w:after="80" w:before="280"/>
      <w:outlineLvl w:val="3"/>
    </w:pPr>
    <w:rPr>
      <w:color w:val="666666"/>
      <w:sz w:val="24"/>
      <w:szCs w:val="24"/>
    </w:rPr>
  </w:style>
  <w:style w:type="paragraph" w:styleId="berschrift5">
    <w:name w:val="heading 5"/>
    <w:basedOn w:val="Standard"/>
    <w:next w:val="Standard"/>
    <w:uiPriority w:val="9"/>
    <w:semiHidden w:val="1"/>
    <w:unhideWhenUsed w:val="1"/>
    <w:qFormat w:val="1"/>
    <w:pPr>
      <w:keepNext w:val="1"/>
      <w:keepLines w:val="1"/>
      <w:spacing w:after="80" w:before="240"/>
      <w:outlineLvl w:val="4"/>
    </w:pPr>
    <w:rPr>
      <w:color w:val="666666"/>
    </w:rPr>
  </w:style>
  <w:style w:type="paragraph" w:styleId="berschrift6">
    <w:name w:val="heading 6"/>
    <w:basedOn w:val="Standard"/>
    <w:next w:val="Standard"/>
    <w:uiPriority w:val="9"/>
    <w:semiHidden w:val="1"/>
    <w:unhideWhenUsed w:val="1"/>
    <w:qFormat w:val="1"/>
    <w:pPr>
      <w:keepNext w:val="1"/>
      <w:keepLines w:val="1"/>
      <w:spacing w:after="80" w:before="240"/>
      <w:outlineLvl w:val="5"/>
    </w:pPr>
    <w:rPr>
      <w:i w:val="1"/>
      <w:color w:val="666666"/>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Untertitel">
    <w:name w:val="Subtitle"/>
    <w:basedOn w:val="Standard"/>
    <w:next w:val="Standard"/>
    <w:uiPriority w:val="11"/>
    <w:qFormat w:val="1"/>
    <w:pPr>
      <w:keepNext w:val="1"/>
      <w:keepLines w:val="1"/>
      <w:spacing w:after="320"/>
    </w:pPr>
    <w:rPr>
      <w:color w:val="666666"/>
      <w:sz w:val="30"/>
      <w:szCs w:val="30"/>
    </w:rPr>
  </w:style>
  <w:style w:type="table" w:styleId="a" w:customStyle="1">
    <w:basedOn w:val="TableNormal0"/>
    <w:tblPr>
      <w:tblStyleRowBandSize w:val="1"/>
      <w:tblStyleColBandSize w:val="1"/>
      <w:tblCellMar>
        <w:left w:w="115.0" w:type="dxa"/>
        <w:right w:w="115.0" w:type="dxa"/>
      </w:tblCellMar>
    </w:tblPr>
  </w:style>
  <w:style w:type="table" w:styleId="a0" w:customStyle="1">
    <w:basedOn w:val="TableNormal0"/>
    <w:tblPr>
      <w:tblStyleRowBandSize w:val="1"/>
      <w:tblStyleColBandSize w:val="1"/>
      <w:tblCellMar>
        <w:left w:w="115.0" w:type="dxa"/>
        <w:right w:w="115.0" w:type="dxa"/>
      </w:tblCellMar>
    </w:tblPr>
  </w:style>
  <w:style w:type="paragraph" w:styleId="EndNoteBibliographyTitle" w:customStyle="1">
    <w:name w:val="EndNote Bibliography Title"/>
    <w:basedOn w:val="Standard"/>
    <w:link w:val="EndNoteBibliographyTitleZchn"/>
    <w:rsid w:val="0089257D"/>
    <w:pPr>
      <w:jc w:val="center"/>
    </w:pPr>
    <w:rPr>
      <w:lang w:val="de-DE"/>
    </w:rPr>
  </w:style>
  <w:style w:type="character" w:styleId="EndNoteBibliographyTitleZchn" w:customStyle="1">
    <w:name w:val="EndNote Bibliography Title Zchn"/>
    <w:basedOn w:val="Absatz-Standardschriftart"/>
    <w:link w:val="EndNoteBibliographyTitle"/>
    <w:rsid w:val="0089257D"/>
    <w:rPr>
      <w:lang w:val="de-DE"/>
    </w:rPr>
  </w:style>
  <w:style w:type="paragraph" w:styleId="EndNoteBibliography" w:customStyle="1">
    <w:name w:val="EndNote Bibliography"/>
    <w:basedOn w:val="Standard"/>
    <w:link w:val="EndNoteBibliographyZchn"/>
    <w:rsid w:val="0089257D"/>
    <w:pPr>
      <w:spacing w:line="240" w:lineRule="auto"/>
    </w:pPr>
    <w:rPr>
      <w:lang w:val="de-DE"/>
    </w:rPr>
  </w:style>
  <w:style w:type="character" w:styleId="EndNoteBibliographyZchn" w:customStyle="1">
    <w:name w:val="EndNote Bibliography Zchn"/>
    <w:basedOn w:val="Absatz-Standardschriftart"/>
    <w:link w:val="EndNoteBibliography"/>
    <w:rsid w:val="0089257D"/>
    <w:rPr>
      <w:lang w:val="de-DE"/>
    </w:rPr>
  </w:style>
  <w:style w:type="character" w:styleId="Hyperlink">
    <w:name w:val="Hyperlink"/>
    <w:basedOn w:val="Absatz-Standardschriftart"/>
    <w:uiPriority w:val="99"/>
    <w:unhideWhenUsed w:val="1"/>
    <w:rsid w:val="0089257D"/>
    <w:rPr>
      <w:color w:val="0000ff" w:themeColor="hyperlink"/>
      <w:u w:val="single"/>
    </w:rPr>
  </w:style>
  <w:style w:type="character" w:styleId="NichtaufgelsteErwhnung">
    <w:name w:val="Unresolved Mention"/>
    <w:basedOn w:val="Absatz-Standardschriftart"/>
    <w:uiPriority w:val="99"/>
    <w:semiHidden w:val="1"/>
    <w:unhideWhenUsed w:val="1"/>
    <w:rsid w:val="0089257D"/>
    <w:rPr>
      <w:color w:val="605e5c"/>
      <w:shd w:color="auto" w:fill="e1dfdd" w:val="clear"/>
    </w:rPr>
  </w:style>
  <w:style w:type="table" w:styleId="a1" w:customStyle="1">
    <w:basedOn w:val="TableNormal0"/>
    <w:tblPr>
      <w:tblStyleRowBandSize w:val="1"/>
      <w:tblStyleColBandSize w:val="1"/>
      <w:tblCellMar>
        <w:left w:w="115.0" w:type="dxa"/>
        <w:right w:w="115.0" w:type="dxa"/>
      </w:tblCellMar>
    </w:tblPr>
  </w:style>
  <w:style w:type="table" w:styleId="a2"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i.org/10.1080/10705500802222972" TargetMode="External"/><Relationship Id="rId10" Type="http://schemas.openxmlformats.org/officeDocument/2006/relationships/hyperlink" Target="http://userpage.fu-berlin.de/~health/selfscal.htm" TargetMode="External"/><Relationship Id="rId9" Type="http://schemas.openxmlformats.org/officeDocument/2006/relationships/hyperlink" Target="https://doi.org/10.1111/j.1469-7610.1997.tb01545.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1017/s0033291798006667" TargetMode="External"/><Relationship Id="rId8" Type="http://schemas.openxmlformats.org/officeDocument/2006/relationships/hyperlink" Target="https://doi.org/10.1186/s42409-021-00021-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LPRADoJieq2mEotuTCiwi3ki9g==">CgMxLjA4AHIhMWowbzRYSTJ5TlNaVEtWeHl5SnpxZEZwRy1pTDFjdjhw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2024-03-30T10:19:00Z</dcterms:created>
</cp:coreProperties>
</file>