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4FCBC" w14:textId="77777777" w:rsidR="005B0D65" w:rsidRPr="001E3A22" w:rsidRDefault="005B0D65" w:rsidP="001E3A22">
      <w:pPr>
        <w:spacing w:line="480" w:lineRule="auto"/>
        <w:rPr>
          <w:b/>
          <w:bCs/>
          <w:sz w:val="24"/>
          <w:szCs w:val="24"/>
        </w:rPr>
      </w:pPr>
      <w:r w:rsidRPr="001E3A22">
        <w:rPr>
          <w:b/>
          <w:bCs/>
          <w:sz w:val="24"/>
          <w:szCs w:val="24"/>
        </w:rPr>
        <w:t>Appendix 1. Dating the Documents</w:t>
      </w:r>
    </w:p>
    <w:p w14:paraId="00CBE9C4" w14:textId="32B529E9" w:rsidR="005B0D65" w:rsidRDefault="005B0D65" w:rsidP="002357E7">
      <w:pPr>
        <w:spacing w:line="480" w:lineRule="auto"/>
        <w:rPr>
          <w:sz w:val="24"/>
          <w:szCs w:val="24"/>
        </w:rPr>
      </w:pPr>
      <w:r>
        <w:rPr>
          <w:sz w:val="24"/>
          <w:szCs w:val="24"/>
        </w:rPr>
        <w:t>I will briefly discuss the date of the Qom documents here, a fundamental issue with significant implications for virtually every other aspect of the corpus, highlighting some underused evidence that reinforces the prevailing view that these documents use the “post-</w:t>
      </w:r>
      <w:proofErr w:type="spellStart"/>
      <w:r>
        <w:rPr>
          <w:sz w:val="24"/>
          <w:szCs w:val="24"/>
        </w:rPr>
        <w:t>Yazdgerd</w:t>
      </w:r>
      <w:proofErr w:type="spellEnd"/>
      <w:r>
        <w:rPr>
          <w:sz w:val="24"/>
          <w:szCs w:val="24"/>
        </w:rPr>
        <w:t xml:space="preserve"> [III] era,” rather than the regnal years of this ruler. </w:t>
      </w:r>
    </w:p>
    <w:p w14:paraId="29D3A83F" w14:textId="77777777" w:rsidR="005B0D65" w:rsidRDefault="005B0D65" w:rsidP="005B0D65">
      <w:pPr>
        <w:spacing w:line="480" w:lineRule="auto"/>
        <w:ind w:firstLine="720"/>
        <w:rPr>
          <w:sz w:val="24"/>
          <w:szCs w:val="24"/>
        </w:rPr>
      </w:pPr>
      <w:r>
        <w:rPr>
          <w:sz w:val="24"/>
          <w:szCs w:val="24"/>
        </w:rPr>
        <w:t>None of the Qom documents (at least as far as has been noticed) give any era for their dates.</w:t>
      </w:r>
      <w:r>
        <w:rPr>
          <w:sz w:val="24"/>
          <w:szCs w:val="24"/>
          <w:vertAlign w:val="superscript"/>
        </w:rPr>
        <w:footnoteReference w:id="1"/>
      </w:r>
      <w:r>
        <w:rPr>
          <w:sz w:val="24"/>
          <w:szCs w:val="24"/>
        </w:rPr>
        <w:t xml:space="preserve"> Philippe </w:t>
      </w:r>
      <w:proofErr w:type="spellStart"/>
      <w:r>
        <w:rPr>
          <w:sz w:val="24"/>
          <w:szCs w:val="24"/>
        </w:rPr>
        <w:t>Gignoux</w:t>
      </w:r>
      <w:proofErr w:type="spellEnd"/>
      <w:r>
        <w:rPr>
          <w:sz w:val="24"/>
          <w:szCs w:val="24"/>
        </w:rPr>
        <w:t xml:space="preserve">, the first to attempt to identify this era, assumed that it must correspond to the regnal years of some Sasanian king, in line with the dating system, based on regnal years, that had been current under the Sasanians. In time he would argue that this corresponded to the regnal years of </w:t>
      </w:r>
      <w:proofErr w:type="spellStart"/>
      <w:r>
        <w:rPr>
          <w:sz w:val="24"/>
          <w:szCs w:val="24"/>
        </w:rPr>
        <w:t>Yazdgerd</w:t>
      </w:r>
      <w:proofErr w:type="spellEnd"/>
      <w:r>
        <w:rPr>
          <w:sz w:val="24"/>
          <w:szCs w:val="24"/>
        </w:rPr>
        <w:t xml:space="preserve"> III, commencing with the latter’s accession in 632 CE, before ultimately conceding that a “post-</w:t>
      </w:r>
      <w:proofErr w:type="spellStart"/>
      <w:r>
        <w:rPr>
          <w:sz w:val="24"/>
          <w:szCs w:val="24"/>
        </w:rPr>
        <w:t>Yazdgerd</w:t>
      </w:r>
      <w:proofErr w:type="spellEnd"/>
      <w:r>
        <w:rPr>
          <w:sz w:val="24"/>
          <w:szCs w:val="24"/>
        </w:rPr>
        <w:t xml:space="preserve"> [III] era, beginning with his death in 652” CE, was also possible.</w:t>
      </w:r>
      <w:r>
        <w:rPr>
          <w:sz w:val="24"/>
          <w:szCs w:val="24"/>
          <w:vertAlign w:val="superscript"/>
        </w:rPr>
        <w:footnoteReference w:id="2"/>
      </w:r>
      <w:r>
        <w:rPr>
          <w:sz w:val="24"/>
          <w:szCs w:val="24"/>
        </w:rPr>
        <w:t xml:space="preserve"> As is obvious from his translation of Berk. 67, where he gives the year 16 as corresponding to 667/8 CE, Weber has opted for the latter option, concluding that almost all the dates in the Qom documents should be assumed to be in this “post-</w:t>
      </w:r>
      <w:proofErr w:type="spellStart"/>
      <w:r>
        <w:rPr>
          <w:sz w:val="24"/>
          <w:szCs w:val="24"/>
        </w:rPr>
        <w:t>Yazdgerd</w:t>
      </w:r>
      <w:proofErr w:type="spellEnd"/>
      <w:r>
        <w:rPr>
          <w:sz w:val="24"/>
          <w:szCs w:val="24"/>
        </w:rPr>
        <w:t xml:space="preserve"> era,” commencing in 652 CE. </w:t>
      </w:r>
    </w:p>
    <w:p w14:paraId="37EA48E6" w14:textId="77777777" w:rsidR="005B0D65" w:rsidRDefault="005B0D65" w:rsidP="005B0D65">
      <w:pPr>
        <w:spacing w:line="480" w:lineRule="auto"/>
        <w:ind w:firstLine="720"/>
        <w:rPr>
          <w:sz w:val="24"/>
          <w:szCs w:val="24"/>
        </w:rPr>
      </w:pPr>
      <w:r>
        <w:rPr>
          <w:sz w:val="24"/>
          <w:szCs w:val="24"/>
        </w:rPr>
        <w:t xml:space="preserve">There seems little reason to doubt Weber on this point, and here I will simply present some evidence that further bolsters his case, from the </w:t>
      </w:r>
      <w:proofErr w:type="spellStart"/>
      <w:r>
        <w:rPr>
          <w:i/>
          <w:sz w:val="24"/>
          <w:szCs w:val="24"/>
        </w:rPr>
        <w:t>Tārīkh</w:t>
      </w:r>
      <w:proofErr w:type="spellEnd"/>
      <w:r>
        <w:rPr>
          <w:i/>
          <w:sz w:val="24"/>
          <w:szCs w:val="24"/>
        </w:rPr>
        <w:t xml:space="preserve">-e Qom </w:t>
      </w:r>
      <w:r>
        <w:rPr>
          <w:sz w:val="24"/>
          <w:szCs w:val="24"/>
        </w:rPr>
        <w:t>(</w:t>
      </w:r>
      <w:r>
        <w:rPr>
          <w:i/>
          <w:sz w:val="24"/>
          <w:szCs w:val="24"/>
        </w:rPr>
        <w:t>History of Qom</w:t>
      </w:r>
      <w:r>
        <w:rPr>
          <w:sz w:val="24"/>
          <w:szCs w:val="24"/>
        </w:rPr>
        <w:t xml:space="preserve">). This text, a local history focused on Qom, was initially written in Arabic by one </w:t>
      </w:r>
      <w:proofErr w:type="spellStart"/>
      <w:r>
        <w:rPr>
          <w:sz w:val="24"/>
          <w:szCs w:val="24"/>
        </w:rPr>
        <w:t>Ḥasan</w:t>
      </w:r>
      <w:proofErr w:type="spellEnd"/>
      <w:r>
        <w:rPr>
          <w:sz w:val="24"/>
          <w:szCs w:val="24"/>
        </w:rPr>
        <w:t xml:space="preserve"> b. </w:t>
      </w:r>
      <w:proofErr w:type="spellStart"/>
      <w:r>
        <w:rPr>
          <w:sz w:val="24"/>
          <w:szCs w:val="24"/>
        </w:rPr>
        <w:t>Muḥammad</w:t>
      </w:r>
      <w:proofErr w:type="spellEnd"/>
      <w:r>
        <w:rPr>
          <w:sz w:val="24"/>
          <w:szCs w:val="24"/>
        </w:rPr>
        <w:t xml:space="preserve"> al-</w:t>
      </w:r>
      <w:proofErr w:type="spellStart"/>
      <w:r>
        <w:rPr>
          <w:sz w:val="24"/>
          <w:szCs w:val="24"/>
        </w:rPr>
        <w:t>Qummī</w:t>
      </w:r>
      <w:proofErr w:type="spellEnd"/>
      <w:r>
        <w:rPr>
          <w:sz w:val="24"/>
          <w:szCs w:val="24"/>
        </w:rPr>
        <w:t xml:space="preserve"> in the late 10th century, and subsequently translated into New Persian in the 15th century; only this translation is extant.</w:t>
      </w:r>
      <w:r>
        <w:rPr>
          <w:sz w:val="24"/>
          <w:szCs w:val="24"/>
          <w:vertAlign w:val="superscript"/>
        </w:rPr>
        <w:footnoteReference w:id="3"/>
      </w:r>
      <w:r>
        <w:rPr>
          <w:sz w:val="24"/>
          <w:szCs w:val="24"/>
        </w:rPr>
        <w:t xml:space="preserve"> This </w:t>
      </w:r>
      <w:proofErr w:type="spellStart"/>
      <w:r>
        <w:rPr>
          <w:i/>
          <w:sz w:val="24"/>
          <w:szCs w:val="24"/>
        </w:rPr>
        <w:t>Tārīkh</w:t>
      </w:r>
      <w:proofErr w:type="spellEnd"/>
      <w:r>
        <w:rPr>
          <w:i/>
          <w:sz w:val="24"/>
          <w:szCs w:val="24"/>
        </w:rPr>
        <w:t>-e Qom</w:t>
      </w:r>
      <w:r>
        <w:rPr>
          <w:sz w:val="24"/>
          <w:szCs w:val="24"/>
        </w:rPr>
        <w:t xml:space="preserve"> includes a direct discussion of the era </w:t>
      </w:r>
      <w:r>
        <w:rPr>
          <w:sz w:val="24"/>
          <w:szCs w:val="24"/>
        </w:rPr>
        <w:lastRenderedPageBreak/>
        <w:t xml:space="preserve">in use in the region, part of an account of the cadastral surveys of Qom and its environs undertaken under the </w:t>
      </w:r>
      <w:proofErr w:type="spellStart"/>
      <w:r>
        <w:rPr>
          <w:sz w:val="24"/>
          <w:szCs w:val="24"/>
        </w:rPr>
        <w:t>ʿAbbāsids</w:t>
      </w:r>
      <w:proofErr w:type="spellEnd"/>
      <w:r>
        <w:rPr>
          <w:sz w:val="24"/>
          <w:szCs w:val="24"/>
        </w:rPr>
        <w:t xml:space="preserve">: </w:t>
      </w:r>
    </w:p>
    <w:p w14:paraId="31FB6DB5" w14:textId="77777777" w:rsidR="005B0D65" w:rsidRDefault="005B0D65" w:rsidP="005B0D65">
      <w:pPr>
        <w:spacing w:line="240" w:lineRule="auto"/>
        <w:ind w:left="1440"/>
        <w:rPr>
          <w:sz w:val="24"/>
          <w:szCs w:val="24"/>
        </w:rPr>
      </w:pPr>
      <w:r>
        <w:rPr>
          <w:sz w:val="24"/>
          <w:szCs w:val="24"/>
        </w:rPr>
        <w:t xml:space="preserve">…and that corresponds with the year [1]54 after the death of </w:t>
      </w:r>
      <w:proofErr w:type="spellStart"/>
      <w:r>
        <w:rPr>
          <w:sz w:val="24"/>
          <w:szCs w:val="24"/>
        </w:rPr>
        <w:t>Yazdgerd</w:t>
      </w:r>
      <w:proofErr w:type="spellEnd"/>
      <w:r>
        <w:rPr>
          <w:sz w:val="24"/>
          <w:szCs w:val="24"/>
        </w:rPr>
        <w:t xml:space="preserve"> [III]. And these dates have been used in Qom especially. The</w:t>
      </w:r>
      <w:r>
        <w:rPr>
          <w:sz w:val="26"/>
          <w:szCs w:val="26"/>
        </w:rPr>
        <w:t xml:space="preserve"> </w:t>
      </w:r>
      <w:r>
        <w:rPr>
          <w:sz w:val="24"/>
          <w:szCs w:val="24"/>
        </w:rPr>
        <w:t>accounts [</w:t>
      </w:r>
      <w:proofErr w:type="spellStart"/>
      <w:r>
        <w:rPr>
          <w:i/>
          <w:sz w:val="24"/>
          <w:szCs w:val="24"/>
        </w:rPr>
        <w:t>ḥisāb</w:t>
      </w:r>
      <w:proofErr w:type="spellEnd"/>
      <w:r>
        <w:rPr>
          <w:sz w:val="24"/>
          <w:szCs w:val="24"/>
        </w:rPr>
        <w:t>] of the [fiscal] administration [</w:t>
      </w:r>
      <w:proofErr w:type="spellStart"/>
      <w:r>
        <w:rPr>
          <w:i/>
          <w:sz w:val="24"/>
          <w:szCs w:val="24"/>
        </w:rPr>
        <w:t>dīwān</w:t>
      </w:r>
      <w:proofErr w:type="spellEnd"/>
      <w:r>
        <w:rPr>
          <w:sz w:val="24"/>
          <w:szCs w:val="24"/>
        </w:rPr>
        <w:t>] and their [payment] deadlines [</w:t>
      </w:r>
      <w:proofErr w:type="spellStart"/>
      <w:r>
        <w:rPr>
          <w:i/>
          <w:sz w:val="24"/>
          <w:szCs w:val="24"/>
        </w:rPr>
        <w:t>ājāl</w:t>
      </w:r>
      <w:proofErr w:type="spellEnd"/>
      <w:r>
        <w:rPr>
          <w:sz w:val="24"/>
          <w:szCs w:val="24"/>
        </w:rPr>
        <w:t>] was based on those, [and] in business [</w:t>
      </w:r>
      <w:proofErr w:type="spellStart"/>
      <w:r>
        <w:rPr>
          <w:i/>
          <w:sz w:val="24"/>
          <w:szCs w:val="24"/>
        </w:rPr>
        <w:t>muʿāmalāt</w:t>
      </w:r>
      <w:proofErr w:type="spellEnd"/>
      <w:r>
        <w:rPr>
          <w:sz w:val="24"/>
          <w:szCs w:val="24"/>
        </w:rPr>
        <w:t>] like selling and buying, and other business engagements [</w:t>
      </w:r>
      <w:proofErr w:type="spellStart"/>
      <w:r>
        <w:rPr>
          <w:i/>
          <w:sz w:val="24"/>
          <w:szCs w:val="24"/>
        </w:rPr>
        <w:t>ʿuqūd</w:t>
      </w:r>
      <w:proofErr w:type="spellEnd"/>
      <w:r>
        <w:rPr>
          <w:i/>
          <w:sz w:val="24"/>
          <w:szCs w:val="24"/>
        </w:rPr>
        <w:t xml:space="preserve">-e </w:t>
      </w:r>
      <w:proofErr w:type="spellStart"/>
      <w:r>
        <w:rPr>
          <w:i/>
          <w:sz w:val="24"/>
          <w:szCs w:val="24"/>
        </w:rPr>
        <w:t>muʿāmalāt</w:t>
      </w:r>
      <w:proofErr w:type="spellEnd"/>
      <w:r>
        <w:rPr>
          <w:sz w:val="24"/>
          <w:szCs w:val="24"/>
        </w:rPr>
        <w:t>]; and in other cities these dates have not been in use.</w:t>
      </w:r>
      <w:r>
        <w:rPr>
          <w:sz w:val="24"/>
          <w:szCs w:val="24"/>
          <w:vertAlign w:val="superscript"/>
        </w:rPr>
        <w:footnoteReference w:id="4"/>
      </w:r>
    </w:p>
    <w:p w14:paraId="15AC7D8A" w14:textId="77777777" w:rsidR="005B0D65" w:rsidRDefault="005B0D65" w:rsidP="005B0D65">
      <w:pPr>
        <w:spacing w:line="240" w:lineRule="auto"/>
        <w:rPr>
          <w:sz w:val="24"/>
          <w:szCs w:val="24"/>
        </w:rPr>
      </w:pPr>
    </w:p>
    <w:p w14:paraId="1558E73C" w14:textId="77777777" w:rsidR="005B0D65" w:rsidRDefault="005B0D65" w:rsidP="005B0D65">
      <w:pPr>
        <w:spacing w:line="480" w:lineRule="auto"/>
        <w:rPr>
          <w:sz w:val="24"/>
          <w:szCs w:val="24"/>
        </w:rPr>
      </w:pPr>
      <w:r>
        <w:rPr>
          <w:sz w:val="24"/>
          <w:szCs w:val="24"/>
        </w:rPr>
        <w:t xml:space="preserve">While Weber is well aware of the </w:t>
      </w:r>
      <w:proofErr w:type="spellStart"/>
      <w:r>
        <w:rPr>
          <w:i/>
          <w:sz w:val="24"/>
          <w:szCs w:val="24"/>
        </w:rPr>
        <w:t>Tārīkh</w:t>
      </w:r>
      <w:proofErr w:type="spellEnd"/>
      <w:r>
        <w:rPr>
          <w:i/>
          <w:sz w:val="24"/>
          <w:szCs w:val="24"/>
        </w:rPr>
        <w:t>-e Qom</w:t>
      </w:r>
      <w:r>
        <w:rPr>
          <w:sz w:val="24"/>
          <w:szCs w:val="24"/>
        </w:rPr>
        <w:t xml:space="preserve">’s importance, and even indirectly cites this passage, he somewhat understates its significance, which does not merely lie in its assertion that Qom “had” an era whose years began with </w:t>
      </w:r>
      <w:proofErr w:type="spellStart"/>
      <w:r>
        <w:rPr>
          <w:sz w:val="24"/>
          <w:szCs w:val="24"/>
        </w:rPr>
        <w:t>Yazdgerd</w:t>
      </w:r>
      <w:proofErr w:type="spellEnd"/>
      <w:r>
        <w:rPr>
          <w:sz w:val="24"/>
          <w:szCs w:val="24"/>
        </w:rPr>
        <w:t xml:space="preserve"> III’s death.</w:t>
      </w:r>
      <w:r>
        <w:rPr>
          <w:sz w:val="24"/>
          <w:szCs w:val="24"/>
          <w:vertAlign w:val="superscript"/>
        </w:rPr>
        <w:footnoteReference w:id="5"/>
      </w:r>
      <w:r>
        <w:rPr>
          <w:sz w:val="24"/>
          <w:szCs w:val="24"/>
        </w:rPr>
        <w:t xml:space="preserve"> We are also told specifically how this calendar was used: for fiscal accounts; for establishing “deadlines,” presumably for the repayment of debts and taxes; and for “business, like selling and buying, and other business engagements.”</w:t>
      </w:r>
      <w:r>
        <w:rPr>
          <w:sz w:val="24"/>
          <w:szCs w:val="24"/>
          <w:vertAlign w:val="superscript"/>
        </w:rPr>
        <w:footnoteReference w:id="6"/>
      </w:r>
      <w:r>
        <w:rPr>
          <w:sz w:val="24"/>
          <w:szCs w:val="24"/>
        </w:rPr>
        <w:t xml:space="preserve"> The sheer capaciousness of these categories, in aggregate, is what is most obvious and important here; few, if any, of the dated Middle Persian documents from the Qom region deal with a matter that would fall distinctly outside of them.</w:t>
      </w:r>
      <w:r>
        <w:rPr>
          <w:sz w:val="24"/>
          <w:szCs w:val="24"/>
          <w:vertAlign w:val="superscript"/>
        </w:rPr>
        <w:footnoteReference w:id="7"/>
      </w:r>
      <w:r>
        <w:rPr>
          <w:sz w:val="24"/>
          <w:szCs w:val="24"/>
        </w:rPr>
        <w:t xml:space="preserve"> </w:t>
      </w:r>
    </w:p>
    <w:p w14:paraId="0EABA2F2" w14:textId="77777777" w:rsidR="005B0D65" w:rsidRDefault="005B0D65" w:rsidP="005B0D65">
      <w:pPr>
        <w:spacing w:line="480" w:lineRule="auto"/>
        <w:ind w:firstLine="720"/>
        <w:rPr>
          <w:sz w:val="24"/>
          <w:szCs w:val="24"/>
        </w:rPr>
      </w:pPr>
      <w:r>
        <w:rPr>
          <w:sz w:val="24"/>
          <w:szCs w:val="24"/>
        </w:rPr>
        <w:t xml:space="preserve">While the usual caveats about trusting too much in late sources (and especially a single such source) certainly apply here, this passage is difficult to discount. </w:t>
      </w:r>
      <w:proofErr w:type="spellStart"/>
      <w:r>
        <w:rPr>
          <w:sz w:val="24"/>
          <w:szCs w:val="24"/>
        </w:rPr>
        <w:t>Ḥasan</w:t>
      </w:r>
      <w:proofErr w:type="spellEnd"/>
      <w:r>
        <w:rPr>
          <w:sz w:val="24"/>
          <w:szCs w:val="24"/>
        </w:rPr>
        <w:t xml:space="preserve"> b. </w:t>
      </w:r>
      <w:proofErr w:type="spellStart"/>
      <w:r>
        <w:rPr>
          <w:sz w:val="24"/>
          <w:szCs w:val="24"/>
        </w:rPr>
        <w:t>Muḥammad</w:t>
      </w:r>
      <w:proofErr w:type="spellEnd"/>
      <w:r>
        <w:rPr>
          <w:sz w:val="24"/>
          <w:szCs w:val="24"/>
        </w:rPr>
        <w:t xml:space="preserve"> al-</w:t>
      </w:r>
      <w:proofErr w:type="spellStart"/>
      <w:r>
        <w:rPr>
          <w:sz w:val="24"/>
          <w:szCs w:val="24"/>
        </w:rPr>
        <w:t>Qummī’s</w:t>
      </w:r>
      <w:proofErr w:type="spellEnd"/>
      <w:r>
        <w:rPr>
          <w:sz w:val="24"/>
          <w:szCs w:val="24"/>
        </w:rPr>
        <w:t xml:space="preserve"> deep and wide-ranging knowledge of Qom’s tax system, evident in the rest of his work (and probably stemming from his brother’s experience as the local tax official) also speaks in </w:t>
      </w:r>
      <w:r>
        <w:rPr>
          <w:sz w:val="24"/>
          <w:szCs w:val="24"/>
        </w:rPr>
        <w:lastRenderedPageBreak/>
        <w:t>favor of the reliability of this information.</w:t>
      </w:r>
      <w:r>
        <w:rPr>
          <w:sz w:val="24"/>
          <w:szCs w:val="24"/>
          <w:vertAlign w:val="superscript"/>
        </w:rPr>
        <w:footnoteReference w:id="8"/>
      </w:r>
      <w:r>
        <w:rPr>
          <w:sz w:val="24"/>
          <w:szCs w:val="24"/>
        </w:rPr>
        <w:t xml:space="preserve"> Moreover, we know that the post-</w:t>
      </w:r>
      <w:proofErr w:type="spellStart"/>
      <w:r>
        <w:rPr>
          <w:sz w:val="24"/>
          <w:szCs w:val="24"/>
        </w:rPr>
        <w:t>Yazdgerd</w:t>
      </w:r>
      <w:proofErr w:type="spellEnd"/>
      <w:r>
        <w:rPr>
          <w:sz w:val="24"/>
          <w:szCs w:val="24"/>
        </w:rPr>
        <w:t xml:space="preserve"> era was in wider use than just the Qom region; although this apparently goes against what al-</w:t>
      </w:r>
      <w:proofErr w:type="spellStart"/>
      <w:r>
        <w:rPr>
          <w:sz w:val="24"/>
          <w:szCs w:val="24"/>
        </w:rPr>
        <w:t>Qummī</w:t>
      </w:r>
      <w:proofErr w:type="spellEnd"/>
      <w:r>
        <w:rPr>
          <w:sz w:val="24"/>
          <w:szCs w:val="24"/>
        </w:rPr>
        <w:t xml:space="preserve"> says, it does further underline the plausibility that the era of the Qom documents should be identified as this one.</w:t>
      </w:r>
      <w:r>
        <w:rPr>
          <w:sz w:val="24"/>
          <w:szCs w:val="24"/>
          <w:vertAlign w:val="superscript"/>
        </w:rPr>
        <w:footnoteReference w:id="9"/>
      </w:r>
      <w:r>
        <w:rPr>
          <w:sz w:val="24"/>
          <w:szCs w:val="24"/>
        </w:rPr>
        <w:t xml:space="preserve"> Weber has identified a common </w:t>
      </w:r>
      <w:r>
        <w:rPr>
          <w:i/>
          <w:sz w:val="24"/>
          <w:szCs w:val="24"/>
        </w:rPr>
        <w:t xml:space="preserve">ductus </w:t>
      </w:r>
      <w:r>
        <w:rPr>
          <w:sz w:val="24"/>
          <w:szCs w:val="24"/>
        </w:rPr>
        <w:t>(“B”) for the vast majority of the Qom documents, which have dates “rang[</w:t>
      </w:r>
      <w:proofErr w:type="spellStart"/>
      <w:r>
        <w:rPr>
          <w:sz w:val="24"/>
          <w:szCs w:val="24"/>
        </w:rPr>
        <w:t>ing</w:t>
      </w:r>
      <w:proofErr w:type="spellEnd"/>
      <w:r>
        <w:rPr>
          <w:sz w:val="24"/>
          <w:szCs w:val="24"/>
        </w:rPr>
        <w:t>] from year 11 to 50”; given the full testimony of this passage, it does seem reasonable to assume that this entire group of documents (which includes all those examined in this article), is to be dated according to the post-</w:t>
      </w:r>
      <w:proofErr w:type="spellStart"/>
      <w:r>
        <w:rPr>
          <w:sz w:val="24"/>
          <w:szCs w:val="24"/>
        </w:rPr>
        <w:t>Yazdgerd</w:t>
      </w:r>
      <w:proofErr w:type="spellEnd"/>
      <w:r>
        <w:rPr>
          <w:sz w:val="24"/>
          <w:szCs w:val="24"/>
        </w:rPr>
        <w:t xml:space="preserve"> era, commencing in 652 CE.</w:t>
      </w:r>
      <w:r>
        <w:rPr>
          <w:sz w:val="24"/>
          <w:szCs w:val="24"/>
          <w:vertAlign w:val="superscript"/>
        </w:rPr>
        <w:footnoteReference w:id="10"/>
      </w:r>
    </w:p>
    <w:p w14:paraId="6996CF97" w14:textId="77777777" w:rsidR="005B0D65" w:rsidRDefault="005B0D65" w:rsidP="005B0D65">
      <w:pPr>
        <w:rPr>
          <w:rFonts w:ascii="Arial" w:eastAsia="Arial" w:hAnsi="Arial" w:cs="Arial"/>
          <w:sz w:val="22"/>
          <w:szCs w:val="22"/>
        </w:rPr>
      </w:pPr>
    </w:p>
    <w:p w14:paraId="59A6BE1A" w14:textId="77777777" w:rsidR="005B0D65" w:rsidRDefault="005B0D65" w:rsidP="005B0D65">
      <w:pPr>
        <w:rPr>
          <w:rFonts w:ascii="Arial" w:eastAsia="Arial" w:hAnsi="Arial" w:cs="Arial"/>
          <w:sz w:val="22"/>
          <w:szCs w:val="22"/>
        </w:rPr>
      </w:pPr>
    </w:p>
    <w:p w14:paraId="6CD7DB03" w14:textId="77777777" w:rsidR="005B0D65" w:rsidRDefault="005B0D65" w:rsidP="005B0D65">
      <w:pPr>
        <w:rPr>
          <w:rFonts w:ascii="Arial" w:eastAsia="Arial" w:hAnsi="Arial" w:cs="Arial"/>
          <w:sz w:val="22"/>
          <w:szCs w:val="22"/>
        </w:rPr>
      </w:pPr>
    </w:p>
    <w:p w14:paraId="2FF9EDB0" w14:textId="77777777" w:rsidR="005B0D65" w:rsidRDefault="005B0D65" w:rsidP="005B0D65">
      <w:pPr>
        <w:rPr>
          <w:rFonts w:ascii="Arial" w:eastAsia="Arial" w:hAnsi="Arial" w:cs="Arial"/>
          <w:sz w:val="22"/>
          <w:szCs w:val="22"/>
        </w:rPr>
      </w:pPr>
    </w:p>
    <w:p w14:paraId="22204C7C" w14:textId="77777777" w:rsidR="005B0D65" w:rsidRDefault="005B0D65" w:rsidP="005B0D65">
      <w:pPr>
        <w:rPr>
          <w:rFonts w:ascii="Arial" w:eastAsia="Arial" w:hAnsi="Arial" w:cs="Arial"/>
          <w:sz w:val="22"/>
          <w:szCs w:val="22"/>
        </w:rPr>
      </w:pPr>
    </w:p>
    <w:p w14:paraId="4C22F8D4" w14:textId="77777777" w:rsidR="005B0D65" w:rsidRDefault="005B0D65" w:rsidP="005B0D65">
      <w:pPr>
        <w:rPr>
          <w:rFonts w:ascii="Arial" w:eastAsia="Arial" w:hAnsi="Arial" w:cs="Arial"/>
          <w:sz w:val="22"/>
          <w:szCs w:val="22"/>
        </w:rPr>
      </w:pPr>
    </w:p>
    <w:p w14:paraId="74B0B74D" w14:textId="77777777" w:rsidR="005B0D65" w:rsidRDefault="005B0D65" w:rsidP="005B0D65">
      <w:pPr>
        <w:spacing w:line="480" w:lineRule="auto"/>
        <w:jc w:val="center"/>
        <w:rPr>
          <w:sz w:val="24"/>
          <w:szCs w:val="24"/>
        </w:rPr>
      </w:pPr>
    </w:p>
    <w:p w14:paraId="3A750075" w14:textId="77777777" w:rsidR="005B0D65" w:rsidRDefault="005B0D65" w:rsidP="005B0D65">
      <w:pPr>
        <w:spacing w:line="480" w:lineRule="auto"/>
        <w:jc w:val="center"/>
        <w:rPr>
          <w:sz w:val="24"/>
          <w:szCs w:val="24"/>
        </w:rPr>
      </w:pPr>
    </w:p>
    <w:p w14:paraId="359F492B" w14:textId="77777777" w:rsidR="005B0D65" w:rsidRDefault="005B0D65" w:rsidP="005B0D65">
      <w:pPr>
        <w:spacing w:line="480" w:lineRule="auto"/>
        <w:jc w:val="center"/>
        <w:rPr>
          <w:sz w:val="24"/>
          <w:szCs w:val="24"/>
        </w:rPr>
      </w:pPr>
    </w:p>
    <w:p w14:paraId="3AC6C718" w14:textId="77777777" w:rsidR="005B0D65" w:rsidRDefault="005B0D65" w:rsidP="005B0D65">
      <w:pPr>
        <w:spacing w:line="480" w:lineRule="auto"/>
        <w:jc w:val="center"/>
        <w:rPr>
          <w:sz w:val="24"/>
          <w:szCs w:val="24"/>
        </w:rPr>
      </w:pPr>
    </w:p>
    <w:p w14:paraId="76D0C0B4" w14:textId="77777777" w:rsidR="005B0D65" w:rsidRDefault="005B0D65" w:rsidP="005B0D65">
      <w:pPr>
        <w:spacing w:line="480" w:lineRule="auto"/>
        <w:jc w:val="center"/>
        <w:rPr>
          <w:sz w:val="24"/>
          <w:szCs w:val="24"/>
        </w:rPr>
      </w:pPr>
    </w:p>
    <w:p w14:paraId="417DA331" w14:textId="77777777" w:rsidR="005B0D65" w:rsidRDefault="005B0D65" w:rsidP="005B0D65">
      <w:pPr>
        <w:spacing w:line="480" w:lineRule="auto"/>
        <w:jc w:val="center"/>
        <w:rPr>
          <w:sz w:val="24"/>
          <w:szCs w:val="24"/>
        </w:rPr>
      </w:pPr>
    </w:p>
    <w:p w14:paraId="0BEA5490" w14:textId="77777777" w:rsidR="005B0D65" w:rsidRDefault="005B0D65" w:rsidP="005B0D65">
      <w:pPr>
        <w:spacing w:line="480" w:lineRule="auto"/>
        <w:jc w:val="center"/>
        <w:rPr>
          <w:sz w:val="24"/>
          <w:szCs w:val="24"/>
        </w:rPr>
      </w:pPr>
    </w:p>
    <w:p w14:paraId="37BACFE9" w14:textId="77777777" w:rsidR="005B0D65" w:rsidRPr="001E3A22" w:rsidRDefault="005B0D65" w:rsidP="001E3A22">
      <w:pPr>
        <w:spacing w:line="480" w:lineRule="auto"/>
        <w:rPr>
          <w:b/>
          <w:bCs/>
          <w:sz w:val="24"/>
          <w:szCs w:val="24"/>
        </w:rPr>
      </w:pPr>
      <w:r w:rsidRPr="001E3A22">
        <w:rPr>
          <w:b/>
          <w:bCs/>
          <w:sz w:val="24"/>
          <w:szCs w:val="24"/>
        </w:rPr>
        <w:lastRenderedPageBreak/>
        <w:t xml:space="preserve">Appendix 2. The Middle Persian preposition &lt;b-&gt;, </w:t>
      </w:r>
      <w:proofErr w:type="spellStart"/>
      <w:r w:rsidRPr="001E3A22">
        <w:rPr>
          <w:b/>
          <w:bCs/>
          <w:i/>
          <w:sz w:val="24"/>
          <w:szCs w:val="24"/>
        </w:rPr>
        <w:t>ba</w:t>
      </w:r>
      <w:proofErr w:type="spellEnd"/>
      <w:r w:rsidRPr="001E3A22">
        <w:rPr>
          <w:b/>
          <w:bCs/>
          <w:i/>
          <w:sz w:val="24"/>
          <w:szCs w:val="24"/>
        </w:rPr>
        <w:t>-</w:t>
      </w:r>
      <w:r w:rsidRPr="001E3A22">
        <w:rPr>
          <w:b/>
          <w:bCs/>
          <w:sz w:val="24"/>
          <w:szCs w:val="24"/>
        </w:rPr>
        <w:t>: A further indication of substantial contact with the Islamic administration?</w:t>
      </w:r>
    </w:p>
    <w:p w14:paraId="2EC97077" w14:textId="77777777" w:rsidR="005B0D65" w:rsidRDefault="005B0D65" w:rsidP="002357E7">
      <w:pPr>
        <w:spacing w:line="480" w:lineRule="auto"/>
        <w:rPr>
          <w:sz w:val="24"/>
          <w:szCs w:val="24"/>
        </w:rPr>
      </w:pPr>
      <w:r>
        <w:rPr>
          <w:sz w:val="24"/>
          <w:szCs w:val="24"/>
        </w:rPr>
        <w:t xml:space="preserve">Here I will provide a brief word on an important feature of Berk. 34 and Berk. 154, whose importance for our understanding of the Qom region’s integration into the early Islamic state has not been discussed sufficiently. It has substantial implications for the origins of New Persian, and its relationship to Middle Persian, as well. This is the preposition </w:t>
      </w:r>
      <w:proofErr w:type="spellStart"/>
      <w:r>
        <w:rPr>
          <w:i/>
          <w:sz w:val="24"/>
          <w:szCs w:val="24"/>
        </w:rPr>
        <w:t>ba</w:t>
      </w:r>
      <w:proofErr w:type="spellEnd"/>
      <w:r>
        <w:rPr>
          <w:i/>
          <w:sz w:val="24"/>
          <w:szCs w:val="24"/>
        </w:rPr>
        <w:t xml:space="preserve">- </w:t>
      </w:r>
      <w:r>
        <w:rPr>
          <w:sz w:val="24"/>
          <w:szCs w:val="24"/>
        </w:rPr>
        <w:t xml:space="preserve">in Berk. 34’s </w:t>
      </w:r>
      <w:proofErr w:type="spellStart"/>
      <w:r>
        <w:rPr>
          <w:i/>
          <w:sz w:val="24"/>
          <w:szCs w:val="24"/>
        </w:rPr>
        <w:t>ba-ābādānīh</w:t>
      </w:r>
      <w:proofErr w:type="spellEnd"/>
      <w:r>
        <w:rPr>
          <w:sz w:val="24"/>
          <w:szCs w:val="24"/>
        </w:rPr>
        <w:t xml:space="preserve">, “[land] under cultivation” and Berk. 154’s </w:t>
      </w:r>
      <w:proofErr w:type="spellStart"/>
      <w:r>
        <w:rPr>
          <w:i/>
          <w:sz w:val="24"/>
          <w:szCs w:val="24"/>
        </w:rPr>
        <w:t>ba-aband</w:t>
      </w:r>
      <w:proofErr w:type="spellEnd"/>
      <w:r>
        <w:rPr>
          <w:sz w:val="24"/>
          <w:szCs w:val="24"/>
        </w:rPr>
        <w:t xml:space="preserve">, “without guarantee,” and also, by extension, in their analogues in other documents, as catalogued by Weber: e.g., </w:t>
      </w:r>
      <w:proofErr w:type="spellStart"/>
      <w:r>
        <w:rPr>
          <w:i/>
          <w:sz w:val="24"/>
          <w:szCs w:val="24"/>
        </w:rPr>
        <w:t>ba-dast</w:t>
      </w:r>
      <w:proofErr w:type="spellEnd"/>
      <w:r>
        <w:rPr>
          <w:i/>
          <w:sz w:val="24"/>
          <w:szCs w:val="24"/>
        </w:rPr>
        <w:t xml:space="preserve"> </w:t>
      </w:r>
      <w:r>
        <w:rPr>
          <w:sz w:val="24"/>
          <w:szCs w:val="24"/>
        </w:rPr>
        <w:t xml:space="preserve">“in(to) the hand” (Berk. 81, Berk. 123, Berk. 211C), </w:t>
      </w:r>
      <w:proofErr w:type="spellStart"/>
      <w:r>
        <w:rPr>
          <w:i/>
          <w:sz w:val="24"/>
          <w:szCs w:val="24"/>
        </w:rPr>
        <w:t>ba-tazišn</w:t>
      </w:r>
      <w:proofErr w:type="spellEnd"/>
      <w:r>
        <w:rPr>
          <w:i/>
          <w:sz w:val="24"/>
          <w:szCs w:val="24"/>
        </w:rPr>
        <w:t xml:space="preserve"> </w:t>
      </w:r>
      <w:r>
        <w:rPr>
          <w:sz w:val="24"/>
          <w:szCs w:val="24"/>
        </w:rPr>
        <w:t>[</w:t>
      </w:r>
      <w:r>
        <w:rPr>
          <w:i/>
          <w:sz w:val="24"/>
          <w:szCs w:val="24"/>
        </w:rPr>
        <w:t xml:space="preserve">ī </w:t>
      </w:r>
      <w:proofErr w:type="spellStart"/>
      <w:r>
        <w:rPr>
          <w:i/>
          <w:sz w:val="24"/>
          <w:szCs w:val="24"/>
        </w:rPr>
        <w:t>sāl</w:t>
      </w:r>
      <w:proofErr w:type="spellEnd"/>
      <w:r>
        <w:rPr>
          <w:i/>
          <w:sz w:val="24"/>
          <w:szCs w:val="24"/>
        </w:rPr>
        <w:t xml:space="preserve"> 11</w:t>
      </w:r>
      <w:r>
        <w:rPr>
          <w:sz w:val="24"/>
          <w:szCs w:val="24"/>
        </w:rPr>
        <w:t xml:space="preserve">], “in the course [of the year 11]” (Berk. 231), and </w:t>
      </w:r>
      <w:proofErr w:type="spellStart"/>
      <w:r>
        <w:rPr>
          <w:i/>
          <w:sz w:val="24"/>
          <w:szCs w:val="24"/>
        </w:rPr>
        <w:t>ba-asāyišn</w:t>
      </w:r>
      <w:proofErr w:type="spellEnd"/>
      <w:r>
        <w:rPr>
          <w:sz w:val="24"/>
          <w:szCs w:val="24"/>
        </w:rPr>
        <w:t>, “in(to) the depot”</w:t>
      </w:r>
      <w:r>
        <w:rPr>
          <w:i/>
          <w:sz w:val="24"/>
          <w:szCs w:val="24"/>
        </w:rPr>
        <w:t xml:space="preserve"> </w:t>
      </w:r>
      <w:r>
        <w:rPr>
          <w:sz w:val="24"/>
          <w:szCs w:val="24"/>
        </w:rPr>
        <w:t>(Berk. 37).</w:t>
      </w:r>
      <w:r>
        <w:rPr>
          <w:sz w:val="24"/>
          <w:szCs w:val="24"/>
          <w:vertAlign w:val="superscript"/>
        </w:rPr>
        <w:footnoteReference w:id="11"/>
      </w:r>
      <w:r>
        <w:rPr>
          <w:sz w:val="24"/>
          <w:szCs w:val="24"/>
        </w:rPr>
        <w:t xml:space="preserve"> These prepositional phrases are all spelled as one word, with an initial &lt;b-&gt;. Although Weber initially read this &lt;b-&gt; as a “yet unknown </w:t>
      </w:r>
      <w:proofErr w:type="spellStart"/>
      <w:r>
        <w:rPr>
          <w:sz w:val="24"/>
          <w:szCs w:val="24"/>
        </w:rPr>
        <w:t>heterogram</w:t>
      </w:r>
      <w:proofErr w:type="spellEnd"/>
      <w:r>
        <w:rPr>
          <w:sz w:val="24"/>
          <w:szCs w:val="24"/>
        </w:rPr>
        <w:t xml:space="preserve">” &lt;B-&gt;, to be transcribed </w:t>
      </w:r>
      <w:proofErr w:type="spellStart"/>
      <w:r>
        <w:rPr>
          <w:i/>
          <w:sz w:val="24"/>
          <w:szCs w:val="24"/>
        </w:rPr>
        <w:t>andar</w:t>
      </w:r>
      <w:proofErr w:type="spellEnd"/>
      <w:r>
        <w:rPr>
          <w:sz w:val="24"/>
          <w:szCs w:val="24"/>
        </w:rPr>
        <w:t xml:space="preserve">, he later changed his mind, reading it as “a late Middle Persian development of </w:t>
      </w:r>
      <w:r>
        <w:rPr>
          <w:i/>
          <w:sz w:val="24"/>
          <w:szCs w:val="24"/>
        </w:rPr>
        <w:t xml:space="preserve">pad </w:t>
      </w:r>
      <w:r>
        <w:rPr>
          <w:sz w:val="24"/>
          <w:szCs w:val="24"/>
        </w:rPr>
        <w:t xml:space="preserve">&gt; </w:t>
      </w:r>
      <w:proofErr w:type="spellStart"/>
      <w:r>
        <w:rPr>
          <w:i/>
          <w:sz w:val="24"/>
          <w:szCs w:val="24"/>
        </w:rPr>
        <w:t>ba</w:t>
      </w:r>
      <w:proofErr w:type="spellEnd"/>
      <w:r>
        <w:rPr>
          <w:sz w:val="24"/>
          <w:szCs w:val="24"/>
        </w:rPr>
        <w:t xml:space="preserve">, like in New Persian,” and, accordingly, to be transcribed </w:t>
      </w:r>
      <w:proofErr w:type="spellStart"/>
      <w:r>
        <w:rPr>
          <w:i/>
          <w:sz w:val="24"/>
          <w:szCs w:val="24"/>
        </w:rPr>
        <w:t>ba</w:t>
      </w:r>
      <w:proofErr w:type="spellEnd"/>
      <w:r>
        <w:rPr>
          <w:i/>
          <w:sz w:val="24"/>
          <w:szCs w:val="24"/>
        </w:rPr>
        <w:t>-</w:t>
      </w:r>
      <w:r>
        <w:rPr>
          <w:sz w:val="24"/>
          <w:szCs w:val="24"/>
        </w:rPr>
        <w:t>.</w:t>
      </w:r>
      <w:r>
        <w:rPr>
          <w:sz w:val="24"/>
          <w:szCs w:val="24"/>
          <w:vertAlign w:val="superscript"/>
        </w:rPr>
        <w:footnoteReference w:id="12"/>
      </w:r>
      <w:r>
        <w:rPr>
          <w:sz w:val="24"/>
          <w:szCs w:val="24"/>
        </w:rPr>
        <w:t xml:space="preserve"> This new reading, surely correct, has several important implications.</w:t>
      </w:r>
    </w:p>
    <w:p w14:paraId="00EC41B4" w14:textId="77777777" w:rsidR="005B0D65" w:rsidRDefault="005B0D65" w:rsidP="005B0D65">
      <w:pPr>
        <w:spacing w:line="480" w:lineRule="auto"/>
        <w:ind w:firstLine="720"/>
        <w:rPr>
          <w:sz w:val="24"/>
          <w:szCs w:val="24"/>
        </w:rPr>
      </w:pPr>
      <w:r>
        <w:rPr>
          <w:sz w:val="24"/>
          <w:szCs w:val="24"/>
        </w:rPr>
        <w:t xml:space="preserve">I will first address this preposition’s implications for historical linguistics—specifically, for the relationship between Middle and New Persian. A considerable amount of scholarly attention has been devoted to the history of the Middle Persian prepositions </w:t>
      </w:r>
      <w:r>
        <w:rPr>
          <w:i/>
          <w:sz w:val="24"/>
          <w:szCs w:val="24"/>
        </w:rPr>
        <w:t>pad</w:t>
      </w:r>
      <w:r>
        <w:rPr>
          <w:sz w:val="24"/>
          <w:szCs w:val="24"/>
        </w:rPr>
        <w:t xml:space="preserve">, with an array of meanings including, most prominently, “in, by, with,” and </w:t>
      </w:r>
      <w:r>
        <w:rPr>
          <w:i/>
          <w:sz w:val="24"/>
          <w:szCs w:val="24"/>
        </w:rPr>
        <w:t>ō</w:t>
      </w:r>
      <w:r>
        <w:rPr>
          <w:sz w:val="24"/>
          <w:szCs w:val="24"/>
        </w:rPr>
        <w:t xml:space="preserve">, with the more limited functions of marking indirect objects and direction toward (and, in Manichaean and Christian Middle Persian, direct objects) and especially the historical relationship of these two prepositions with New Persian </w:t>
      </w:r>
      <w:proofErr w:type="spellStart"/>
      <w:r>
        <w:rPr>
          <w:i/>
          <w:sz w:val="24"/>
          <w:szCs w:val="24"/>
        </w:rPr>
        <w:t>ba</w:t>
      </w:r>
      <w:proofErr w:type="spellEnd"/>
      <w:r>
        <w:rPr>
          <w:sz w:val="24"/>
          <w:szCs w:val="24"/>
        </w:rPr>
        <w:t xml:space="preserve">, which would eventually fill the functions of both </w:t>
      </w:r>
      <w:r>
        <w:rPr>
          <w:i/>
          <w:sz w:val="24"/>
          <w:szCs w:val="24"/>
        </w:rPr>
        <w:t xml:space="preserve">pad </w:t>
      </w:r>
      <w:r>
        <w:rPr>
          <w:sz w:val="24"/>
          <w:szCs w:val="24"/>
        </w:rPr>
        <w:t xml:space="preserve">and </w:t>
      </w:r>
      <w:r>
        <w:rPr>
          <w:i/>
          <w:sz w:val="24"/>
          <w:szCs w:val="24"/>
        </w:rPr>
        <w:t>ō</w:t>
      </w:r>
      <w:r>
        <w:rPr>
          <w:sz w:val="24"/>
          <w:szCs w:val="24"/>
        </w:rPr>
        <w:t xml:space="preserve"> in Middle Persian.</w:t>
      </w:r>
      <w:r>
        <w:rPr>
          <w:sz w:val="24"/>
          <w:szCs w:val="24"/>
          <w:vertAlign w:val="superscript"/>
        </w:rPr>
        <w:footnoteReference w:id="13"/>
      </w:r>
      <w:r>
        <w:rPr>
          <w:sz w:val="24"/>
          <w:szCs w:val="24"/>
        </w:rPr>
        <w:t xml:space="preserve"> </w:t>
      </w:r>
      <w:r>
        <w:rPr>
          <w:sz w:val="24"/>
          <w:szCs w:val="24"/>
        </w:rPr>
        <w:lastRenderedPageBreak/>
        <w:t xml:space="preserve">According to the scholarly consensus, a preposition </w:t>
      </w:r>
      <w:proofErr w:type="spellStart"/>
      <w:r>
        <w:rPr>
          <w:i/>
          <w:sz w:val="24"/>
          <w:szCs w:val="24"/>
        </w:rPr>
        <w:t>ba</w:t>
      </w:r>
      <w:proofErr w:type="spellEnd"/>
      <w:r>
        <w:rPr>
          <w:sz w:val="24"/>
          <w:szCs w:val="24"/>
        </w:rPr>
        <w:t xml:space="preserve"> is a strictly New Persian phenomenon; and the emergence of a preposition </w:t>
      </w:r>
      <w:proofErr w:type="spellStart"/>
      <w:r>
        <w:rPr>
          <w:i/>
          <w:sz w:val="24"/>
          <w:szCs w:val="24"/>
        </w:rPr>
        <w:t>ba</w:t>
      </w:r>
      <w:proofErr w:type="spellEnd"/>
      <w:r>
        <w:rPr>
          <w:sz w:val="24"/>
          <w:szCs w:val="24"/>
        </w:rPr>
        <w:t xml:space="preserve"> filling any function beyond what Middle Persian </w:t>
      </w:r>
      <w:r>
        <w:rPr>
          <w:i/>
          <w:sz w:val="24"/>
          <w:szCs w:val="24"/>
        </w:rPr>
        <w:t xml:space="preserve">ō </w:t>
      </w:r>
      <w:r>
        <w:rPr>
          <w:sz w:val="24"/>
          <w:szCs w:val="24"/>
        </w:rPr>
        <w:t>had done (i.e., marking indirect object or direction), through at least the eleventh century, was apparently confined to New Persian in Arabic script.</w:t>
      </w:r>
      <w:r>
        <w:rPr>
          <w:sz w:val="24"/>
          <w:szCs w:val="24"/>
          <w:vertAlign w:val="superscript"/>
        </w:rPr>
        <w:footnoteReference w:id="14"/>
      </w:r>
      <w:r>
        <w:rPr>
          <w:sz w:val="24"/>
          <w:szCs w:val="24"/>
        </w:rPr>
        <w:t xml:space="preserve"> This consensus probably needs to be revised, given these occurrences of a preposition &lt;b-&gt; (probably pronounced </w:t>
      </w:r>
      <w:proofErr w:type="spellStart"/>
      <w:r>
        <w:rPr>
          <w:i/>
          <w:sz w:val="24"/>
          <w:szCs w:val="24"/>
        </w:rPr>
        <w:t>ba</w:t>
      </w:r>
      <w:proofErr w:type="spellEnd"/>
      <w:r>
        <w:rPr>
          <w:i/>
          <w:sz w:val="24"/>
          <w:szCs w:val="24"/>
        </w:rPr>
        <w:t>-</w:t>
      </w:r>
      <w:r>
        <w:rPr>
          <w:sz w:val="24"/>
          <w:szCs w:val="24"/>
        </w:rPr>
        <w:t xml:space="preserve">) alongside </w:t>
      </w:r>
      <w:r>
        <w:rPr>
          <w:i/>
          <w:sz w:val="24"/>
          <w:szCs w:val="24"/>
        </w:rPr>
        <w:t>pad</w:t>
      </w:r>
      <w:r>
        <w:rPr>
          <w:sz w:val="24"/>
          <w:szCs w:val="24"/>
        </w:rPr>
        <w:t xml:space="preserve"> in the seventh-century Middle Persian documents from the Qom region, which, apparently, marked not only direction and indirect object, but also instrument and location (among other things). </w:t>
      </w:r>
    </w:p>
    <w:p w14:paraId="02A139E9" w14:textId="77777777" w:rsidR="005B0D65" w:rsidRDefault="005B0D65" w:rsidP="005B0D65">
      <w:pPr>
        <w:spacing w:line="480" w:lineRule="auto"/>
        <w:ind w:firstLine="720"/>
        <w:rPr>
          <w:sz w:val="24"/>
          <w:szCs w:val="24"/>
        </w:rPr>
      </w:pPr>
      <w:r>
        <w:rPr>
          <w:sz w:val="24"/>
          <w:szCs w:val="24"/>
        </w:rPr>
        <w:t xml:space="preserve">A thorough review of this preposition’s occurrences in the Middle Persian documents (several of which remain unpublished), along with their relative and absolute chronology, should clarify matters further, but we can at least hypothesize that this reflects the influence of the common Arabic preposition </w:t>
      </w:r>
      <w:r>
        <w:rPr>
          <w:i/>
          <w:sz w:val="24"/>
          <w:szCs w:val="24"/>
        </w:rPr>
        <w:t>bi-</w:t>
      </w:r>
      <w:r>
        <w:rPr>
          <w:sz w:val="24"/>
          <w:szCs w:val="24"/>
        </w:rPr>
        <w:t xml:space="preserve">, “in, at, on, with, by, etc.” This would help to explain the rather sudden emergence of this preposition in the post-conquest period, as well as its explicit prefixation to the nouns it governs—an unparalleled practice in Middle Persian orthography, outside of </w:t>
      </w:r>
      <w:proofErr w:type="spellStart"/>
      <w:r>
        <w:rPr>
          <w:sz w:val="24"/>
          <w:szCs w:val="24"/>
        </w:rPr>
        <w:t>Arameograms</w:t>
      </w:r>
      <w:proofErr w:type="spellEnd"/>
      <w:r>
        <w:rPr>
          <w:sz w:val="24"/>
          <w:szCs w:val="24"/>
        </w:rPr>
        <w:t>.</w:t>
      </w:r>
      <w:r>
        <w:rPr>
          <w:sz w:val="24"/>
          <w:szCs w:val="24"/>
          <w:vertAlign w:val="superscript"/>
        </w:rPr>
        <w:footnoteReference w:id="15"/>
      </w:r>
      <w:r>
        <w:rPr>
          <w:sz w:val="24"/>
          <w:szCs w:val="24"/>
        </w:rPr>
        <w:t xml:space="preserve"> Thus far only a limited impact from Arabic on the language of the </w:t>
      </w:r>
      <w:r>
        <w:rPr>
          <w:sz w:val="24"/>
          <w:szCs w:val="24"/>
        </w:rPr>
        <w:lastRenderedPageBreak/>
        <w:t xml:space="preserve">documents has been noticed: a few attestations of words for specifically Islamic offices and institutions, like </w:t>
      </w:r>
      <w:proofErr w:type="spellStart"/>
      <w:r>
        <w:rPr>
          <w:i/>
          <w:sz w:val="24"/>
          <w:szCs w:val="24"/>
        </w:rPr>
        <w:t>amīr</w:t>
      </w:r>
      <w:proofErr w:type="spellEnd"/>
      <w:r>
        <w:rPr>
          <w:i/>
          <w:sz w:val="24"/>
          <w:szCs w:val="24"/>
        </w:rPr>
        <w:t xml:space="preserve"> </w:t>
      </w:r>
      <w:r>
        <w:rPr>
          <w:sz w:val="24"/>
          <w:szCs w:val="24"/>
        </w:rPr>
        <w:t xml:space="preserve">and </w:t>
      </w:r>
      <w:proofErr w:type="spellStart"/>
      <w:r>
        <w:rPr>
          <w:i/>
          <w:sz w:val="24"/>
          <w:szCs w:val="24"/>
        </w:rPr>
        <w:t>mazgīt</w:t>
      </w:r>
      <w:proofErr w:type="spellEnd"/>
      <w:r>
        <w:rPr>
          <w:i/>
          <w:sz w:val="24"/>
          <w:szCs w:val="24"/>
        </w:rPr>
        <w:t xml:space="preserve"> </w:t>
      </w:r>
      <w:r>
        <w:rPr>
          <w:sz w:val="24"/>
          <w:szCs w:val="24"/>
        </w:rPr>
        <w:t xml:space="preserve">(“mosque,” from Ar. </w:t>
      </w:r>
      <w:r>
        <w:rPr>
          <w:i/>
          <w:sz w:val="24"/>
          <w:szCs w:val="24"/>
        </w:rPr>
        <w:t>masjid</w:t>
      </w:r>
      <w:r>
        <w:rPr>
          <w:sz w:val="24"/>
          <w:szCs w:val="24"/>
        </w:rPr>
        <w:t xml:space="preserve">), along with, probably, as noted above, </w:t>
      </w:r>
      <w:proofErr w:type="spellStart"/>
      <w:r>
        <w:rPr>
          <w:i/>
          <w:sz w:val="24"/>
          <w:szCs w:val="24"/>
        </w:rPr>
        <w:t>gazīdag</w:t>
      </w:r>
      <w:proofErr w:type="spellEnd"/>
      <w:r>
        <w:rPr>
          <w:sz w:val="24"/>
          <w:szCs w:val="24"/>
        </w:rPr>
        <w:t xml:space="preserve"> (from Ar. </w:t>
      </w:r>
      <w:r>
        <w:rPr>
          <w:i/>
          <w:sz w:val="24"/>
          <w:szCs w:val="24"/>
        </w:rPr>
        <w:t>jizya</w:t>
      </w:r>
      <w:r>
        <w:rPr>
          <w:sz w:val="24"/>
          <w:szCs w:val="24"/>
        </w:rPr>
        <w:t>).</w:t>
      </w:r>
      <w:r>
        <w:rPr>
          <w:sz w:val="24"/>
          <w:szCs w:val="24"/>
          <w:vertAlign w:val="superscript"/>
        </w:rPr>
        <w:footnoteReference w:id="16"/>
      </w:r>
      <w:r>
        <w:rPr>
          <w:sz w:val="24"/>
          <w:szCs w:val="24"/>
        </w:rPr>
        <w:t xml:space="preserve"> Here we have a qualitatively more significant change to the Middle Persian language, extending to its prepositional inventory, which may indicate a more substantial level of early contact with Arabic speakers (and, accordingly, of integration into the early Islamic state) than the linguistic evidence had otherwise suggested. </w:t>
      </w:r>
    </w:p>
    <w:p w14:paraId="05C4B5CD" w14:textId="77777777" w:rsidR="001E3A22" w:rsidRDefault="001E3A22" w:rsidP="005B0D65">
      <w:pPr>
        <w:spacing w:line="480" w:lineRule="auto"/>
        <w:ind w:firstLine="720"/>
        <w:rPr>
          <w:sz w:val="24"/>
          <w:szCs w:val="24"/>
        </w:rPr>
      </w:pPr>
    </w:p>
    <w:p w14:paraId="7E3756DD" w14:textId="77777777" w:rsidR="005B0D65" w:rsidRDefault="005B0D65" w:rsidP="005B0D65">
      <w:pPr>
        <w:spacing w:line="480" w:lineRule="auto"/>
        <w:jc w:val="center"/>
        <w:rPr>
          <w:sz w:val="24"/>
          <w:szCs w:val="24"/>
        </w:rPr>
      </w:pPr>
    </w:p>
    <w:p w14:paraId="2C0C62F8" w14:textId="77777777" w:rsidR="005B0D65" w:rsidRDefault="005B0D65" w:rsidP="005B0D65">
      <w:pPr>
        <w:spacing w:line="480" w:lineRule="auto"/>
        <w:jc w:val="center"/>
        <w:rPr>
          <w:sz w:val="24"/>
          <w:szCs w:val="24"/>
        </w:rPr>
      </w:pPr>
    </w:p>
    <w:p w14:paraId="723D8701" w14:textId="77777777" w:rsidR="005B0D65" w:rsidRDefault="005B0D65" w:rsidP="005B0D65">
      <w:pPr>
        <w:spacing w:line="480" w:lineRule="auto"/>
        <w:jc w:val="center"/>
        <w:rPr>
          <w:sz w:val="24"/>
          <w:szCs w:val="24"/>
        </w:rPr>
      </w:pPr>
    </w:p>
    <w:p w14:paraId="3D711312" w14:textId="77777777" w:rsidR="005B0D65" w:rsidRDefault="005B0D65" w:rsidP="005B0D65">
      <w:pPr>
        <w:spacing w:line="480" w:lineRule="auto"/>
        <w:jc w:val="center"/>
        <w:rPr>
          <w:sz w:val="24"/>
          <w:szCs w:val="24"/>
        </w:rPr>
      </w:pPr>
    </w:p>
    <w:p w14:paraId="35F56DFC" w14:textId="77777777" w:rsidR="005B0D65" w:rsidRDefault="005B0D65" w:rsidP="005B0D65">
      <w:pPr>
        <w:spacing w:line="480" w:lineRule="auto"/>
        <w:jc w:val="center"/>
        <w:rPr>
          <w:sz w:val="24"/>
          <w:szCs w:val="24"/>
        </w:rPr>
      </w:pPr>
    </w:p>
    <w:p w14:paraId="23892B39" w14:textId="77777777" w:rsidR="005B0D65" w:rsidRDefault="005B0D65" w:rsidP="005B0D65">
      <w:pPr>
        <w:spacing w:line="480" w:lineRule="auto"/>
        <w:jc w:val="center"/>
        <w:rPr>
          <w:sz w:val="24"/>
          <w:szCs w:val="24"/>
        </w:rPr>
      </w:pPr>
    </w:p>
    <w:p w14:paraId="604BF8E8" w14:textId="77777777" w:rsidR="005B0D65" w:rsidRDefault="005B0D65" w:rsidP="005B0D65">
      <w:pPr>
        <w:spacing w:line="480" w:lineRule="auto"/>
        <w:jc w:val="center"/>
        <w:rPr>
          <w:sz w:val="24"/>
          <w:szCs w:val="24"/>
        </w:rPr>
      </w:pPr>
    </w:p>
    <w:p w14:paraId="5D98B5E5" w14:textId="77777777" w:rsidR="005B0D65" w:rsidRDefault="005B0D65" w:rsidP="005B0D65">
      <w:pPr>
        <w:spacing w:line="480" w:lineRule="auto"/>
        <w:jc w:val="center"/>
        <w:rPr>
          <w:sz w:val="24"/>
          <w:szCs w:val="24"/>
        </w:rPr>
      </w:pPr>
    </w:p>
    <w:p w14:paraId="12643B42" w14:textId="77777777" w:rsidR="001E3A22" w:rsidRDefault="001E3A22" w:rsidP="001E3A22">
      <w:pPr>
        <w:spacing w:line="480" w:lineRule="auto"/>
        <w:rPr>
          <w:b/>
          <w:bCs/>
          <w:sz w:val="24"/>
          <w:szCs w:val="24"/>
        </w:rPr>
      </w:pPr>
    </w:p>
    <w:p w14:paraId="298E9F8D" w14:textId="77777777" w:rsidR="0033752F" w:rsidRDefault="0033752F" w:rsidP="001E3A22">
      <w:pPr>
        <w:spacing w:line="480" w:lineRule="auto"/>
        <w:rPr>
          <w:b/>
          <w:bCs/>
          <w:sz w:val="24"/>
          <w:szCs w:val="24"/>
        </w:rPr>
      </w:pPr>
    </w:p>
    <w:p w14:paraId="4686F552" w14:textId="4E659193" w:rsidR="005B0D65" w:rsidRPr="001E3A22" w:rsidRDefault="005B0D65" w:rsidP="001E3A22">
      <w:pPr>
        <w:spacing w:line="480" w:lineRule="auto"/>
        <w:rPr>
          <w:b/>
          <w:bCs/>
          <w:sz w:val="24"/>
          <w:szCs w:val="24"/>
        </w:rPr>
      </w:pPr>
      <w:r w:rsidRPr="001E3A22">
        <w:rPr>
          <w:b/>
          <w:bCs/>
          <w:sz w:val="24"/>
          <w:szCs w:val="24"/>
        </w:rPr>
        <w:lastRenderedPageBreak/>
        <w:t xml:space="preserve">Appendix 3. Weber’s two editions of Berk. 67 and </w:t>
      </w:r>
      <w:proofErr w:type="spellStart"/>
      <w:r w:rsidRPr="001E3A22">
        <w:rPr>
          <w:b/>
          <w:bCs/>
          <w:i/>
          <w:sz w:val="24"/>
          <w:szCs w:val="24"/>
        </w:rPr>
        <w:t>gazīdag</w:t>
      </w:r>
      <w:proofErr w:type="spellEnd"/>
      <w:r w:rsidRPr="001E3A22">
        <w:rPr>
          <w:b/>
          <w:bCs/>
          <w:sz w:val="24"/>
          <w:szCs w:val="24"/>
        </w:rPr>
        <w:t xml:space="preserve">: tax or snakebite? </w:t>
      </w:r>
    </w:p>
    <w:p w14:paraId="7E191198" w14:textId="77777777" w:rsidR="005B0D65" w:rsidRDefault="005B0D65" w:rsidP="002357E7">
      <w:pPr>
        <w:spacing w:line="480" w:lineRule="auto"/>
        <w:rPr>
          <w:sz w:val="24"/>
          <w:szCs w:val="24"/>
        </w:rPr>
      </w:pPr>
      <w:r>
        <w:rPr>
          <w:sz w:val="24"/>
          <w:szCs w:val="24"/>
        </w:rPr>
        <w:t xml:space="preserve">Here I will compare Weber’s 2013 and 2019 editions of Berk. 67, focusing in particular on their respective interpretations of the word </w:t>
      </w:r>
      <w:proofErr w:type="spellStart"/>
      <w:r>
        <w:rPr>
          <w:i/>
          <w:sz w:val="24"/>
          <w:szCs w:val="24"/>
        </w:rPr>
        <w:t>gazīdag</w:t>
      </w:r>
      <w:proofErr w:type="spellEnd"/>
      <w:r>
        <w:rPr>
          <w:i/>
          <w:sz w:val="24"/>
          <w:szCs w:val="24"/>
        </w:rPr>
        <w:t xml:space="preserve"> </w:t>
      </w:r>
      <w:r>
        <w:rPr>
          <w:sz w:val="24"/>
          <w:szCs w:val="24"/>
        </w:rPr>
        <w:t>in l. 2. Both editions render the document’s first line in the same way.</w:t>
      </w:r>
    </w:p>
    <w:p w14:paraId="22C4F0E7" w14:textId="77777777" w:rsidR="005B0D65" w:rsidRDefault="005B0D65" w:rsidP="005B0D65">
      <w:pPr>
        <w:spacing w:line="240" w:lineRule="auto"/>
        <w:rPr>
          <w:sz w:val="24"/>
          <w:szCs w:val="24"/>
        </w:rPr>
      </w:pPr>
      <w:r>
        <w:rPr>
          <w:sz w:val="24"/>
          <w:szCs w:val="24"/>
        </w:rPr>
        <w:tab/>
      </w:r>
      <w:r>
        <w:rPr>
          <w:sz w:val="24"/>
          <w:szCs w:val="24"/>
        </w:rPr>
        <w:tab/>
        <w:t>2013 and 2019:</w:t>
      </w:r>
    </w:p>
    <w:p w14:paraId="785A8AFB" w14:textId="77777777" w:rsidR="005B0D65" w:rsidRDefault="005B0D65" w:rsidP="005B0D65">
      <w:pPr>
        <w:spacing w:line="240" w:lineRule="auto"/>
        <w:ind w:left="720" w:firstLine="720"/>
        <w:rPr>
          <w:sz w:val="24"/>
          <w:szCs w:val="24"/>
        </w:rPr>
      </w:pPr>
      <w:r>
        <w:rPr>
          <w:sz w:val="24"/>
          <w:szCs w:val="24"/>
        </w:rPr>
        <w:t xml:space="preserve">1. </w:t>
      </w:r>
      <w:r>
        <w:rPr>
          <w:sz w:val="24"/>
          <w:szCs w:val="24"/>
          <w:u w:val="single"/>
        </w:rPr>
        <w:t>Z</w:t>
      </w:r>
      <w:r>
        <w:rPr>
          <w:sz w:val="24"/>
          <w:szCs w:val="24"/>
        </w:rPr>
        <w:t xml:space="preserve">NE BYRH </w:t>
      </w:r>
      <w:proofErr w:type="spellStart"/>
      <w:r>
        <w:rPr>
          <w:sz w:val="24"/>
          <w:szCs w:val="24"/>
        </w:rPr>
        <w:t>sp̅ndrmṭ</w:t>
      </w:r>
      <w:proofErr w:type="spellEnd"/>
      <w:r>
        <w:rPr>
          <w:sz w:val="24"/>
          <w:szCs w:val="24"/>
        </w:rPr>
        <w:t xml:space="preserve"> QDM ŠNṬ XVI</w:t>
      </w:r>
    </w:p>
    <w:p w14:paraId="4492C0CF" w14:textId="77777777" w:rsidR="005B0D65" w:rsidRDefault="005B0D65" w:rsidP="005B0D65">
      <w:pPr>
        <w:spacing w:line="240" w:lineRule="auto"/>
        <w:rPr>
          <w:sz w:val="24"/>
          <w:szCs w:val="24"/>
        </w:rPr>
      </w:pPr>
      <w:r>
        <w:rPr>
          <w:sz w:val="24"/>
          <w:szCs w:val="24"/>
        </w:rPr>
        <w:tab/>
      </w:r>
      <w:r>
        <w:rPr>
          <w:sz w:val="24"/>
          <w:szCs w:val="24"/>
        </w:rPr>
        <w:tab/>
      </w:r>
    </w:p>
    <w:p w14:paraId="4CFBA854" w14:textId="77777777" w:rsidR="005B0D65" w:rsidRDefault="005B0D65" w:rsidP="005B0D65">
      <w:pPr>
        <w:spacing w:line="240" w:lineRule="auto"/>
        <w:ind w:left="720" w:firstLine="720"/>
        <w:rPr>
          <w:sz w:val="24"/>
          <w:szCs w:val="24"/>
        </w:rPr>
      </w:pPr>
      <w:r>
        <w:rPr>
          <w:sz w:val="24"/>
          <w:szCs w:val="24"/>
        </w:rPr>
        <w:t xml:space="preserve">1. </w:t>
      </w:r>
      <w:proofErr w:type="spellStart"/>
      <w:r>
        <w:rPr>
          <w:i/>
          <w:sz w:val="24"/>
          <w:szCs w:val="24"/>
        </w:rPr>
        <w:t>ēn</w:t>
      </w:r>
      <w:proofErr w:type="spellEnd"/>
      <w:r>
        <w:rPr>
          <w:sz w:val="24"/>
          <w:szCs w:val="24"/>
        </w:rPr>
        <w:t xml:space="preserve"> </w:t>
      </w:r>
      <w:proofErr w:type="spellStart"/>
      <w:r>
        <w:rPr>
          <w:i/>
          <w:sz w:val="24"/>
          <w:szCs w:val="24"/>
        </w:rPr>
        <w:t>māh</w:t>
      </w:r>
      <w:proofErr w:type="spellEnd"/>
      <w:r>
        <w:rPr>
          <w:i/>
          <w:sz w:val="24"/>
          <w:szCs w:val="24"/>
        </w:rPr>
        <w:t xml:space="preserve"> </w:t>
      </w:r>
      <w:proofErr w:type="spellStart"/>
      <w:r>
        <w:rPr>
          <w:i/>
          <w:sz w:val="24"/>
          <w:szCs w:val="24"/>
        </w:rPr>
        <w:t>Spandarmad</w:t>
      </w:r>
      <w:proofErr w:type="spellEnd"/>
      <w:r>
        <w:rPr>
          <w:i/>
          <w:sz w:val="24"/>
          <w:szCs w:val="24"/>
        </w:rPr>
        <w:t xml:space="preserve"> </w:t>
      </w:r>
      <w:proofErr w:type="spellStart"/>
      <w:r>
        <w:rPr>
          <w:i/>
          <w:sz w:val="24"/>
          <w:szCs w:val="24"/>
        </w:rPr>
        <w:t>abar</w:t>
      </w:r>
      <w:proofErr w:type="spellEnd"/>
      <w:r>
        <w:rPr>
          <w:i/>
          <w:sz w:val="24"/>
          <w:szCs w:val="24"/>
        </w:rPr>
        <w:t xml:space="preserve"> </w:t>
      </w:r>
      <w:proofErr w:type="spellStart"/>
      <w:r>
        <w:rPr>
          <w:i/>
          <w:sz w:val="24"/>
          <w:szCs w:val="24"/>
        </w:rPr>
        <w:t>sāl</w:t>
      </w:r>
      <w:proofErr w:type="spellEnd"/>
      <w:r>
        <w:rPr>
          <w:i/>
          <w:sz w:val="24"/>
          <w:szCs w:val="24"/>
        </w:rPr>
        <w:t xml:space="preserve"> 16</w:t>
      </w:r>
      <w:r>
        <w:rPr>
          <w:sz w:val="24"/>
          <w:szCs w:val="24"/>
        </w:rPr>
        <w:tab/>
      </w:r>
    </w:p>
    <w:p w14:paraId="6D758444" w14:textId="77777777" w:rsidR="005B0D65" w:rsidRDefault="005B0D65" w:rsidP="005B0D65">
      <w:pPr>
        <w:spacing w:line="240" w:lineRule="auto"/>
        <w:rPr>
          <w:sz w:val="24"/>
          <w:szCs w:val="24"/>
        </w:rPr>
      </w:pPr>
    </w:p>
    <w:p w14:paraId="5060182B" w14:textId="77777777" w:rsidR="005B0D65" w:rsidRDefault="005B0D65" w:rsidP="005B0D65">
      <w:pPr>
        <w:spacing w:line="240" w:lineRule="auto"/>
        <w:rPr>
          <w:sz w:val="24"/>
          <w:szCs w:val="24"/>
        </w:rPr>
      </w:pPr>
      <w:r>
        <w:rPr>
          <w:sz w:val="24"/>
          <w:szCs w:val="24"/>
        </w:rPr>
        <w:tab/>
      </w:r>
      <w:r>
        <w:rPr>
          <w:sz w:val="24"/>
          <w:szCs w:val="24"/>
        </w:rPr>
        <w:tab/>
        <w:t xml:space="preserve">[1] This month </w:t>
      </w:r>
      <w:proofErr w:type="spellStart"/>
      <w:r>
        <w:rPr>
          <w:i/>
          <w:sz w:val="24"/>
          <w:szCs w:val="24"/>
        </w:rPr>
        <w:t>Spandarmad</w:t>
      </w:r>
      <w:proofErr w:type="spellEnd"/>
      <w:r>
        <w:rPr>
          <w:i/>
          <w:sz w:val="24"/>
          <w:szCs w:val="24"/>
        </w:rPr>
        <w:t xml:space="preserve"> </w:t>
      </w:r>
      <w:r>
        <w:rPr>
          <w:sz w:val="24"/>
          <w:szCs w:val="24"/>
        </w:rPr>
        <w:t>[12</w:t>
      </w:r>
      <w:r>
        <w:rPr>
          <w:sz w:val="24"/>
          <w:szCs w:val="24"/>
          <w:vertAlign w:val="superscript"/>
        </w:rPr>
        <w:t>th</w:t>
      </w:r>
      <w:r>
        <w:rPr>
          <w:sz w:val="24"/>
          <w:szCs w:val="24"/>
        </w:rPr>
        <w:t xml:space="preserve"> month] of the year 16 [667/8 CE].</w:t>
      </w:r>
      <w:r>
        <w:rPr>
          <w:sz w:val="24"/>
          <w:szCs w:val="24"/>
          <w:vertAlign w:val="superscript"/>
        </w:rPr>
        <w:footnoteReference w:id="17"/>
      </w:r>
    </w:p>
    <w:p w14:paraId="118C0004" w14:textId="77777777" w:rsidR="005B0D65" w:rsidRDefault="005B0D65" w:rsidP="005B0D65">
      <w:pPr>
        <w:spacing w:line="240" w:lineRule="auto"/>
        <w:rPr>
          <w:sz w:val="24"/>
          <w:szCs w:val="24"/>
        </w:rPr>
      </w:pPr>
    </w:p>
    <w:p w14:paraId="42E95D7D" w14:textId="77777777" w:rsidR="005B0D65" w:rsidRDefault="005B0D65" w:rsidP="005B0D65">
      <w:pPr>
        <w:spacing w:line="240" w:lineRule="auto"/>
        <w:rPr>
          <w:sz w:val="24"/>
          <w:szCs w:val="24"/>
        </w:rPr>
      </w:pPr>
      <w:r>
        <w:rPr>
          <w:sz w:val="24"/>
          <w:szCs w:val="24"/>
        </w:rPr>
        <w:t>They diverge significantly in their interpretation of the next three lines, however:</w:t>
      </w:r>
    </w:p>
    <w:p w14:paraId="0DB45B8E" w14:textId="77777777" w:rsidR="005B0D65" w:rsidRDefault="005B0D65" w:rsidP="005B0D65">
      <w:pPr>
        <w:spacing w:line="240" w:lineRule="auto"/>
        <w:rPr>
          <w:sz w:val="24"/>
          <w:szCs w:val="24"/>
        </w:rPr>
      </w:pPr>
    </w:p>
    <w:p w14:paraId="5B291394" w14:textId="77777777" w:rsidR="005B0D65" w:rsidRDefault="005B0D65" w:rsidP="005B0D65">
      <w:pPr>
        <w:spacing w:line="240" w:lineRule="auto"/>
        <w:ind w:left="720" w:firstLine="720"/>
        <w:rPr>
          <w:sz w:val="24"/>
          <w:szCs w:val="24"/>
        </w:rPr>
      </w:pPr>
      <w:r>
        <w:rPr>
          <w:sz w:val="24"/>
          <w:szCs w:val="24"/>
        </w:rPr>
        <w:t>2013:</w:t>
      </w:r>
    </w:p>
    <w:p w14:paraId="51E0E90F" w14:textId="77777777" w:rsidR="005B0D65" w:rsidRDefault="005B0D65" w:rsidP="005B0D65">
      <w:pPr>
        <w:spacing w:line="240" w:lineRule="auto"/>
        <w:ind w:left="720" w:firstLine="720"/>
        <w:rPr>
          <w:sz w:val="24"/>
          <w:szCs w:val="24"/>
        </w:rPr>
      </w:pPr>
    </w:p>
    <w:p w14:paraId="3C59CB8D" w14:textId="77777777" w:rsidR="005B0D65" w:rsidRDefault="005B0D65" w:rsidP="005B0D65">
      <w:pPr>
        <w:spacing w:line="240" w:lineRule="auto"/>
        <w:ind w:left="720" w:firstLine="720"/>
        <w:rPr>
          <w:sz w:val="24"/>
          <w:szCs w:val="24"/>
        </w:rPr>
      </w:pPr>
      <w:r>
        <w:rPr>
          <w:sz w:val="24"/>
          <w:szCs w:val="24"/>
        </w:rPr>
        <w:t xml:space="preserve">2. MN </w:t>
      </w:r>
      <w:proofErr w:type="spellStart"/>
      <w:r>
        <w:rPr>
          <w:sz w:val="24"/>
          <w:szCs w:val="24"/>
        </w:rPr>
        <w:t>gcyṭk</w:t>
      </w:r>
      <w:proofErr w:type="spellEnd"/>
      <w:r>
        <w:rPr>
          <w:sz w:val="24"/>
          <w:szCs w:val="24"/>
        </w:rPr>
        <w:t xml:space="preserve">′ ml </w:t>
      </w:r>
      <w:proofErr w:type="spellStart"/>
      <w:r>
        <w:rPr>
          <w:sz w:val="24"/>
          <w:szCs w:val="24"/>
        </w:rPr>
        <w:t>yzdʾnkrṭ</w:t>
      </w:r>
      <w:proofErr w:type="spellEnd"/>
      <w:r>
        <w:rPr>
          <w:sz w:val="24"/>
          <w:szCs w:val="24"/>
        </w:rPr>
        <w:t xml:space="preserve"> XX-</w:t>
      </w:r>
      <w:proofErr w:type="spellStart"/>
      <w:r>
        <w:rPr>
          <w:sz w:val="24"/>
          <w:szCs w:val="24"/>
        </w:rPr>
        <w:t>sl</w:t>
      </w:r>
      <w:proofErr w:type="spellEnd"/>
      <w:r>
        <w:rPr>
          <w:sz w:val="24"/>
          <w:szCs w:val="24"/>
        </w:rPr>
        <w:t xml:space="preserve"> [?]</w:t>
      </w:r>
    </w:p>
    <w:p w14:paraId="5BE2B7AA" w14:textId="77777777" w:rsidR="005B0D65" w:rsidRDefault="005B0D65" w:rsidP="005B0D65">
      <w:pPr>
        <w:spacing w:line="240" w:lineRule="auto"/>
        <w:rPr>
          <w:sz w:val="24"/>
          <w:szCs w:val="24"/>
        </w:rPr>
      </w:pPr>
      <w:r>
        <w:rPr>
          <w:sz w:val="24"/>
          <w:szCs w:val="24"/>
        </w:rPr>
        <w:tab/>
      </w:r>
      <w:r>
        <w:rPr>
          <w:sz w:val="24"/>
          <w:szCs w:val="24"/>
        </w:rPr>
        <w:tab/>
        <w:t xml:space="preserve">3. MN </w:t>
      </w:r>
      <w:proofErr w:type="spellStart"/>
      <w:r>
        <w:rPr>
          <w:sz w:val="24"/>
          <w:szCs w:val="24"/>
        </w:rPr>
        <w:t>dlyk</w:t>
      </w:r>
      <w:proofErr w:type="spellEnd"/>
      <w:r>
        <w:rPr>
          <w:sz w:val="24"/>
          <w:szCs w:val="24"/>
        </w:rPr>
        <w:t xml:space="preserve">′ OL </w:t>
      </w:r>
      <w:proofErr w:type="spellStart"/>
      <w:r>
        <w:rPr>
          <w:sz w:val="24"/>
          <w:szCs w:val="24"/>
        </w:rPr>
        <w:t>lwdšn</w:t>
      </w:r>
      <w:proofErr w:type="spellEnd"/>
      <w:r>
        <w:rPr>
          <w:sz w:val="24"/>
          <w:szCs w:val="24"/>
        </w:rPr>
        <w:t xml:space="preserve"> [?] BBA-</w:t>
      </w:r>
      <w:proofErr w:type="spellStart"/>
      <w:r>
        <w:rPr>
          <w:sz w:val="24"/>
          <w:szCs w:val="24"/>
        </w:rPr>
        <w:t>hndlcpṭ</w:t>
      </w:r>
      <w:proofErr w:type="spellEnd"/>
      <w:r>
        <w:rPr>
          <w:sz w:val="24"/>
          <w:szCs w:val="24"/>
        </w:rPr>
        <w:t>′</w:t>
      </w:r>
    </w:p>
    <w:p w14:paraId="23ACCDA0" w14:textId="77777777" w:rsidR="005B0D65" w:rsidRDefault="005B0D65" w:rsidP="005B0D65">
      <w:pPr>
        <w:spacing w:line="240" w:lineRule="auto"/>
        <w:rPr>
          <w:sz w:val="24"/>
          <w:szCs w:val="24"/>
        </w:rPr>
      </w:pPr>
      <w:r>
        <w:rPr>
          <w:sz w:val="24"/>
          <w:szCs w:val="24"/>
        </w:rPr>
        <w:tab/>
      </w:r>
      <w:r>
        <w:rPr>
          <w:sz w:val="24"/>
          <w:szCs w:val="24"/>
        </w:rPr>
        <w:tab/>
        <w:t xml:space="preserve">4. </w:t>
      </w:r>
      <w:proofErr w:type="spellStart"/>
      <w:r>
        <w:rPr>
          <w:sz w:val="24"/>
          <w:szCs w:val="24"/>
        </w:rPr>
        <w:t>YHYTYWNṭ</w:t>
      </w:r>
      <w:proofErr w:type="spellEnd"/>
      <w:r>
        <w:rPr>
          <w:sz w:val="24"/>
          <w:szCs w:val="24"/>
        </w:rPr>
        <w:t>′ MN [?] [...]</w:t>
      </w:r>
      <w:proofErr w:type="spellStart"/>
      <w:r>
        <w:rPr>
          <w:sz w:val="24"/>
          <w:szCs w:val="24"/>
        </w:rPr>
        <w:t>mṭ</w:t>
      </w:r>
      <w:proofErr w:type="spellEnd"/>
      <w:r>
        <w:rPr>
          <w:sz w:val="24"/>
          <w:szCs w:val="24"/>
        </w:rPr>
        <w:t xml:space="preserve"> Y BBA-</w:t>
      </w:r>
      <w:proofErr w:type="spellStart"/>
      <w:r>
        <w:rPr>
          <w:sz w:val="24"/>
          <w:szCs w:val="24"/>
        </w:rPr>
        <w:t>hndlcpṭ</w:t>
      </w:r>
      <w:proofErr w:type="spellEnd"/>
      <w:r>
        <w:rPr>
          <w:sz w:val="24"/>
          <w:szCs w:val="24"/>
        </w:rPr>
        <w:t xml:space="preserve">′ </w:t>
      </w:r>
    </w:p>
    <w:p w14:paraId="375936F0" w14:textId="77777777" w:rsidR="005B0D65" w:rsidRDefault="005B0D65" w:rsidP="005B0D65">
      <w:pPr>
        <w:spacing w:line="240" w:lineRule="auto"/>
        <w:rPr>
          <w:sz w:val="24"/>
          <w:szCs w:val="24"/>
        </w:rPr>
      </w:pPr>
      <w:r>
        <w:rPr>
          <w:sz w:val="24"/>
          <w:szCs w:val="24"/>
        </w:rPr>
        <w:tab/>
      </w:r>
      <w:r>
        <w:rPr>
          <w:sz w:val="24"/>
          <w:szCs w:val="24"/>
        </w:rPr>
        <w:tab/>
      </w:r>
    </w:p>
    <w:p w14:paraId="749D576C" w14:textId="77777777" w:rsidR="005B0D65" w:rsidRDefault="005B0D65" w:rsidP="005B0D65">
      <w:pPr>
        <w:spacing w:line="240" w:lineRule="auto"/>
        <w:ind w:left="720" w:firstLine="720"/>
        <w:rPr>
          <w:sz w:val="24"/>
          <w:szCs w:val="24"/>
        </w:rPr>
      </w:pPr>
      <w:r>
        <w:rPr>
          <w:sz w:val="24"/>
          <w:szCs w:val="24"/>
        </w:rPr>
        <w:t xml:space="preserve">2. </w:t>
      </w:r>
      <w:proofErr w:type="spellStart"/>
      <w:r>
        <w:rPr>
          <w:i/>
          <w:sz w:val="24"/>
          <w:szCs w:val="24"/>
        </w:rPr>
        <w:t>az</w:t>
      </w:r>
      <w:proofErr w:type="spellEnd"/>
      <w:r>
        <w:rPr>
          <w:i/>
          <w:sz w:val="24"/>
          <w:szCs w:val="24"/>
        </w:rPr>
        <w:t xml:space="preserve"> </w:t>
      </w:r>
      <w:proofErr w:type="spellStart"/>
      <w:r>
        <w:rPr>
          <w:i/>
          <w:sz w:val="24"/>
          <w:szCs w:val="24"/>
        </w:rPr>
        <w:t>gazīdag</w:t>
      </w:r>
      <w:proofErr w:type="spellEnd"/>
      <w:r>
        <w:rPr>
          <w:i/>
          <w:sz w:val="24"/>
          <w:szCs w:val="24"/>
        </w:rPr>
        <w:t xml:space="preserve"> mar </w:t>
      </w:r>
      <w:proofErr w:type="spellStart"/>
      <w:r>
        <w:rPr>
          <w:i/>
          <w:sz w:val="24"/>
          <w:szCs w:val="24"/>
        </w:rPr>
        <w:t>Yazdāngird</w:t>
      </w:r>
      <w:proofErr w:type="spellEnd"/>
      <w:r>
        <w:rPr>
          <w:i/>
          <w:sz w:val="24"/>
          <w:szCs w:val="24"/>
        </w:rPr>
        <w:t xml:space="preserve"> 20</w:t>
      </w:r>
      <w:r>
        <w:rPr>
          <w:sz w:val="24"/>
          <w:szCs w:val="24"/>
        </w:rPr>
        <w:t>-</w:t>
      </w:r>
      <w:r>
        <w:rPr>
          <w:i/>
          <w:sz w:val="24"/>
          <w:szCs w:val="24"/>
        </w:rPr>
        <w:t>s</w:t>
      </w:r>
      <w:r>
        <w:rPr>
          <w:sz w:val="24"/>
          <w:szCs w:val="24"/>
        </w:rPr>
        <w:t>[</w:t>
      </w:r>
      <w:proofErr w:type="spellStart"/>
      <w:r>
        <w:rPr>
          <w:i/>
          <w:sz w:val="24"/>
          <w:szCs w:val="24"/>
        </w:rPr>
        <w:t>atē</w:t>
      </w:r>
      <w:proofErr w:type="spellEnd"/>
      <w:r>
        <w:rPr>
          <w:sz w:val="24"/>
          <w:szCs w:val="24"/>
        </w:rPr>
        <w:t>]</w:t>
      </w:r>
      <w:r>
        <w:rPr>
          <w:i/>
          <w:sz w:val="24"/>
          <w:szCs w:val="24"/>
        </w:rPr>
        <w:t xml:space="preserve">r </w:t>
      </w:r>
      <w:r>
        <w:rPr>
          <w:sz w:val="24"/>
          <w:szCs w:val="24"/>
        </w:rPr>
        <w:t>[?]</w:t>
      </w:r>
    </w:p>
    <w:p w14:paraId="532FB9F4" w14:textId="77777777" w:rsidR="005B0D65" w:rsidRPr="005B7129" w:rsidRDefault="005B0D65" w:rsidP="005B0D65">
      <w:pPr>
        <w:spacing w:line="240" w:lineRule="auto"/>
        <w:rPr>
          <w:sz w:val="24"/>
          <w:szCs w:val="24"/>
          <w:lang w:val="de-DE"/>
        </w:rPr>
      </w:pPr>
      <w:r>
        <w:rPr>
          <w:sz w:val="24"/>
          <w:szCs w:val="24"/>
        </w:rPr>
        <w:tab/>
      </w:r>
      <w:r>
        <w:rPr>
          <w:sz w:val="24"/>
          <w:szCs w:val="24"/>
        </w:rPr>
        <w:tab/>
      </w:r>
      <w:r w:rsidRPr="005B7129">
        <w:rPr>
          <w:sz w:val="24"/>
          <w:szCs w:val="24"/>
          <w:lang w:val="de-DE"/>
        </w:rPr>
        <w:t xml:space="preserve">3. </w:t>
      </w:r>
      <w:r w:rsidRPr="005B7129">
        <w:rPr>
          <w:i/>
          <w:sz w:val="24"/>
          <w:szCs w:val="24"/>
          <w:lang w:val="de-DE"/>
        </w:rPr>
        <w:t xml:space="preserve">az darīg ō rōyišn </w:t>
      </w:r>
      <w:r w:rsidRPr="005B7129">
        <w:rPr>
          <w:sz w:val="24"/>
          <w:szCs w:val="24"/>
          <w:lang w:val="de-DE"/>
        </w:rPr>
        <w:t xml:space="preserve">[?] </w:t>
      </w:r>
      <w:r w:rsidRPr="005B7129">
        <w:rPr>
          <w:i/>
          <w:sz w:val="24"/>
          <w:szCs w:val="24"/>
          <w:lang w:val="de-DE"/>
        </w:rPr>
        <w:t>dar-handarzbed</w:t>
      </w:r>
    </w:p>
    <w:p w14:paraId="68FD98E2" w14:textId="77777777" w:rsidR="005B0D65" w:rsidRPr="005B7129" w:rsidRDefault="005B0D65" w:rsidP="005B0D65">
      <w:pPr>
        <w:spacing w:line="240" w:lineRule="auto"/>
        <w:rPr>
          <w:i/>
          <w:sz w:val="24"/>
          <w:szCs w:val="24"/>
          <w:lang w:val="de-DE"/>
        </w:rPr>
      </w:pPr>
      <w:r w:rsidRPr="005B7129">
        <w:rPr>
          <w:sz w:val="24"/>
          <w:szCs w:val="24"/>
          <w:lang w:val="de-DE"/>
        </w:rPr>
        <w:tab/>
      </w:r>
      <w:r w:rsidRPr="005B7129">
        <w:rPr>
          <w:sz w:val="24"/>
          <w:szCs w:val="24"/>
          <w:lang w:val="de-DE"/>
        </w:rPr>
        <w:tab/>
        <w:t xml:space="preserve">4. </w:t>
      </w:r>
      <w:r w:rsidRPr="005B7129">
        <w:rPr>
          <w:i/>
          <w:sz w:val="24"/>
          <w:szCs w:val="24"/>
          <w:lang w:val="de-DE"/>
        </w:rPr>
        <w:t>āwurd az</w:t>
      </w:r>
      <w:r w:rsidRPr="005B7129">
        <w:rPr>
          <w:sz w:val="24"/>
          <w:szCs w:val="24"/>
          <w:lang w:val="de-DE"/>
        </w:rPr>
        <w:t xml:space="preserve"> [?] [...]</w:t>
      </w:r>
      <w:r w:rsidRPr="005B7129">
        <w:rPr>
          <w:i/>
          <w:sz w:val="24"/>
          <w:szCs w:val="24"/>
          <w:lang w:val="de-DE"/>
        </w:rPr>
        <w:t>mad ī dar-handarzbed</w:t>
      </w:r>
    </w:p>
    <w:p w14:paraId="63DF0EBC" w14:textId="77777777" w:rsidR="005B0D65" w:rsidRPr="005B7129" w:rsidRDefault="005B0D65" w:rsidP="005B0D65">
      <w:pPr>
        <w:spacing w:line="240" w:lineRule="auto"/>
        <w:ind w:left="1440"/>
        <w:rPr>
          <w:sz w:val="24"/>
          <w:szCs w:val="24"/>
          <w:lang w:val="de-DE"/>
        </w:rPr>
      </w:pPr>
    </w:p>
    <w:p w14:paraId="7F452D11" w14:textId="77777777" w:rsidR="005B0D65" w:rsidRDefault="005B0D65" w:rsidP="005B0D65">
      <w:pPr>
        <w:spacing w:line="240" w:lineRule="auto"/>
        <w:ind w:left="1440"/>
        <w:rPr>
          <w:sz w:val="24"/>
          <w:szCs w:val="24"/>
        </w:rPr>
      </w:pPr>
      <w:r>
        <w:rPr>
          <w:sz w:val="24"/>
          <w:szCs w:val="24"/>
        </w:rPr>
        <w:t xml:space="preserve">[2] From the account of the poll-tax </w:t>
      </w:r>
      <w:proofErr w:type="spellStart"/>
      <w:r>
        <w:rPr>
          <w:sz w:val="24"/>
          <w:szCs w:val="24"/>
        </w:rPr>
        <w:t>Yazdāngird</w:t>
      </w:r>
      <w:proofErr w:type="spellEnd"/>
      <w:r>
        <w:rPr>
          <w:i/>
          <w:sz w:val="24"/>
          <w:szCs w:val="24"/>
        </w:rPr>
        <w:t xml:space="preserve"> </w:t>
      </w:r>
      <w:r>
        <w:rPr>
          <w:sz w:val="24"/>
          <w:szCs w:val="24"/>
        </w:rPr>
        <w:t>brought [line 4] 20 staters [?] [3] From the estate assistant to the prospering [?] tax collector. [4] From [...]mad the tax collector.</w:t>
      </w:r>
      <w:r>
        <w:rPr>
          <w:sz w:val="24"/>
          <w:szCs w:val="24"/>
          <w:vertAlign w:val="superscript"/>
        </w:rPr>
        <w:footnoteReference w:id="18"/>
      </w:r>
    </w:p>
    <w:p w14:paraId="1BDEDF29" w14:textId="77777777" w:rsidR="005B0D65" w:rsidRDefault="005B0D65" w:rsidP="005B0D65">
      <w:pPr>
        <w:spacing w:line="240" w:lineRule="auto"/>
        <w:ind w:left="1440"/>
        <w:rPr>
          <w:sz w:val="24"/>
          <w:szCs w:val="24"/>
        </w:rPr>
      </w:pPr>
    </w:p>
    <w:p w14:paraId="5023F6A5" w14:textId="77777777" w:rsidR="005B0D65" w:rsidRDefault="005B0D65" w:rsidP="005B0D65">
      <w:pPr>
        <w:spacing w:line="240" w:lineRule="auto"/>
        <w:ind w:left="1440"/>
        <w:rPr>
          <w:sz w:val="24"/>
          <w:szCs w:val="24"/>
        </w:rPr>
      </w:pPr>
      <w:r>
        <w:rPr>
          <w:sz w:val="24"/>
          <w:szCs w:val="24"/>
        </w:rPr>
        <w:t>2019:</w:t>
      </w:r>
    </w:p>
    <w:p w14:paraId="0EB9EE1D" w14:textId="77777777" w:rsidR="005B0D65" w:rsidRDefault="005B0D65" w:rsidP="005B0D65">
      <w:pPr>
        <w:spacing w:line="240" w:lineRule="auto"/>
        <w:ind w:left="1440"/>
        <w:rPr>
          <w:sz w:val="24"/>
          <w:szCs w:val="24"/>
        </w:rPr>
      </w:pPr>
    </w:p>
    <w:p w14:paraId="0DF07DAB" w14:textId="77777777" w:rsidR="005B0D65" w:rsidRDefault="005B0D65" w:rsidP="005B0D65">
      <w:pPr>
        <w:spacing w:line="240" w:lineRule="auto"/>
        <w:ind w:left="720" w:firstLine="720"/>
        <w:rPr>
          <w:sz w:val="24"/>
          <w:szCs w:val="24"/>
        </w:rPr>
      </w:pPr>
      <w:r>
        <w:rPr>
          <w:sz w:val="24"/>
          <w:szCs w:val="24"/>
        </w:rPr>
        <w:t xml:space="preserve">2. MN </w:t>
      </w:r>
      <w:proofErr w:type="spellStart"/>
      <w:r>
        <w:rPr>
          <w:sz w:val="24"/>
          <w:szCs w:val="24"/>
        </w:rPr>
        <w:t>gcyṭk</w:t>
      </w:r>
      <w:proofErr w:type="spellEnd"/>
      <w:r>
        <w:rPr>
          <w:sz w:val="24"/>
          <w:szCs w:val="24"/>
        </w:rPr>
        <w:t xml:space="preserve">′ ml </w:t>
      </w:r>
      <w:proofErr w:type="spellStart"/>
      <w:r>
        <w:rPr>
          <w:sz w:val="24"/>
          <w:szCs w:val="24"/>
        </w:rPr>
        <w:t>dšnkrṭ</w:t>
      </w:r>
      <w:proofErr w:type="spellEnd"/>
      <w:r>
        <w:rPr>
          <w:sz w:val="24"/>
          <w:szCs w:val="24"/>
        </w:rPr>
        <w:t xml:space="preserve"> </w:t>
      </w:r>
      <w:proofErr w:type="spellStart"/>
      <w:r>
        <w:rPr>
          <w:sz w:val="24"/>
          <w:szCs w:val="24"/>
        </w:rPr>
        <w:t>zʾhl</w:t>
      </w:r>
      <w:proofErr w:type="spellEnd"/>
    </w:p>
    <w:p w14:paraId="5E11C643" w14:textId="77777777" w:rsidR="005B0D65" w:rsidRDefault="005B0D65" w:rsidP="005B0D65">
      <w:pPr>
        <w:spacing w:line="240" w:lineRule="auto"/>
        <w:ind w:left="720" w:firstLine="720"/>
        <w:rPr>
          <w:sz w:val="24"/>
          <w:szCs w:val="24"/>
        </w:rPr>
      </w:pPr>
      <w:r>
        <w:rPr>
          <w:sz w:val="24"/>
          <w:szCs w:val="24"/>
        </w:rPr>
        <w:t xml:space="preserve">3. MN </w:t>
      </w:r>
      <w:proofErr w:type="spellStart"/>
      <w:r>
        <w:rPr>
          <w:sz w:val="24"/>
          <w:szCs w:val="24"/>
        </w:rPr>
        <w:t>dlyk</w:t>
      </w:r>
      <w:proofErr w:type="spellEnd"/>
      <w:r>
        <w:rPr>
          <w:sz w:val="24"/>
          <w:szCs w:val="24"/>
        </w:rPr>
        <w:t xml:space="preserve">′ OL </w:t>
      </w:r>
      <w:proofErr w:type="spellStart"/>
      <w:r>
        <w:rPr>
          <w:sz w:val="24"/>
          <w:szCs w:val="24"/>
        </w:rPr>
        <w:t>lnzyṭ</w:t>
      </w:r>
      <w:proofErr w:type="spellEnd"/>
      <w:r>
        <w:rPr>
          <w:sz w:val="24"/>
          <w:szCs w:val="24"/>
        </w:rPr>
        <w:t xml:space="preserve"> BBA </w:t>
      </w:r>
      <w:proofErr w:type="spellStart"/>
      <w:r>
        <w:rPr>
          <w:sz w:val="24"/>
          <w:szCs w:val="24"/>
        </w:rPr>
        <w:t>hndlcpṭ</w:t>
      </w:r>
      <w:proofErr w:type="spellEnd"/>
      <w:r>
        <w:rPr>
          <w:sz w:val="24"/>
          <w:szCs w:val="24"/>
        </w:rPr>
        <w:t>′</w:t>
      </w:r>
    </w:p>
    <w:p w14:paraId="6AEFDA92" w14:textId="77777777" w:rsidR="005B0D65" w:rsidRDefault="005B0D65" w:rsidP="005B0D65">
      <w:pPr>
        <w:spacing w:line="240" w:lineRule="auto"/>
        <w:ind w:left="720" w:firstLine="720"/>
        <w:rPr>
          <w:sz w:val="24"/>
          <w:szCs w:val="24"/>
        </w:rPr>
      </w:pPr>
      <w:r>
        <w:rPr>
          <w:sz w:val="24"/>
          <w:szCs w:val="24"/>
        </w:rPr>
        <w:t xml:space="preserve">4. [○] </w:t>
      </w:r>
      <w:proofErr w:type="spellStart"/>
      <w:r>
        <w:rPr>
          <w:sz w:val="24"/>
          <w:szCs w:val="24"/>
        </w:rPr>
        <w:t>YHYTYWNṭn</w:t>
      </w:r>
      <w:proofErr w:type="spellEnd"/>
      <w:r>
        <w:rPr>
          <w:sz w:val="24"/>
          <w:szCs w:val="24"/>
        </w:rPr>
        <w:t xml:space="preserve"> MN [</w:t>
      </w:r>
      <w:r>
        <w:rPr>
          <w:sz w:val="24"/>
          <w:szCs w:val="24"/>
          <w:u w:val="single"/>
        </w:rPr>
        <w:t>Z</w:t>
      </w:r>
      <w:r>
        <w:rPr>
          <w:sz w:val="24"/>
          <w:szCs w:val="24"/>
        </w:rPr>
        <w:t xml:space="preserve">K] </w:t>
      </w:r>
      <w:proofErr w:type="spellStart"/>
      <w:r>
        <w:rPr>
          <w:sz w:val="24"/>
          <w:szCs w:val="24"/>
        </w:rPr>
        <w:t>zmʾn</w:t>
      </w:r>
      <w:proofErr w:type="spellEnd"/>
      <w:r>
        <w:rPr>
          <w:sz w:val="24"/>
          <w:szCs w:val="24"/>
        </w:rPr>
        <w:t xml:space="preserve"> Y BBA </w:t>
      </w:r>
      <w:proofErr w:type="spellStart"/>
      <w:r>
        <w:rPr>
          <w:sz w:val="24"/>
          <w:szCs w:val="24"/>
        </w:rPr>
        <w:t>hndlcpṭ</w:t>
      </w:r>
      <w:proofErr w:type="spellEnd"/>
      <w:r>
        <w:rPr>
          <w:sz w:val="24"/>
          <w:szCs w:val="24"/>
        </w:rPr>
        <w:t>′</w:t>
      </w:r>
    </w:p>
    <w:p w14:paraId="0EA0F1E7" w14:textId="77777777" w:rsidR="005B0D65" w:rsidRDefault="005B0D65" w:rsidP="005B0D65">
      <w:pPr>
        <w:spacing w:line="240" w:lineRule="auto"/>
        <w:rPr>
          <w:sz w:val="24"/>
          <w:szCs w:val="24"/>
        </w:rPr>
      </w:pPr>
    </w:p>
    <w:p w14:paraId="4F6CDCE5" w14:textId="77777777" w:rsidR="005B0D65" w:rsidRDefault="005B0D65" w:rsidP="005B0D65">
      <w:pPr>
        <w:spacing w:line="240" w:lineRule="auto"/>
        <w:rPr>
          <w:sz w:val="24"/>
          <w:szCs w:val="24"/>
        </w:rPr>
      </w:pPr>
      <w:r>
        <w:rPr>
          <w:sz w:val="24"/>
          <w:szCs w:val="24"/>
        </w:rPr>
        <w:tab/>
      </w:r>
      <w:r>
        <w:rPr>
          <w:sz w:val="24"/>
          <w:szCs w:val="24"/>
        </w:rPr>
        <w:tab/>
        <w:t xml:space="preserve">2. </w:t>
      </w:r>
      <w:proofErr w:type="spellStart"/>
      <w:r>
        <w:rPr>
          <w:i/>
          <w:sz w:val="24"/>
          <w:szCs w:val="24"/>
        </w:rPr>
        <w:t>az</w:t>
      </w:r>
      <w:proofErr w:type="spellEnd"/>
      <w:r>
        <w:rPr>
          <w:i/>
          <w:sz w:val="24"/>
          <w:szCs w:val="24"/>
        </w:rPr>
        <w:t xml:space="preserve"> </w:t>
      </w:r>
      <w:proofErr w:type="spellStart"/>
      <w:r>
        <w:rPr>
          <w:i/>
          <w:sz w:val="24"/>
          <w:szCs w:val="24"/>
        </w:rPr>
        <w:t>gazīdag</w:t>
      </w:r>
      <w:proofErr w:type="spellEnd"/>
      <w:r>
        <w:rPr>
          <w:i/>
          <w:sz w:val="24"/>
          <w:szCs w:val="24"/>
        </w:rPr>
        <w:t xml:space="preserve"> mar </w:t>
      </w:r>
      <w:proofErr w:type="spellStart"/>
      <w:r>
        <w:rPr>
          <w:i/>
          <w:sz w:val="24"/>
          <w:szCs w:val="24"/>
        </w:rPr>
        <w:t>dašngird</w:t>
      </w:r>
      <w:proofErr w:type="spellEnd"/>
      <w:r>
        <w:rPr>
          <w:i/>
          <w:sz w:val="24"/>
          <w:szCs w:val="24"/>
        </w:rPr>
        <w:t xml:space="preserve"> </w:t>
      </w:r>
      <w:proofErr w:type="spellStart"/>
      <w:r>
        <w:rPr>
          <w:i/>
          <w:sz w:val="24"/>
          <w:szCs w:val="24"/>
        </w:rPr>
        <w:t>zahr</w:t>
      </w:r>
      <w:proofErr w:type="spellEnd"/>
    </w:p>
    <w:p w14:paraId="1E631CF4" w14:textId="77777777" w:rsidR="005B0D65" w:rsidRDefault="005B0D65" w:rsidP="005B0D65">
      <w:pPr>
        <w:spacing w:line="240" w:lineRule="auto"/>
        <w:rPr>
          <w:sz w:val="24"/>
          <w:szCs w:val="24"/>
        </w:rPr>
      </w:pPr>
      <w:r>
        <w:rPr>
          <w:sz w:val="24"/>
          <w:szCs w:val="24"/>
        </w:rPr>
        <w:tab/>
      </w:r>
      <w:r>
        <w:rPr>
          <w:sz w:val="24"/>
          <w:szCs w:val="24"/>
        </w:rPr>
        <w:tab/>
        <w:t xml:space="preserve">3. </w:t>
      </w:r>
      <w:proofErr w:type="spellStart"/>
      <w:r>
        <w:rPr>
          <w:i/>
          <w:sz w:val="24"/>
          <w:szCs w:val="24"/>
        </w:rPr>
        <w:t>az</w:t>
      </w:r>
      <w:proofErr w:type="spellEnd"/>
      <w:r>
        <w:rPr>
          <w:i/>
          <w:sz w:val="24"/>
          <w:szCs w:val="24"/>
        </w:rPr>
        <w:t xml:space="preserve"> </w:t>
      </w:r>
      <w:proofErr w:type="spellStart"/>
      <w:r>
        <w:rPr>
          <w:i/>
          <w:sz w:val="24"/>
          <w:szCs w:val="24"/>
        </w:rPr>
        <w:t>darīg</w:t>
      </w:r>
      <w:proofErr w:type="spellEnd"/>
      <w:r>
        <w:rPr>
          <w:i/>
          <w:sz w:val="24"/>
          <w:szCs w:val="24"/>
        </w:rPr>
        <w:t xml:space="preserve"> ō </w:t>
      </w:r>
      <w:proofErr w:type="spellStart"/>
      <w:r>
        <w:rPr>
          <w:i/>
          <w:sz w:val="24"/>
          <w:szCs w:val="24"/>
        </w:rPr>
        <w:t>ranǰīd</w:t>
      </w:r>
      <w:proofErr w:type="spellEnd"/>
      <w:r>
        <w:rPr>
          <w:sz w:val="24"/>
          <w:szCs w:val="24"/>
        </w:rPr>
        <w:t xml:space="preserve"> </w:t>
      </w:r>
      <w:proofErr w:type="spellStart"/>
      <w:r>
        <w:rPr>
          <w:i/>
          <w:sz w:val="24"/>
          <w:szCs w:val="24"/>
        </w:rPr>
        <w:t>dar-handarzbed</w:t>
      </w:r>
      <w:proofErr w:type="spellEnd"/>
    </w:p>
    <w:p w14:paraId="5B5A755C" w14:textId="77777777" w:rsidR="005B0D65" w:rsidRDefault="005B0D65" w:rsidP="005B0D65">
      <w:pPr>
        <w:spacing w:line="240" w:lineRule="auto"/>
        <w:rPr>
          <w:i/>
          <w:sz w:val="24"/>
          <w:szCs w:val="24"/>
        </w:rPr>
      </w:pPr>
      <w:r>
        <w:rPr>
          <w:sz w:val="24"/>
          <w:szCs w:val="24"/>
        </w:rPr>
        <w:tab/>
      </w:r>
      <w:r>
        <w:rPr>
          <w:sz w:val="24"/>
          <w:szCs w:val="24"/>
        </w:rPr>
        <w:tab/>
        <w:t xml:space="preserve">4.  [○] </w:t>
      </w:r>
      <w:proofErr w:type="spellStart"/>
      <w:r>
        <w:rPr>
          <w:i/>
          <w:sz w:val="24"/>
          <w:szCs w:val="24"/>
        </w:rPr>
        <w:t>āwurdan</w:t>
      </w:r>
      <w:proofErr w:type="spellEnd"/>
      <w:r>
        <w:rPr>
          <w:i/>
          <w:sz w:val="24"/>
          <w:szCs w:val="24"/>
        </w:rPr>
        <w:t xml:space="preserve"> </w:t>
      </w:r>
      <w:proofErr w:type="spellStart"/>
      <w:r>
        <w:rPr>
          <w:i/>
          <w:sz w:val="24"/>
          <w:szCs w:val="24"/>
        </w:rPr>
        <w:t>az</w:t>
      </w:r>
      <w:proofErr w:type="spellEnd"/>
      <w:r>
        <w:rPr>
          <w:sz w:val="24"/>
          <w:szCs w:val="24"/>
        </w:rPr>
        <w:t xml:space="preserve"> [</w:t>
      </w:r>
      <w:proofErr w:type="spellStart"/>
      <w:r>
        <w:rPr>
          <w:i/>
          <w:sz w:val="24"/>
          <w:szCs w:val="24"/>
        </w:rPr>
        <w:t>ān</w:t>
      </w:r>
      <w:proofErr w:type="spellEnd"/>
      <w:r>
        <w:rPr>
          <w:sz w:val="24"/>
          <w:szCs w:val="24"/>
        </w:rPr>
        <w:t xml:space="preserve">] </w:t>
      </w:r>
      <w:proofErr w:type="spellStart"/>
      <w:r>
        <w:rPr>
          <w:i/>
          <w:sz w:val="24"/>
          <w:szCs w:val="24"/>
        </w:rPr>
        <w:t>zamān</w:t>
      </w:r>
      <w:proofErr w:type="spellEnd"/>
      <w:r>
        <w:rPr>
          <w:i/>
          <w:sz w:val="24"/>
          <w:szCs w:val="24"/>
        </w:rPr>
        <w:t xml:space="preserve"> ī </w:t>
      </w:r>
      <w:proofErr w:type="spellStart"/>
      <w:r>
        <w:rPr>
          <w:i/>
          <w:sz w:val="24"/>
          <w:szCs w:val="24"/>
        </w:rPr>
        <w:t>dar-handarzbed</w:t>
      </w:r>
      <w:proofErr w:type="spellEnd"/>
    </w:p>
    <w:p w14:paraId="38553785" w14:textId="77777777" w:rsidR="005B0D65" w:rsidRDefault="005B0D65" w:rsidP="005B0D65">
      <w:pPr>
        <w:spacing w:line="240" w:lineRule="auto"/>
        <w:rPr>
          <w:i/>
          <w:sz w:val="24"/>
          <w:szCs w:val="24"/>
        </w:rPr>
      </w:pPr>
    </w:p>
    <w:p w14:paraId="383FAEC7" w14:textId="77777777" w:rsidR="005B0D65" w:rsidRDefault="005B0D65" w:rsidP="005B0D65">
      <w:pPr>
        <w:spacing w:line="240" w:lineRule="auto"/>
        <w:ind w:left="1440"/>
        <w:rPr>
          <w:sz w:val="24"/>
          <w:szCs w:val="24"/>
        </w:rPr>
      </w:pPr>
      <w:r>
        <w:rPr>
          <w:sz w:val="24"/>
          <w:szCs w:val="24"/>
        </w:rPr>
        <w:lastRenderedPageBreak/>
        <w:t>[2] On account of having been bitten [or stung] an appropriate antidote [3] by an estate assistant to the chamberlain being troubled [since]. [4] To be brought in time [lit. from that time of the chamberlain].</w:t>
      </w:r>
      <w:r>
        <w:rPr>
          <w:sz w:val="24"/>
          <w:szCs w:val="24"/>
          <w:vertAlign w:val="superscript"/>
        </w:rPr>
        <w:footnoteReference w:id="19"/>
      </w:r>
    </w:p>
    <w:p w14:paraId="7E20CA60" w14:textId="77777777" w:rsidR="005B0D65" w:rsidRDefault="005B0D65" w:rsidP="005B0D65">
      <w:pPr>
        <w:rPr>
          <w:rFonts w:ascii="Arial" w:eastAsia="Arial" w:hAnsi="Arial" w:cs="Arial"/>
          <w:sz w:val="22"/>
          <w:szCs w:val="22"/>
        </w:rPr>
      </w:pPr>
    </w:p>
    <w:p w14:paraId="4B00CD05" w14:textId="77777777" w:rsidR="005B0D65" w:rsidRDefault="005B0D65" w:rsidP="005B0D65">
      <w:pPr>
        <w:spacing w:line="480" w:lineRule="auto"/>
        <w:ind w:firstLine="720"/>
        <w:rPr>
          <w:sz w:val="24"/>
          <w:szCs w:val="24"/>
        </w:rPr>
      </w:pPr>
      <w:r>
        <w:rPr>
          <w:sz w:val="24"/>
          <w:szCs w:val="24"/>
        </w:rPr>
        <w:t xml:space="preserve">These two editions differ radically in their interpretation of the word </w:t>
      </w:r>
      <w:proofErr w:type="spellStart"/>
      <w:r>
        <w:rPr>
          <w:i/>
          <w:sz w:val="24"/>
          <w:szCs w:val="24"/>
        </w:rPr>
        <w:t>gazīdag</w:t>
      </w:r>
      <w:proofErr w:type="spellEnd"/>
      <w:r>
        <w:rPr>
          <w:sz w:val="24"/>
          <w:szCs w:val="24"/>
        </w:rPr>
        <w:t>, in particular: in 2013, it’s a “poll-tax,” and then in 2019 Weber revised the reading to “having been bitten [or stung].” Although, as I discuss in the main text, “poll-tax” is probably not quite correct, on a more fundamental level this word is far more likely to refer to a fiscal imposition of some kind than to a state of physical injury.</w:t>
      </w:r>
    </w:p>
    <w:p w14:paraId="78C6144D" w14:textId="77777777" w:rsidR="005B0D65" w:rsidRDefault="005B0D65" w:rsidP="005B0D65">
      <w:pPr>
        <w:spacing w:line="480" w:lineRule="auto"/>
        <w:ind w:firstLine="720"/>
        <w:rPr>
          <w:sz w:val="24"/>
          <w:szCs w:val="24"/>
        </w:rPr>
      </w:pPr>
      <w:r>
        <w:rPr>
          <w:sz w:val="24"/>
          <w:szCs w:val="24"/>
        </w:rPr>
        <w:t xml:space="preserve">So, why a tax and not the result of a bite (or sting)? Some supporting evidence can be found in the word’s immediate context: </w:t>
      </w:r>
      <w:proofErr w:type="spellStart"/>
      <w:r>
        <w:rPr>
          <w:i/>
          <w:sz w:val="24"/>
          <w:szCs w:val="24"/>
        </w:rPr>
        <w:t>gazīdag</w:t>
      </w:r>
      <w:proofErr w:type="spellEnd"/>
      <w:r>
        <w:rPr>
          <w:sz w:val="24"/>
          <w:szCs w:val="24"/>
        </w:rPr>
        <w:t xml:space="preserve"> occurs as part of the larger phrase </w:t>
      </w:r>
      <w:proofErr w:type="spellStart"/>
      <w:r>
        <w:rPr>
          <w:i/>
          <w:sz w:val="24"/>
          <w:szCs w:val="24"/>
        </w:rPr>
        <w:t>az</w:t>
      </w:r>
      <w:proofErr w:type="spellEnd"/>
      <w:r>
        <w:rPr>
          <w:i/>
          <w:sz w:val="24"/>
          <w:szCs w:val="24"/>
        </w:rPr>
        <w:t xml:space="preserve"> </w:t>
      </w:r>
      <w:proofErr w:type="spellStart"/>
      <w:r>
        <w:rPr>
          <w:i/>
          <w:sz w:val="24"/>
          <w:szCs w:val="24"/>
        </w:rPr>
        <w:t>gazīdag</w:t>
      </w:r>
      <w:proofErr w:type="spellEnd"/>
      <w:r>
        <w:rPr>
          <w:i/>
          <w:sz w:val="24"/>
          <w:szCs w:val="24"/>
        </w:rPr>
        <w:t xml:space="preserve"> mar. Mar</w:t>
      </w:r>
      <w:r>
        <w:rPr>
          <w:sz w:val="24"/>
          <w:szCs w:val="24"/>
        </w:rPr>
        <w:t xml:space="preserve"> literally means “number,” but in its legal and documentary attestations the word typically refers to a certain “sum” or “amount” of money or material; “account” can often be an apt translation, when, for example, payments into or out of a certain </w:t>
      </w:r>
      <w:r>
        <w:rPr>
          <w:i/>
          <w:sz w:val="24"/>
          <w:szCs w:val="24"/>
        </w:rPr>
        <w:t>mar</w:t>
      </w:r>
      <w:r>
        <w:rPr>
          <w:sz w:val="24"/>
          <w:szCs w:val="24"/>
        </w:rPr>
        <w:t xml:space="preserve"> are discussed.</w:t>
      </w:r>
      <w:r>
        <w:rPr>
          <w:sz w:val="24"/>
          <w:szCs w:val="24"/>
          <w:vertAlign w:val="superscript"/>
        </w:rPr>
        <w:footnoteReference w:id="20"/>
      </w:r>
      <w:r>
        <w:rPr>
          <w:sz w:val="24"/>
          <w:szCs w:val="24"/>
        </w:rPr>
        <w:t xml:space="preserve"> So, the literal sense of the phrase </w:t>
      </w:r>
      <w:proofErr w:type="spellStart"/>
      <w:r>
        <w:rPr>
          <w:i/>
          <w:sz w:val="24"/>
          <w:szCs w:val="24"/>
        </w:rPr>
        <w:t>az</w:t>
      </w:r>
      <w:proofErr w:type="spellEnd"/>
      <w:r>
        <w:rPr>
          <w:i/>
          <w:sz w:val="24"/>
          <w:szCs w:val="24"/>
        </w:rPr>
        <w:t xml:space="preserve"> </w:t>
      </w:r>
      <w:proofErr w:type="spellStart"/>
      <w:r>
        <w:rPr>
          <w:i/>
          <w:sz w:val="24"/>
          <w:szCs w:val="24"/>
        </w:rPr>
        <w:t>gazīdag</w:t>
      </w:r>
      <w:proofErr w:type="spellEnd"/>
      <w:r>
        <w:rPr>
          <w:i/>
          <w:sz w:val="24"/>
          <w:szCs w:val="24"/>
        </w:rPr>
        <w:t xml:space="preserve"> mar</w:t>
      </w:r>
      <w:r>
        <w:rPr>
          <w:sz w:val="24"/>
          <w:szCs w:val="24"/>
        </w:rPr>
        <w:t xml:space="preserve"> would be something like “from the sum of the </w:t>
      </w:r>
      <w:proofErr w:type="spellStart"/>
      <w:r>
        <w:rPr>
          <w:i/>
          <w:sz w:val="24"/>
          <w:szCs w:val="24"/>
        </w:rPr>
        <w:t>gazīdag</w:t>
      </w:r>
      <w:proofErr w:type="spellEnd"/>
      <w:r>
        <w:rPr>
          <w:sz w:val="24"/>
          <w:szCs w:val="24"/>
        </w:rPr>
        <w:t xml:space="preserve">,” or “from the account of the </w:t>
      </w:r>
      <w:proofErr w:type="spellStart"/>
      <w:r>
        <w:rPr>
          <w:i/>
          <w:sz w:val="24"/>
          <w:szCs w:val="24"/>
        </w:rPr>
        <w:t>gazīdag</w:t>
      </w:r>
      <w:proofErr w:type="spellEnd"/>
      <w:r>
        <w:rPr>
          <w:sz w:val="24"/>
          <w:szCs w:val="24"/>
        </w:rPr>
        <w:t xml:space="preserve">.” Although </w:t>
      </w:r>
      <w:proofErr w:type="spellStart"/>
      <w:r>
        <w:rPr>
          <w:i/>
          <w:sz w:val="24"/>
          <w:szCs w:val="24"/>
        </w:rPr>
        <w:t>az</w:t>
      </w:r>
      <w:proofErr w:type="spellEnd"/>
      <w:r>
        <w:rPr>
          <w:sz w:val="24"/>
          <w:szCs w:val="24"/>
        </w:rPr>
        <w:t xml:space="preserve"> … </w:t>
      </w:r>
      <w:r>
        <w:rPr>
          <w:i/>
          <w:sz w:val="24"/>
          <w:szCs w:val="24"/>
        </w:rPr>
        <w:t>mar</w:t>
      </w:r>
      <w:r>
        <w:rPr>
          <w:sz w:val="24"/>
          <w:szCs w:val="24"/>
        </w:rPr>
        <w:t xml:space="preserve"> (and the synonymous </w:t>
      </w:r>
      <w:proofErr w:type="spellStart"/>
      <w:r>
        <w:rPr>
          <w:i/>
          <w:sz w:val="24"/>
          <w:szCs w:val="24"/>
        </w:rPr>
        <w:t>az</w:t>
      </w:r>
      <w:proofErr w:type="spellEnd"/>
      <w:r>
        <w:rPr>
          <w:i/>
          <w:sz w:val="24"/>
          <w:szCs w:val="24"/>
        </w:rPr>
        <w:t xml:space="preserve"> mar ī</w:t>
      </w:r>
      <w:r>
        <w:rPr>
          <w:sz w:val="24"/>
          <w:szCs w:val="24"/>
        </w:rPr>
        <w:t>…) can function like English “on account of,” taking the idiomatic meaning “for the sake of” or “because of,” this sense is attested only very rarely and equivocally, if at all, among the Qom documents.</w:t>
      </w:r>
      <w:r>
        <w:rPr>
          <w:sz w:val="24"/>
          <w:szCs w:val="24"/>
          <w:vertAlign w:val="superscript"/>
        </w:rPr>
        <w:footnoteReference w:id="21"/>
      </w:r>
      <w:r>
        <w:rPr>
          <w:sz w:val="24"/>
          <w:szCs w:val="24"/>
        </w:rPr>
        <w:t xml:space="preserve"> </w:t>
      </w:r>
    </w:p>
    <w:p w14:paraId="6205C5DB" w14:textId="77777777" w:rsidR="005B0D65" w:rsidRDefault="005B0D65" w:rsidP="005B0D65">
      <w:pPr>
        <w:spacing w:line="480" w:lineRule="auto"/>
        <w:ind w:firstLine="720"/>
        <w:rPr>
          <w:sz w:val="24"/>
          <w:szCs w:val="24"/>
        </w:rPr>
      </w:pPr>
      <w:r>
        <w:rPr>
          <w:sz w:val="24"/>
          <w:szCs w:val="24"/>
        </w:rPr>
        <w:lastRenderedPageBreak/>
        <w:t xml:space="preserve">Hence, the first part of Weber’s “on account of having been bitten [or stung]” is at least questionable; for the Qom corpus, this would entail an unusual, if not unparalleled, use of the word </w:t>
      </w:r>
      <w:r>
        <w:rPr>
          <w:i/>
          <w:sz w:val="24"/>
          <w:szCs w:val="24"/>
        </w:rPr>
        <w:t>mar</w:t>
      </w:r>
      <w:r>
        <w:rPr>
          <w:sz w:val="24"/>
          <w:szCs w:val="24"/>
        </w:rPr>
        <w:t xml:space="preserve">. “Having been bitten [or stung]” as a translation of </w:t>
      </w:r>
      <w:proofErr w:type="spellStart"/>
      <w:r>
        <w:rPr>
          <w:i/>
          <w:sz w:val="24"/>
          <w:szCs w:val="24"/>
        </w:rPr>
        <w:t>gazīdag</w:t>
      </w:r>
      <w:proofErr w:type="spellEnd"/>
      <w:r>
        <w:rPr>
          <w:sz w:val="24"/>
          <w:szCs w:val="24"/>
        </w:rPr>
        <w:t xml:space="preserve"> presents even greater difficulties in this context. It is true that there is a verb </w:t>
      </w:r>
      <w:proofErr w:type="spellStart"/>
      <w:r>
        <w:rPr>
          <w:i/>
          <w:sz w:val="24"/>
          <w:szCs w:val="24"/>
        </w:rPr>
        <w:t>gazīdan</w:t>
      </w:r>
      <w:proofErr w:type="spellEnd"/>
      <w:r>
        <w:rPr>
          <w:sz w:val="24"/>
          <w:szCs w:val="24"/>
        </w:rPr>
        <w:t xml:space="preserve">, “bite” or “sting”; and one can also make a past participle </w:t>
      </w:r>
      <w:proofErr w:type="spellStart"/>
      <w:r>
        <w:rPr>
          <w:i/>
          <w:sz w:val="24"/>
          <w:szCs w:val="24"/>
        </w:rPr>
        <w:t>gazīdag</w:t>
      </w:r>
      <w:proofErr w:type="spellEnd"/>
      <w:r>
        <w:rPr>
          <w:sz w:val="24"/>
          <w:szCs w:val="24"/>
        </w:rPr>
        <w:t xml:space="preserve"> from this stem, meaning “having been bitten [or stung].” But “having been bitten [or stung]” in the English phrase “on account of having been bitten [or stung]” is a gerund, not a participle: even if one went so far as to accept “on account of” as a translation for </w:t>
      </w:r>
      <w:proofErr w:type="spellStart"/>
      <w:r>
        <w:rPr>
          <w:i/>
          <w:sz w:val="24"/>
          <w:szCs w:val="24"/>
        </w:rPr>
        <w:t>az</w:t>
      </w:r>
      <w:proofErr w:type="spellEnd"/>
      <w:r>
        <w:rPr>
          <w:i/>
          <w:sz w:val="24"/>
          <w:szCs w:val="24"/>
        </w:rPr>
        <w:t xml:space="preserve"> </w:t>
      </w:r>
      <w:r>
        <w:rPr>
          <w:sz w:val="24"/>
          <w:szCs w:val="24"/>
        </w:rPr>
        <w:t>…</w:t>
      </w:r>
      <w:r>
        <w:rPr>
          <w:i/>
          <w:sz w:val="24"/>
          <w:szCs w:val="24"/>
        </w:rPr>
        <w:t xml:space="preserve"> mar</w:t>
      </w:r>
      <w:r>
        <w:rPr>
          <w:sz w:val="24"/>
          <w:szCs w:val="24"/>
        </w:rPr>
        <w:t xml:space="preserve">, </w:t>
      </w:r>
      <w:proofErr w:type="spellStart"/>
      <w:r>
        <w:rPr>
          <w:i/>
          <w:sz w:val="24"/>
          <w:szCs w:val="24"/>
        </w:rPr>
        <w:t>az</w:t>
      </w:r>
      <w:proofErr w:type="spellEnd"/>
      <w:r>
        <w:rPr>
          <w:i/>
          <w:sz w:val="24"/>
          <w:szCs w:val="24"/>
        </w:rPr>
        <w:t xml:space="preserve"> </w:t>
      </w:r>
      <w:proofErr w:type="spellStart"/>
      <w:r>
        <w:rPr>
          <w:i/>
          <w:sz w:val="24"/>
          <w:szCs w:val="24"/>
        </w:rPr>
        <w:t>gazīdag</w:t>
      </w:r>
      <w:proofErr w:type="spellEnd"/>
      <w:r>
        <w:rPr>
          <w:i/>
          <w:sz w:val="24"/>
          <w:szCs w:val="24"/>
        </w:rPr>
        <w:t xml:space="preserve"> mar</w:t>
      </w:r>
      <w:r>
        <w:rPr>
          <w:sz w:val="24"/>
          <w:szCs w:val="24"/>
        </w:rPr>
        <w:t xml:space="preserve"> would not mean “on account of having been bitten [or stung].” </w:t>
      </w:r>
    </w:p>
    <w:p w14:paraId="12845461" w14:textId="77777777" w:rsidR="005B0D65" w:rsidRDefault="005B0D65" w:rsidP="005B0D65">
      <w:pPr>
        <w:spacing w:line="480" w:lineRule="auto"/>
        <w:ind w:firstLine="720"/>
        <w:rPr>
          <w:sz w:val="24"/>
          <w:szCs w:val="24"/>
        </w:rPr>
      </w:pPr>
      <w:r>
        <w:rPr>
          <w:sz w:val="24"/>
          <w:szCs w:val="24"/>
        </w:rPr>
        <w:t xml:space="preserve">Nor is Weber’s reinterpretation of line 2’s rather equivocal final word as </w:t>
      </w:r>
      <w:proofErr w:type="spellStart"/>
      <w:r>
        <w:rPr>
          <w:i/>
          <w:sz w:val="24"/>
          <w:szCs w:val="24"/>
        </w:rPr>
        <w:t>zahr</w:t>
      </w:r>
      <w:proofErr w:type="spellEnd"/>
      <w:r>
        <w:rPr>
          <w:sz w:val="24"/>
          <w:szCs w:val="24"/>
        </w:rPr>
        <w:t xml:space="preserve">, “lit. ‘poison’ but here better ‘antidote’” sufficiently compelling to justify his new reading of </w:t>
      </w:r>
      <w:proofErr w:type="spellStart"/>
      <w:r>
        <w:rPr>
          <w:i/>
          <w:sz w:val="24"/>
          <w:szCs w:val="24"/>
        </w:rPr>
        <w:t>az</w:t>
      </w:r>
      <w:proofErr w:type="spellEnd"/>
      <w:r>
        <w:rPr>
          <w:i/>
          <w:sz w:val="24"/>
          <w:szCs w:val="24"/>
        </w:rPr>
        <w:t xml:space="preserve"> </w:t>
      </w:r>
      <w:proofErr w:type="spellStart"/>
      <w:r>
        <w:rPr>
          <w:i/>
          <w:sz w:val="24"/>
          <w:szCs w:val="24"/>
        </w:rPr>
        <w:t>gazīdag</w:t>
      </w:r>
      <w:proofErr w:type="spellEnd"/>
      <w:r>
        <w:rPr>
          <w:i/>
          <w:sz w:val="24"/>
          <w:szCs w:val="24"/>
        </w:rPr>
        <w:t xml:space="preserve"> mar</w:t>
      </w:r>
      <w:r>
        <w:rPr>
          <w:sz w:val="24"/>
          <w:szCs w:val="24"/>
        </w:rPr>
        <w:t>. Asking the reader to accept that this word is to be construed not in its typical sense of “poison” but rather as its antonym, “antidote,” does not inspire confidence; the word is at least as likely to indicate some sum of grain or money, as Weber had initially thought in 2013.</w:t>
      </w:r>
      <w:r>
        <w:rPr>
          <w:sz w:val="24"/>
          <w:szCs w:val="24"/>
          <w:vertAlign w:val="superscript"/>
        </w:rPr>
        <w:footnoteReference w:id="22"/>
      </w:r>
      <w:r>
        <w:rPr>
          <w:sz w:val="24"/>
          <w:szCs w:val="24"/>
        </w:rPr>
        <w:t xml:space="preserve"> Weber’s reinterpretation of the word modifying </w:t>
      </w:r>
      <w:proofErr w:type="spellStart"/>
      <w:r>
        <w:rPr>
          <w:i/>
          <w:sz w:val="24"/>
          <w:szCs w:val="24"/>
        </w:rPr>
        <w:t>dar-handarzbed</w:t>
      </w:r>
      <w:proofErr w:type="spellEnd"/>
      <w:r>
        <w:rPr>
          <w:sz w:val="24"/>
          <w:szCs w:val="24"/>
        </w:rPr>
        <w:t xml:space="preserve"> (an official; this word’s meaning will be discussed further below)</w:t>
      </w:r>
      <w:r>
        <w:rPr>
          <w:i/>
          <w:sz w:val="24"/>
          <w:szCs w:val="24"/>
        </w:rPr>
        <w:t xml:space="preserve"> </w:t>
      </w:r>
      <w:r>
        <w:rPr>
          <w:sz w:val="24"/>
          <w:szCs w:val="24"/>
        </w:rPr>
        <w:t xml:space="preserve">in l. 3 as </w:t>
      </w:r>
      <w:proofErr w:type="spellStart"/>
      <w:r>
        <w:rPr>
          <w:i/>
          <w:sz w:val="24"/>
          <w:szCs w:val="24"/>
        </w:rPr>
        <w:t>ranǰīd</w:t>
      </w:r>
      <w:proofErr w:type="spellEnd"/>
      <w:r>
        <w:rPr>
          <w:sz w:val="24"/>
          <w:szCs w:val="24"/>
        </w:rPr>
        <w:t xml:space="preserve">, “troubled,” is somewhat more plausible, but this is hardly an indicator that the </w:t>
      </w:r>
      <w:proofErr w:type="spellStart"/>
      <w:r>
        <w:rPr>
          <w:i/>
          <w:sz w:val="24"/>
          <w:szCs w:val="24"/>
        </w:rPr>
        <w:t>dar-handarzbed</w:t>
      </w:r>
      <w:proofErr w:type="spellEnd"/>
      <w:r>
        <w:rPr>
          <w:i/>
          <w:sz w:val="24"/>
          <w:szCs w:val="24"/>
        </w:rPr>
        <w:t xml:space="preserve"> </w:t>
      </w:r>
      <w:r>
        <w:rPr>
          <w:sz w:val="24"/>
          <w:szCs w:val="24"/>
        </w:rPr>
        <w:t>mentioned in the document has been physically injured, by a snake, scorpion, or otherwise, as Weber claims.</w:t>
      </w:r>
      <w:r>
        <w:rPr>
          <w:sz w:val="24"/>
          <w:szCs w:val="24"/>
          <w:vertAlign w:val="superscript"/>
        </w:rPr>
        <w:footnoteReference w:id="23"/>
      </w:r>
      <w:r>
        <w:rPr>
          <w:sz w:val="24"/>
          <w:szCs w:val="24"/>
        </w:rPr>
        <w:t xml:space="preserve"> This descriptor (whether it is to be read </w:t>
      </w:r>
      <w:proofErr w:type="spellStart"/>
      <w:r>
        <w:rPr>
          <w:i/>
          <w:sz w:val="24"/>
          <w:szCs w:val="24"/>
        </w:rPr>
        <w:t>ranǰīd</w:t>
      </w:r>
      <w:proofErr w:type="spellEnd"/>
      <w:r>
        <w:rPr>
          <w:sz w:val="24"/>
          <w:szCs w:val="24"/>
        </w:rPr>
        <w:t xml:space="preserve">, “troubled,” or not) is applied to another official, an </w:t>
      </w:r>
      <w:proofErr w:type="spellStart"/>
      <w:r>
        <w:rPr>
          <w:i/>
          <w:sz w:val="24"/>
          <w:szCs w:val="24"/>
        </w:rPr>
        <w:t>ōstāndār</w:t>
      </w:r>
      <w:proofErr w:type="spellEnd"/>
      <w:r>
        <w:rPr>
          <w:sz w:val="24"/>
          <w:szCs w:val="24"/>
        </w:rPr>
        <w:t>, in Berk. 159; and although Weber classifies both Berk. 159 and Berk. 67 as “documents on persons being troubled from some suffering,” Berk. 159 appears essentially to record a purchase of salt.</w:t>
      </w:r>
      <w:r>
        <w:rPr>
          <w:sz w:val="24"/>
          <w:szCs w:val="24"/>
          <w:vertAlign w:val="superscript"/>
        </w:rPr>
        <w:footnoteReference w:id="24"/>
      </w:r>
      <w:r>
        <w:rPr>
          <w:sz w:val="24"/>
          <w:szCs w:val="24"/>
        </w:rPr>
        <w:t xml:space="preserve"> </w:t>
      </w:r>
      <w:r>
        <w:rPr>
          <w:sz w:val="24"/>
          <w:szCs w:val="24"/>
        </w:rPr>
        <w:lastRenderedPageBreak/>
        <w:t xml:space="preserve">There is no hint that the </w:t>
      </w:r>
      <w:proofErr w:type="spellStart"/>
      <w:r>
        <w:rPr>
          <w:i/>
          <w:sz w:val="24"/>
          <w:szCs w:val="24"/>
        </w:rPr>
        <w:t>ōstāndār</w:t>
      </w:r>
      <w:proofErr w:type="spellEnd"/>
      <w:r>
        <w:rPr>
          <w:sz w:val="24"/>
          <w:szCs w:val="24"/>
        </w:rPr>
        <w:t xml:space="preserve"> mentioned there experienced a physical injury or, indeed, any substantial “suffering” at all.</w:t>
      </w:r>
    </w:p>
    <w:p w14:paraId="79A5BD57" w14:textId="77777777" w:rsidR="005B0D65" w:rsidRDefault="005B0D65" w:rsidP="005B0D65">
      <w:pPr>
        <w:spacing w:line="480" w:lineRule="auto"/>
        <w:ind w:firstLine="720"/>
        <w:rPr>
          <w:rFonts w:ascii="Arial" w:eastAsia="Arial" w:hAnsi="Arial" w:cs="Arial"/>
          <w:sz w:val="22"/>
          <w:szCs w:val="22"/>
        </w:rPr>
      </w:pPr>
      <w:r>
        <w:rPr>
          <w:sz w:val="24"/>
          <w:szCs w:val="24"/>
        </w:rPr>
        <w:t xml:space="preserve">As an alternative to this new interpretation of </w:t>
      </w:r>
      <w:proofErr w:type="spellStart"/>
      <w:r>
        <w:rPr>
          <w:i/>
          <w:sz w:val="24"/>
          <w:szCs w:val="24"/>
        </w:rPr>
        <w:t>az</w:t>
      </w:r>
      <w:proofErr w:type="spellEnd"/>
      <w:r>
        <w:rPr>
          <w:sz w:val="24"/>
          <w:szCs w:val="24"/>
        </w:rPr>
        <w:t xml:space="preserve"> </w:t>
      </w:r>
      <w:proofErr w:type="spellStart"/>
      <w:r>
        <w:rPr>
          <w:i/>
          <w:sz w:val="24"/>
          <w:szCs w:val="24"/>
        </w:rPr>
        <w:t>gazīdag</w:t>
      </w:r>
      <w:proofErr w:type="spellEnd"/>
      <w:r>
        <w:rPr>
          <w:i/>
          <w:sz w:val="24"/>
          <w:szCs w:val="24"/>
        </w:rPr>
        <w:t xml:space="preserve"> mar</w:t>
      </w:r>
      <w:r>
        <w:rPr>
          <w:sz w:val="24"/>
          <w:szCs w:val="24"/>
        </w:rPr>
        <w:t xml:space="preserve">, which assumes an atypical use for the word </w:t>
      </w:r>
      <w:r>
        <w:rPr>
          <w:i/>
          <w:sz w:val="24"/>
          <w:szCs w:val="24"/>
        </w:rPr>
        <w:t>mar</w:t>
      </w:r>
      <w:r>
        <w:rPr>
          <w:sz w:val="24"/>
          <w:szCs w:val="24"/>
        </w:rPr>
        <w:t>, “account,” strains Middle Persian syntax, and is, despite appearances to the contrary, all but unsupported by the broader context, it seems best to go back to Weber’s 2013 reading of the phrase, “from the account of the poll-tax”; though this requires some further refinement in its own right, it constitutes a substantially more promising point of departure.</w:t>
      </w:r>
      <w:r>
        <w:rPr>
          <w:sz w:val="24"/>
          <w:szCs w:val="24"/>
          <w:vertAlign w:val="superscript"/>
        </w:rPr>
        <w:footnoteReference w:id="25"/>
      </w:r>
      <w:r>
        <w:rPr>
          <w:sz w:val="24"/>
          <w:szCs w:val="24"/>
        </w:rPr>
        <w:t xml:space="preserve"> </w:t>
      </w:r>
    </w:p>
    <w:p w14:paraId="665DA3F8" w14:textId="77777777" w:rsidR="005B0D65" w:rsidRDefault="005B0D65" w:rsidP="005B0D65">
      <w:pPr>
        <w:spacing w:line="480" w:lineRule="auto"/>
        <w:ind w:firstLine="720"/>
        <w:rPr>
          <w:sz w:val="24"/>
          <w:szCs w:val="24"/>
        </w:rPr>
      </w:pPr>
    </w:p>
    <w:p w14:paraId="31685A8E" w14:textId="77777777" w:rsidR="005B0D65" w:rsidRDefault="005B0D65" w:rsidP="005B0D65">
      <w:pPr>
        <w:spacing w:line="480" w:lineRule="auto"/>
        <w:ind w:firstLine="720"/>
        <w:rPr>
          <w:sz w:val="24"/>
          <w:szCs w:val="24"/>
        </w:rPr>
      </w:pPr>
    </w:p>
    <w:p w14:paraId="0B66BDED" w14:textId="77777777" w:rsidR="005B0D65" w:rsidRDefault="005B0D65" w:rsidP="005B0D65">
      <w:pPr>
        <w:spacing w:line="480" w:lineRule="auto"/>
        <w:ind w:firstLine="720"/>
        <w:rPr>
          <w:sz w:val="24"/>
          <w:szCs w:val="24"/>
        </w:rPr>
      </w:pPr>
    </w:p>
    <w:p w14:paraId="7F90D362" w14:textId="77777777" w:rsidR="005B0D65" w:rsidRDefault="005B0D65" w:rsidP="005B0D65">
      <w:pPr>
        <w:spacing w:line="480" w:lineRule="auto"/>
        <w:ind w:firstLine="720"/>
        <w:rPr>
          <w:sz w:val="24"/>
          <w:szCs w:val="24"/>
        </w:rPr>
      </w:pPr>
    </w:p>
    <w:p w14:paraId="720A4FD5" w14:textId="77777777" w:rsidR="005B0D65" w:rsidRDefault="005B0D65" w:rsidP="005B0D65">
      <w:pPr>
        <w:spacing w:line="480" w:lineRule="auto"/>
        <w:ind w:firstLine="720"/>
        <w:rPr>
          <w:sz w:val="24"/>
          <w:szCs w:val="24"/>
        </w:rPr>
      </w:pPr>
    </w:p>
    <w:p w14:paraId="10A59AB0" w14:textId="77777777" w:rsidR="005B0D65" w:rsidRDefault="005B0D65" w:rsidP="005B0D65">
      <w:pPr>
        <w:spacing w:line="480" w:lineRule="auto"/>
        <w:ind w:firstLine="720"/>
        <w:rPr>
          <w:sz w:val="24"/>
          <w:szCs w:val="24"/>
        </w:rPr>
      </w:pPr>
    </w:p>
    <w:p w14:paraId="3C2C129A" w14:textId="77777777" w:rsidR="005B0D65" w:rsidRDefault="005B0D65" w:rsidP="005B0D65">
      <w:pPr>
        <w:spacing w:line="480" w:lineRule="auto"/>
        <w:ind w:firstLine="720"/>
        <w:rPr>
          <w:sz w:val="24"/>
          <w:szCs w:val="24"/>
        </w:rPr>
      </w:pPr>
    </w:p>
    <w:p w14:paraId="01D26E6C" w14:textId="77777777" w:rsidR="005B0D65" w:rsidRDefault="005B0D65" w:rsidP="005B0D65">
      <w:pPr>
        <w:spacing w:line="480" w:lineRule="auto"/>
        <w:ind w:firstLine="720"/>
        <w:jc w:val="center"/>
        <w:rPr>
          <w:sz w:val="24"/>
          <w:szCs w:val="24"/>
        </w:rPr>
      </w:pPr>
    </w:p>
    <w:p w14:paraId="00E2DBDC" w14:textId="77777777" w:rsidR="005B0D65" w:rsidRDefault="005B0D65" w:rsidP="005B0D65">
      <w:pPr>
        <w:spacing w:line="480" w:lineRule="auto"/>
        <w:ind w:firstLine="720"/>
        <w:jc w:val="center"/>
        <w:rPr>
          <w:sz w:val="24"/>
          <w:szCs w:val="24"/>
        </w:rPr>
      </w:pPr>
    </w:p>
    <w:p w14:paraId="1A194A5D" w14:textId="77777777" w:rsidR="005B0D65" w:rsidRDefault="005B0D65" w:rsidP="005B0D65">
      <w:pPr>
        <w:spacing w:line="480" w:lineRule="auto"/>
        <w:ind w:firstLine="720"/>
        <w:jc w:val="center"/>
        <w:rPr>
          <w:sz w:val="24"/>
          <w:szCs w:val="24"/>
        </w:rPr>
      </w:pPr>
    </w:p>
    <w:p w14:paraId="5746882D" w14:textId="77777777" w:rsidR="005B0D65" w:rsidRDefault="005B0D65" w:rsidP="005B0D65">
      <w:pPr>
        <w:spacing w:line="480" w:lineRule="auto"/>
        <w:ind w:firstLine="720"/>
        <w:jc w:val="center"/>
        <w:rPr>
          <w:sz w:val="24"/>
          <w:szCs w:val="24"/>
        </w:rPr>
      </w:pPr>
    </w:p>
    <w:p w14:paraId="47E30E7B" w14:textId="77777777" w:rsidR="005B0D65" w:rsidRDefault="005B0D65" w:rsidP="005B0D65">
      <w:pPr>
        <w:spacing w:line="480" w:lineRule="auto"/>
        <w:ind w:firstLine="720"/>
        <w:jc w:val="center"/>
        <w:rPr>
          <w:sz w:val="24"/>
          <w:szCs w:val="24"/>
        </w:rPr>
      </w:pPr>
    </w:p>
    <w:p w14:paraId="6CAF5275" w14:textId="77777777" w:rsidR="005B0D65" w:rsidRDefault="005B0D65" w:rsidP="005B0D65">
      <w:pPr>
        <w:spacing w:line="480" w:lineRule="auto"/>
        <w:ind w:firstLine="720"/>
        <w:jc w:val="center"/>
        <w:rPr>
          <w:sz w:val="24"/>
          <w:szCs w:val="24"/>
        </w:rPr>
      </w:pPr>
    </w:p>
    <w:p w14:paraId="1CFB412D" w14:textId="77777777" w:rsidR="005B0D65" w:rsidRDefault="005B0D65" w:rsidP="005B0D65">
      <w:pPr>
        <w:spacing w:line="480" w:lineRule="auto"/>
        <w:ind w:firstLine="720"/>
        <w:jc w:val="center"/>
        <w:rPr>
          <w:sz w:val="24"/>
          <w:szCs w:val="24"/>
        </w:rPr>
      </w:pPr>
    </w:p>
    <w:p w14:paraId="6E0019C3" w14:textId="77777777" w:rsidR="005B0D65" w:rsidRDefault="005B0D65" w:rsidP="005B0D65">
      <w:pPr>
        <w:spacing w:line="480" w:lineRule="auto"/>
        <w:ind w:firstLine="720"/>
        <w:jc w:val="center"/>
        <w:rPr>
          <w:sz w:val="24"/>
          <w:szCs w:val="24"/>
        </w:rPr>
      </w:pPr>
    </w:p>
    <w:p w14:paraId="14E93372" w14:textId="2E610124" w:rsidR="005B0D65" w:rsidRPr="001E3A22" w:rsidRDefault="005B0D65" w:rsidP="001E3A22">
      <w:pPr>
        <w:spacing w:line="480" w:lineRule="auto"/>
        <w:rPr>
          <w:b/>
          <w:bCs/>
          <w:sz w:val="24"/>
          <w:szCs w:val="24"/>
        </w:rPr>
      </w:pPr>
      <w:r w:rsidRPr="001E3A22">
        <w:rPr>
          <w:b/>
          <w:bCs/>
          <w:sz w:val="24"/>
          <w:szCs w:val="24"/>
        </w:rPr>
        <w:lastRenderedPageBreak/>
        <w:t>Appendix 4. Bibliographic Table of All Known Published Qom Documents</w:t>
      </w:r>
      <w:r w:rsidR="0076470A" w:rsidRPr="001E3A22">
        <w:rPr>
          <w:b/>
          <w:bCs/>
          <w:sz w:val="24"/>
          <w:szCs w:val="24"/>
        </w:rPr>
        <w:t>, 2002</w:t>
      </w:r>
      <w:r w:rsidR="00FB1327" w:rsidRPr="001E3A22">
        <w:rPr>
          <w:b/>
          <w:bCs/>
          <w:sz w:val="24"/>
          <w:szCs w:val="24"/>
        </w:rPr>
        <w:t>–January 2024</w:t>
      </w:r>
    </w:p>
    <w:p w14:paraId="51675B94" w14:textId="77777777" w:rsidR="005B0D65" w:rsidRDefault="005B0D65" w:rsidP="005B0D65">
      <w:pPr>
        <w:spacing w:line="480" w:lineRule="auto"/>
        <w:ind w:firstLine="720"/>
        <w:jc w:val="center"/>
        <w:rPr>
          <w:sz w:val="24"/>
          <w:szCs w:val="24"/>
        </w:rPr>
      </w:pPr>
    </w:p>
    <w:p w14:paraId="05311B54" w14:textId="5E6EA670" w:rsidR="005B0D65" w:rsidRDefault="005B0D65" w:rsidP="003F1D75">
      <w:pPr>
        <w:spacing w:line="480" w:lineRule="auto"/>
        <w:rPr>
          <w:sz w:val="24"/>
          <w:szCs w:val="24"/>
        </w:rPr>
      </w:pPr>
      <w:r>
        <w:rPr>
          <w:sz w:val="24"/>
          <w:szCs w:val="24"/>
        </w:rPr>
        <w:t>In the table below, I have listed all full published editions and translations of the Qom documents known to me,</w:t>
      </w:r>
      <w:r w:rsidR="00217BCE">
        <w:rPr>
          <w:sz w:val="24"/>
          <w:szCs w:val="24"/>
        </w:rPr>
        <w:t xml:space="preserve"> from 2002</w:t>
      </w:r>
      <w:r>
        <w:rPr>
          <w:sz w:val="24"/>
          <w:szCs w:val="24"/>
        </w:rPr>
        <w:t xml:space="preserve"> through </w:t>
      </w:r>
      <w:r w:rsidR="00FB1327">
        <w:rPr>
          <w:sz w:val="24"/>
          <w:szCs w:val="24"/>
        </w:rPr>
        <w:t>January 2024</w:t>
      </w:r>
      <w:r>
        <w:rPr>
          <w:sz w:val="24"/>
          <w:szCs w:val="24"/>
        </w:rPr>
        <w:t>. I have only included page numbers where they would be especially helpful; in most cases, it is fairly straightforward to find a given document, provided that one has access to the publication in which it appears.</w:t>
      </w:r>
      <w:r w:rsidR="00217BCE">
        <w:rPr>
          <w:sz w:val="24"/>
          <w:szCs w:val="24"/>
        </w:rPr>
        <w:t xml:space="preserve"> </w:t>
      </w:r>
      <w:r w:rsidR="003F1D75">
        <w:rPr>
          <w:sz w:val="24"/>
          <w:szCs w:val="24"/>
        </w:rPr>
        <w:t xml:space="preserve">Once it is available, I would encourage readers to consult Adam </w:t>
      </w:r>
      <w:proofErr w:type="spellStart"/>
      <w:r w:rsidR="003F1D75">
        <w:rPr>
          <w:sz w:val="24"/>
          <w:szCs w:val="24"/>
        </w:rPr>
        <w:t>Benkato</w:t>
      </w:r>
      <w:proofErr w:type="spellEnd"/>
      <w:r w:rsidR="003F1D75">
        <w:rPr>
          <w:sz w:val="24"/>
          <w:szCs w:val="24"/>
        </w:rPr>
        <w:t xml:space="preserve"> and Arash Zeini’s Open Archive of Middle Persian Documents, which will include bibliographic resources on Middle Persian documents that are substantially more comprehensive than this table, and that will be kept up to date.</w:t>
      </w:r>
      <w:r w:rsidR="004179F1">
        <w:rPr>
          <w:sz w:val="24"/>
          <w:szCs w:val="24"/>
        </w:rPr>
        <w:t xml:space="preserve"> This table also supersedes the</w:t>
      </w:r>
      <w:r w:rsidR="00FB1327">
        <w:rPr>
          <w:sz w:val="24"/>
          <w:szCs w:val="24"/>
        </w:rPr>
        <w:t xml:space="preserve"> relevant section in the</w:t>
      </w:r>
      <w:r w:rsidR="004179F1">
        <w:rPr>
          <w:sz w:val="24"/>
          <w:szCs w:val="24"/>
        </w:rPr>
        <w:t xml:space="preserve"> inventory of Middle Persian documents I put together for the Invisible East research </w:t>
      </w:r>
      <w:proofErr w:type="spellStart"/>
      <w:r w:rsidR="004179F1">
        <w:rPr>
          <w:sz w:val="24"/>
          <w:szCs w:val="24"/>
        </w:rPr>
        <w:t>programme</w:t>
      </w:r>
      <w:proofErr w:type="spellEnd"/>
      <w:r w:rsidR="004179F1">
        <w:rPr>
          <w:sz w:val="24"/>
          <w:szCs w:val="24"/>
        </w:rPr>
        <w:t xml:space="preserve"> website.</w:t>
      </w:r>
    </w:p>
    <w:p w14:paraId="47F221D5" w14:textId="77777777" w:rsidR="005B0D65" w:rsidRDefault="005B0D65" w:rsidP="005B0D65">
      <w:pPr>
        <w:spacing w:line="480" w:lineRule="auto"/>
        <w:ind w:firstLine="720"/>
        <w:jc w:val="center"/>
        <w:rPr>
          <w:sz w:val="24"/>
          <w:szCs w:val="24"/>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2544"/>
        <w:gridCol w:w="6816"/>
      </w:tblGrid>
      <w:tr w:rsidR="005B0D65" w14:paraId="67F5207C"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2F08CAB0" w14:textId="77777777" w:rsidR="005B0D65" w:rsidRDefault="005B0D65" w:rsidP="000B0FEB">
            <w:pPr>
              <w:widowControl w:val="0"/>
              <w:rPr>
                <w:sz w:val="24"/>
                <w:szCs w:val="24"/>
              </w:rPr>
            </w:pPr>
            <w:proofErr w:type="spellStart"/>
            <w:r>
              <w:rPr>
                <w:sz w:val="24"/>
                <w:szCs w:val="24"/>
              </w:rPr>
              <w:t>Shelfmark</w:t>
            </w:r>
            <w:proofErr w:type="spellEnd"/>
            <w:r>
              <w:rPr>
                <w:sz w:val="24"/>
                <w:szCs w:val="24"/>
              </w:rPr>
              <w:t xml:space="preserve"> or reference number</w:t>
            </w:r>
          </w:p>
        </w:tc>
        <w:tc>
          <w:tcPr>
            <w:tcW w:w="6816" w:type="dxa"/>
            <w:tcBorders>
              <w:top w:val="nil"/>
              <w:left w:val="nil"/>
              <w:bottom w:val="nil"/>
              <w:right w:val="nil"/>
            </w:tcBorders>
            <w:tcMar>
              <w:top w:w="20" w:type="dxa"/>
              <w:left w:w="20" w:type="dxa"/>
              <w:bottom w:w="100" w:type="dxa"/>
              <w:right w:w="20" w:type="dxa"/>
            </w:tcMar>
            <w:vAlign w:val="bottom"/>
          </w:tcPr>
          <w:p w14:paraId="7F548166" w14:textId="77777777" w:rsidR="005B0D65" w:rsidRDefault="005B0D65" w:rsidP="000B0FEB">
            <w:pPr>
              <w:widowControl w:val="0"/>
              <w:rPr>
                <w:sz w:val="24"/>
                <w:szCs w:val="24"/>
              </w:rPr>
            </w:pPr>
            <w:r>
              <w:rPr>
                <w:sz w:val="24"/>
                <w:szCs w:val="24"/>
              </w:rPr>
              <w:t>Editions and Translations</w:t>
            </w:r>
          </w:p>
        </w:tc>
      </w:tr>
      <w:tr w:rsidR="006F75D5" w14:paraId="77F90E88"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49D047F" w14:textId="6A90C489" w:rsidR="006F75D5" w:rsidRDefault="006F75D5" w:rsidP="000B0FEB">
            <w:pPr>
              <w:widowControl w:val="0"/>
              <w:rPr>
                <w:sz w:val="24"/>
                <w:szCs w:val="24"/>
              </w:rPr>
            </w:pPr>
            <w:r>
              <w:rPr>
                <w:sz w:val="24"/>
                <w:szCs w:val="24"/>
              </w:rPr>
              <w:t>Berk. 3</w:t>
            </w:r>
          </w:p>
        </w:tc>
        <w:tc>
          <w:tcPr>
            <w:tcW w:w="6816" w:type="dxa"/>
            <w:tcBorders>
              <w:top w:val="nil"/>
              <w:left w:val="nil"/>
              <w:bottom w:val="nil"/>
              <w:right w:val="nil"/>
            </w:tcBorders>
            <w:tcMar>
              <w:top w:w="20" w:type="dxa"/>
              <w:left w:w="20" w:type="dxa"/>
              <w:bottom w:w="100" w:type="dxa"/>
              <w:right w:w="20" w:type="dxa"/>
            </w:tcMar>
            <w:vAlign w:val="bottom"/>
          </w:tcPr>
          <w:p w14:paraId="56C2530D" w14:textId="4ED09934" w:rsidR="006F75D5" w:rsidRDefault="006F75D5" w:rsidP="000B0FEB">
            <w:pPr>
              <w:widowControl w:val="0"/>
              <w:rPr>
                <w:sz w:val="24"/>
                <w:szCs w:val="24"/>
              </w:rPr>
            </w:pPr>
            <w:r>
              <w:rPr>
                <w:sz w:val="24"/>
                <w:szCs w:val="24"/>
              </w:rPr>
              <w:t>Weber (2023)</w:t>
            </w:r>
          </w:p>
        </w:tc>
      </w:tr>
      <w:tr w:rsidR="005B0D65" w14:paraId="62D93F0E"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1EC2DC2" w14:textId="77777777" w:rsidR="005B0D65" w:rsidRDefault="005B0D65" w:rsidP="000B0FEB">
            <w:pPr>
              <w:widowControl w:val="0"/>
              <w:rPr>
                <w:sz w:val="24"/>
                <w:szCs w:val="24"/>
              </w:rPr>
            </w:pPr>
            <w:r>
              <w:rPr>
                <w:sz w:val="24"/>
                <w:szCs w:val="24"/>
              </w:rPr>
              <w:t>Berk. 5</w:t>
            </w:r>
          </w:p>
        </w:tc>
        <w:tc>
          <w:tcPr>
            <w:tcW w:w="6816" w:type="dxa"/>
            <w:tcBorders>
              <w:top w:val="nil"/>
              <w:left w:val="nil"/>
              <w:bottom w:val="nil"/>
              <w:right w:val="nil"/>
            </w:tcBorders>
            <w:tcMar>
              <w:top w:w="20" w:type="dxa"/>
              <w:left w:w="20" w:type="dxa"/>
              <w:bottom w:w="100" w:type="dxa"/>
              <w:right w:w="20" w:type="dxa"/>
            </w:tcMar>
            <w:vAlign w:val="bottom"/>
          </w:tcPr>
          <w:p w14:paraId="1CA436DB" w14:textId="492D90DE" w:rsidR="005B0D65" w:rsidRDefault="00103199" w:rsidP="000B0FEB">
            <w:pPr>
              <w:widowControl w:val="0"/>
              <w:rPr>
                <w:sz w:val="24"/>
                <w:szCs w:val="24"/>
              </w:rPr>
            </w:pPr>
            <w:r>
              <w:rPr>
                <w:sz w:val="24"/>
                <w:szCs w:val="24"/>
              </w:rPr>
              <w:t>Weber (2008a</w:t>
            </w:r>
            <w:r w:rsidR="005B0D65">
              <w:rPr>
                <w:sz w:val="24"/>
                <w:szCs w:val="24"/>
              </w:rPr>
              <w:t>: 8-9)</w:t>
            </w:r>
          </w:p>
        </w:tc>
      </w:tr>
      <w:tr w:rsidR="005B0D65" w14:paraId="05B21E9D"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354F193" w14:textId="77777777" w:rsidR="005B0D65" w:rsidRDefault="005B0D65" w:rsidP="000B0FEB">
            <w:pPr>
              <w:widowControl w:val="0"/>
              <w:rPr>
                <w:sz w:val="24"/>
                <w:szCs w:val="24"/>
              </w:rPr>
            </w:pPr>
            <w:r>
              <w:rPr>
                <w:sz w:val="24"/>
                <w:szCs w:val="24"/>
              </w:rPr>
              <w:t>Berk. 6</w:t>
            </w:r>
          </w:p>
        </w:tc>
        <w:tc>
          <w:tcPr>
            <w:tcW w:w="6816" w:type="dxa"/>
            <w:tcBorders>
              <w:top w:val="nil"/>
              <w:left w:val="nil"/>
              <w:bottom w:val="nil"/>
              <w:right w:val="nil"/>
            </w:tcBorders>
            <w:tcMar>
              <w:top w:w="20" w:type="dxa"/>
              <w:left w:w="20" w:type="dxa"/>
              <w:bottom w:w="100" w:type="dxa"/>
              <w:right w:w="20" w:type="dxa"/>
            </w:tcMar>
            <w:vAlign w:val="bottom"/>
          </w:tcPr>
          <w:p w14:paraId="2CC4670D" w14:textId="2FCC6F47"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98</w:t>
            </w:r>
            <w:r w:rsidR="00073A6E">
              <w:rPr>
                <w:sz w:val="24"/>
                <w:szCs w:val="24"/>
              </w:rPr>
              <w:t>–</w:t>
            </w:r>
            <w:r>
              <w:rPr>
                <w:sz w:val="24"/>
                <w:szCs w:val="24"/>
              </w:rPr>
              <w:t>9), Weber (2022b)</w:t>
            </w:r>
          </w:p>
        </w:tc>
      </w:tr>
      <w:tr w:rsidR="005B0D65" w14:paraId="6F7C7DE4"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1D4D2C0D" w14:textId="77777777" w:rsidR="005B0D65" w:rsidRDefault="005B0D65" w:rsidP="000B0FEB">
            <w:pPr>
              <w:widowControl w:val="0"/>
              <w:rPr>
                <w:sz w:val="24"/>
                <w:szCs w:val="24"/>
              </w:rPr>
            </w:pPr>
            <w:r>
              <w:rPr>
                <w:sz w:val="24"/>
                <w:szCs w:val="24"/>
              </w:rPr>
              <w:t>Berk. 8</w:t>
            </w:r>
          </w:p>
        </w:tc>
        <w:tc>
          <w:tcPr>
            <w:tcW w:w="6816" w:type="dxa"/>
            <w:tcBorders>
              <w:top w:val="nil"/>
              <w:left w:val="nil"/>
              <w:bottom w:val="nil"/>
              <w:right w:val="nil"/>
            </w:tcBorders>
            <w:tcMar>
              <w:top w:w="20" w:type="dxa"/>
              <w:left w:w="20" w:type="dxa"/>
              <w:bottom w:w="100" w:type="dxa"/>
              <w:right w:w="20" w:type="dxa"/>
            </w:tcMar>
            <w:vAlign w:val="bottom"/>
          </w:tcPr>
          <w:p w14:paraId="349FBF59" w14:textId="77777777" w:rsidR="005B0D65" w:rsidRDefault="005B0D65" w:rsidP="000B0FEB">
            <w:pPr>
              <w:widowControl w:val="0"/>
              <w:rPr>
                <w:sz w:val="24"/>
                <w:szCs w:val="24"/>
              </w:rPr>
            </w:pPr>
            <w:proofErr w:type="spellStart"/>
            <w:r>
              <w:rPr>
                <w:sz w:val="24"/>
                <w:szCs w:val="24"/>
              </w:rPr>
              <w:t>Gignoux</w:t>
            </w:r>
            <w:proofErr w:type="spellEnd"/>
            <w:r>
              <w:rPr>
                <w:sz w:val="24"/>
                <w:szCs w:val="24"/>
              </w:rPr>
              <w:t xml:space="preserve"> (2013)</w:t>
            </w:r>
          </w:p>
        </w:tc>
      </w:tr>
      <w:tr w:rsidR="005B0D65" w14:paraId="0B37419E"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15F67563" w14:textId="77777777" w:rsidR="005B0D65" w:rsidRDefault="005B0D65" w:rsidP="000B0FEB">
            <w:pPr>
              <w:widowControl w:val="0"/>
              <w:rPr>
                <w:sz w:val="24"/>
                <w:szCs w:val="24"/>
              </w:rPr>
            </w:pPr>
            <w:r>
              <w:rPr>
                <w:sz w:val="24"/>
                <w:szCs w:val="24"/>
              </w:rPr>
              <w:t>Berk. 9</w:t>
            </w:r>
          </w:p>
        </w:tc>
        <w:tc>
          <w:tcPr>
            <w:tcW w:w="6816" w:type="dxa"/>
            <w:tcBorders>
              <w:top w:val="nil"/>
              <w:left w:val="nil"/>
              <w:bottom w:val="nil"/>
              <w:right w:val="nil"/>
            </w:tcBorders>
            <w:tcMar>
              <w:top w:w="20" w:type="dxa"/>
              <w:left w:w="20" w:type="dxa"/>
              <w:bottom w:w="100" w:type="dxa"/>
              <w:right w:w="20" w:type="dxa"/>
            </w:tcMar>
            <w:vAlign w:val="bottom"/>
          </w:tcPr>
          <w:p w14:paraId="2B021DA0" w14:textId="77777777" w:rsidR="005B0D65" w:rsidRDefault="005B0D65" w:rsidP="000B0FEB">
            <w:pPr>
              <w:widowControl w:val="0"/>
              <w:rPr>
                <w:sz w:val="24"/>
                <w:szCs w:val="24"/>
              </w:rPr>
            </w:pPr>
            <w:proofErr w:type="spellStart"/>
            <w:r>
              <w:rPr>
                <w:sz w:val="24"/>
                <w:szCs w:val="24"/>
              </w:rPr>
              <w:t>Gignoux</w:t>
            </w:r>
            <w:proofErr w:type="spellEnd"/>
            <w:r>
              <w:rPr>
                <w:sz w:val="24"/>
                <w:szCs w:val="24"/>
              </w:rPr>
              <w:t xml:space="preserve"> (2013)</w:t>
            </w:r>
          </w:p>
        </w:tc>
      </w:tr>
      <w:tr w:rsidR="005B0D65" w14:paraId="4EA9AA6A"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61DD109B" w14:textId="77777777" w:rsidR="005B0D65" w:rsidRDefault="005B0D65" w:rsidP="000B0FEB">
            <w:pPr>
              <w:widowControl w:val="0"/>
              <w:rPr>
                <w:sz w:val="24"/>
                <w:szCs w:val="24"/>
              </w:rPr>
            </w:pPr>
            <w:r>
              <w:rPr>
                <w:sz w:val="24"/>
                <w:szCs w:val="24"/>
              </w:rPr>
              <w:t>Berk. 10</w:t>
            </w:r>
          </w:p>
        </w:tc>
        <w:tc>
          <w:tcPr>
            <w:tcW w:w="6816" w:type="dxa"/>
            <w:tcBorders>
              <w:top w:val="nil"/>
              <w:left w:val="nil"/>
              <w:bottom w:val="nil"/>
              <w:right w:val="nil"/>
            </w:tcBorders>
            <w:tcMar>
              <w:top w:w="20" w:type="dxa"/>
              <w:left w:w="20" w:type="dxa"/>
              <w:bottom w:w="100" w:type="dxa"/>
              <w:right w:w="20" w:type="dxa"/>
            </w:tcMar>
            <w:vAlign w:val="bottom"/>
          </w:tcPr>
          <w:p w14:paraId="78D2EBB6" w14:textId="35474D4F"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96</w:t>
            </w:r>
            <w:r w:rsidR="00073A6E">
              <w:rPr>
                <w:sz w:val="24"/>
                <w:szCs w:val="24"/>
              </w:rPr>
              <w:t>–</w:t>
            </w:r>
            <w:r>
              <w:rPr>
                <w:sz w:val="24"/>
                <w:szCs w:val="24"/>
              </w:rPr>
              <w:t>7)</w:t>
            </w:r>
          </w:p>
        </w:tc>
      </w:tr>
      <w:tr w:rsidR="005B0D65" w14:paraId="51C73DE1"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5DFB83BD" w14:textId="77777777" w:rsidR="005B0D65" w:rsidRDefault="005B0D65" w:rsidP="000B0FEB">
            <w:pPr>
              <w:widowControl w:val="0"/>
              <w:rPr>
                <w:sz w:val="24"/>
                <w:szCs w:val="24"/>
              </w:rPr>
            </w:pPr>
            <w:r>
              <w:rPr>
                <w:sz w:val="24"/>
                <w:szCs w:val="24"/>
              </w:rPr>
              <w:t>Berk. 11</w:t>
            </w:r>
          </w:p>
        </w:tc>
        <w:tc>
          <w:tcPr>
            <w:tcW w:w="6816" w:type="dxa"/>
            <w:tcBorders>
              <w:top w:val="nil"/>
              <w:left w:val="nil"/>
              <w:bottom w:val="nil"/>
              <w:right w:val="nil"/>
            </w:tcBorders>
            <w:tcMar>
              <w:top w:w="20" w:type="dxa"/>
              <w:left w:w="20" w:type="dxa"/>
              <w:bottom w:w="100" w:type="dxa"/>
              <w:right w:w="20" w:type="dxa"/>
            </w:tcMar>
            <w:vAlign w:val="bottom"/>
          </w:tcPr>
          <w:p w14:paraId="14F9E4B2" w14:textId="08D74744"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54</w:t>
            </w:r>
            <w:r w:rsidR="00073A6E">
              <w:rPr>
                <w:sz w:val="24"/>
                <w:szCs w:val="24"/>
              </w:rPr>
              <w:t>–</w:t>
            </w:r>
            <w:r>
              <w:rPr>
                <w:sz w:val="24"/>
                <w:szCs w:val="24"/>
              </w:rPr>
              <w:t>7)</w:t>
            </w:r>
          </w:p>
        </w:tc>
      </w:tr>
      <w:tr w:rsidR="005B0D65" w14:paraId="663A1AA9"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639DC9F0" w14:textId="77777777" w:rsidR="005B0D65" w:rsidRDefault="005B0D65" w:rsidP="000B0FEB">
            <w:pPr>
              <w:widowControl w:val="0"/>
              <w:rPr>
                <w:sz w:val="24"/>
                <w:szCs w:val="24"/>
              </w:rPr>
            </w:pPr>
            <w:r>
              <w:rPr>
                <w:sz w:val="24"/>
                <w:szCs w:val="24"/>
              </w:rPr>
              <w:t>Berk. 13</w:t>
            </w:r>
          </w:p>
        </w:tc>
        <w:tc>
          <w:tcPr>
            <w:tcW w:w="6816" w:type="dxa"/>
            <w:tcBorders>
              <w:top w:val="nil"/>
              <w:left w:val="nil"/>
              <w:bottom w:val="nil"/>
              <w:right w:val="nil"/>
            </w:tcBorders>
            <w:tcMar>
              <w:top w:w="20" w:type="dxa"/>
              <w:left w:w="20" w:type="dxa"/>
              <w:bottom w:w="100" w:type="dxa"/>
              <w:right w:w="20" w:type="dxa"/>
            </w:tcMar>
            <w:vAlign w:val="bottom"/>
          </w:tcPr>
          <w:p w14:paraId="3758D6ED" w14:textId="77777777" w:rsidR="005B0D65" w:rsidRDefault="005B0D65" w:rsidP="000B0FEB">
            <w:pPr>
              <w:widowControl w:val="0"/>
              <w:rPr>
                <w:sz w:val="24"/>
                <w:szCs w:val="24"/>
              </w:rPr>
            </w:pPr>
            <w:proofErr w:type="spellStart"/>
            <w:r>
              <w:rPr>
                <w:sz w:val="24"/>
                <w:szCs w:val="24"/>
              </w:rPr>
              <w:t>Gignoux</w:t>
            </w:r>
            <w:proofErr w:type="spellEnd"/>
            <w:r>
              <w:rPr>
                <w:sz w:val="24"/>
                <w:szCs w:val="24"/>
              </w:rPr>
              <w:t xml:space="preserve"> (2013)</w:t>
            </w:r>
          </w:p>
        </w:tc>
      </w:tr>
      <w:tr w:rsidR="005B0D65" w14:paraId="49E1F3D7"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5E1DBA0E" w14:textId="77777777" w:rsidR="005B0D65" w:rsidRDefault="005B0D65" w:rsidP="000B0FEB">
            <w:pPr>
              <w:widowControl w:val="0"/>
              <w:rPr>
                <w:sz w:val="24"/>
                <w:szCs w:val="24"/>
              </w:rPr>
            </w:pPr>
            <w:r>
              <w:rPr>
                <w:sz w:val="24"/>
                <w:szCs w:val="24"/>
              </w:rPr>
              <w:t>Berk. 15</w:t>
            </w:r>
          </w:p>
        </w:tc>
        <w:tc>
          <w:tcPr>
            <w:tcW w:w="6816" w:type="dxa"/>
            <w:tcBorders>
              <w:top w:val="nil"/>
              <w:left w:val="nil"/>
              <w:bottom w:val="nil"/>
              <w:right w:val="nil"/>
            </w:tcBorders>
            <w:tcMar>
              <w:top w:w="20" w:type="dxa"/>
              <w:left w:w="20" w:type="dxa"/>
              <w:bottom w:w="100" w:type="dxa"/>
              <w:right w:w="20" w:type="dxa"/>
            </w:tcMar>
            <w:vAlign w:val="bottom"/>
          </w:tcPr>
          <w:p w14:paraId="3577A42C" w14:textId="77777777" w:rsidR="005B0D65" w:rsidRDefault="005B0D65" w:rsidP="000B0FEB">
            <w:pPr>
              <w:widowControl w:val="0"/>
              <w:rPr>
                <w:sz w:val="24"/>
                <w:szCs w:val="24"/>
              </w:rPr>
            </w:pPr>
            <w:proofErr w:type="spellStart"/>
            <w:r>
              <w:rPr>
                <w:sz w:val="24"/>
                <w:szCs w:val="24"/>
              </w:rPr>
              <w:t>Gignoux</w:t>
            </w:r>
            <w:proofErr w:type="spellEnd"/>
            <w:r>
              <w:rPr>
                <w:sz w:val="24"/>
                <w:szCs w:val="24"/>
              </w:rPr>
              <w:t xml:space="preserve"> (2009)</w:t>
            </w:r>
          </w:p>
        </w:tc>
      </w:tr>
      <w:tr w:rsidR="005B0D65" w14:paraId="75820021"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7C54605C" w14:textId="77777777" w:rsidR="005B0D65" w:rsidRDefault="005B0D65" w:rsidP="000B0FEB">
            <w:pPr>
              <w:widowControl w:val="0"/>
              <w:rPr>
                <w:sz w:val="24"/>
                <w:szCs w:val="24"/>
              </w:rPr>
            </w:pPr>
            <w:r>
              <w:rPr>
                <w:sz w:val="24"/>
                <w:szCs w:val="24"/>
              </w:rPr>
              <w:lastRenderedPageBreak/>
              <w:t>Berk. 16</w:t>
            </w:r>
          </w:p>
        </w:tc>
        <w:tc>
          <w:tcPr>
            <w:tcW w:w="6816" w:type="dxa"/>
            <w:tcBorders>
              <w:top w:val="nil"/>
              <w:left w:val="nil"/>
              <w:bottom w:val="nil"/>
              <w:right w:val="nil"/>
            </w:tcBorders>
            <w:tcMar>
              <w:top w:w="20" w:type="dxa"/>
              <w:left w:w="20" w:type="dxa"/>
              <w:bottom w:w="100" w:type="dxa"/>
              <w:right w:w="20" w:type="dxa"/>
            </w:tcMar>
            <w:vAlign w:val="bottom"/>
          </w:tcPr>
          <w:p w14:paraId="4C01A0C8" w14:textId="5F9E3E46"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90</w:t>
            </w:r>
            <w:r w:rsidR="00073A6E">
              <w:rPr>
                <w:sz w:val="24"/>
                <w:szCs w:val="24"/>
              </w:rPr>
              <w:t>–</w:t>
            </w:r>
            <w:r>
              <w:rPr>
                <w:sz w:val="24"/>
                <w:szCs w:val="24"/>
              </w:rPr>
              <w:t>91)</w:t>
            </w:r>
            <w:r w:rsidR="006F75D5">
              <w:rPr>
                <w:sz w:val="24"/>
                <w:szCs w:val="24"/>
              </w:rPr>
              <w:t>, Weber (2022–23)</w:t>
            </w:r>
          </w:p>
        </w:tc>
      </w:tr>
      <w:tr w:rsidR="005B0D65" w14:paraId="521834FC"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174BEC46" w14:textId="77777777" w:rsidR="005B0D65" w:rsidRDefault="005B0D65" w:rsidP="000B0FEB">
            <w:pPr>
              <w:widowControl w:val="0"/>
              <w:rPr>
                <w:sz w:val="24"/>
                <w:szCs w:val="24"/>
              </w:rPr>
            </w:pPr>
            <w:r>
              <w:rPr>
                <w:sz w:val="24"/>
                <w:szCs w:val="24"/>
              </w:rPr>
              <w:t>Berk. 20</w:t>
            </w:r>
          </w:p>
        </w:tc>
        <w:tc>
          <w:tcPr>
            <w:tcW w:w="6816" w:type="dxa"/>
            <w:tcBorders>
              <w:top w:val="nil"/>
              <w:left w:val="nil"/>
              <w:bottom w:val="nil"/>
              <w:right w:val="nil"/>
            </w:tcBorders>
            <w:tcMar>
              <w:top w:w="20" w:type="dxa"/>
              <w:left w:w="20" w:type="dxa"/>
              <w:bottom w:w="100" w:type="dxa"/>
              <w:right w:w="20" w:type="dxa"/>
            </w:tcMar>
            <w:vAlign w:val="bottom"/>
          </w:tcPr>
          <w:p w14:paraId="56B3FDB0" w14:textId="77777777" w:rsidR="005B0D65" w:rsidRDefault="005B0D65" w:rsidP="000B0FEB">
            <w:pPr>
              <w:widowControl w:val="0"/>
              <w:rPr>
                <w:sz w:val="24"/>
                <w:szCs w:val="24"/>
              </w:rPr>
            </w:pPr>
            <w:proofErr w:type="spellStart"/>
            <w:r>
              <w:rPr>
                <w:sz w:val="24"/>
                <w:szCs w:val="24"/>
              </w:rPr>
              <w:t>Gignoux</w:t>
            </w:r>
            <w:proofErr w:type="spellEnd"/>
            <w:r>
              <w:rPr>
                <w:sz w:val="24"/>
                <w:szCs w:val="24"/>
              </w:rPr>
              <w:t xml:space="preserve"> (2008)</w:t>
            </w:r>
          </w:p>
        </w:tc>
      </w:tr>
      <w:tr w:rsidR="005B0D65" w14:paraId="6B4682C2"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05B57E8B" w14:textId="77777777" w:rsidR="005B0D65" w:rsidRDefault="005B0D65" w:rsidP="000B0FEB">
            <w:pPr>
              <w:widowControl w:val="0"/>
              <w:rPr>
                <w:sz w:val="24"/>
                <w:szCs w:val="24"/>
              </w:rPr>
            </w:pPr>
            <w:r>
              <w:rPr>
                <w:sz w:val="24"/>
                <w:szCs w:val="24"/>
              </w:rPr>
              <w:t>Berk. 21</w:t>
            </w:r>
          </w:p>
        </w:tc>
        <w:tc>
          <w:tcPr>
            <w:tcW w:w="6816" w:type="dxa"/>
            <w:tcBorders>
              <w:top w:val="nil"/>
              <w:left w:val="nil"/>
              <w:bottom w:val="nil"/>
              <w:right w:val="nil"/>
            </w:tcBorders>
            <w:tcMar>
              <w:top w:w="20" w:type="dxa"/>
              <w:left w:w="20" w:type="dxa"/>
              <w:bottom w:w="100" w:type="dxa"/>
              <w:right w:w="20" w:type="dxa"/>
            </w:tcMar>
            <w:vAlign w:val="bottom"/>
          </w:tcPr>
          <w:p w14:paraId="1EC4498E" w14:textId="77777777" w:rsidR="005B0D65" w:rsidRDefault="005B0D65" w:rsidP="000B0FEB">
            <w:pPr>
              <w:widowControl w:val="0"/>
              <w:rPr>
                <w:sz w:val="24"/>
                <w:szCs w:val="24"/>
              </w:rPr>
            </w:pPr>
            <w:r>
              <w:rPr>
                <w:sz w:val="24"/>
                <w:szCs w:val="24"/>
              </w:rPr>
              <w:t>Weber (2021b)</w:t>
            </w:r>
          </w:p>
        </w:tc>
      </w:tr>
      <w:tr w:rsidR="005B0D65" w14:paraId="468B42F4"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0B1332D5" w14:textId="77777777" w:rsidR="005B0D65" w:rsidRDefault="005B0D65" w:rsidP="000B0FEB">
            <w:pPr>
              <w:widowControl w:val="0"/>
              <w:rPr>
                <w:sz w:val="24"/>
                <w:szCs w:val="24"/>
              </w:rPr>
            </w:pPr>
            <w:r>
              <w:rPr>
                <w:sz w:val="24"/>
                <w:szCs w:val="24"/>
              </w:rPr>
              <w:t>Berk. 23</w:t>
            </w:r>
          </w:p>
        </w:tc>
        <w:tc>
          <w:tcPr>
            <w:tcW w:w="6816" w:type="dxa"/>
            <w:tcBorders>
              <w:top w:val="nil"/>
              <w:left w:val="nil"/>
              <w:bottom w:val="nil"/>
              <w:right w:val="nil"/>
            </w:tcBorders>
            <w:tcMar>
              <w:top w:w="20" w:type="dxa"/>
              <w:left w:w="20" w:type="dxa"/>
              <w:bottom w:w="100" w:type="dxa"/>
              <w:right w:w="20" w:type="dxa"/>
            </w:tcMar>
            <w:vAlign w:val="bottom"/>
          </w:tcPr>
          <w:p w14:paraId="7A91CDA6" w14:textId="77777777" w:rsidR="005B0D65" w:rsidRDefault="005B0D65" w:rsidP="000B0FEB">
            <w:pPr>
              <w:widowControl w:val="0"/>
              <w:rPr>
                <w:sz w:val="24"/>
                <w:szCs w:val="24"/>
              </w:rPr>
            </w:pPr>
            <w:proofErr w:type="spellStart"/>
            <w:r>
              <w:rPr>
                <w:sz w:val="24"/>
                <w:szCs w:val="24"/>
              </w:rPr>
              <w:t>Gignoux</w:t>
            </w:r>
            <w:proofErr w:type="spellEnd"/>
            <w:r>
              <w:rPr>
                <w:sz w:val="24"/>
                <w:szCs w:val="24"/>
              </w:rPr>
              <w:t xml:space="preserve"> (2009)</w:t>
            </w:r>
          </w:p>
        </w:tc>
      </w:tr>
      <w:tr w:rsidR="005B0D65" w14:paraId="6ECC11E3"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679468F9" w14:textId="77777777" w:rsidR="005B0D65" w:rsidRDefault="005B0D65" w:rsidP="000B0FEB">
            <w:pPr>
              <w:widowControl w:val="0"/>
              <w:rPr>
                <w:sz w:val="24"/>
                <w:szCs w:val="24"/>
              </w:rPr>
            </w:pPr>
            <w:r>
              <w:rPr>
                <w:sz w:val="24"/>
                <w:szCs w:val="24"/>
              </w:rPr>
              <w:t>Berk. 24</w:t>
            </w:r>
          </w:p>
        </w:tc>
        <w:tc>
          <w:tcPr>
            <w:tcW w:w="6816" w:type="dxa"/>
            <w:tcBorders>
              <w:top w:val="nil"/>
              <w:left w:val="nil"/>
              <w:bottom w:val="nil"/>
              <w:right w:val="nil"/>
            </w:tcBorders>
            <w:tcMar>
              <w:top w:w="20" w:type="dxa"/>
              <w:left w:w="20" w:type="dxa"/>
              <w:bottom w:w="100" w:type="dxa"/>
              <w:right w:w="20" w:type="dxa"/>
            </w:tcMar>
            <w:vAlign w:val="bottom"/>
          </w:tcPr>
          <w:p w14:paraId="438C0C99" w14:textId="60984A8A" w:rsidR="005B0D65" w:rsidRDefault="00057F83" w:rsidP="000B0FEB">
            <w:pPr>
              <w:widowControl w:val="0"/>
              <w:rPr>
                <w:sz w:val="24"/>
                <w:szCs w:val="24"/>
              </w:rPr>
            </w:pPr>
            <w:proofErr w:type="spellStart"/>
            <w:r>
              <w:rPr>
                <w:sz w:val="24"/>
                <w:szCs w:val="24"/>
              </w:rPr>
              <w:t>Gignoux</w:t>
            </w:r>
            <w:proofErr w:type="spellEnd"/>
            <w:r>
              <w:rPr>
                <w:sz w:val="24"/>
                <w:szCs w:val="24"/>
              </w:rPr>
              <w:t xml:space="preserve"> (2003: 81</w:t>
            </w:r>
            <w:r w:rsidR="00073A6E">
              <w:rPr>
                <w:sz w:val="24"/>
                <w:szCs w:val="24"/>
              </w:rPr>
              <w:t>–</w:t>
            </w:r>
            <w:r>
              <w:rPr>
                <w:sz w:val="24"/>
                <w:szCs w:val="24"/>
              </w:rPr>
              <w:t xml:space="preserve">2), </w:t>
            </w:r>
            <w:r w:rsidR="005B0D65">
              <w:rPr>
                <w:sz w:val="24"/>
                <w:szCs w:val="24"/>
              </w:rPr>
              <w:t>Weber (2022a)</w:t>
            </w:r>
          </w:p>
        </w:tc>
      </w:tr>
      <w:tr w:rsidR="005B0D65" w14:paraId="3A18FD43"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25D7162C" w14:textId="77777777" w:rsidR="005B0D65" w:rsidRDefault="005B0D65" w:rsidP="000B0FEB">
            <w:pPr>
              <w:widowControl w:val="0"/>
              <w:rPr>
                <w:sz w:val="24"/>
                <w:szCs w:val="24"/>
              </w:rPr>
            </w:pPr>
            <w:r>
              <w:rPr>
                <w:sz w:val="24"/>
                <w:szCs w:val="24"/>
              </w:rPr>
              <w:t>Berk. 26</w:t>
            </w:r>
          </w:p>
        </w:tc>
        <w:tc>
          <w:tcPr>
            <w:tcW w:w="6816" w:type="dxa"/>
            <w:tcBorders>
              <w:top w:val="nil"/>
              <w:left w:val="nil"/>
              <w:bottom w:val="nil"/>
              <w:right w:val="nil"/>
            </w:tcBorders>
            <w:tcMar>
              <w:top w:w="20" w:type="dxa"/>
              <w:left w:w="20" w:type="dxa"/>
              <w:bottom w:w="100" w:type="dxa"/>
              <w:right w:w="20" w:type="dxa"/>
            </w:tcMar>
            <w:vAlign w:val="bottom"/>
          </w:tcPr>
          <w:p w14:paraId="477A4E41" w14:textId="77777777" w:rsidR="005B0D65" w:rsidRDefault="005B0D65" w:rsidP="000B0FEB">
            <w:pPr>
              <w:widowControl w:val="0"/>
              <w:rPr>
                <w:sz w:val="24"/>
                <w:szCs w:val="24"/>
              </w:rPr>
            </w:pPr>
            <w:proofErr w:type="spellStart"/>
            <w:r>
              <w:rPr>
                <w:sz w:val="24"/>
                <w:szCs w:val="24"/>
              </w:rPr>
              <w:t>Gignoux</w:t>
            </w:r>
            <w:proofErr w:type="spellEnd"/>
            <w:r>
              <w:rPr>
                <w:sz w:val="24"/>
                <w:szCs w:val="24"/>
              </w:rPr>
              <w:t xml:space="preserve"> (2013)</w:t>
            </w:r>
          </w:p>
        </w:tc>
      </w:tr>
      <w:tr w:rsidR="005B0D65" w14:paraId="50AE99A6"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6BB8D186" w14:textId="77777777" w:rsidR="005B0D65" w:rsidRDefault="005B0D65" w:rsidP="000B0FEB">
            <w:pPr>
              <w:widowControl w:val="0"/>
              <w:rPr>
                <w:sz w:val="24"/>
                <w:szCs w:val="24"/>
              </w:rPr>
            </w:pPr>
            <w:r>
              <w:rPr>
                <w:sz w:val="24"/>
                <w:szCs w:val="24"/>
              </w:rPr>
              <w:t>Berk. 27</w:t>
            </w:r>
          </w:p>
        </w:tc>
        <w:tc>
          <w:tcPr>
            <w:tcW w:w="6816" w:type="dxa"/>
            <w:tcBorders>
              <w:top w:val="nil"/>
              <w:left w:val="nil"/>
              <w:bottom w:val="nil"/>
              <w:right w:val="nil"/>
            </w:tcBorders>
            <w:tcMar>
              <w:top w:w="20" w:type="dxa"/>
              <w:left w:w="20" w:type="dxa"/>
              <w:bottom w:w="100" w:type="dxa"/>
              <w:right w:w="20" w:type="dxa"/>
            </w:tcMar>
            <w:vAlign w:val="bottom"/>
          </w:tcPr>
          <w:p w14:paraId="2C4AE7E2" w14:textId="6E19B60E" w:rsidR="005B0D65" w:rsidRDefault="00057F83" w:rsidP="000B0FEB">
            <w:pPr>
              <w:widowControl w:val="0"/>
              <w:rPr>
                <w:sz w:val="24"/>
                <w:szCs w:val="24"/>
              </w:rPr>
            </w:pPr>
            <w:proofErr w:type="spellStart"/>
            <w:r>
              <w:rPr>
                <w:sz w:val="24"/>
                <w:szCs w:val="24"/>
              </w:rPr>
              <w:t>Gignoux</w:t>
            </w:r>
            <w:proofErr w:type="spellEnd"/>
            <w:r>
              <w:rPr>
                <w:sz w:val="24"/>
                <w:szCs w:val="24"/>
              </w:rPr>
              <w:t xml:space="preserve"> (2008: 83</w:t>
            </w:r>
            <w:r w:rsidR="00073A6E">
              <w:rPr>
                <w:sz w:val="24"/>
                <w:szCs w:val="24"/>
              </w:rPr>
              <w:t>–</w:t>
            </w:r>
            <w:r>
              <w:rPr>
                <w:sz w:val="24"/>
                <w:szCs w:val="24"/>
              </w:rPr>
              <w:t xml:space="preserve">4), </w:t>
            </w:r>
            <w:r w:rsidR="005B0D65">
              <w:rPr>
                <w:sz w:val="24"/>
                <w:szCs w:val="24"/>
              </w:rPr>
              <w:t xml:space="preserve">Weber (2007), Weber (2013) </w:t>
            </w:r>
          </w:p>
        </w:tc>
      </w:tr>
      <w:tr w:rsidR="005B0D65" w14:paraId="588ED92A"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55495942" w14:textId="77777777" w:rsidR="005B0D65" w:rsidRDefault="005B0D65" w:rsidP="000B0FEB">
            <w:pPr>
              <w:widowControl w:val="0"/>
              <w:rPr>
                <w:sz w:val="24"/>
                <w:szCs w:val="24"/>
              </w:rPr>
            </w:pPr>
            <w:r>
              <w:rPr>
                <w:sz w:val="24"/>
                <w:szCs w:val="24"/>
              </w:rPr>
              <w:t>Berk. 28</w:t>
            </w:r>
          </w:p>
        </w:tc>
        <w:tc>
          <w:tcPr>
            <w:tcW w:w="6816" w:type="dxa"/>
            <w:tcBorders>
              <w:top w:val="nil"/>
              <w:left w:val="nil"/>
              <w:bottom w:val="nil"/>
              <w:right w:val="nil"/>
            </w:tcBorders>
            <w:tcMar>
              <w:top w:w="20" w:type="dxa"/>
              <w:left w:w="20" w:type="dxa"/>
              <w:bottom w:w="100" w:type="dxa"/>
              <w:right w:w="20" w:type="dxa"/>
            </w:tcMar>
            <w:vAlign w:val="bottom"/>
          </w:tcPr>
          <w:p w14:paraId="79F21EA7" w14:textId="63BE304D" w:rsidR="005B0D65" w:rsidRDefault="00504034" w:rsidP="000B0FEB">
            <w:pPr>
              <w:widowControl w:val="0"/>
              <w:rPr>
                <w:sz w:val="24"/>
                <w:szCs w:val="24"/>
              </w:rPr>
            </w:pPr>
            <w:proofErr w:type="spellStart"/>
            <w:r>
              <w:rPr>
                <w:sz w:val="24"/>
                <w:szCs w:val="24"/>
              </w:rPr>
              <w:t>Gignoux</w:t>
            </w:r>
            <w:proofErr w:type="spellEnd"/>
            <w:r>
              <w:rPr>
                <w:sz w:val="24"/>
                <w:szCs w:val="24"/>
              </w:rPr>
              <w:t xml:space="preserve"> (2003: 87</w:t>
            </w:r>
            <w:r w:rsidR="00073A6E">
              <w:rPr>
                <w:sz w:val="24"/>
                <w:szCs w:val="24"/>
              </w:rPr>
              <w:t>–</w:t>
            </w:r>
            <w:r>
              <w:rPr>
                <w:sz w:val="24"/>
                <w:szCs w:val="24"/>
              </w:rPr>
              <w:t xml:space="preserve">8), </w:t>
            </w:r>
            <w:proofErr w:type="spellStart"/>
            <w:r w:rsidR="005B0D65">
              <w:rPr>
                <w:sz w:val="24"/>
                <w:szCs w:val="24"/>
              </w:rPr>
              <w:t>Gignoux</w:t>
            </w:r>
            <w:proofErr w:type="spellEnd"/>
            <w:r w:rsidR="005B0D65">
              <w:rPr>
                <w:sz w:val="24"/>
                <w:szCs w:val="24"/>
              </w:rPr>
              <w:t xml:space="preserve"> (2013)</w:t>
            </w:r>
          </w:p>
        </w:tc>
      </w:tr>
      <w:tr w:rsidR="00504034" w14:paraId="021355C7"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223C73D9" w14:textId="78B1FE37" w:rsidR="00504034" w:rsidRDefault="00504034" w:rsidP="000B0FEB">
            <w:pPr>
              <w:widowControl w:val="0"/>
              <w:rPr>
                <w:sz w:val="24"/>
                <w:szCs w:val="24"/>
              </w:rPr>
            </w:pPr>
            <w:r>
              <w:rPr>
                <w:sz w:val="24"/>
                <w:szCs w:val="24"/>
              </w:rPr>
              <w:t>Berk. 29</w:t>
            </w:r>
          </w:p>
        </w:tc>
        <w:tc>
          <w:tcPr>
            <w:tcW w:w="6816" w:type="dxa"/>
            <w:tcBorders>
              <w:top w:val="nil"/>
              <w:left w:val="nil"/>
              <w:bottom w:val="nil"/>
              <w:right w:val="nil"/>
            </w:tcBorders>
            <w:tcMar>
              <w:top w:w="20" w:type="dxa"/>
              <w:left w:w="20" w:type="dxa"/>
              <w:bottom w:w="100" w:type="dxa"/>
              <w:right w:w="20" w:type="dxa"/>
            </w:tcMar>
            <w:vAlign w:val="bottom"/>
          </w:tcPr>
          <w:p w14:paraId="04350BD3" w14:textId="1F82B5F0" w:rsidR="00504034" w:rsidRDefault="00504034" w:rsidP="000B0FEB">
            <w:pPr>
              <w:widowControl w:val="0"/>
              <w:rPr>
                <w:sz w:val="24"/>
                <w:szCs w:val="24"/>
              </w:rPr>
            </w:pPr>
            <w:proofErr w:type="spellStart"/>
            <w:r>
              <w:rPr>
                <w:sz w:val="24"/>
                <w:szCs w:val="24"/>
              </w:rPr>
              <w:t>Gignoux</w:t>
            </w:r>
            <w:proofErr w:type="spellEnd"/>
            <w:r>
              <w:rPr>
                <w:sz w:val="24"/>
                <w:szCs w:val="24"/>
              </w:rPr>
              <w:t xml:space="preserve"> (2003: 84</w:t>
            </w:r>
            <w:r w:rsidR="00073A6E">
              <w:rPr>
                <w:sz w:val="24"/>
                <w:szCs w:val="24"/>
              </w:rPr>
              <w:t>–</w:t>
            </w:r>
            <w:r>
              <w:rPr>
                <w:sz w:val="24"/>
                <w:szCs w:val="24"/>
              </w:rPr>
              <w:t>5)</w:t>
            </w:r>
          </w:p>
        </w:tc>
      </w:tr>
      <w:tr w:rsidR="005B0D65" w14:paraId="066CAEC8"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7B2DFAB1" w14:textId="77777777" w:rsidR="005B0D65" w:rsidRDefault="005B0D65" w:rsidP="000B0FEB">
            <w:pPr>
              <w:widowControl w:val="0"/>
              <w:rPr>
                <w:sz w:val="24"/>
                <w:szCs w:val="24"/>
              </w:rPr>
            </w:pPr>
            <w:r>
              <w:rPr>
                <w:sz w:val="24"/>
                <w:szCs w:val="24"/>
              </w:rPr>
              <w:t>Berk. 30</w:t>
            </w:r>
          </w:p>
        </w:tc>
        <w:tc>
          <w:tcPr>
            <w:tcW w:w="6816" w:type="dxa"/>
            <w:tcBorders>
              <w:top w:val="nil"/>
              <w:left w:val="nil"/>
              <w:bottom w:val="nil"/>
              <w:right w:val="nil"/>
            </w:tcBorders>
            <w:tcMar>
              <w:top w:w="20" w:type="dxa"/>
              <w:left w:w="20" w:type="dxa"/>
              <w:bottom w:w="100" w:type="dxa"/>
              <w:right w:w="20" w:type="dxa"/>
            </w:tcMar>
            <w:vAlign w:val="bottom"/>
          </w:tcPr>
          <w:p w14:paraId="2DF761B9" w14:textId="44E6D489" w:rsidR="005B0D65" w:rsidRDefault="00504034" w:rsidP="000B0FEB">
            <w:pPr>
              <w:widowControl w:val="0"/>
              <w:rPr>
                <w:sz w:val="24"/>
                <w:szCs w:val="24"/>
              </w:rPr>
            </w:pPr>
            <w:proofErr w:type="spellStart"/>
            <w:r>
              <w:rPr>
                <w:sz w:val="24"/>
                <w:szCs w:val="24"/>
              </w:rPr>
              <w:t>Gignoux</w:t>
            </w:r>
            <w:proofErr w:type="spellEnd"/>
            <w:r>
              <w:rPr>
                <w:sz w:val="24"/>
                <w:szCs w:val="24"/>
              </w:rPr>
              <w:t xml:space="preserve"> (2003: 86), </w:t>
            </w:r>
            <w:proofErr w:type="spellStart"/>
            <w:r w:rsidR="005B0D65">
              <w:rPr>
                <w:sz w:val="24"/>
                <w:szCs w:val="24"/>
              </w:rPr>
              <w:t>Gignoux</w:t>
            </w:r>
            <w:proofErr w:type="spellEnd"/>
            <w:r w:rsidR="005B0D65">
              <w:rPr>
                <w:sz w:val="24"/>
                <w:szCs w:val="24"/>
              </w:rPr>
              <w:t xml:space="preserve"> (2009), Weber (2022b)</w:t>
            </w:r>
          </w:p>
        </w:tc>
      </w:tr>
      <w:tr w:rsidR="005B0D65" w14:paraId="4A5F91CE"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1279E774" w14:textId="77777777" w:rsidR="005B0D65" w:rsidRDefault="005B0D65" w:rsidP="000B0FEB">
            <w:pPr>
              <w:widowControl w:val="0"/>
              <w:rPr>
                <w:sz w:val="24"/>
                <w:szCs w:val="24"/>
              </w:rPr>
            </w:pPr>
            <w:r>
              <w:rPr>
                <w:sz w:val="24"/>
                <w:szCs w:val="24"/>
              </w:rPr>
              <w:t>Berk. 32</w:t>
            </w:r>
          </w:p>
        </w:tc>
        <w:tc>
          <w:tcPr>
            <w:tcW w:w="6816" w:type="dxa"/>
            <w:tcBorders>
              <w:top w:val="nil"/>
              <w:left w:val="nil"/>
              <w:bottom w:val="nil"/>
              <w:right w:val="nil"/>
            </w:tcBorders>
            <w:tcMar>
              <w:top w:w="20" w:type="dxa"/>
              <w:left w:w="20" w:type="dxa"/>
              <w:bottom w:w="100" w:type="dxa"/>
              <w:right w:w="20" w:type="dxa"/>
            </w:tcMar>
            <w:vAlign w:val="bottom"/>
          </w:tcPr>
          <w:p w14:paraId="69B11AD7" w14:textId="77315D12" w:rsidR="005B0D65" w:rsidRDefault="00504034" w:rsidP="000B0FEB">
            <w:pPr>
              <w:widowControl w:val="0"/>
              <w:rPr>
                <w:sz w:val="24"/>
                <w:szCs w:val="24"/>
              </w:rPr>
            </w:pPr>
            <w:proofErr w:type="spellStart"/>
            <w:r>
              <w:rPr>
                <w:sz w:val="24"/>
                <w:szCs w:val="24"/>
              </w:rPr>
              <w:t>Gignoux</w:t>
            </w:r>
            <w:proofErr w:type="spellEnd"/>
            <w:r>
              <w:rPr>
                <w:sz w:val="24"/>
                <w:szCs w:val="24"/>
              </w:rPr>
              <w:t xml:space="preserve"> (2003: 86</w:t>
            </w:r>
            <w:r w:rsidR="00073A6E">
              <w:rPr>
                <w:sz w:val="24"/>
                <w:szCs w:val="24"/>
              </w:rPr>
              <w:t>–</w:t>
            </w:r>
            <w:r>
              <w:rPr>
                <w:sz w:val="24"/>
                <w:szCs w:val="24"/>
              </w:rPr>
              <w:t xml:space="preserve">7), </w:t>
            </w:r>
            <w:proofErr w:type="spellStart"/>
            <w:r w:rsidR="005B0D65">
              <w:rPr>
                <w:sz w:val="24"/>
                <w:szCs w:val="24"/>
              </w:rPr>
              <w:t>Gignoux</w:t>
            </w:r>
            <w:proofErr w:type="spellEnd"/>
            <w:r w:rsidR="005B0D65">
              <w:rPr>
                <w:sz w:val="24"/>
                <w:szCs w:val="24"/>
              </w:rPr>
              <w:t xml:space="preserve"> (2010: 70</w:t>
            </w:r>
            <w:r w:rsidR="00073A6E">
              <w:rPr>
                <w:sz w:val="24"/>
                <w:szCs w:val="24"/>
              </w:rPr>
              <w:t>–</w:t>
            </w:r>
            <w:r w:rsidR="005B0D65">
              <w:rPr>
                <w:sz w:val="24"/>
                <w:szCs w:val="24"/>
              </w:rPr>
              <w:t>71), Weber (2014a), Weber (2022b)</w:t>
            </w:r>
          </w:p>
        </w:tc>
      </w:tr>
      <w:tr w:rsidR="00057F83" w14:paraId="19D2D250"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7E84DED0" w14:textId="73C16603" w:rsidR="00057F83" w:rsidRDefault="00057F83" w:rsidP="000B0FEB">
            <w:pPr>
              <w:widowControl w:val="0"/>
              <w:rPr>
                <w:sz w:val="24"/>
                <w:szCs w:val="24"/>
              </w:rPr>
            </w:pPr>
            <w:r>
              <w:rPr>
                <w:sz w:val="24"/>
                <w:szCs w:val="24"/>
              </w:rPr>
              <w:t>Berk. 33A</w:t>
            </w:r>
          </w:p>
        </w:tc>
        <w:tc>
          <w:tcPr>
            <w:tcW w:w="6816" w:type="dxa"/>
            <w:tcBorders>
              <w:top w:val="nil"/>
              <w:left w:val="nil"/>
              <w:bottom w:val="nil"/>
              <w:right w:val="nil"/>
            </w:tcBorders>
            <w:tcMar>
              <w:top w:w="20" w:type="dxa"/>
              <w:left w:w="20" w:type="dxa"/>
              <w:bottom w:w="100" w:type="dxa"/>
              <w:right w:w="20" w:type="dxa"/>
            </w:tcMar>
            <w:vAlign w:val="bottom"/>
          </w:tcPr>
          <w:p w14:paraId="4A64D882" w14:textId="2EED772F" w:rsidR="00057F83" w:rsidRDefault="00057F83" w:rsidP="000B0FEB">
            <w:pPr>
              <w:widowControl w:val="0"/>
              <w:rPr>
                <w:sz w:val="24"/>
                <w:szCs w:val="24"/>
              </w:rPr>
            </w:pPr>
            <w:proofErr w:type="spellStart"/>
            <w:r>
              <w:rPr>
                <w:sz w:val="24"/>
                <w:szCs w:val="24"/>
              </w:rPr>
              <w:t>Gignoux</w:t>
            </w:r>
            <w:proofErr w:type="spellEnd"/>
            <w:r>
              <w:rPr>
                <w:sz w:val="24"/>
                <w:szCs w:val="24"/>
              </w:rPr>
              <w:t xml:space="preserve"> (2003: 80</w:t>
            </w:r>
            <w:r w:rsidR="00073A6E">
              <w:rPr>
                <w:sz w:val="24"/>
                <w:szCs w:val="24"/>
              </w:rPr>
              <w:t>–</w:t>
            </w:r>
            <w:r>
              <w:rPr>
                <w:sz w:val="24"/>
                <w:szCs w:val="24"/>
              </w:rPr>
              <w:t>81)</w:t>
            </w:r>
          </w:p>
        </w:tc>
      </w:tr>
      <w:tr w:rsidR="005B0D65" w14:paraId="63BBD4D6"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F6974A9" w14:textId="77777777" w:rsidR="005B0D65" w:rsidRDefault="005B0D65" w:rsidP="000B0FEB">
            <w:pPr>
              <w:widowControl w:val="0"/>
              <w:rPr>
                <w:sz w:val="24"/>
                <w:szCs w:val="24"/>
              </w:rPr>
            </w:pPr>
            <w:r>
              <w:rPr>
                <w:sz w:val="24"/>
                <w:szCs w:val="24"/>
              </w:rPr>
              <w:t>Berk. 33B</w:t>
            </w:r>
          </w:p>
        </w:tc>
        <w:tc>
          <w:tcPr>
            <w:tcW w:w="6816" w:type="dxa"/>
            <w:tcBorders>
              <w:top w:val="nil"/>
              <w:left w:val="nil"/>
              <w:bottom w:val="nil"/>
              <w:right w:val="nil"/>
            </w:tcBorders>
            <w:tcMar>
              <w:top w:w="20" w:type="dxa"/>
              <w:left w:w="20" w:type="dxa"/>
              <w:bottom w:w="100" w:type="dxa"/>
              <w:right w:w="20" w:type="dxa"/>
            </w:tcMar>
            <w:vAlign w:val="bottom"/>
          </w:tcPr>
          <w:p w14:paraId="1BAD55A8" w14:textId="57AEC442"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30</w:t>
            </w:r>
            <w:r w:rsidR="00073A6E">
              <w:rPr>
                <w:sz w:val="24"/>
                <w:szCs w:val="24"/>
              </w:rPr>
              <w:t>–</w:t>
            </w:r>
            <w:r>
              <w:rPr>
                <w:sz w:val="24"/>
                <w:szCs w:val="24"/>
              </w:rPr>
              <w:t>31), Weber (2014a)</w:t>
            </w:r>
          </w:p>
        </w:tc>
      </w:tr>
      <w:tr w:rsidR="005B0D65" w14:paraId="61146774"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37E10888" w14:textId="77777777" w:rsidR="005B0D65" w:rsidRDefault="005B0D65" w:rsidP="000B0FEB">
            <w:pPr>
              <w:widowControl w:val="0"/>
              <w:rPr>
                <w:sz w:val="24"/>
                <w:szCs w:val="24"/>
              </w:rPr>
            </w:pPr>
            <w:r>
              <w:rPr>
                <w:sz w:val="24"/>
                <w:szCs w:val="24"/>
              </w:rPr>
              <w:t>Berk. 34</w:t>
            </w:r>
          </w:p>
        </w:tc>
        <w:tc>
          <w:tcPr>
            <w:tcW w:w="6816" w:type="dxa"/>
            <w:tcBorders>
              <w:top w:val="nil"/>
              <w:left w:val="nil"/>
              <w:bottom w:val="nil"/>
              <w:right w:val="nil"/>
            </w:tcBorders>
            <w:tcMar>
              <w:top w:w="20" w:type="dxa"/>
              <w:left w:w="20" w:type="dxa"/>
              <w:bottom w:w="100" w:type="dxa"/>
              <w:right w:w="20" w:type="dxa"/>
            </w:tcMar>
            <w:vAlign w:val="bottom"/>
          </w:tcPr>
          <w:p w14:paraId="4F112DBC" w14:textId="77777777" w:rsidR="005B0D65" w:rsidRDefault="005B0D65" w:rsidP="000B0FEB">
            <w:pPr>
              <w:widowControl w:val="0"/>
              <w:rPr>
                <w:sz w:val="24"/>
                <w:szCs w:val="24"/>
              </w:rPr>
            </w:pPr>
            <w:r>
              <w:rPr>
                <w:sz w:val="24"/>
                <w:szCs w:val="24"/>
              </w:rPr>
              <w:t>Weber (2013), Weber (2021a)</w:t>
            </w:r>
          </w:p>
        </w:tc>
      </w:tr>
      <w:tr w:rsidR="005B0D65" w14:paraId="21D635CB"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66D1A508" w14:textId="77777777" w:rsidR="005B0D65" w:rsidRDefault="005B0D65" w:rsidP="000B0FEB">
            <w:pPr>
              <w:widowControl w:val="0"/>
              <w:rPr>
                <w:sz w:val="24"/>
                <w:szCs w:val="24"/>
              </w:rPr>
            </w:pPr>
            <w:r>
              <w:rPr>
                <w:sz w:val="24"/>
                <w:szCs w:val="24"/>
              </w:rPr>
              <w:t>Berk. 35</w:t>
            </w:r>
          </w:p>
        </w:tc>
        <w:tc>
          <w:tcPr>
            <w:tcW w:w="6816" w:type="dxa"/>
            <w:tcBorders>
              <w:top w:val="nil"/>
              <w:left w:val="nil"/>
              <w:bottom w:val="nil"/>
              <w:right w:val="nil"/>
            </w:tcBorders>
            <w:tcMar>
              <w:top w:w="20" w:type="dxa"/>
              <w:left w:w="20" w:type="dxa"/>
              <w:bottom w:w="100" w:type="dxa"/>
              <w:right w:w="20" w:type="dxa"/>
            </w:tcMar>
            <w:vAlign w:val="bottom"/>
          </w:tcPr>
          <w:p w14:paraId="13B50039" w14:textId="6C4C1D66"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22</w:t>
            </w:r>
            <w:r w:rsidR="00073A6E">
              <w:rPr>
                <w:sz w:val="24"/>
                <w:szCs w:val="24"/>
              </w:rPr>
              <w:t>–</w:t>
            </w:r>
            <w:r>
              <w:rPr>
                <w:sz w:val="24"/>
                <w:szCs w:val="24"/>
              </w:rPr>
              <w:t>3)</w:t>
            </w:r>
          </w:p>
        </w:tc>
      </w:tr>
      <w:tr w:rsidR="005B0D65" w14:paraId="634B13CE"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31DA713B" w14:textId="77777777" w:rsidR="005B0D65" w:rsidRDefault="005B0D65" w:rsidP="000B0FEB">
            <w:pPr>
              <w:widowControl w:val="0"/>
              <w:rPr>
                <w:sz w:val="24"/>
                <w:szCs w:val="24"/>
              </w:rPr>
            </w:pPr>
            <w:r>
              <w:rPr>
                <w:sz w:val="24"/>
                <w:szCs w:val="24"/>
              </w:rPr>
              <w:t>Berk. 37</w:t>
            </w:r>
          </w:p>
        </w:tc>
        <w:tc>
          <w:tcPr>
            <w:tcW w:w="6816" w:type="dxa"/>
            <w:tcBorders>
              <w:top w:val="nil"/>
              <w:left w:val="nil"/>
              <w:bottom w:val="nil"/>
              <w:right w:val="nil"/>
            </w:tcBorders>
            <w:tcMar>
              <w:top w:w="20" w:type="dxa"/>
              <w:left w:w="20" w:type="dxa"/>
              <w:bottom w:w="100" w:type="dxa"/>
              <w:right w:w="20" w:type="dxa"/>
            </w:tcMar>
            <w:vAlign w:val="bottom"/>
          </w:tcPr>
          <w:p w14:paraId="2436BF06" w14:textId="77777777" w:rsidR="005B0D65" w:rsidRDefault="005B0D65" w:rsidP="000B0FEB">
            <w:pPr>
              <w:widowControl w:val="0"/>
              <w:rPr>
                <w:sz w:val="24"/>
                <w:szCs w:val="24"/>
              </w:rPr>
            </w:pPr>
            <w:r>
              <w:rPr>
                <w:sz w:val="24"/>
                <w:szCs w:val="24"/>
              </w:rPr>
              <w:t>Weber (2016)</w:t>
            </w:r>
          </w:p>
        </w:tc>
      </w:tr>
      <w:tr w:rsidR="00057F83" w14:paraId="2BCB9E4E"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7A5AE97C" w14:textId="499F99A3" w:rsidR="00057F83" w:rsidRDefault="00057F83" w:rsidP="000B0FEB">
            <w:pPr>
              <w:widowControl w:val="0"/>
              <w:rPr>
                <w:sz w:val="24"/>
                <w:szCs w:val="24"/>
              </w:rPr>
            </w:pPr>
            <w:r>
              <w:rPr>
                <w:sz w:val="24"/>
                <w:szCs w:val="24"/>
              </w:rPr>
              <w:t>Berk. 38</w:t>
            </w:r>
          </w:p>
        </w:tc>
        <w:tc>
          <w:tcPr>
            <w:tcW w:w="6816" w:type="dxa"/>
            <w:tcBorders>
              <w:top w:val="nil"/>
              <w:left w:val="nil"/>
              <w:bottom w:val="nil"/>
              <w:right w:val="nil"/>
            </w:tcBorders>
            <w:tcMar>
              <w:top w:w="20" w:type="dxa"/>
              <w:left w:w="20" w:type="dxa"/>
              <w:bottom w:w="100" w:type="dxa"/>
              <w:right w:w="20" w:type="dxa"/>
            </w:tcMar>
            <w:vAlign w:val="bottom"/>
          </w:tcPr>
          <w:p w14:paraId="0CBC3861" w14:textId="0134389D" w:rsidR="00057F83" w:rsidRDefault="00057F83" w:rsidP="000B0FEB">
            <w:pPr>
              <w:widowControl w:val="0"/>
              <w:rPr>
                <w:sz w:val="24"/>
                <w:szCs w:val="24"/>
              </w:rPr>
            </w:pPr>
            <w:proofErr w:type="spellStart"/>
            <w:r>
              <w:rPr>
                <w:sz w:val="24"/>
                <w:szCs w:val="24"/>
              </w:rPr>
              <w:t>Gignoux</w:t>
            </w:r>
            <w:proofErr w:type="spellEnd"/>
            <w:r>
              <w:rPr>
                <w:sz w:val="24"/>
                <w:szCs w:val="24"/>
              </w:rPr>
              <w:t xml:space="preserve"> (2002</w:t>
            </w:r>
            <w:r w:rsidR="00073A6E">
              <w:rPr>
                <w:sz w:val="24"/>
                <w:szCs w:val="24"/>
              </w:rPr>
              <w:t>–</w:t>
            </w:r>
            <w:r>
              <w:rPr>
                <w:sz w:val="24"/>
                <w:szCs w:val="24"/>
              </w:rPr>
              <w:t>2003)</w:t>
            </w:r>
          </w:p>
        </w:tc>
      </w:tr>
      <w:tr w:rsidR="005B0D65" w14:paraId="759C3989"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5243C2BE" w14:textId="77777777" w:rsidR="005B0D65" w:rsidRDefault="005B0D65" w:rsidP="000B0FEB">
            <w:pPr>
              <w:widowControl w:val="0"/>
              <w:rPr>
                <w:sz w:val="24"/>
                <w:szCs w:val="24"/>
              </w:rPr>
            </w:pPr>
            <w:r>
              <w:rPr>
                <w:sz w:val="24"/>
                <w:szCs w:val="24"/>
              </w:rPr>
              <w:t>Berk. 41</w:t>
            </w:r>
          </w:p>
        </w:tc>
        <w:tc>
          <w:tcPr>
            <w:tcW w:w="6816" w:type="dxa"/>
            <w:tcBorders>
              <w:top w:val="nil"/>
              <w:left w:val="nil"/>
              <w:bottom w:val="nil"/>
              <w:right w:val="nil"/>
            </w:tcBorders>
            <w:tcMar>
              <w:top w:w="20" w:type="dxa"/>
              <w:left w:w="20" w:type="dxa"/>
              <w:bottom w:w="100" w:type="dxa"/>
              <w:right w:w="20" w:type="dxa"/>
            </w:tcMar>
            <w:vAlign w:val="bottom"/>
          </w:tcPr>
          <w:p w14:paraId="0C92C500" w14:textId="77777777" w:rsidR="005B0D65" w:rsidRDefault="005B0D65" w:rsidP="000B0FEB">
            <w:pPr>
              <w:widowControl w:val="0"/>
              <w:rPr>
                <w:sz w:val="24"/>
                <w:szCs w:val="24"/>
              </w:rPr>
            </w:pPr>
            <w:r>
              <w:rPr>
                <w:sz w:val="24"/>
                <w:szCs w:val="24"/>
              </w:rPr>
              <w:t>Weber (2019a)</w:t>
            </w:r>
          </w:p>
        </w:tc>
      </w:tr>
      <w:tr w:rsidR="005B0D65" w14:paraId="7EC22460"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055820E1" w14:textId="77777777" w:rsidR="005B0D65" w:rsidRDefault="005B0D65" w:rsidP="000B0FEB">
            <w:pPr>
              <w:widowControl w:val="0"/>
              <w:rPr>
                <w:sz w:val="24"/>
                <w:szCs w:val="24"/>
              </w:rPr>
            </w:pPr>
            <w:r>
              <w:rPr>
                <w:sz w:val="24"/>
                <w:szCs w:val="24"/>
              </w:rPr>
              <w:t>Berk. 42</w:t>
            </w:r>
          </w:p>
        </w:tc>
        <w:tc>
          <w:tcPr>
            <w:tcW w:w="6816" w:type="dxa"/>
            <w:tcBorders>
              <w:top w:val="nil"/>
              <w:left w:val="nil"/>
              <w:bottom w:val="nil"/>
              <w:right w:val="nil"/>
            </w:tcBorders>
            <w:tcMar>
              <w:top w:w="20" w:type="dxa"/>
              <w:left w:w="20" w:type="dxa"/>
              <w:bottom w:w="100" w:type="dxa"/>
              <w:right w:w="20" w:type="dxa"/>
            </w:tcMar>
            <w:vAlign w:val="bottom"/>
          </w:tcPr>
          <w:p w14:paraId="20F1FEA1" w14:textId="1DA26FC2"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66</w:t>
            </w:r>
            <w:r w:rsidR="00073A6E">
              <w:rPr>
                <w:sz w:val="24"/>
                <w:szCs w:val="24"/>
              </w:rPr>
              <w:t>–</w:t>
            </w:r>
            <w:r>
              <w:rPr>
                <w:sz w:val="24"/>
                <w:szCs w:val="24"/>
              </w:rPr>
              <w:t>7)</w:t>
            </w:r>
          </w:p>
        </w:tc>
      </w:tr>
      <w:tr w:rsidR="005B0D65" w14:paraId="3948218E"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78FA786C" w14:textId="77777777" w:rsidR="005B0D65" w:rsidRDefault="005B0D65" w:rsidP="000B0FEB">
            <w:pPr>
              <w:widowControl w:val="0"/>
              <w:rPr>
                <w:sz w:val="24"/>
                <w:szCs w:val="24"/>
              </w:rPr>
            </w:pPr>
            <w:r>
              <w:rPr>
                <w:sz w:val="24"/>
                <w:szCs w:val="24"/>
              </w:rPr>
              <w:t>Berk. 43A</w:t>
            </w:r>
          </w:p>
        </w:tc>
        <w:tc>
          <w:tcPr>
            <w:tcW w:w="6816" w:type="dxa"/>
            <w:tcBorders>
              <w:top w:val="nil"/>
              <w:left w:val="nil"/>
              <w:bottom w:val="nil"/>
              <w:right w:val="nil"/>
            </w:tcBorders>
            <w:tcMar>
              <w:top w:w="20" w:type="dxa"/>
              <w:left w:w="20" w:type="dxa"/>
              <w:bottom w:w="100" w:type="dxa"/>
              <w:right w:w="20" w:type="dxa"/>
            </w:tcMar>
            <w:vAlign w:val="bottom"/>
          </w:tcPr>
          <w:p w14:paraId="3BEAC9AF" w14:textId="77777777" w:rsidR="005B0D65" w:rsidRDefault="005B0D65" w:rsidP="000B0FEB">
            <w:pPr>
              <w:widowControl w:val="0"/>
              <w:rPr>
                <w:sz w:val="24"/>
                <w:szCs w:val="24"/>
              </w:rPr>
            </w:pPr>
            <w:r>
              <w:rPr>
                <w:sz w:val="24"/>
                <w:szCs w:val="24"/>
              </w:rPr>
              <w:t xml:space="preserve">Weber (2018), </w:t>
            </w:r>
            <w:proofErr w:type="spellStart"/>
            <w:r>
              <w:rPr>
                <w:sz w:val="24"/>
                <w:szCs w:val="24"/>
              </w:rPr>
              <w:t>Gignoux</w:t>
            </w:r>
            <w:proofErr w:type="spellEnd"/>
            <w:r>
              <w:rPr>
                <w:sz w:val="24"/>
                <w:szCs w:val="24"/>
              </w:rPr>
              <w:t xml:space="preserve"> (2019) </w:t>
            </w:r>
          </w:p>
        </w:tc>
      </w:tr>
      <w:tr w:rsidR="005B0D65" w14:paraId="7164BE68"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1F3C1C67" w14:textId="77777777" w:rsidR="005B0D65" w:rsidRDefault="005B0D65" w:rsidP="000B0FEB">
            <w:pPr>
              <w:widowControl w:val="0"/>
              <w:rPr>
                <w:sz w:val="24"/>
                <w:szCs w:val="24"/>
              </w:rPr>
            </w:pPr>
            <w:r>
              <w:rPr>
                <w:sz w:val="24"/>
                <w:szCs w:val="24"/>
              </w:rPr>
              <w:t>Berk. 43B</w:t>
            </w:r>
          </w:p>
        </w:tc>
        <w:tc>
          <w:tcPr>
            <w:tcW w:w="6816" w:type="dxa"/>
            <w:tcBorders>
              <w:top w:val="nil"/>
              <w:left w:val="nil"/>
              <w:bottom w:val="nil"/>
              <w:right w:val="nil"/>
            </w:tcBorders>
            <w:tcMar>
              <w:top w:w="20" w:type="dxa"/>
              <w:left w:w="20" w:type="dxa"/>
              <w:bottom w:w="100" w:type="dxa"/>
              <w:right w:w="20" w:type="dxa"/>
            </w:tcMar>
            <w:vAlign w:val="bottom"/>
          </w:tcPr>
          <w:p w14:paraId="601A70C2" w14:textId="77777777" w:rsidR="005B0D65" w:rsidRDefault="005B0D65" w:rsidP="000B0FEB">
            <w:pPr>
              <w:widowControl w:val="0"/>
              <w:rPr>
                <w:sz w:val="24"/>
                <w:szCs w:val="24"/>
              </w:rPr>
            </w:pPr>
            <w:r>
              <w:rPr>
                <w:sz w:val="24"/>
                <w:szCs w:val="24"/>
              </w:rPr>
              <w:t>Weber (2018)</w:t>
            </w:r>
          </w:p>
        </w:tc>
      </w:tr>
      <w:tr w:rsidR="005B0D65" w14:paraId="26ABFD50"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0E98641" w14:textId="77777777" w:rsidR="005B0D65" w:rsidRDefault="005B0D65" w:rsidP="000B0FEB">
            <w:pPr>
              <w:widowControl w:val="0"/>
              <w:rPr>
                <w:sz w:val="24"/>
                <w:szCs w:val="24"/>
              </w:rPr>
            </w:pPr>
            <w:r>
              <w:rPr>
                <w:sz w:val="24"/>
                <w:szCs w:val="24"/>
              </w:rPr>
              <w:t>Berk. 43C</w:t>
            </w:r>
          </w:p>
        </w:tc>
        <w:tc>
          <w:tcPr>
            <w:tcW w:w="6816" w:type="dxa"/>
            <w:tcBorders>
              <w:top w:val="nil"/>
              <w:left w:val="nil"/>
              <w:bottom w:val="nil"/>
              <w:right w:val="nil"/>
            </w:tcBorders>
            <w:tcMar>
              <w:top w:w="20" w:type="dxa"/>
              <w:left w:w="20" w:type="dxa"/>
              <w:bottom w:w="100" w:type="dxa"/>
              <w:right w:w="20" w:type="dxa"/>
            </w:tcMar>
            <w:vAlign w:val="bottom"/>
          </w:tcPr>
          <w:p w14:paraId="59D049CC" w14:textId="77777777" w:rsidR="005B0D65" w:rsidRDefault="005B0D65" w:rsidP="000B0FEB">
            <w:pPr>
              <w:widowControl w:val="0"/>
              <w:rPr>
                <w:sz w:val="24"/>
                <w:szCs w:val="24"/>
              </w:rPr>
            </w:pPr>
            <w:r>
              <w:rPr>
                <w:sz w:val="24"/>
                <w:szCs w:val="24"/>
              </w:rPr>
              <w:t>Weber (2018)</w:t>
            </w:r>
          </w:p>
        </w:tc>
      </w:tr>
      <w:tr w:rsidR="005B0D65" w14:paraId="083F79CE"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2F21B69D" w14:textId="77777777" w:rsidR="005B0D65" w:rsidRDefault="005B0D65" w:rsidP="000B0FEB">
            <w:pPr>
              <w:widowControl w:val="0"/>
              <w:rPr>
                <w:sz w:val="24"/>
                <w:szCs w:val="24"/>
              </w:rPr>
            </w:pPr>
            <w:r>
              <w:rPr>
                <w:sz w:val="24"/>
                <w:szCs w:val="24"/>
              </w:rPr>
              <w:t>Berk. 43D</w:t>
            </w:r>
          </w:p>
        </w:tc>
        <w:tc>
          <w:tcPr>
            <w:tcW w:w="6816" w:type="dxa"/>
            <w:tcBorders>
              <w:top w:val="nil"/>
              <w:left w:val="nil"/>
              <w:bottom w:val="nil"/>
              <w:right w:val="nil"/>
            </w:tcBorders>
            <w:tcMar>
              <w:top w:w="20" w:type="dxa"/>
              <w:left w:w="20" w:type="dxa"/>
              <w:bottom w:w="100" w:type="dxa"/>
              <w:right w:w="20" w:type="dxa"/>
            </w:tcMar>
            <w:vAlign w:val="bottom"/>
          </w:tcPr>
          <w:p w14:paraId="3B6762A0" w14:textId="77777777" w:rsidR="005B0D65" w:rsidRDefault="005B0D65" w:rsidP="000B0FEB">
            <w:pPr>
              <w:widowControl w:val="0"/>
              <w:rPr>
                <w:sz w:val="24"/>
                <w:szCs w:val="24"/>
              </w:rPr>
            </w:pPr>
            <w:r>
              <w:rPr>
                <w:sz w:val="24"/>
                <w:szCs w:val="24"/>
              </w:rPr>
              <w:t>Weber (2018)</w:t>
            </w:r>
          </w:p>
        </w:tc>
      </w:tr>
      <w:tr w:rsidR="005B0D65" w14:paraId="4D01D976"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063099F9" w14:textId="77777777" w:rsidR="005B0D65" w:rsidRDefault="005B0D65" w:rsidP="000B0FEB">
            <w:pPr>
              <w:widowControl w:val="0"/>
              <w:rPr>
                <w:sz w:val="24"/>
                <w:szCs w:val="24"/>
              </w:rPr>
            </w:pPr>
            <w:r>
              <w:rPr>
                <w:sz w:val="24"/>
                <w:szCs w:val="24"/>
              </w:rPr>
              <w:lastRenderedPageBreak/>
              <w:t>Berk. 43E</w:t>
            </w:r>
          </w:p>
        </w:tc>
        <w:tc>
          <w:tcPr>
            <w:tcW w:w="6816" w:type="dxa"/>
            <w:tcBorders>
              <w:top w:val="nil"/>
              <w:left w:val="nil"/>
              <w:bottom w:val="nil"/>
              <w:right w:val="nil"/>
            </w:tcBorders>
            <w:tcMar>
              <w:top w:w="20" w:type="dxa"/>
              <w:left w:w="20" w:type="dxa"/>
              <w:bottom w:w="100" w:type="dxa"/>
              <w:right w:w="20" w:type="dxa"/>
            </w:tcMar>
            <w:vAlign w:val="bottom"/>
          </w:tcPr>
          <w:p w14:paraId="118F9989" w14:textId="77777777" w:rsidR="005B0D65" w:rsidRDefault="005B0D65" w:rsidP="000B0FEB">
            <w:pPr>
              <w:widowControl w:val="0"/>
              <w:rPr>
                <w:sz w:val="24"/>
                <w:szCs w:val="24"/>
              </w:rPr>
            </w:pPr>
            <w:r>
              <w:rPr>
                <w:sz w:val="24"/>
                <w:szCs w:val="24"/>
              </w:rPr>
              <w:t>Weber (2018)</w:t>
            </w:r>
          </w:p>
        </w:tc>
      </w:tr>
      <w:tr w:rsidR="00AE7F12" w14:paraId="49342C9E"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11F94568" w14:textId="0257C92C" w:rsidR="00AE7F12" w:rsidRDefault="00AE7F12" w:rsidP="000B0FEB">
            <w:pPr>
              <w:widowControl w:val="0"/>
              <w:rPr>
                <w:sz w:val="24"/>
                <w:szCs w:val="24"/>
              </w:rPr>
            </w:pPr>
            <w:r>
              <w:rPr>
                <w:sz w:val="24"/>
                <w:szCs w:val="24"/>
              </w:rPr>
              <w:t>Berk. 46</w:t>
            </w:r>
          </w:p>
        </w:tc>
        <w:tc>
          <w:tcPr>
            <w:tcW w:w="6816" w:type="dxa"/>
            <w:tcBorders>
              <w:top w:val="nil"/>
              <w:left w:val="nil"/>
              <w:bottom w:val="nil"/>
              <w:right w:val="nil"/>
            </w:tcBorders>
            <w:tcMar>
              <w:top w:w="20" w:type="dxa"/>
              <w:left w:w="20" w:type="dxa"/>
              <w:bottom w:w="100" w:type="dxa"/>
              <w:right w:w="20" w:type="dxa"/>
            </w:tcMar>
            <w:vAlign w:val="bottom"/>
          </w:tcPr>
          <w:p w14:paraId="22E869EB" w14:textId="6CA57BE9" w:rsidR="00AE7F12" w:rsidRDefault="00AE7F12" w:rsidP="000B0FEB">
            <w:pPr>
              <w:widowControl w:val="0"/>
              <w:rPr>
                <w:sz w:val="24"/>
                <w:szCs w:val="24"/>
              </w:rPr>
            </w:pPr>
            <w:r>
              <w:rPr>
                <w:sz w:val="24"/>
                <w:szCs w:val="24"/>
              </w:rPr>
              <w:t>Weber (2015b)</w:t>
            </w:r>
          </w:p>
        </w:tc>
      </w:tr>
      <w:tr w:rsidR="005B0D65" w14:paraId="6F7F0DC5"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5B0062A6" w14:textId="77777777" w:rsidR="005B0D65" w:rsidRDefault="005B0D65" w:rsidP="000B0FEB">
            <w:pPr>
              <w:widowControl w:val="0"/>
              <w:rPr>
                <w:sz w:val="24"/>
                <w:szCs w:val="24"/>
              </w:rPr>
            </w:pPr>
            <w:r>
              <w:rPr>
                <w:sz w:val="24"/>
                <w:szCs w:val="24"/>
              </w:rPr>
              <w:t>Berk. 48</w:t>
            </w:r>
          </w:p>
        </w:tc>
        <w:tc>
          <w:tcPr>
            <w:tcW w:w="6816" w:type="dxa"/>
            <w:tcBorders>
              <w:top w:val="nil"/>
              <w:left w:val="nil"/>
              <w:bottom w:val="nil"/>
              <w:right w:val="nil"/>
            </w:tcBorders>
            <w:tcMar>
              <w:top w:w="20" w:type="dxa"/>
              <w:left w:w="20" w:type="dxa"/>
              <w:bottom w:w="100" w:type="dxa"/>
              <w:right w:w="20" w:type="dxa"/>
            </w:tcMar>
            <w:vAlign w:val="bottom"/>
          </w:tcPr>
          <w:p w14:paraId="38D571E4" w14:textId="618991EF"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60</w:t>
            </w:r>
            <w:r w:rsidR="006F75D5">
              <w:rPr>
                <w:sz w:val="24"/>
                <w:szCs w:val="24"/>
              </w:rPr>
              <w:t>–</w:t>
            </w:r>
            <w:r>
              <w:rPr>
                <w:sz w:val="24"/>
                <w:szCs w:val="24"/>
              </w:rPr>
              <w:t>62)</w:t>
            </w:r>
            <w:r w:rsidR="006F75D5">
              <w:rPr>
                <w:sz w:val="24"/>
                <w:szCs w:val="24"/>
              </w:rPr>
              <w:t>, Weber (2023)</w:t>
            </w:r>
          </w:p>
        </w:tc>
      </w:tr>
      <w:tr w:rsidR="005B0D65" w14:paraId="31ECA137"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78402584" w14:textId="77777777" w:rsidR="005B0D65" w:rsidRDefault="005B0D65" w:rsidP="000B0FEB">
            <w:pPr>
              <w:widowControl w:val="0"/>
              <w:rPr>
                <w:sz w:val="24"/>
                <w:szCs w:val="24"/>
              </w:rPr>
            </w:pPr>
            <w:r>
              <w:rPr>
                <w:sz w:val="24"/>
                <w:szCs w:val="24"/>
              </w:rPr>
              <w:t>Berk. 53</w:t>
            </w:r>
          </w:p>
        </w:tc>
        <w:tc>
          <w:tcPr>
            <w:tcW w:w="6816" w:type="dxa"/>
            <w:tcBorders>
              <w:top w:val="nil"/>
              <w:left w:val="nil"/>
              <w:bottom w:val="nil"/>
              <w:right w:val="nil"/>
            </w:tcBorders>
            <w:tcMar>
              <w:top w:w="20" w:type="dxa"/>
              <w:left w:w="20" w:type="dxa"/>
              <w:bottom w:w="100" w:type="dxa"/>
              <w:right w:w="20" w:type="dxa"/>
            </w:tcMar>
            <w:vAlign w:val="bottom"/>
          </w:tcPr>
          <w:p w14:paraId="4FEC28F8" w14:textId="77777777" w:rsidR="005B0D65" w:rsidRDefault="005B0D65" w:rsidP="000B0FEB">
            <w:pPr>
              <w:widowControl w:val="0"/>
              <w:rPr>
                <w:sz w:val="24"/>
                <w:szCs w:val="24"/>
              </w:rPr>
            </w:pPr>
            <w:r>
              <w:rPr>
                <w:sz w:val="24"/>
                <w:szCs w:val="24"/>
              </w:rPr>
              <w:t>Weber (2016)</w:t>
            </w:r>
          </w:p>
        </w:tc>
      </w:tr>
      <w:tr w:rsidR="005B0D65" w14:paraId="4FC4A8DA"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5DF17CC4" w14:textId="77777777" w:rsidR="005B0D65" w:rsidRDefault="005B0D65" w:rsidP="000B0FEB">
            <w:pPr>
              <w:widowControl w:val="0"/>
              <w:rPr>
                <w:sz w:val="24"/>
                <w:szCs w:val="24"/>
              </w:rPr>
            </w:pPr>
            <w:r>
              <w:rPr>
                <w:sz w:val="24"/>
                <w:szCs w:val="24"/>
              </w:rPr>
              <w:t>Berk. 57 I</w:t>
            </w:r>
          </w:p>
        </w:tc>
        <w:tc>
          <w:tcPr>
            <w:tcW w:w="6816" w:type="dxa"/>
            <w:tcBorders>
              <w:top w:val="nil"/>
              <w:left w:val="nil"/>
              <w:bottom w:val="nil"/>
              <w:right w:val="nil"/>
            </w:tcBorders>
            <w:tcMar>
              <w:top w:w="20" w:type="dxa"/>
              <w:left w:w="20" w:type="dxa"/>
              <w:bottom w:w="100" w:type="dxa"/>
              <w:right w:w="20" w:type="dxa"/>
            </w:tcMar>
            <w:vAlign w:val="bottom"/>
          </w:tcPr>
          <w:p w14:paraId="144C577A" w14:textId="77777777" w:rsidR="005B0D65" w:rsidRDefault="005B0D65" w:rsidP="000B0FEB">
            <w:pPr>
              <w:widowControl w:val="0"/>
              <w:rPr>
                <w:sz w:val="24"/>
                <w:szCs w:val="24"/>
              </w:rPr>
            </w:pPr>
            <w:r>
              <w:rPr>
                <w:sz w:val="24"/>
                <w:szCs w:val="24"/>
              </w:rPr>
              <w:t>Weber (2019a)</w:t>
            </w:r>
          </w:p>
        </w:tc>
      </w:tr>
      <w:tr w:rsidR="005B0D65" w14:paraId="6FCF0E73"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68EA29D" w14:textId="77777777" w:rsidR="005B0D65" w:rsidRDefault="005B0D65" w:rsidP="000B0FEB">
            <w:pPr>
              <w:widowControl w:val="0"/>
              <w:rPr>
                <w:sz w:val="24"/>
                <w:szCs w:val="24"/>
              </w:rPr>
            </w:pPr>
            <w:r>
              <w:rPr>
                <w:sz w:val="24"/>
                <w:szCs w:val="24"/>
              </w:rPr>
              <w:t>Berk. 57 II</w:t>
            </w:r>
          </w:p>
        </w:tc>
        <w:tc>
          <w:tcPr>
            <w:tcW w:w="6816" w:type="dxa"/>
            <w:tcBorders>
              <w:top w:val="nil"/>
              <w:left w:val="nil"/>
              <w:bottom w:val="nil"/>
              <w:right w:val="nil"/>
            </w:tcBorders>
            <w:tcMar>
              <w:top w:w="20" w:type="dxa"/>
              <w:left w:w="20" w:type="dxa"/>
              <w:bottom w:w="100" w:type="dxa"/>
              <w:right w:w="20" w:type="dxa"/>
            </w:tcMar>
            <w:vAlign w:val="bottom"/>
          </w:tcPr>
          <w:p w14:paraId="69013EB1" w14:textId="77777777" w:rsidR="005B0D65" w:rsidRDefault="005B0D65" w:rsidP="000B0FEB">
            <w:pPr>
              <w:widowControl w:val="0"/>
              <w:rPr>
                <w:sz w:val="24"/>
                <w:szCs w:val="24"/>
              </w:rPr>
            </w:pPr>
            <w:r>
              <w:rPr>
                <w:sz w:val="24"/>
                <w:szCs w:val="24"/>
              </w:rPr>
              <w:t>Weber (2019a)</w:t>
            </w:r>
          </w:p>
        </w:tc>
      </w:tr>
      <w:tr w:rsidR="005B0D65" w14:paraId="77106777"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756A3F2B" w14:textId="77777777" w:rsidR="005B0D65" w:rsidRDefault="005B0D65" w:rsidP="000B0FEB">
            <w:pPr>
              <w:widowControl w:val="0"/>
              <w:rPr>
                <w:sz w:val="24"/>
                <w:szCs w:val="24"/>
              </w:rPr>
            </w:pPr>
            <w:r>
              <w:rPr>
                <w:sz w:val="24"/>
                <w:szCs w:val="24"/>
              </w:rPr>
              <w:t>Berk. 57 III</w:t>
            </w:r>
          </w:p>
        </w:tc>
        <w:tc>
          <w:tcPr>
            <w:tcW w:w="6816" w:type="dxa"/>
            <w:tcBorders>
              <w:top w:val="nil"/>
              <w:left w:val="nil"/>
              <w:bottom w:val="nil"/>
              <w:right w:val="nil"/>
            </w:tcBorders>
            <w:tcMar>
              <w:top w:w="20" w:type="dxa"/>
              <w:left w:w="20" w:type="dxa"/>
              <w:bottom w:w="100" w:type="dxa"/>
              <w:right w:w="20" w:type="dxa"/>
            </w:tcMar>
            <w:vAlign w:val="bottom"/>
          </w:tcPr>
          <w:p w14:paraId="08065C52" w14:textId="77777777" w:rsidR="005B0D65" w:rsidRDefault="005B0D65" w:rsidP="000B0FEB">
            <w:pPr>
              <w:widowControl w:val="0"/>
              <w:rPr>
                <w:sz w:val="24"/>
                <w:szCs w:val="24"/>
              </w:rPr>
            </w:pPr>
            <w:r>
              <w:rPr>
                <w:sz w:val="24"/>
                <w:szCs w:val="24"/>
              </w:rPr>
              <w:t>Weber (2019a)</w:t>
            </w:r>
          </w:p>
        </w:tc>
      </w:tr>
      <w:tr w:rsidR="005B0D65" w14:paraId="1FA6A4CE"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B5E2A7A" w14:textId="77777777" w:rsidR="005B0D65" w:rsidRDefault="005B0D65" w:rsidP="000B0FEB">
            <w:pPr>
              <w:widowControl w:val="0"/>
              <w:rPr>
                <w:sz w:val="24"/>
                <w:szCs w:val="24"/>
              </w:rPr>
            </w:pPr>
            <w:r>
              <w:rPr>
                <w:sz w:val="24"/>
                <w:szCs w:val="24"/>
              </w:rPr>
              <w:t>Berk. 62</w:t>
            </w:r>
          </w:p>
        </w:tc>
        <w:tc>
          <w:tcPr>
            <w:tcW w:w="6816" w:type="dxa"/>
            <w:tcBorders>
              <w:top w:val="nil"/>
              <w:left w:val="nil"/>
              <w:bottom w:val="nil"/>
              <w:right w:val="nil"/>
            </w:tcBorders>
            <w:tcMar>
              <w:top w:w="20" w:type="dxa"/>
              <w:left w:w="20" w:type="dxa"/>
              <w:bottom w:w="100" w:type="dxa"/>
              <w:right w:w="20" w:type="dxa"/>
            </w:tcMar>
            <w:vAlign w:val="bottom"/>
          </w:tcPr>
          <w:p w14:paraId="76907A09" w14:textId="77777777" w:rsidR="005B0D65" w:rsidRDefault="005B0D65" w:rsidP="000B0FEB">
            <w:pPr>
              <w:widowControl w:val="0"/>
              <w:rPr>
                <w:sz w:val="24"/>
                <w:szCs w:val="24"/>
              </w:rPr>
            </w:pPr>
            <w:r>
              <w:rPr>
                <w:sz w:val="24"/>
                <w:szCs w:val="24"/>
              </w:rPr>
              <w:t>Weber (2014a), Weber (2021a)</w:t>
            </w:r>
          </w:p>
        </w:tc>
      </w:tr>
      <w:tr w:rsidR="005B0D65" w14:paraId="62250EB2"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570D3E4A" w14:textId="77777777" w:rsidR="005B0D65" w:rsidRDefault="005B0D65" w:rsidP="000B0FEB">
            <w:pPr>
              <w:widowControl w:val="0"/>
              <w:rPr>
                <w:sz w:val="24"/>
                <w:szCs w:val="24"/>
              </w:rPr>
            </w:pPr>
            <w:r>
              <w:rPr>
                <w:sz w:val="24"/>
                <w:szCs w:val="24"/>
              </w:rPr>
              <w:t>Berk. 63</w:t>
            </w:r>
          </w:p>
        </w:tc>
        <w:tc>
          <w:tcPr>
            <w:tcW w:w="6816" w:type="dxa"/>
            <w:tcBorders>
              <w:top w:val="nil"/>
              <w:left w:val="nil"/>
              <w:bottom w:val="nil"/>
              <w:right w:val="nil"/>
            </w:tcBorders>
            <w:tcMar>
              <w:top w:w="20" w:type="dxa"/>
              <w:left w:w="20" w:type="dxa"/>
              <w:bottom w:w="100" w:type="dxa"/>
              <w:right w:w="20" w:type="dxa"/>
            </w:tcMar>
            <w:vAlign w:val="bottom"/>
          </w:tcPr>
          <w:p w14:paraId="321B735A" w14:textId="4BFE5BAF"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44</w:t>
            </w:r>
            <w:r w:rsidR="00073A6E">
              <w:rPr>
                <w:sz w:val="24"/>
                <w:szCs w:val="24"/>
              </w:rPr>
              <w:t>–</w:t>
            </w:r>
            <w:r>
              <w:rPr>
                <w:sz w:val="24"/>
                <w:szCs w:val="24"/>
              </w:rPr>
              <w:t>5)</w:t>
            </w:r>
          </w:p>
        </w:tc>
      </w:tr>
      <w:tr w:rsidR="005B0D65" w14:paraId="76DECF20"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2B1BC0C" w14:textId="77777777" w:rsidR="005B0D65" w:rsidRDefault="005B0D65" w:rsidP="000B0FEB">
            <w:pPr>
              <w:widowControl w:val="0"/>
              <w:rPr>
                <w:sz w:val="24"/>
                <w:szCs w:val="24"/>
              </w:rPr>
            </w:pPr>
            <w:r>
              <w:rPr>
                <w:sz w:val="24"/>
                <w:szCs w:val="24"/>
              </w:rPr>
              <w:t>Berk. 64</w:t>
            </w:r>
          </w:p>
        </w:tc>
        <w:tc>
          <w:tcPr>
            <w:tcW w:w="6816" w:type="dxa"/>
            <w:tcBorders>
              <w:top w:val="nil"/>
              <w:left w:val="nil"/>
              <w:bottom w:val="nil"/>
              <w:right w:val="nil"/>
            </w:tcBorders>
            <w:tcMar>
              <w:top w:w="20" w:type="dxa"/>
              <w:left w:w="20" w:type="dxa"/>
              <w:bottom w:w="100" w:type="dxa"/>
              <w:right w:w="20" w:type="dxa"/>
            </w:tcMar>
            <w:vAlign w:val="bottom"/>
          </w:tcPr>
          <w:p w14:paraId="3787FC17" w14:textId="31D26F61"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108</w:t>
            </w:r>
            <w:r w:rsidR="00073A6E">
              <w:rPr>
                <w:sz w:val="24"/>
                <w:szCs w:val="24"/>
              </w:rPr>
              <w:t>–</w:t>
            </w:r>
            <w:r>
              <w:rPr>
                <w:sz w:val="24"/>
                <w:szCs w:val="24"/>
              </w:rPr>
              <w:t>109)</w:t>
            </w:r>
          </w:p>
        </w:tc>
      </w:tr>
      <w:tr w:rsidR="005B0D65" w14:paraId="3B957BEA"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5CBCF77C" w14:textId="77777777" w:rsidR="005B0D65" w:rsidRDefault="005B0D65" w:rsidP="000B0FEB">
            <w:pPr>
              <w:widowControl w:val="0"/>
              <w:rPr>
                <w:sz w:val="24"/>
                <w:szCs w:val="24"/>
              </w:rPr>
            </w:pPr>
            <w:r>
              <w:rPr>
                <w:sz w:val="24"/>
                <w:szCs w:val="24"/>
              </w:rPr>
              <w:t>Berk. 65</w:t>
            </w:r>
          </w:p>
        </w:tc>
        <w:tc>
          <w:tcPr>
            <w:tcW w:w="6816" w:type="dxa"/>
            <w:tcBorders>
              <w:top w:val="nil"/>
              <w:left w:val="nil"/>
              <w:bottom w:val="nil"/>
              <w:right w:val="nil"/>
            </w:tcBorders>
            <w:tcMar>
              <w:top w:w="20" w:type="dxa"/>
              <w:left w:w="20" w:type="dxa"/>
              <w:bottom w:w="100" w:type="dxa"/>
              <w:right w:w="20" w:type="dxa"/>
            </w:tcMar>
            <w:vAlign w:val="bottom"/>
          </w:tcPr>
          <w:p w14:paraId="586F296F" w14:textId="77777777" w:rsidR="005B0D65" w:rsidRDefault="005B0D65" w:rsidP="000B0FEB">
            <w:pPr>
              <w:widowControl w:val="0"/>
              <w:rPr>
                <w:sz w:val="24"/>
                <w:szCs w:val="24"/>
              </w:rPr>
            </w:pPr>
            <w:proofErr w:type="spellStart"/>
            <w:r>
              <w:rPr>
                <w:sz w:val="24"/>
                <w:szCs w:val="24"/>
              </w:rPr>
              <w:t>Gignoux</w:t>
            </w:r>
            <w:proofErr w:type="spellEnd"/>
            <w:r>
              <w:rPr>
                <w:sz w:val="24"/>
                <w:szCs w:val="24"/>
              </w:rPr>
              <w:t xml:space="preserve"> (2019), Weber (2021b)</w:t>
            </w:r>
          </w:p>
        </w:tc>
      </w:tr>
      <w:tr w:rsidR="005B0D65" w14:paraId="5B0AC9F5"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70BF8BC2" w14:textId="77777777" w:rsidR="005B0D65" w:rsidRDefault="005B0D65" w:rsidP="000B0FEB">
            <w:pPr>
              <w:widowControl w:val="0"/>
              <w:rPr>
                <w:sz w:val="24"/>
                <w:szCs w:val="24"/>
              </w:rPr>
            </w:pPr>
            <w:r>
              <w:rPr>
                <w:sz w:val="24"/>
                <w:szCs w:val="24"/>
              </w:rPr>
              <w:t>Berk. 66</w:t>
            </w:r>
          </w:p>
        </w:tc>
        <w:tc>
          <w:tcPr>
            <w:tcW w:w="6816" w:type="dxa"/>
            <w:tcBorders>
              <w:top w:val="nil"/>
              <w:left w:val="nil"/>
              <w:bottom w:val="nil"/>
              <w:right w:val="nil"/>
            </w:tcBorders>
            <w:tcMar>
              <w:top w:w="20" w:type="dxa"/>
              <w:left w:w="20" w:type="dxa"/>
              <w:bottom w:w="100" w:type="dxa"/>
              <w:right w:w="20" w:type="dxa"/>
            </w:tcMar>
            <w:vAlign w:val="bottom"/>
          </w:tcPr>
          <w:p w14:paraId="7F6183D0" w14:textId="77777777" w:rsidR="005B0D65" w:rsidRDefault="005B0D65" w:rsidP="000B0FEB">
            <w:pPr>
              <w:widowControl w:val="0"/>
              <w:rPr>
                <w:sz w:val="24"/>
                <w:szCs w:val="24"/>
              </w:rPr>
            </w:pPr>
            <w:proofErr w:type="spellStart"/>
            <w:r>
              <w:rPr>
                <w:sz w:val="24"/>
                <w:szCs w:val="24"/>
              </w:rPr>
              <w:t>Gignoux</w:t>
            </w:r>
            <w:proofErr w:type="spellEnd"/>
            <w:r>
              <w:rPr>
                <w:sz w:val="24"/>
                <w:szCs w:val="24"/>
              </w:rPr>
              <w:t xml:space="preserve"> (2009), Weber (2021a)</w:t>
            </w:r>
          </w:p>
        </w:tc>
      </w:tr>
      <w:tr w:rsidR="005B0D65" w14:paraId="67FCA6C8"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7F29E89" w14:textId="77777777" w:rsidR="005B0D65" w:rsidRDefault="005B0D65" w:rsidP="000B0FEB">
            <w:pPr>
              <w:widowControl w:val="0"/>
              <w:rPr>
                <w:sz w:val="24"/>
                <w:szCs w:val="24"/>
              </w:rPr>
            </w:pPr>
            <w:r>
              <w:rPr>
                <w:sz w:val="24"/>
                <w:szCs w:val="24"/>
              </w:rPr>
              <w:t>Berk. 67</w:t>
            </w:r>
          </w:p>
        </w:tc>
        <w:tc>
          <w:tcPr>
            <w:tcW w:w="6816" w:type="dxa"/>
            <w:tcBorders>
              <w:top w:val="nil"/>
              <w:left w:val="nil"/>
              <w:bottom w:val="nil"/>
              <w:right w:val="nil"/>
            </w:tcBorders>
            <w:tcMar>
              <w:top w:w="20" w:type="dxa"/>
              <w:left w:w="20" w:type="dxa"/>
              <w:bottom w:w="100" w:type="dxa"/>
              <w:right w:w="20" w:type="dxa"/>
            </w:tcMar>
            <w:vAlign w:val="bottom"/>
          </w:tcPr>
          <w:p w14:paraId="41B8C224" w14:textId="77777777" w:rsidR="005B0D65" w:rsidRDefault="005B0D65" w:rsidP="000B0FEB">
            <w:pPr>
              <w:widowControl w:val="0"/>
              <w:rPr>
                <w:sz w:val="24"/>
                <w:szCs w:val="24"/>
              </w:rPr>
            </w:pPr>
            <w:r>
              <w:rPr>
                <w:sz w:val="24"/>
                <w:szCs w:val="24"/>
              </w:rPr>
              <w:t>Weber (2013), Weber (2019a)</w:t>
            </w:r>
          </w:p>
        </w:tc>
      </w:tr>
      <w:tr w:rsidR="005B0D65" w14:paraId="1E219F1F"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62974057" w14:textId="77777777" w:rsidR="005B0D65" w:rsidRDefault="005B0D65" w:rsidP="000B0FEB">
            <w:pPr>
              <w:widowControl w:val="0"/>
              <w:rPr>
                <w:sz w:val="24"/>
                <w:szCs w:val="24"/>
              </w:rPr>
            </w:pPr>
            <w:r>
              <w:rPr>
                <w:sz w:val="24"/>
                <w:szCs w:val="24"/>
              </w:rPr>
              <w:t>Berk. 68</w:t>
            </w:r>
          </w:p>
        </w:tc>
        <w:tc>
          <w:tcPr>
            <w:tcW w:w="6816" w:type="dxa"/>
            <w:tcBorders>
              <w:top w:val="nil"/>
              <w:left w:val="nil"/>
              <w:bottom w:val="nil"/>
              <w:right w:val="nil"/>
            </w:tcBorders>
            <w:tcMar>
              <w:top w:w="20" w:type="dxa"/>
              <w:left w:w="20" w:type="dxa"/>
              <w:bottom w:w="100" w:type="dxa"/>
              <w:right w:w="20" w:type="dxa"/>
            </w:tcMar>
            <w:vAlign w:val="bottom"/>
          </w:tcPr>
          <w:p w14:paraId="5F8C22D8" w14:textId="38FEEB5B"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118</w:t>
            </w:r>
            <w:r w:rsidR="00073A6E">
              <w:rPr>
                <w:sz w:val="24"/>
                <w:szCs w:val="24"/>
              </w:rPr>
              <w:t>–</w:t>
            </w:r>
            <w:r>
              <w:rPr>
                <w:sz w:val="24"/>
                <w:szCs w:val="24"/>
              </w:rPr>
              <w:t>19)</w:t>
            </w:r>
          </w:p>
        </w:tc>
      </w:tr>
      <w:tr w:rsidR="005B0D65" w14:paraId="263961D1"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0AE23C43" w14:textId="77777777" w:rsidR="005B0D65" w:rsidRDefault="005B0D65" w:rsidP="000B0FEB">
            <w:pPr>
              <w:widowControl w:val="0"/>
              <w:rPr>
                <w:sz w:val="24"/>
                <w:szCs w:val="24"/>
              </w:rPr>
            </w:pPr>
            <w:r>
              <w:rPr>
                <w:sz w:val="24"/>
                <w:szCs w:val="24"/>
              </w:rPr>
              <w:t>Berk. 69</w:t>
            </w:r>
          </w:p>
        </w:tc>
        <w:tc>
          <w:tcPr>
            <w:tcW w:w="6816" w:type="dxa"/>
            <w:tcBorders>
              <w:top w:val="nil"/>
              <w:left w:val="nil"/>
              <w:bottom w:val="nil"/>
              <w:right w:val="nil"/>
            </w:tcBorders>
            <w:tcMar>
              <w:top w:w="20" w:type="dxa"/>
              <w:left w:w="20" w:type="dxa"/>
              <w:bottom w:w="100" w:type="dxa"/>
              <w:right w:w="20" w:type="dxa"/>
            </w:tcMar>
            <w:vAlign w:val="bottom"/>
          </w:tcPr>
          <w:p w14:paraId="242E7B35" w14:textId="77777777" w:rsidR="005B0D65" w:rsidRDefault="005B0D65" w:rsidP="000B0FEB">
            <w:pPr>
              <w:widowControl w:val="0"/>
              <w:rPr>
                <w:sz w:val="24"/>
                <w:szCs w:val="24"/>
              </w:rPr>
            </w:pPr>
            <w:proofErr w:type="spellStart"/>
            <w:r>
              <w:rPr>
                <w:sz w:val="24"/>
                <w:szCs w:val="24"/>
              </w:rPr>
              <w:t>Gignoux</w:t>
            </w:r>
            <w:proofErr w:type="spellEnd"/>
            <w:r>
              <w:rPr>
                <w:sz w:val="24"/>
                <w:szCs w:val="24"/>
              </w:rPr>
              <w:t xml:space="preserve"> (2009)</w:t>
            </w:r>
          </w:p>
        </w:tc>
      </w:tr>
      <w:tr w:rsidR="005B0D65" w14:paraId="11E1DC61"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026A664C" w14:textId="77777777" w:rsidR="005B0D65" w:rsidRDefault="005B0D65" w:rsidP="000B0FEB">
            <w:pPr>
              <w:widowControl w:val="0"/>
              <w:rPr>
                <w:sz w:val="24"/>
                <w:szCs w:val="24"/>
              </w:rPr>
            </w:pPr>
            <w:r>
              <w:rPr>
                <w:sz w:val="24"/>
                <w:szCs w:val="24"/>
              </w:rPr>
              <w:t>Berk. 70</w:t>
            </w:r>
          </w:p>
        </w:tc>
        <w:tc>
          <w:tcPr>
            <w:tcW w:w="6816" w:type="dxa"/>
            <w:tcBorders>
              <w:top w:val="nil"/>
              <w:left w:val="nil"/>
              <w:bottom w:val="nil"/>
              <w:right w:val="nil"/>
            </w:tcBorders>
            <w:tcMar>
              <w:top w:w="20" w:type="dxa"/>
              <w:left w:w="20" w:type="dxa"/>
              <w:bottom w:w="100" w:type="dxa"/>
              <w:right w:w="20" w:type="dxa"/>
            </w:tcMar>
            <w:vAlign w:val="bottom"/>
          </w:tcPr>
          <w:p w14:paraId="46E31D25" w14:textId="27DC5AC2"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104</w:t>
            </w:r>
            <w:r w:rsidR="00073A6E">
              <w:rPr>
                <w:sz w:val="24"/>
                <w:szCs w:val="24"/>
              </w:rPr>
              <w:t>–</w:t>
            </w:r>
            <w:r>
              <w:rPr>
                <w:sz w:val="24"/>
                <w:szCs w:val="24"/>
              </w:rPr>
              <w:t>105)</w:t>
            </w:r>
          </w:p>
        </w:tc>
      </w:tr>
      <w:tr w:rsidR="005B0D65" w14:paraId="21493EFB"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20D027BE" w14:textId="77777777" w:rsidR="005B0D65" w:rsidRDefault="005B0D65" w:rsidP="000B0FEB">
            <w:pPr>
              <w:widowControl w:val="0"/>
              <w:rPr>
                <w:sz w:val="24"/>
                <w:szCs w:val="24"/>
              </w:rPr>
            </w:pPr>
            <w:r>
              <w:rPr>
                <w:sz w:val="24"/>
                <w:szCs w:val="24"/>
              </w:rPr>
              <w:t>Berk. 71</w:t>
            </w:r>
          </w:p>
        </w:tc>
        <w:tc>
          <w:tcPr>
            <w:tcW w:w="6816" w:type="dxa"/>
            <w:tcBorders>
              <w:top w:val="nil"/>
              <w:left w:val="nil"/>
              <w:bottom w:val="nil"/>
              <w:right w:val="nil"/>
            </w:tcBorders>
            <w:tcMar>
              <w:top w:w="20" w:type="dxa"/>
              <w:left w:w="20" w:type="dxa"/>
              <w:bottom w:w="100" w:type="dxa"/>
              <w:right w:w="20" w:type="dxa"/>
            </w:tcMar>
            <w:vAlign w:val="bottom"/>
          </w:tcPr>
          <w:p w14:paraId="6C9167D5" w14:textId="20550B2B"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114</w:t>
            </w:r>
            <w:r w:rsidR="00073A6E">
              <w:rPr>
                <w:sz w:val="24"/>
                <w:szCs w:val="24"/>
              </w:rPr>
              <w:t>–</w:t>
            </w:r>
            <w:r>
              <w:rPr>
                <w:sz w:val="24"/>
                <w:szCs w:val="24"/>
              </w:rPr>
              <w:t>15)</w:t>
            </w:r>
            <w:r w:rsidR="006F75D5">
              <w:rPr>
                <w:sz w:val="24"/>
                <w:szCs w:val="24"/>
              </w:rPr>
              <w:t>, Weber (2022–23)</w:t>
            </w:r>
          </w:p>
        </w:tc>
      </w:tr>
      <w:tr w:rsidR="005B0D65" w14:paraId="1228A4A4"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1201EC8B" w14:textId="77777777" w:rsidR="005B0D65" w:rsidRDefault="005B0D65" w:rsidP="000B0FEB">
            <w:pPr>
              <w:widowControl w:val="0"/>
              <w:rPr>
                <w:sz w:val="24"/>
                <w:szCs w:val="24"/>
              </w:rPr>
            </w:pPr>
            <w:r>
              <w:rPr>
                <w:sz w:val="24"/>
                <w:szCs w:val="24"/>
              </w:rPr>
              <w:t>Berk. 74</w:t>
            </w:r>
          </w:p>
        </w:tc>
        <w:tc>
          <w:tcPr>
            <w:tcW w:w="6816" w:type="dxa"/>
            <w:tcBorders>
              <w:top w:val="nil"/>
              <w:left w:val="nil"/>
              <w:bottom w:val="nil"/>
              <w:right w:val="nil"/>
            </w:tcBorders>
            <w:tcMar>
              <w:top w:w="20" w:type="dxa"/>
              <w:left w:w="20" w:type="dxa"/>
              <w:bottom w:w="100" w:type="dxa"/>
              <w:right w:w="20" w:type="dxa"/>
            </w:tcMar>
            <w:vAlign w:val="bottom"/>
          </w:tcPr>
          <w:p w14:paraId="6EDC3D4D" w14:textId="77777777" w:rsidR="005B0D65" w:rsidRDefault="005B0D65" w:rsidP="000B0FEB">
            <w:pPr>
              <w:widowControl w:val="0"/>
              <w:rPr>
                <w:sz w:val="24"/>
                <w:szCs w:val="24"/>
              </w:rPr>
            </w:pPr>
            <w:proofErr w:type="spellStart"/>
            <w:r>
              <w:rPr>
                <w:sz w:val="24"/>
                <w:szCs w:val="24"/>
              </w:rPr>
              <w:t>Gignoux</w:t>
            </w:r>
            <w:proofErr w:type="spellEnd"/>
            <w:r>
              <w:rPr>
                <w:sz w:val="24"/>
                <w:szCs w:val="24"/>
              </w:rPr>
              <w:t xml:space="preserve"> (2019)</w:t>
            </w:r>
          </w:p>
        </w:tc>
      </w:tr>
      <w:tr w:rsidR="005B0D65" w14:paraId="357C8609"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3C40F02F" w14:textId="77777777" w:rsidR="005B0D65" w:rsidRDefault="005B0D65" w:rsidP="000B0FEB">
            <w:pPr>
              <w:widowControl w:val="0"/>
              <w:rPr>
                <w:sz w:val="24"/>
                <w:szCs w:val="24"/>
              </w:rPr>
            </w:pPr>
            <w:r>
              <w:rPr>
                <w:sz w:val="24"/>
                <w:szCs w:val="24"/>
              </w:rPr>
              <w:t>Berk. 76</w:t>
            </w:r>
          </w:p>
        </w:tc>
        <w:tc>
          <w:tcPr>
            <w:tcW w:w="6816" w:type="dxa"/>
            <w:tcBorders>
              <w:top w:val="nil"/>
              <w:left w:val="nil"/>
              <w:bottom w:val="nil"/>
              <w:right w:val="nil"/>
            </w:tcBorders>
            <w:tcMar>
              <w:top w:w="20" w:type="dxa"/>
              <w:left w:w="20" w:type="dxa"/>
              <w:bottom w:w="100" w:type="dxa"/>
              <w:right w:w="20" w:type="dxa"/>
            </w:tcMar>
            <w:vAlign w:val="bottom"/>
          </w:tcPr>
          <w:p w14:paraId="224B154A" w14:textId="7B2BF877"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48</w:t>
            </w:r>
            <w:r w:rsidR="00073A6E">
              <w:rPr>
                <w:sz w:val="24"/>
                <w:szCs w:val="24"/>
              </w:rPr>
              <w:t>–</w:t>
            </w:r>
            <w:r>
              <w:rPr>
                <w:sz w:val="24"/>
                <w:szCs w:val="24"/>
              </w:rPr>
              <w:t>9)</w:t>
            </w:r>
          </w:p>
        </w:tc>
      </w:tr>
      <w:tr w:rsidR="005B0D65" w14:paraId="786EBC94"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052ECC0F" w14:textId="77777777" w:rsidR="005B0D65" w:rsidRDefault="005B0D65" w:rsidP="000B0FEB">
            <w:pPr>
              <w:widowControl w:val="0"/>
              <w:rPr>
                <w:sz w:val="24"/>
                <w:szCs w:val="24"/>
              </w:rPr>
            </w:pPr>
            <w:r>
              <w:rPr>
                <w:sz w:val="24"/>
                <w:szCs w:val="24"/>
              </w:rPr>
              <w:t>Berk. 77</w:t>
            </w:r>
          </w:p>
        </w:tc>
        <w:tc>
          <w:tcPr>
            <w:tcW w:w="6816" w:type="dxa"/>
            <w:tcBorders>
              <w:top w:val="nil"/>
              <w:left w:val="nil"/>
              <w:bottom w:val="nil"/>
              <w:right w:val="nil"/>
            </w:tcBorders>
            <w:tcMar>
              <w:top w:w="20" w:type="dxa"/>
              <w:left w:w="20" w:type="dxa"/>
              <w:bottom w:w="100" w:type="dxa"/>
              <w:right w:w="20" w:type="dxa"/>
            </w:tcMar>
            <w:vAlign w:val="bottom"/>
          </w:tcPr>
          <w:p w14:paraId="6F57052F" w14:textId="60BCAAC3" w:rsidR="005B0D65" w:rsidRDefault="005B0D65" w:rsidP="000B0FEB">
            <w:pPr>
              <w:widowControl w:val="0"/>
              <w:rPr>
                <w:sz w:val="24"/>
                <w:szCs w:val="24"/>
              </w:rPr>
            </w:pPr>
            <w:r>
              <w:rPr>
                <w:sz w:val="24"/>
                <w:szCs w:val="24"/>
              </w:rPr>
              <w:t>Weber (2015</w:t>
            </w:r>
            <w:r w:rsidR="00537AE4">
              <w:rPr>
                <w:sz w:val="24"/>
                <w:szCs w:val="24"/>
              </w:rPr>
              <w:t>a</w:t>
            </w:r>
            <w:r>
              <w:rPr>
                <w:sz w:val="24"/>
                <w:szCs w:val="24"/>
              </w:rPr>
              <w:t>)</w:t>
            </w:r>
          </w:p>
        </w:tc>
      </w:tr>
      <w:tr w:rsidR="005B0D65" w14:paraId="3BDE5B17"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B45782B" w14:textId="77777777" w:rsidR="005B0D65" w:rsidRDefault="005B0D65" w:rsidP="000B0FEB">
            <w:pPr>
              <w:widowControl w:val="0"/>
              <w:rPr>
                <w:sz w:val="24"/>
                <w:szCs w:val="24"/>
              </w:rPr>
            </w:pPr>
            <w:r>
              <w:rPr>
                <w:sz w:val="24"/>
                <w:szCs w:val="24"/>
              </w:rPr>
              <w:t>Berk. 79</w:t>
            </w:r>
          </w:p>
        </w:tc>
        <w:tc>
          <w:tcPr>
            <w:tcW w:w="6816" w:type="dxa"/>
            <w:tcBorders>
              <w:top w:val="nil"/>
              <w:left w:val="nil"/>
              <w:bottom w:val="nil"/>
              <w:right w:val="nil"/>
            </w:tcBorders>
            <w:tcMar>
              <w:top w:w="20" w:type="dxa"/>
              <w:left w:w="20" w:type="dxa"/>
              <w:bottom w:w="100" w:type="dxa"/>
              <w:right w:w="20" w:type="dxa"/>
            </w:tcMar>
            <w:vAlign w:val="bottom"/>
          </w:tcPr>
          <w:p w14:paraId="431FF3F2" w14:textId="39287421"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52</w:t>
            </w:r>
            <w:r w:rsidR="00073A6E">
              <w:rPr>
                <w:sz w:val="24"/>
                <w:szCs w:val="24"/>
              </w:rPr>
              <w:t>–</w:t>
            </w:r>
            <w:r>
              <w:rPr>
                <w:sz w:val="24"/>
                <w:szCs w:val="24"/>
              </w:rPr>
              <w:t>3)</w:t>
            </w:r>
          </w:p>
        </w:tc>
      </w:tr>
      <w:tr w:rsidR="005B0D65" w14:paraId="2DDA9137"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5C594277" w14:textId="77777777" w:rsidR="005B0D65" w:rsidRDefault="005B0D65" w:rsidP="000B0FEB">
            <w:pPr>
              <w:widowControl w:val="0"/>
              <w:rPr>
                <w:sz w:val="24"/>
                <w:szCs w:val="24"/>
              </w:rPr>
            </w:pPr>
            <w:r>
              <w:rPr>
                <w:sz w:val="24"/>
                <w:szCs w:val="24"/>
              </w:rPr>
              <w:t>Berk. 80</w:t>
            </w:r>
          </w:p>
        </w:tc>
        <w:tc>
          <w:tcPr>
            <w:tcW w:w="6816" w:type="dxa"/>
            <w:tcBorders>
              <w:top w:val="nil"/>
              <w:left w:val="nil"/>
              <w:bottom w:val="nil"/>
              <w:right w:val="nil"/>
            </w:tcBorders>
            <w:tcMar>
              <w:top w:w="20" w:type="dxa"/>
              <w:left w:w="20" w:type="dxa"/>
              <w:bottom w:w="100" w:type="dxa"/>
              <w:right w:w="20" w:type="dxa"/>
            </w:tcMar>
            <w:vAlign w:val="bottom"/>
          </w:tcPr>
          <w:p w14:paraId="6757C983" w14:textId="5CF0636C" w:rsidR="005B0D65" w:rsidRDefault="00103199" w:rsidP="000B0FEB">
            <w:pPr>
              <w:widowControl w:val="0"/>
              <w:rPr>
                <w:sz w:val="24"/>
                <w:szCs w:val="24"/>
              </w:rPr>
            </w:pPr>
            <w:r>
              <w:rPr>
                <w:sz w:val="24"/>
                <w:szCs w:val="24"/>
              </w:rPr>
              <w:t>Weber (2008a</w:t>
            </w:r>
            <w:r w:rsidR="005B0D65">
              <w:rPr>
                <w:sz w:val="24"/>
                <w:szCs w:val="24"/>
              </w:rPr>
              <w:t xml:space="preserve">: 7), </w:t>
            </w:r>
            <w:proofErr w:type="spellStart"/>
            <w:r w:rsidR="005B0D65">
              <w:rPr>
                <w:sz w:val="24"/>
                <w:szCs w:val="24"/>
              </w:rPr>
              <w:t>Gignoux</w:t>
            </w:r>
            <w:proofErr w:type="spellEnd"/>
            <w:r w:rsidR="005B0D65">
              <w:rPr>
                <w:sz w:val="24"/>
                <w:szCs w:val="24"/>
              </w:rPr>
              <w:t xml:space="preserve"> (2010: 80</w:t>
            </w:r>
            <w:r w:rsidR="00073A6E">
              <w:rPr>
                <w:sz w:val="24"/>
                <w:szCs w:val="24"/>
              </w:rPr>
              <w:t>–</w:t>
            </w:r>
            <w:r w:rsidR="005B0D65">
              <w:rPr>
                <w:sz w:val="24"/>
                <w:szCs w:val="24"/>
              </w:rPr>
              <w:t>81), Weber (2014a)</w:t>
            </w:r>
          </w:p>
        </w:tc>
      </w:tr>
      <w:tr w:rsidR="005B0D65" w14:paraId="5537DB2B"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3501B0AA" w14:textId="77777777" w:rsidR="005B0D65" w:rsidRDefault="005B0D65" w:rsidP="000B0FEB">
            <w:pPr>
              <w:widowControl w:val="0"/>
              <w:rPr>
                <w:sz w:val="24"/>
                <w:szCs w:val="24"/>
              </w:rPr>
            </w:pPr>
            <w:r>
              <w:rPr>
                <w:sz w:val="24"/>
                <w:szCs w:val="24"/>
              </w:rPr>
              <w:t>Berk. 81</w:t>
            </w:r>
          </w:p>
        </w:tc>
        <w:tc>
          <w:tcPr>
            <w:tcW w:w="6816" w:type="dxa"/>
            <w:tcBorders>
              <w:top w:val="nil"/>
              <w:left w:val="nil"/>
              <w:bottom w:val="nil"/>
              <w:right w:val="nil"/>
            </w:tcBorders>
            <w:tcMar>
              <w:top w:w="20" w:type="dxa"/>
              <w:left w:w="20" w:type="dxa"/>
              <w:bottom w:w="100" w:type="dxa"/>
              <w:right w:w="20" w:type="dxa"/>
            </w:tcMar>
            <w:vAlign w:val="bottom"/>
          </w:tcPr>
          <w:p w14:paraId="1CE340C1" w14:textId="77777777" w:rsidR="005B0D65" w:rsidRDefault="005B0D65" w:rsidP="000B0FEB">
            <w:pPr>
              <w:widowControl w:val="0"/>
              <w:rPr>
                <w:sz w:val="24"/>
                <w:szCs w:val="24"/>
              </w:rPr>
            </w:pPr>
            <w:r>
              <w:rPr>
                <w:sz w:val="24"/>
                <w:szCs w:val="24"/>
              </w:rPr>
              <w:t>Weber (2016)</w:t>
            </w:r>
          </w:p>
        </w:tc>
      </w:tr>
      <w:tr w:rsidR="0072035F" w14:paraId="53CDB98D"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394025E2" w14:textId="073A09CC" w:rsidR="0072035F" w:rsidRDefault="0072035F" w:rsidP="000B0FEB">
            <w:pPr>
              <w:widowControl w:val="0"/>
              <w:rPr>
                <w:sz w:val="24"/>
                <w:szCs w:val="24"/>
              </w:rPr>
            </w:pPr>
            <w:r>
              <w:rPr>
                <w:sz w:val="24"/>
                <w:szCs w:val="24"/>
              </w:rPr>
              <w:lastRenderedPageBreak/>
              <w:t>Berk. 84</w:t>
            </w:r>
          </w:p>
        </w:tc>
        <w:tc>
          <w:tcPr>
            <w:tcW w:w="6816" w:type="dxa"/>
            <w:tcBorders>
              <w:top w:val="nil"/>
              <w:left w:val="nil"/>
              <w:bottom w:val="nil"/>
              <w:right w:val="nil"/>
            </w:tcBorders>
            <w:tcMar>
              <w:top w:w="20" w:type="dxa"/>
              <w:left w:w="20" w:type="dxa"/>
              <w:bottom w:w="100" w:type="dxa"/>
              <w:right w:w="20" w:type="dxa"/>
            </w:tcMar>
            <w:vAlign w:val="bottom"/>
          </w:tcPr>
          <w:p w14:paraId="6CFA2797" w14:textId="63F7184F" w:rsidR="0072035F" w:rsidRDefault="0072035F" w:rsidP="000B0FEB">
            <w:pPr>
              <w:widowControl w:val="0"/>
              <w:rPr>
                <w:sz w:val="24"/>
                <w:szCs w:val="24"/>
              </w:rPr>
            </w:pPr>
            <w:r>
              <w:rPr>
                <w:sz w:val="24"/>
                <w:szCs w:val="24"/>
              </w:rPr>
              <w:t>Asefi (2023a)</w:t>
            </w:r>
          </w:p>
        </w:tc>
      </w:tr>
      <w:tr w:rsidR="005B0D65" w14:paraId="41D11596"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5ADFDD28" w14:textId="77777777" w:rsidR="005B0D65" w:rsidRDefault="005B0D65" w:rsidP="000B0FEB">
            <w:pPr>
              <w:widowControl w:val="0"/>
              <w:rPr>
                <w:sz w:val="24"/>
                <w:szCs w:val="24"/>
              </w:rPr>
            </w:pPr>
            <w:r>
              <w:rPr>
                <w:sz w:val="24"/>
                <w:szCs w:val="24"/>
              </w:rPr>
              <w:t>Berk. 85</w:t>
            </w:r>
          </w:p>
        </w:tc>
        <w:tc>
          <w:tcPr>
            <w:tcW w:w="6816" w:type="dxa"/>
            <w:tcBorders>
              <w:top w:val="nil"/>
              <w:left w:val="nil"/>
              <w:bottom w:val="nil"/>
              <w:right w:val="nil"/>
            </w:tcBorders>
            <w:tcMar>
              <w:top w:w="20" w:type="dxa"/>
              <w:left w:w="20" w:type="dxa"/>
              <w:bottom w:w="100" w:type="dxa"/>
              <w:right w:w="20" w:type="dxa"/>
            </w:tcMar>
            <w:vAlign w:val="bottom"/>
          </w:tcPr>
          <w:p w14:paraId="59342DE2" w14:textId="4C52A9E3"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106</w:t>
            </w:r>
            <w:r w:rsidR="00073A6E">
              <w:rPr>
                <w:sz w:val="24"/>
                <w:szCs w:val="24"/>
              </w:rPr>
              <w:t>–</w:t>
            </w:r>
            <w:r>
              <w:rPr>
                <w:sz w:val="24"/>
                <w:szCs w:val="24"/>
              </w:rPr>
              <w:t>107)</w:t>
            </w:r>
          </w:p>
        </w:tc>
      </w:tr>
      <w:tr w:rsidR="0072035F" w14:paraId="4FBD21D1"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64EE1322" w14:textId="5EE62012" w:rsidR="0072035F" w:rsidRDefault="0072035F" w:rsidP="000B0FEB">
            <w:pPr>
              <w:widowControl w:val="0"/>
              <w:rPr>
                <w:sz w:val="24"/>
                <w:szCs w:val="24"/>
              </w:rPr>
            </w:pPr>
            <w:r>
              <w:rPr>
                <w:sz w:val="24"/>
                <w:szCs w:val="24"/>
              </w:rPr>
              <w:t>Berk. 86</w:t>
            </w:r>
          </w:p>
        </w:tc>
        <w:tc>
          <w:tcPr>
            <w:tcW w:w="6816" w:type="dxa"/>
            <w:tcBorders>
              <w:top w:val="nil"/>
              <w:left w:val="nil"/>
              <w:bottom w:val="nil"/>
              <w:right w:val="nil"/>
            </w:tcBorders>
            <w:tcMar>
              <w:top w:w="20" w:type="dxa"/>
              <w:left w:w="20" w:type="dxa"/>
              <w:bottom w:w="100" w:type="dxa"/>
              <w:right w:w="20" w:type="dxa"/>
            </w:tcMar>
            <w:vAlign w:val="bottom"/>
          </w:tcPr>
          <w:p w14:paraId="1C60FC56" w14:textId="5000711D" w:rsidR="0072035F" w:rsidRDefault="0072035F" w:rsidP="000B0FEB">
            <w:pPr>
              <w:widowControl w:val="0"/>
              <w:rPr>
                <w:sz w:val="24"/>
                <w:szCs w:val="24"/>
              </w:rPr>
            </w:pPr>
            <w:r>
              <w:rPr>
                <w:sz w:val="24"/>
                <w:szCs w:val="24"/>
              </w:rPr>
              <w:t>Asefi (2023a)</w:t>
            </w:r>
          </w:p>
        </w:tc>
      </w:tr>
      <w:tr w:rsidR="0072035F" w14:paraId="4DCE706D"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0742B8A7" w14:textId="279B2697" w:rsidR="0072035F" w:rsidRDefault="0072035F" w:rsidP="000B0FEB">
            <w:pPr>
              <w:widowControl w:val="0"/>
              <w:rPr>
                <w:sz w:val="24"/>
                <w:szCs w:val="24"/>
              </w:rPr>
            </w:pPr>
            <w:r>
              <w:rPr>
                <w:sz w:val="24"/>
                <w:szCs w:val="24"/>
              </w:rPr>
              <w:t>Berk. 87</w:t>
            </w:r>
          </w:p>
        </w:tc>
        <w:tc>
          <w:tcPr>
            <w:tcW w:w="6816" w:type="dxa"/>
            <w:tcBorders>
              <w:top w:val="nil"/>
              <w:left w:val="nil"/>
              <w:bottom w:val="nil"/>
              <w:right w:val="nil"/>
            </w:tcBorders>
            <w:tcMar>
              <w:top w:w="20" w:type="dxa"/>
              <w:left w:w="20" w:type="dxa"/>
              <w:bottom w:w="100" w:type="dxa"/>
              <w:right w:w="20" w:type="dxa"/>
            </w:tcMar>
            <w:vAlign w:val="bottom"/>
          </w:tcPr>
          <w:p w14:paraId="25B28CC0" w14:textId="3B97782E" w:rsidR="0072035F" w:rsidRDefault="0072035F" w:rsidP="000B0FEB">
            <w:pPr>
              <w:widowControl w:val="0"/>
              <w:rPr>
                <w:sz w:val="24"/>
                <w:szCs w:val="24"/>
              </w:rPr>
            </w:pPr>
            <w:r>
              <w:rPr>
                <w:sz w:val="24"/>
                <w:szCs w:val="24"/>
              </w:rPr>
              <w:t>Asefi (2023a)</w:t>
            </w:r>
          </w:p>
        </w:tc>
      </w:tr>
      <w:tr w:rsidR="005B0D65" w14:paraId="039D44E2"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0D35F735" w14:textId="77777777" w:rsidR="005B0D65" w:rsidRDefault="005B0D65" w:rsidP="000B0FEB">
            <w:pPr>
              <w:widowControl w:val="0"/>
              <w:rPr>
                <w:sz w:val="24"/>
                <w:szCs w:val="24"/>
              </w:rPr>
            </w:pPr>
            <w:r>
              <w:rPr>
                <w:sz w:val="24"/>
                <w:szCs w:val="24"/>
              </w:rPr>
              <w:t>Berk. 88</w:t>
            </w:r>
          </w:p>
        </w:tc>
        <w:tc>
          <w:tcPr>
            <w:tcW w:w="6816" w:type="dxa"/>
            <w:tcBorders>
              <w:top w:val="nil"/>
              <w:left w:val="nil"/>
              <w:bottom w:val="nil"/>
              <w:right w:val="nil"/>
            </w:tcBorders>
            <w:tcMar>
              <w:top w:w="20" w:type="dxa"/>
              <w:left w:w="20" w:type="dxa"/>
              <w:bottom w:w="100" w:type="dxa"/>
              <w:right w:w="20" w:type="dxa"/>
            </w:tcMar>
            <w:vAlign w:val="bottom"/>
          </w:tcPr>
          <w:p w14:paraId="6A596C51" w14:textId="77777777" w:rsidR="005B0D65" w:rsidRDefault="005B0D65" w:rsidP="000B0FEB">
            <w:pPr>
              <w:widowControl w:val="0"/>
              <w:rPr>
                <w:sz w:val="24"/>
                <w:szCs w:val="24"/>
              </w:rPr>
            </w:pPr>
            <w:r>
              <w:rPr>
                <w:sz w:val="24"/>
                <w:szCs w:val="24"/>
              </w:rPr>
              <w:t>Weber (2022a)</w:t>
            </w:r>
          </w:p>
        </w:tc>
      </w:tr>
      <w:tr w:rsidR="006F75D5" w14:paraId="329E5A01"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4393C22" w14:textId="21C44B6A" w:rsidR="006F75D5" w:rsidRDefault="006F75D5" w:rsidP="000B0FEB">
            <w:pPr>
              <w:widowControl w:val="0"/>
              <w:rPr>
                <w:sz w:val="24"/>
                <w:szCs w:val="24"/>
              </w:rPr>
            </w:pPr>
            <w:r>
              <w:rPr>
                <w:sz w:val="24"/>
                <w:szCs w:val="24"/>
              </w:rPr>
              <w:t>Berk. 89</w:t>
            </w:r>
          </w:p>
        </w:tc>
        <w:tc>
          <w:tcPr>
            <w:tcW w:w="6816" w:type="dxa"/>
            <w:tcBorders>
              <w:top w:val="nil"/>
              <w:left w:val="nil"/>
              <w:bottom w:val="nil"/>
              <w:right w:val="nil"/>
            </w:tcBorders>
            <w:tcMar>
              <w:top w:w="20" w:type="dxa"/>
              <w:left w:w="20" w:type="dxa"/>
              <w:bottom w:w="100" w:type="dxa"/>
              <w:right w:w="20" w:type="dxa"/>
            </w:tcMar>
            <w:vAlign w:val="bottom"/>
          </w:tcPr>
          <w:p w14:paraId="62C4CAA0" w14:textId="5256E4D7" w:rsidR="006F75D5" w:rsidRDefault="006F75D5" w:rsidP="000B0FEB">
            <w:pPr>
              <w:widowControl w:val="0"/>
              <w:rPr>
                <w:sz w:val="24"/>
                <w:szCs w:val="24"/>
              </w:rPr>
            </w:pPr>
            <w:r>
              <w:rPr>
                <w:sz w:val="24"/>
                <w:szCs w:val="24"/>
              </w:rPr>
              <w:t>Asefi (2023a)</w:t>
            </w:r>
          </w:p>
        </w:tc>
      </w:tr>
      <w:tr w:rsidR="005B0D65" w14:paraId="1F3D095C"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3684354" w14:textId="77777777" w:rsidR="005B0D65" w:rsidRDefault="005B0D65" w:rsidP="000B0FEB">
            <w:pPr>
              <w:widowControl w:val="0"/>
              <w:rPr>
                <w:sz w:val="24"/>
                <w:szCs w:val="24"/>
              </w:rPr>
            </w:pPr>
            <w:r>
              <w:rPr>
                <w:sz w:val="24"/>
                <w:szCs w:val="24"/>
              </w:rPr>
              <w:t>Berk. 91</w:t>
            </w:r>
          </w:p>
        </w:tc>
        <w:tc>
          <w:tcPr>
            <w:tcW w:w="6816" w:type="dxa"/>
            <w:tcBorders>
              <w:top w:val="nil"/>
              <w:left w:val="nil"/>
              <w:bottom w:val="nil"/>
              <w:right w:val="nil"/>
            </w:tcBorders>
            <w:tcMar>
              <w:top w:w="20" w:type="dxa"/>
              <w:left w:w="20" w:type="dxa"/>
              <w:bottom w:w="100" w:type="dxa"/>
              <w:right w:w="20" w:type="dxa"/>
            </w:tcMar>
            <w:vAlign w:val="bottom"/>
          </w:tcPr>
          <w:p w14:paraId="11EBD452" w14:textId="3F1B1CF1"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102</w:t>
            </w:r>
            <w:r w:rsidR="00073A6E">
              <w:rPr>
                <w:sz w:val="24"/>
                <w:szCs w:val="24"/>
              </w:rPr>
              <w:t>–</w:t>
            </w:r>
            <w:r>
              <w:rPr>
                <w:sz w:val="24"/>
                <w:szCs w:val="24"/>
              </w:rPr>
              <w:t>103)</w:t>
            </w:r>
            <w:r w:rsidR="0072035F">
              <w:rPr>
                <w:sz w:val="24"/>
                <w:szCs w:val="24"/>
              </w:rPr>
              <w:t xml:space="preserve">, </w:t>
            </w:r>
            <w:proofErr w:type="spellStart"/>
            <w:r w:rsidR="0072035F">
              <w:rPr>
                <w:sz w:val="24"/>
                <w:szCs w:val="24"/>
              </w:rPr>
              <w:t>Asefi</w:t>
            </w:r>
            <w:proofErr w:type="spellEnd"/>
            <w:r w:rsidR="0072035F">
              <w:rPr>
                <w:sz w:val="24"/>
                <w:szCs w:val="24"/>
              </w:rPr>
              <w:t xml:space="preserve"> (2023a)</w:t>
            </w:r>
          </w:p>
        </w:tc>
      </w:tr>
      <w:tr w:rsidR="005B0D65" w14:paraId="3A9937D4"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039CD169" w14:textId="77777777" w:rsidR="005B0D65" w:rsidRDefault="005B0D65" w:rsidP="000B0FEB">
            <w:pPr>
              <w:widowControl w:val="0"/>
              <w:rPr>
                <w:sz w:val="24"/>
                <w:szCs w:val="24"/>
              </w:rPr>
            </w:pPr>
            <w:r>
              <w:rPr>
                <w:sz w:val="24"/>
                <w:szCs w:val="24"/>
              </w:rPr>
              <w:t>Berk. 93</w:t>
            </w:r>
          </w:p>
        </w:tc>
        <w:tc>
          <w:tcPr>
            <w:tcW w:w="6816" w:type="dxa"/>
            <w:tcBorders>
              <w:top w:val="nil"/>
              <w:left w:val="nil"/>
              <w:bottom w:val="nil"/>
              <w:right w:val="nil"/>
            </w:tcBorders>
            <w:tcMar>
              <w:top w:w="20" w:type="dxa"/>
              <w:left w:w="20" w:type="dxa"/>
              <w:bottom w:w="100" w:type="dxa"/>
              <w:right w:w="20" w:type="dxa"/>
            </w:tcMar>
            <w:vAlign w:val="bottom"/>
          </w:tcPr>
          <w:p w14:paraId="321A6B75" w14:textId="77777777" w:rsidR="005B0D65" w:rsidRDefault="005B0D65" w:rsidP="000B0FEB">
            <w:pPr>
              <w:widowControl w:val="0"/>
              <w:rPr>
                <w:sz w:val="24"/>
                <w:szCs w:val="24"/>
              </w:rPr>
            </w:pPr>
            <w:r>
              <w:rPr>
                <w:sz w:val="24"/>
                <w:szCs w:val="24"/>
              </w:rPr>
              <w:t>Weber (2014b), Weber (2021a)</w:t>
            </w:r>
          </w:p>
        </w:tc>
      </w:tr>
      <w:tr w:rsidR="005B0D65" w14:paraId="0EE47892"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22FF8F11" w14:textId="77777777" w:rsidR="005B0D65" w:rsidRDefault="005B0D65" w:rsidP="000B0FEB">
            <w:pPr>
              <w:widowControl w:val="0"/>
              <w:rPr>
                <w:sz w:val="24"/>
                <w:szCs w:val="24"/>
              </w:rPr>
            </w:pPr>
            <w:r>
              <w:rPr>
                <w:sz w:val="24"/>
                <w:szCs w:val="24"/>
              </w:rPr>
              <w:t>Berk. 95</w:t>
            </w:r>
          </w:p>
        </w:tc>
        <w:tc>
          <w:tcPr>
            <w:tcW w:w="6816" w:type="dxa"/>
            <w:tcBorders>
              <w:top w:val="nil"/>
              <w:left w:val="nil"/>
              <w:bottom w:val="nil"/>
              <w:right w:val="nil"/>
            </w:tcBorders>
            <w:tcMar>
              <w:top w:w="20" w:type="dxa"/>
              <w:left w:w="20" w:type="dxa"/>
              <w:bottom w:w="100" w:type="dxa"/>
              <w:right w:w="20" w:type="dxa"/>
            </w:tcMar>
            <w:vAlign w:val="bottom"/>
          </w:tcPr>
          <w:p w14:paraId="41204ADB" w14:textId="761B91D4"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68</w:t>
            </w:r>
            <w:r w:rsidR="00073A6E">
              <w:rPr>
                <w:sz w:val="24"/>
                <w:szCs w:val="24"/>
              </w:rPr>
              <w:t>–</w:t>
            </w:r>
            <w:r>
              <w:rPr>
                <w:sz w:val="24"/>
                <w:szCs w:val="24"/>
              </w:rPr>
              <w:t>9), Weber (2014b), Weber (2021a)</w:t>
            </w:r>
            <w:r w:rsidR="006F75D5">
              <w:rPr>
                <w:sz w:val="24"/>
                <w:szCs w:val="24"/>
              </w:rPr>
              <w:t>, Weber (2023)</w:t>
            </w:r>
          </w:p>
        </w:tc>
      </w:tr>
      <w:tr w:rsidR="00AE7F12" w14:paraId="246AC932"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1F3A09D3" w14:textId="79014B23" w:rsidR="00AE7F12" w:rsidRDefault="00AE7F12" w:rsidP="000B0FEB">
            <w:pPr>
              <w:widowControl w:val="0"/>
              <w:rPr>
                <w:sz w:val="24"/>
                <w:szCs w:val="24"/>
              </w:rPr>
            </w:pPr>
            <w:r>
              <w:rPr>
                <w:sz w:val="24"/>
                <w:szCs w:val="24"/>
              </w:rPr>
              <w:t>Berk. 97</w:t>
            </w:r>
          </w:p>
        </w:tc>
        <w:tc>
          <w:tcPr>
            <w:tcW w:w="6816" w:type="dxa"/>
            <w:tcBorders>
              <w:top w:val="nil"/>
              <w:left w:val="nil"/>
              <w:bottom w:val="nil"/>
              <w:right w:val="nil"/>
            </w:tcBorders>
            <w:tcMar>
              <w:top w:w="20" w:type="dxa"/>
              <w:left w:w="20" w:type="dxa"/>
              <w:bottom w:w="100" w:type="dxa"/>
              <w:right w:w="20" w:type="dxa"/>
            </w:tcMar>
            <w:vAlign w:val="bottom"/>
          </w:tcPr>
          <w:p w14:paraId="1097A392" w14:textId="434F9EE5" w:rsidR="00AE7F12" w:rsidRDefault="00AE7F12" w:rsidP="000B0FEB">
            <w:pPr>
              <w:widowControl w:val="0"/>
              <w:rPr>
                <w:sz w:val="24"/>
                <w:szCs w:val="24"/>
              </w:rPr>
            </w:pPr>
            <w:r>
              <w:rPr>
                <w:sz w:val="24"/>
                <w:szCs w:val="24"/>
              </w:rPr>
              <w:t>Weber (2015b)</w:t>
            </w:r>
          </w:p>
        </w:tc>
      </w:tr>
      <w:tr w:rsidR="0072035F" w14:paraId="4C7ED2EE"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29096D2B" w14:textId="6DF4B4B7" w:rsidR="0072035F" w:rsidRDefault="0072035F" w:rsidP="000B0FEB">
            <w:pPr>
              <w:widowControl w:val="0"/>
              <w:rPr>
                <w:sz w:val="24"/>
                <w:szCs w:val="24"/>
              </w:rPr>
            </w:pPr>
            <w:r>
              <w:rPr>
                <w:sz w:val="24"/>
                <w:szCs w:val="24"/>
              </w:rPr>
              <w:t>Berk. 98</w:t>
            </w:r>
          </w:p>
        </w:tc>
        <w:tc>
          <w:tcPr>
            <w:tcW w:w="6816" w:type="dxa"/>
            <w:tcBorders>
              <w:top w:val="nil"/>
              <w:left w:val="nil"/>
              <w:bottom w:val="nil"/>
              <w:right w:val="nil"/>
            </w:tcBorders>
            <w:tcMar>
              <w:top w:w="20" w:type="dxa"/>
              <w:left w:w="20" w:type="dxa"/>
              <w:bottom w:w="100" w:type="dxa"/>
              <w:right w:w="20" w:type="dxa"/>
            </w:tcMar>
            <w:vAlign w:val="bottom"/>
          </w:tcPr>
          <w:p w14:paraId="69ADD2DA" w14:textId="3D35F66E" w:rsidR="0072035F" w:rsidRDefault="0072035F" w:rsidP="000B0FEB">
            <w:pPr>
              <w:widowControl w:val="0"/>
              <w:rPr>
                <w:sz w:val="24"/>
                <w:szCs w:val="24"/>
              </w:rPr>
            </w:pPr>
            <w:r>
              <w:rPr>
                <w:sz w:val="24"/>
                <w:szCs w:val="24"/>
              </w:rPr>
              <w:t>Asefi (2023a)</w:t>
            </w:r>
          </w:p>
        </w:tc>
      </w:tr>
      <w:tr w:rsidR="005B0D65" w14:paraId="6D4E964C"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6DF237AD" w14:textId="77777777" w:rsidR="005B0D65" w:rsidRDefault="005B0D65" w:rsidP="000B0FEB">
            <w:pPr>
              <w:widowControl w:val="0"/>
              <w:rPr>
                <w:sz w:val="24"/>
                <w:szCs w:val="24"/>
              </w:rPr>
            </w:pPr>
            <w:r>
              <w:rPr>
                <w:sz w:val="24"/>
                <w:szCs w:val="24"/>
              </w:rPr>
              <w:t>Berk. 100</w:t>
            </w:r>
          </w:p>
        </w:tc>
        <w:tc>
          <w:tcPr>
            <w:tcW w:w="6816" w:type="dxa"/>
            <w:tcBorders>
              <w:top w:val="nil"/>
              <w:left w:val="nil"/>
              <w:bottom w:val="nil"/>
              <w:right w:val="nil"/>
            </w:tcBorders>
            <w:tcMar>
              <w:top w:w="20" w:type="dxa"/>
              <w:left w:w="20" w:type="dxa"/>
              <w:bottom w:w="100" w:type="dxa"/>
              <w:right w:w="20" w:type="dxa"/>
            </w:tcMar>
            <w:vAlign w:val="bottom"/>
          </w:tcPr>
          <w:p w14:paraId="004EE25C" w14:textId="128CAFA8"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82</w:t>
            </w:r>
            <w:r w:rsidR="00073A6E">
              <w:rPr>
                <w:sz w:val="24"/>
                <w:szCs w:val="24"/>
              </w:rPr>
              <w:t>–</w:t>
            </w:r>
            <w:r>
              <w:rPr>
                <w:sz w:val="24"/>
                <w:szCs w:val="24"/>
              </w:rPr>
              <w:t>3), Weber (2016)</w:t>
            </w:r>
          </w:p>
        </w:tc>
      </w:tr>
      <w:tr w:rsidR="005B0D65" w14:paraId="6DF143B6"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7AE8C842" w14:textId="77777777" w:rsidR="005B0D65" w:rsidRDefault="005B0D65" w:rsidP="000B0FEB">
            <w:pPr>
              <w:widowControl w:val="0"/>
              <w:rPr>
                <w:sz w:val="24"/>
                <w:szCs w:val="24"/>
              </w:rPr>
            </w:pPr>
            <w:r>
              <w:rPr>
                <w:sz w:val="24"/>
                <w:szCs w:val="24"/>
              </w:rPr>
              <w:t>Berk. 101</w:t>
            </w:r>
          </w:p>
        </w:tc>
        <w:tc>
          <w:tcPr>
            <w:tcW w:w="6816" w:type="dxa"/>
            <w:tcBorders>
              <w:top w:val="nil"/>
              <w:left w:val="nil"/>
              <w:bottom w:val="nil"/>
              <w:right w:val="nil"/>
            </w:tcBorders>
            <w:tcMar>
              <w:top w:w="20" w:type="dxa"/>
              <w:left w:w="20" w:type="dxa"/>
              <w:bottom w:w="100" w:type="dxa"/>
              <w:right w:w="20" w:type="dxa"/>
            </w:tcMar>
            <w:vAlign w:val="bottom"/>
          </w:tcPr>
          <w:p w14:paraId="4F5794B8" w14:textId="77777777" w:rsidR="005B0D65" w:rsidRDefault="005B0D65" w:rsidP="000B0FEB">
            <w:pPr>
              <w:widowControl w:val="0"/>
              <w:rPr>
                <w:sz w:val="24"/>
                <w:szCs w:val="24"/>
              </w:rPr>
            </w:pPr>
            <w:r>
              <w:rPr>
                <w:sz w:val="24"/>
                <w:szCs w:val="24"/>
              </w:rPr>
              <w:t>Weber (2019b)</w:t>
            </w:r>
          </w:p>
        </w:tc>
      </w:tr>
      <w:tr w:rsidR="005B0D65" w14:paraId="03E07A86"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5BBF9A65" w14:textId="77777777" w:rsidR="005B0D65" w:rsidRDefault="005B0D65" w:rsidP="000B0FEB">
            <w:pPr>
              <w:widowControl w:val="0"/>
              <w:rPr>
                <w:sz w:val="24"/>
                <w:szCs w:val="24"/>
              </w:rPr>
            </w:pPr>
            <w:r>
              <w:rPr>
                <w:sz w:val="24"/>
                <w:szCs w:val="24"/>
              </w:rPr>
              <w:t>Berk. 104</w:t>
            </w:r>
          </w:p>
        </w:tc>
        <w:tc>
          <w:tcPr>
            <w:tcW w:w="6816" w:type="dxa"/>
            <w:tcBorders>
              <w:top w:val="nil"/>
              <w:left w:val="nil"/>
              <w:bottom w:val="nil"/>
              <w:right w:val="nil"/>
            </w:tcBorders>
            <w:tcMar>
              <w:top w:w="20" w:type="dxa"/>
              <w:left w:w="20" w:type="dxa"/>
              <w:bottom w:w="100" w:type="dxa"/>
              <w:right w:w="20" w:type="dxa"/>
            </w:tcMar>
            <w:vAlign w:val="bottom"/>
          </w:tcPr>
          <w:p w14:paraId="60930981" w14:textId="1549B9B9"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72</w:t>
            </w:r>
            <w:r w:rsidR="00073A6E">
              <w:rPr>
                <w:sz w:val="24"/>
                <w:szCs w:val="24"/>
              </w:rPr>
              <w:t>–</w:t>
            </w:r>
            <w:r>
              <w:rPr>
                <w:sz w:val="24"/>
                <w:szCs w:val="24"/>
              </w:rPr>
              <w:t>3)</w:t>
            </w:r>
          </w:p>
        </w:tc>
      </w:tr>
      <w:tr w:rsidR="005B0D65" w14:paraId="3D70A091"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55C9264B" w14:textId="77777777" w:rsidR="005B0D65" w:rsidRDefault="005B0D65" w:rsidP="000B0FEB">
            <w:pPr>
              <w:widowControl w:val="0"/>
              <w:rPr>
                <w:sz w:val="24"/>
                <w:szCs w:val="24"/>
              </w:rPr>
            </w:pPr>
            <w:r>
              <w:rPr>
                <w:sz w:val="24"/>
                <w:szCs w:val="24"/>
              </w:rPr>
              <w:t>Berk. 105</w:t>
            </w:r>
          </w:p>
        </w:tc>
        <w:tc>
          <w:tcPr>
            <w:tcW w:w="6816" w:type="dxa"/>
            <w:tcBorders>
              <w:top w:val="nil"/>
              <w:left w:val="nil"/>
              <w:bottom w:val="nil"/>
              <w:right w:val="nil"/>
            </w:tcBorders>
            <w:tcMar>
              <w:top w:w="20" w:type="dxa"/>
              <w:left w:w="20" w:type="dxa"/>
              <w:bottom w:w="100" w:type="dxa"/>
              <w:right w:w="20" w:type="dxa"/>
            </w:tcMar>
            <w:vAlign w:val="bottom"/>
          </w:tcPr>
          <w:p w14:paraId="20CEED41" w14:textId="234FF404"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28</w:t>
            </w:r>
            <w:r w:rsidR="00073A6E">
              <w:rPr>
                <w:sz w:val="24"/>
                <w:szCs w:val="24"/>
              </w:rPr>
              <w:t>–</w:t>
            </w:r>
            <w:r>
              <w:rPr>
                <w:sz w:val="24"/>
                <w:szCs w:val="24"/>
              </w:rPr>
              <w:t>9)</w:t>
            </w:r>
          </w:p>
        </w:tc>
      </w:tr>
      <w:tr w:rsidR="005B0D65" w14:paraId="37A4E2E1"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24CCBF3B" w14:textId="77777777" w:rsidR="005B0D65" w:rsidRDefault="005B0D65" w:rsidP="000B0FEB">
            <w:pPr>
              <w:widowControl w:val="0"/>
              <w:rPr>
                <w:sz w:val="24"/>
                <w:szCs w:val="24"/>
              </w:rPr>
            </w:pPr>
            <w:r>
              <w:rPr>
                <w:sz w:val="24"/>
                <w:szCs w:val="24"/>
              </w:rPr>
              <w:t>Berk. 106</w:t>
            </w:r>
          </w:p>
        </w:tc>
        <w:tc>
          <w:tcPr>
            <w:tcW w:w="6816" w:type="dxa"/>
            <w:tcBorders>
              <w:top w:val="nil"/>
              <w:left w:val="nil"/>
              <w:bottom w:val="nil"/>
              <w:right w:val="nil"/>
            </w:tcBorders>
            <w:tcMar>
              <w:top w:w="20" w:type="dxa"/>
              <w:left w:w="20" w:type="dxa"/>
              <w:bottom w:w="100" w:type="dxa"/>
              <w:right w:w="20" w:type="dxa"/>
            </w:tcMar>
            <w:vAlign w:val="bottom"/>
          </w:tcPr>
          <w:p w14:paraId="5DD10B21" w14:textId="1A40C6FB"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26</w:t>
            </w:r>
            <w:r w:rsidR="00073A6E">
              <w:rPr>
                <w:sz w:val="24"/>
                <w:szCs w:val="24"/>
              </w:rPr>
              <w:t>–</w:t>
            </w:r>
            <w:r>
              <w:rPr>
                <w:sz w:val="24"/>
                <w:szCs w:val="24"/>
              </w:rPr>
              <w:t>7), Weber (2014a)</w:t>
            </w:r>
            <w:r w:rsidR="006F75D5">
              <w:rPr>
                <w:sz w:val="24"/>
                <w:szCs w:val="24"/>
              </w:rPr>
              <w:t>, Weber (2023)</w:t>
            </w:r>
          </w:p>
        </w:tc>
      </w:tr>
      <w:tr w:rsidR="005B0D65" w14:paraId="6A4762D4"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BA0AF2C" w14:textId="77777777" w:rsidR="005B0D65" w:rsidRDefault="005B0D65" w:rsidP="000B0FEB">
            <w:pPr>
              <w:widowControl w:val="0"/>
              <w:rPr>
                <w:sz w:val="24"/>
                <w:szCs w:val="24"/>
              </w:rPr>
            </w:pPr>
            <w:r>
              <w:rPr>
                <w:sz w:val="24"/>
                <w:szCs w:val="24"/>
              </w:rPr>
              <w:t>Berk. 107</w:t>
            </w:r>
          </w:p>
        </w:tc>
        <w:tc>
          <w:tcPr>
            <w:tcW w:w="6816" w:type="dxa"/>
            <w:tcBorders>
              <w:top w:val="nil"/>
              <w:left w:val="nil"/>
              <w:bottom w:val="nil"/>
              <w:right w:val="nil"/>
            </w:tcBorders>
            <w:tcMar>
              <w:top w:w="20" w:type="dxa"/>
              <w:left w:w="20" w:type="dxa"/>
              <w:bottom w:w="100" w:type="dxa"/>
              <w:right w:w="20" w:type="dxa"/>
            </w:tcMar>
            <w:vAlign w:val="bottom"/>
          </w:tcPr>
          <w:p w14:paraId="6E6D183A" w14:textId="77777777" w:rsidR="005B0D65" w:rsidRDefault="005B0D65" w:rsidP="000B0FEB">
            <w:pPr>
              <w:widowControl w:val="0"/>
              <w:rPr>
                <w:sz w:val="24"/>
                <w:szCs w:val="24"/>
              </w:rPr>
            </w:pPr>
            <w:r>
              <w:rPr>
                <w:sz w:val="24"/>
                <w:szCs w:val="24"/>
              </w:rPr>
              <w:t>Weber (2019a)</w:t>
            </w:r>
          </w:p>
        </w:tc>
      </w:tr>
      <w:tr w:rsidR="00AE7F12" w14:paraId="3E2C4C03"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31106A4B" w14:textId="507D0589" w:rsidR="00AE7F12" w:rsidRDefault="00AE7F12" w:rsidP="000B0FEB">
            <w:pPr>
              <w:widowControl w:val="0"/>
              <w:rPr>
                <w:sz w:val="24"/>
                <w:szCs w:val="24"/>
              </w:rPr>
            </w:pPr>
            <w:r>
              <w:rPr>
                <w:sz w:val="24"/>
                <w:szCs w:val="24"/>
              </w:rPr>
              <w:t>Berk. 108</w:t>
            </w:r>
          </w:p>
        </w:tc>
        <w:tc>
          <w:tcPr>
            <w:tcW w:w="6816" w:type="dxa"/>
            <w:tcBorders>
              <w:top w:val="nil"/>
              <w:left w:val="nil"/>
              <w:bottom w:val="nil"/>
              <w:right w:val="nil"/>
            </w:tcBorders>
            <w:tcMar>
              <w:top w:w="20" w:type="dxa"/>
              <w:left w:w="20" w:type="dxa"/>
              <w:bottom w:w="100" w:type="dxa"/>
              <w:right w:w="20" w:type="dxa"/>
            </w:tcMar>
            <w:vAlign w:val="bottom"/>
          </w:tcPr>
          <w:p w14:paraId="5DCA8A66" w14:textId="1125B4DB" w:rsidR="00AE7F12" w:rsidRDefault="00AE7F12" w:rsidP="000B0FEB">
            <w:pPr>
              <w:widowControl w:val="0"/>
              <w:rPr>
                <w:sz w:val="24"/>
                <w:szCs w:val="24"/>
              </w:rPr>
            </w:pPr>
            <w:r>
              <w:rPr>
                <w:sz w:val="24"/>
                <w:szCs w:val="24"/>
              </w:rPr>
              <w:t>Weber (2015b)</w:t>
            </w:r>
          </w:p>
        </w:tc>
      </w:tr>
      <w:tr w:rsidR="005B0D65" w14:paraId="1326726C"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FA73F4C" w14:textId="77777777" w:rsidR="005B0D65" w:rsidRDefault="005B0D65" w:rsidP="000B0FEB">
            <w:pPr>
              <w:widowControl w:val="0"/>
              <w:rPr>
                <w:sz w:val="24"/>
                <w:szCs w:val="24"/>
              </w:rPr>
            </w:pPr>
            <w:r>
              <w:rPr>
                <w:sz w:val="24"/>
                <w:szCs w:val="24"/>
              </w:rPr>
              <w:t>Berk. 109</w:t>
            </w:r>
          </w:p>
        </w:tc>
        <w:tc>
          <w:tcPr>
            <w:tcW w:w="6816" w:type="dxa"/>
            <w:tcBorders>
              <w:top w:val="nil"/>
              <w:left w:val="nil"/>
              <w:bottom w:val="nil"/>
              <w:right w:val="nil"/>
            </w:tcBorders>
            <w:tcMar>
              <w:top w:w="20" w:type="dxa"/>
              <w:left w:w="20" w:type="dxa"/>
              <w:bottom w:w="100" w:type="dxa"/>
              <w:right w:w="20" w:type="dxa"/>
            </w:tcMar>
            <w:vAlign w:val="bottom"/>
          </w:tcPr>
          <w:p w14:paraId="5E34301B" w14:textId="77777777" w:rsidR="005B0D65" w:rsidRDefault="005B0D65" w:rsidP="000B0FEB">
            <w:pPr>
              <w:widowControl w:val="0"/>
              <w:rPr>
                <w:sz w:val="24"/>
                <w:szCs w:val="24"/>
              </w:rPr>
            </w:pPr>
            <w:r>
              <w:rPr>
                <w:sz w:val="24"/>
                <w:szCs w:val="24"/>
              </w:rPr>
              <w:t>Weber (2016)</w:t>
            </w:r>
          </w:p>
        </w:tc>
      </w:tr>
      <w:tr w:rsidR="005B0D65" w14:paraId="7B20E5B4"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5006151" w14:textId="77777777" w:rsidR="005B0D65" w:rsidRDefault="005B0D65" w:rsidP="000B0FEB">
            <w:pPr>
              <w:widowControl w:val="0"/>
              <w:rPr>
                <w:sz w:val="24"/>
                <w:szCs w:val="24"/>
              </w:rPr>
            </w:pPr>
            <w:r>
              <w:rPr>
                <w:sz w:val="24"/>
                <w:szCs w:val="24"/>
              </w:rPr>
              <w:t>Berk. 110</w:t>
            </w:r>
          </w:p>
        </w:tc>
        <w:tc>
          <w:tcPr>
            <w:tcW w:w="6816" w:type="dxa"/>
            <w:tcBorders>
              <w:top w:val="nil"/>
              <w:left w:val="nil"/>
              <w:bottom w:val="nil"/>
              <w:right w:val="nil"/>
            </w:tcBorders>
            <w:tcMar>
              <w:top w:w="20" w:type="dxa"/>
              <w:left w:w="20" w:type="dxa"/>
              <w:bottom w:w="100" w:type="dxa"/>
              <w:right w:w="20" w:type="dxa"/>
            </w:tcMar>
            <w:vAlign w:val="bottom"/>
          </w:tcPr>
          <w:p w14:paraId="3AA2303A" w14:textId="5AB45F87"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40</w:t>
            </w:r>
            <w:r w:rsidR="00073A6E">
              <w:rPr>
                <w:sz w:val="24"/>
                <w:szCs w:val="24"/>
              </w:rPr>
              <w:t>–</w:t>
            </w:r>
            <w:r>
              <w:rPr>
                <w:sz w:val="24"/>
                <w:szCs w:val="24"/>
              </w:rPr>
              <w:t>41)</w:t>
            </w:r>
          </w:p>
        </w:tc>
      </w:tr>
      <w:tr w:rsidR="005B0D65" w14:paraId="168960A4"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381912EB" w14:textId="77777777" w:rsidR="005B0D65" w:rsidRDefault="005B0D65" w:rsidP="000B0FEB">
            <w:pPr>
              <w:widowControl w:val="0"/>
              <w:rPr>
                <w:sz w:val="24"/>
                <w:szCs w:val="24"/>
              </w:rPr>
            </w:pPr>
            <w:r>
              <w:rPr>
                <w:sz w:val="24"/>
                <w:szCs w:val="24"/>
              </w:rPr>
              <w:t>Berk. 112</w:t>
            </w:r>
          </w:p>
        </w:tc>
        <w:tc>
          <w:tcPr>
            <w:tcW w:w="6816" w:type="dxa"/>
            <w:tcBorders>
              <w:top w:val="nil"/>
              <w:left w:val="nil"/>
              <w:bottom w:val="nil"/>
              <w:right w:val="nil"/>
            </w:tcBorders>
            <w:tcMar>
              <w:top w:w="20" w:type="dxa"/>
              <w:left w:w="20" w:type="dxa"/>
              <w:bottom w:w="100" w:type="dxa"/>
              <w:right w:w="20" w:type="dxa"/>
            </w:tcMar>
            <w:vAlign w:val="bottom"/>
          </w:tcPr>
          <w:p w14:paraId="34F783D5" w14:textId="262DF9C3"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24</w:t>
            </w:r>
            <w:r w:rsidR="00073A6E">
              <w:rPr>
                <w:sz w:val="24"/>
                <w:szCs w:val="24"/>
              </w:rPr>
              <w:t>–</w:t>
            </w:r>
            <w:r>
              <w:rPr>
                <w:sz w:val="24"/>
                <w:szCs w:val="24"/>
              </w:rPr>
              <w:t>5), Weber (2016)</w:t>
            </w:r>
          </w:p>
        </w:tc>
      </w:tr>
      <w:tr w:rsidR="005B0D65" w14:paraId="7BA644A7"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2F4D3A63" w14:textId="77777777" w:rsidR="005B0D65" w:rsidRDefault="005B0D65" w:rsidP="000B0FEB">
            <w:pPr>
              <w:widowControl w:val="0"/>
              <w:rPr>
                <w:sz w:val="24"/>
                <w:szCs w:val="24"/>
              </w:rPr>
            </w:pPr>
            <w:r>
              <w:rPr>
                <w:sz w:val="24"/>
                <w:szCs w:val="24"/>
              </w:rPr>
              <w:t>Berk. 115</w:t>
            </w:r>
          </w:p>
        </w:tc>
        <w:tc>
          <w:tcPr>
            <w:tcW w:w="6816" w:type="dxa"/>
            <w:tcBorders>
              <w:top w:val="nil"/>
              <w:left w:val="nil"/>
              <w:bottom w:val="nil"/>
              <w:right w:val="nil"/>
            </w:tcBorders>
            <w:tcMar>
              <w:top w:w="20" w:type="dxa"/>
              <w:left w:w="20" w:type="dxa"/>
              <w:bottom w:w="100" w:type="dxa"/>
              <w:right w:w="20" w:type="dxa"/>
            </w:tcMar>
            <w:vAlign w:val="bottom"/>
          </w:tcPr>
          <w:p w14:paraId="40C5B464" w14:textId="65DE7FDC"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50</w:t>
            </w:r>
            <w:r w:rsidR="00073A6E">
              <w:rPr>
                <w:sz w:val="24"/>
                <w:szCs w:val="24"/>
              </w:rPr>
              <w:t>–</w:t>
            </w:r>
            <w:r>
              <w:rPr>
                <w:sz w:val="24"/>
                <w:szCs w:val="24"/>
              </w:rPr>
              <w:t>51)</w:t>
            </w:r>
          </w:p>
        </w:tc>
      </w:tr>
      <w:tr w:rsidR="005B0D65" w14:paraId="61109291"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34A4C330" w14:textId="77777777" w:rsidR="005B0D65" w:rsidRDefault="005B0D65" w:rsidP="000B0FEB">
            <w:pPr>
              <w:widowControl w:val="0"/>
              <w:rPr>
                <w:sz w:val="24"/>
                <w:szCs w:val="24"/>
              </w:rPr>
            </w:pPr>
            <w:r>
              <w:rPr>
                <w:sz w:val="24"/>
                <w:szCs w:val="24"/>
              </w:rPr>
              <w:t>Berk. 119</w:t>
            </w:r>
          </w:p>
        </w:tc>
        <w:tc>
          <w:tcPr>
            <w:tcW w:w="6816" w:type="dxa"/>
            <w:tcBorders>
              <w:top w:val="nil"/>
              <w:left w:val="nil"/>
              <w:bottom w:val="nil"/>
              <w:right w:val="nil"/>
            </w:tcBorders>
            <w:tcMar>
              <w:top w:w="20" w:type="dxa"/>
              <w:left w:w="20" w:type="dxa"/>
              <w:bottom w:w="100" w:type="dxa"/>
              <w:right w:w="20" w:type="dxa"/>
            </w:tcMar>
            <w:vAlign w:val="bottom"/>
          </w:tcPr>
          <w:p w14:paraId="2FE0E07B" w14:textId="4D2096C6"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84</w:t>
            </w:r>
            <w:r w:rsidR="00073A6E">
              <w:rPr>
                <w:sz w:val="24"/>
                <w:szCs w:val="24"/>
              </w:rPr>
              <w:t>–</w:t>
            </w:r>
            <w:r>
              <w:rPr>
                <w:sz w:val="24"/>
                <w:szCs w:val="24"/>
              </w:rPr>
              <w:t>5)</w:t>
            </w:r>
          </w:p>
        </w:tc>
      </w:tr>
      <w:tr w:rsidR="005B0D65" w14:paraId="27436ACF"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53D3B43E" w14:textId="77777777" w:rsidR="005B0D65" w:rsidRDefault="005B0D65" w:rsidP="000B0FEB">
            <w:pPr>
              <w:widowControl w:val="0"/>
              <w:rPr>
                <w:sz w:val="24"/>
                <w:szCs w:val="24"/>
              </w:rPr>
            </w:pPr>
            <w:r>
              <w:rPr>
                <w:sz w:val="24"/>
                <w:szCs w:val="24"/>
              </w:rPr>
              <w:lastRenderedPageBreak/>
              <w:t>Berk. 120</w:t>
            </w:r>
          </w:p>
        </w:tc>
        <w:tc>
          <w:tcPr>
            <w:tcW w:w="6816" w:type="dxa"/>
            <w:tcBorders>
              <w:top w:val="nil"/>
              <w:left w:val="nil"/>
              <w:bottom w:val="nil"/>
              <w:right w:val="nil"/>
            </w:tcBorders>
            <w:tcMar>
              <w:top w:w="20" w:type="dxa"/>
              <w:left w:w="20" w:type="dxa"/>
              <w:bottom w:w="100" w:type="dxa"/>
              <w:right w:w="20" w:type="dxa"/>
            </w:tcMar>
            <w:vAlign w:val="bottom"/>
          </w:tcPr>
          <w:p w14:paraId="7BB69A1E" w14:textId="4EE562CD"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86</w:t>
            </w:r>
            <w:r w:rsidR="00073A6E">
              <w:rPr>
                <w:sz w:val="24"/>
                <w:szCs w:val="24"/>
              </w:rPr>
              <w:t>–</w:t>
            </w:r>
            <w:r>
              <w:rPr>
                <w:sz w:val="24"/>
                <w:szCs w:val="24"/>
              </w:rPr>
              <w:t>7)</w:t>
            </w:r>
          </w:p>
        </w:tc>
      </w:tr>
      <w:tr w:rsidR="005B0D65" w14:paraId="1484D9F8"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60654F0E" w14:textId="77777777" w:rsidR="005B0D65" w:rsidRDefault="005B0D65" w:rsidP="000B0FEB">
            <w:pPr>
              <w:widowControl w:val="0"/>
              <w:rPr>
                <w:sz w:val="24"/>
                <w:szCs w:val="24"/>
              </w:rPr>
            </w:pPr>
            <w:r>
              <w:rPr>
                <w:sz w:val="24"/>
                <w:szCs w:val="24"/>
              </w:rPr>
              <w:t>Berk. 122</w:t>
            </w:r>
          </w:p>
        </w:tc>
        <w:tc>
          <w:tcPr>
            <w:tcW w:w="6816" w:type="dxa"/>
            <w:tcBorders>
              <w:top w:val="nil"/>
              <w:left w:val="nil"/>
              <w:bottom w:val="nil"/>
              <w:right w:val="nil"/>
            </w:tcBorders>
            <w:tcMar>
              <w:top w:w="20" w:type="dxa"/>
              <w:left w:w="20" w:type="dxa"/>
              <w:bottom w:w="100" w:type="dxa"/>
              <w:right w:w="20" w:type="dxa"/>
            </w:tcMar>
            <w:vAlign w:val="bottom"/>
          </w:tcPr>
          <w:p w14:paraId="2996AD58" w14:textId="5B744614"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92</w:t>
            </w:r>
            <w:r w:rsidR="00073A6E">
              <w:rPr>
                <w:sz w:val="24"/>
                <w:szCs w:val="24"/>
              </w:rPr>
              <w:t>–</w:t>
            </w:r>
            <w:r>
              <w:rPr>
                <w:sz w:val="24"/>
                <w:szCs w:val="24"/>
              </w:rPr>
              <w:t>3)</w:t>
            </w:r>
          </w:p>
        </w:tc>
      </w:tr>
      <w:tr w:rsidR="005B0D65" w14:paraId="2D6769B8"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7AAC022" w14:textId="77777777" w:rsidR="005B0D65" w:rsidRDefault="005B0D65" w:rsidP="000B0FEB">
            <w:pPr>
              <w:widowControl w:val="0"/>
              <w:rPr>
                <w:sz w:val="24"/>
                <w:szCs w:val="24"/>
              </w:rPr>
            </w:pPr>
            <w:r>
              <w:rPr>
                <w:sz w:val="24"/>
                <w:szCs w:val="24"/>
              </w:rPr>
              <w:t>Berk. 123</w:t>
            </w:r>
          </w:p>
        </w:tc>
        <w:tc>
          <w:tcPr>
            <w:tcW w:w="6816" w:type="dxa"/>
            <w:tcBorders>
              <w:top w:val="nil"/>
              <w:left w:val="nil"/>
              <w:bottom w:val="nil"/>
              <w:right w:val="nil"/>
            </w:tcBorders>
            <w:tcMar>
              <w:top w:w="20" w:type="dxa"/>
              <w:left w:w="20" w:type="dxa"/>
              <w:bottom w:w="100" w:type="dxa"/>
              <w:right w:w="20" w:type="dxa"/>
            </w:tcMar>
            <w:vAlign w:val="bottom"/>
          </w:tcPr>
          <w:p w14:paraId="7C99A54D" w14:textId="2AB3E077"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54</w:t>
            </w:r>
            <w:r w:rsidR="00073A6E">
              <w:rPr>
                <w:sz w:val="24"/>
                <w:szCs w:val="24"/>
              </w:rPr>
              <w:t>–</w:t>
            </w:r>
            <w:r>
              <w:rPr>
                <w:sz w:val="24"/>
                <w:szCs w:val="24"/>
              </w:rPr>
              <w:t>5)</w:t>
            </w:r>
          </w:p>
        </w:tc>
      </w:tr>
      <w:tr w:rsidR="005B0D65" w14:paraId="0F9CA02B"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734F7D4D" w14:textId="77777777" w:rsidR="005B0D65" w:rsidRDefault="005B0D65" w:rsidP="000B0FEB">
            <w:pPr>
              <w:widowControl w:val="0"/>
              <w:rPr>
                <w:sz w:val="24"/>
                <w:szCs w:val="24"/>
              </w:rPr>
            </w:pPr>
            <w:r>
              <w:rPr>
                <w:sz w:val="24"/>
                <w:szCs w:val="24"/>
              </w:rPr>
              <w:t>Berk. 125</w:t>
            </w:r>
          </w:p>
        </w:tc>
        <w:tc>
          <w:tcPr>
            <w:tcW w:w="6816" w:type="dxa"/>
            <w:tcBorders>
              <w:top w:val="nil"/>
              <w:left w:val="nil"/>
              <w:bottom w:val="nil"/>
              <w:right w:val="nil"/>
            </w:tcBorders>
            <w:tcMar>
              <w:top w:w="20" w:type="dxa"/>
              <w:left w:w="20" w:type="dxa"/>
              <w:bottom w:w="100" w:type="dxa"/>
              <w:right w:w="20" w:type="dxa"/>
            </w:tcMar>
            <w:vAlign w:val="bottom"/>
          </w:tcPr>
          <w:p w14:paraId="4B86DB6C" w14:textId="77777777" w:rsidR="005B0D65" w:rsidRDefault="005B0D65" w:rsidP="000B0FEB">
            <w:pPr>
              <w:widowControl w:val="0"/>
              <w:rPr>
                <w:sz w:val="24"/>
                <w:szCs w:val="24"/>
              </w:rPr>
            </w:pPr>
            <w:r>
              <w:rPr>
                <w:sz w:val="24"/>
                <w:szCs w:val="24"/>
              </w:rPr>
              <w:t>Weber (2022b)</w:t>
            </w:r>
          </w:p>
        </w:tc>
      </w:tr>
      <w:tr w:rsidR="005B0D65" w14:paraId="1AE5E1DF"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06B9549C" w14:textId="77777777" w:rsidR="005B0D65" w:rsidRDefault="005B0D65" w:rsidP="000B0FEB">
            <w:pPr>
              <w:widowControl w:val="0"/>
              <w:rPr>
                <w:sz w:val="24"/>
                <w:szCs w:val="24"/>
              </w:rPr>
            </w:pPr>
            <w:r>
              <w:rPr>
                <w:sz w:val="24"/>
                <w:szCs w:val="24"/>
              </w:rPr>
              <w:t>Berk. 129</w:t>
            </w:r>
          </w:p>
        </w:tc>
        <w:tc>
          <w:tcPr>
            <w:tcW w:w="6816" w:type="dxa"/>
            <w:tcBorders>
              <w:top w:val="nil"/>
              <w:left w:val="nil"/>
              <w:bottom w:val="nil"/>
              <w:right w:val="nil"/>
            </w:tcBorders>
            <w:tcMar>
              <w:top w:w="20" w:type="dxa"/>
              <w:left w:w="20" w:type="dxa"/>
              <w:bottom w:w="100" w:type="dxa"/>
              <w:right w:w="20" w:type="dxa"/>
            </w:tcMar>
            <w:vAlign w:val="bottom"/>
          </w:tcPr>
          <w:p w14:paraId="0EEFA6FD" w14:textId="7CAF9A5A" w:rsidR="005B0D65" w:rsidRDefault="005B0D65" w:rsidP="000B0FEB">
            <w:pPr>
              <w:widowControl w:val="0"/>
              <w:rPr>
                <w:sz w:val="24"/>
                <w:szCs w:val="24"/>
              </w:rPr>
            </w:pPr>
            <w:r>
              <w:rPr>
                <w:sz w:val="24"/>
                <w:szCs w:val="24"/>
              </w:rPr>
              <w:t>Weber (2010)</w:t>
            </w:r>
            <w:r w:rsidR="006F75D5">
              <w:rPr>
                <w:sz w:val="24"/>
                <w:szCs w:val="24"/>
              </w:rPr>
              <w:t xml:space="preserve">, </w:t>
            </w:r>
            <w:proofErr w:type="spellStart"/>
            <w:r w:rsidR="006F75D5">
              <w:rPr>
                <w:sz w:val="24"/>
                <w:szCs w:val="24"/>
                <w:lang w:val="x-none"/>
              </w:rPr>
              <w:t>Šafiʿī</w:t>
            </w:r>
            <w:proofErr w:type="spellEnd"/>
            <w:r w:rsidR="006F75D5">
              <w:rPr>
                <w:sz w:val="24"/>
                <w:szCs w:val="24"/>
                <w:lang w:val="x-none"/>
              </w:rPr>
              <w:t xml:space="preserve"> (2023)</w:t>
            </w:r>
          </w:p>
        </w:tc>
      </w:tr>
      <w:tr w:rsidR="005B0D65" w14:paraId="004D62CA"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0016F711" w14:textId="77777777" w:rsidR="005B0D65" w:rsidRDefault="005B0D65" w:rsidP="000B0FEB">
            <w:pPr>
              <w:widowControl w:val="0"/>
              <w:rPr>
                <w:sz w:val="24"/>
                <w:szCs w:val="24"/>
              </w:rPr>
            </w:pPr>
            <w:r>
              <w:rPr>
                <w:sz w:val="24"/>
                <w:szCs w:val="24"/>
              </w:rPr>
              <w:t>Berk. 137</w:t>
            </w:r>
          </w:p>
        </w:tc>
        <w:tc>
          <w:tcPr>
            <w:tcW w:w="6816" w:type="dxa"/>
            <w:tcBorders>
              <w:top w:val="nil"/>
              <w:left w:val="nil"/>
              <w:bottom w:val="nil"/>
              <w:right w:val="nil"/>
            </w:tcBorders>
            <w:tcMar>
              <w:top w:w="20" w:type="dxa"/>
              <w:left w:w="20" w:type="dxa"/>
              <w:bottom w:w="100" w:type="dxa"/>
              <w:right w:w="20" w:type="dxa"/>
            </w:tcMar>
            <w:vAlign w:val="bottom"/>
          </w:tcPr>
          <w:p w14:paraId="0C10EC7E" w14:textId="0E7F619F"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112</w:t>
            </w:r>
            <w:r w:rsidR="00073A6E">
              <w:rPr>
                <w:sz w:val="24"/>
                <w:szCs w:val="24"/>
              </w:rPr>
              <w:t>–</w:t>
            </w:r>
            <w:r>
              <w:rPr>
                <w:sz w:val="24"/>
                <w:szCs w:val="24"/>
              </w:rPr>
              <w:t>13)</w:t>
            </w:r>
          </w:p>
        </w:tc>
      </w:tr>
      <w:tr w:rsidR="005B0D65" w14:paraId="3C4C123D"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33D38551" w14:textId="77777777" w:rsidR="005B0D65" w:rsidRDefault="005B0D65" w:rsidP="000B0FEB">
            <w:pPr>
              <w:widowControl w:val="0"/>
              <w:rPr>
                <w:sz w:val="24"/>
                <w:szCs w:val="24"/>
              </w:rPr>
            </w:pPr>
            <w:r>
              <w:rPr>
                <w:sz w:val="24"/>
                <w:szCs w:val="24"/>
              </w:rPr>
              <w:t>Berk. 138</w:t>
            </w:r>
          </w:p>
        </w:tc>
        <w:tc>
          <w:tcPr>
            <w:tcW w:w="6816" w:type="dxa"/>
            <w:tcBorders>
              <w:top w:val="nil"/>
              <w:left w:val="nil"/>
              <w:bottom w:val="nil"/>
              <w:right w:val="nil"/>
            </w:tcBorders>
            <w:tcMar>
              <w:top w:w="20" w:type="dxa"/>
              <w:left w:w="20" w:type="dxa"/>
              <w:bottom w:w="100" w:type="dxa"/>
              <w:right w:w="20" w:type="dxa"/>
            </w:tcMar>
            <w:vAlign w:val="bottom"/>
          </w:tcPr>
          <w:p w14:paraId="54AE42F8" w14:textId="77777777" w:rsidR="005B0D65" w:rsidRDefault="005B0D65" w:rsidP="000B0FEB">
            <w:pPr>
              <w:widowControl w:val="0"/>
              <w:rPr>
                <w:sz w:val="24"/>
                <w:szCs w:val="24"/>
              </w:rPr>
            </w:pPr>
            <w:r>
              <w:rPr>
                <w:sz w:val="24"/>
                <w:szCs w:val="24"/>
              </w:rPr>
              <w:t>Weber (2019a)</w:t>
            </w:r>
          </w:p>
        </w:tc>
      </w:tr>
      <w:tr w:rsidR="005B0D65" w14:paraId="5FD1D037"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D648873" w14:textId="77777777" w:rsidR="005B0D65" w:rsidRDefault="005B0D65" w:rsidP="000B0FEB">
            <w:pPr>
              <w:widowControl w:val="0"/>
              <w:rPr>
                <w:sz w:val="24"/>
                <w:szCs w:val="24"/>
              </w:rPr>
            </w:pPr>
            <w:r>
              <w:rPr>
                <w:sz w:val="24"/>
                <w:szCs w:val="24"/>
              </w:rPr>
              <w:t>Berk. 139</w:t>
            </w:r>
          </w:p>
        </w:tc>
        <w:tc>
          <w:tcPr>
            <w:tcW w:w="6816" w:type="dxa"/>
            <w:tcBorders>
              <w:top w:val="nil"/>
              <w:left w:val="nil"/>
              <w:bottom w:val="nil"/>
              <w:right w:val="nil"/>
            </w:tcBorders>
            <w:tcMar>
              <w:top w:w="20" w:type="dxa"/>
              <w:left w:w="20" w:type="dxa"/>
              <w:bottom w:w="100" w:type="dxa"/>
              <w:right w:w="20" w:type="dxa"/>
            </w:tcMar>
            <w:vAlign w:val="bottom"/>
          </w:tcPr>
          <w:p w14:paraId="24D378E6" w14:textId="30F95355"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34</w:t>
            </w:r>
            <w:r w:rsidR="00073A6E">
              <w:rPr>
                <w:sz w:val="24"/>
                <w:szCs w:val="24"/>
              </w:rPr>
              <w:t>–</w:t>
            </w:r>
            <w:r>
              <w:rPr>
                <w:sz w:val="24"/>
                <w:szCs w:val="24"/>
              </w:rPr>
              <w:t>5)</w:t>
            </w:r>
          </w:p>
        </w:tc>
      </w:tr>
      <w:tr w:rsidR="006F75D5" w14:paraId="25FD35AA"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6D648620" w14:textId="675E7FB4" w:rsidR="006F75D5" w:rsidRDefault="006F75D5" w:rsidP="000B0FEB">
            <w:pPr>
              <w:widowControl w:val="0"/>
              <w:rPr>
                <w:sz w:val="24"/>
                <w:szCs w:val="24"/>
              </w:rPr>
            </w:pPr>
            <w:r>
              <w:rPr>
                <w:sz w:val="24"/>
                <w:szCs w:val="24"/>
              </w:rPr>
              <w:t>Berk. 141</w:t>
            </w:r>
          </w:p>
        </w:tc>
        <w:tc>
          <w:tcPr>
            <w:tcW w:w="6816" w:type="dxa"/>
            <w:tcBorders>
              <w:top w:val="nil"/>
              <w:left w:val="nil"/>
              <w:bottom w:val="nil"/>
              <w:right w:val="nil"/>
            </w:tcBorders>
            <w:tcMar>
              <w:top w:w="20" w:type="dxa"/>
              <w:left w:w="20" w:type="dxa"/>
              <w:bottom w:w="100" w:type="dxa"/>
              <w:right w:w="20" w:type="dxa"/>
            </w:tcMar>
            <w:vAlign w:val="bottom"/>
          </w:tcPr>
          <w:p w14:paraId="447A618D" w14:textId="2F560930" w:rsidR="006F75D5" w:rsidRDefault="006F75D5" w:rsidP="000B0FEB">
            <w:pPr>
              <w:widowControl w:val="0"/>
              <w:rPr>
                <w:sz w:val="24"/>
                <w:szCs w:val="24"/>
              </w:rPr>
            </w:pPr>
            <w:r>
              <w:rPr>
                <w:sz w:val="24"/>
                <w:szCs w:val="24"/>
              </w:rPr>
              <w:t>Weber (2023)</w:t>
            </w:r>
          </w:p>
        </w:tc>
      </w:tr>
      <w:tr w:rsidR="005B0D65" w14:paraId="79B36E71"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0F2DC4D2" w14:textId="77777777" w:rsidR="005B0D65" w:rsidRDefault="005B0D65" w:rsidP="000B0FEB">
            <w:pPr>
              <w:widowControl w:val="0"/>
              <w:rPr>
                <w:sz w:val="24"/>
                <w:szCs w:val="24"/>
              </w:rPr>
            </w:pPr>
            <w:r>
              <w:rPr>
                <w:sz w:val="24"/>
                <w:szCs w:val="24"/>
              </w:rPr>
              <w:t>Berk. 142</w:t>
            </w:r>
          </w:p>
        </w:tc>
        <w:tc>
          <w:tcPr>
            <w:tcW w:w="6816" w:type="dxa"/>
            <w:tcBorders>
              <w:top w:val="nil"/>
              <w:left w:val="nil"/>
              <w:bottom w:val="nil"/>
              <w:right w:val="nil"/>
            </w:tcBorders>
            <w:tcMar>
              <w:top w:w="20" w:type="dxa"/>
              <w:left w:w="20" w:type="dxa"/>
              <w:bottom w:w="100" w:type="dxa"/>
              <w:right w:w="20" w:type="dxa"/>
            </w:tcMar>
            <w:vAlign w:val="bottom"/>
          </w:tcPr>
          <w:p w14:paraId="69E462E9" w14:textId="77777777" w:rsidR="005B0D65" w:rsidRDefault="005B0D65" w:rsidP="000B0FEB">
            <w:pPr>
              <w:widowControl w:val="0"/>
              <w:rPr>
                <w:sz w:val="24"/>
                <w:szCs w:val="24"/>
              </w:rPr>
            </w:pPr>
            <w:r>
              <w:rPr>
                <w:sz w:val="24"/>
                <w:szCs w:val="24"/>
              </w:rPr>
              <w:t>Weber (2022a)</w:t>
            </w:r>
          </w:p>
        </w:tc>
      </w:tr>
      <w:tr w:rsidR="006F75D5" w14:paraId="34EE5CF5"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6445660D" w14:textId="15699078" w:rsidR="006F75D5" w:rsidRDefault="006F75D5" w:rsidP="000B0FEB">
            <w:pPr>
              <w:widowControl w:val="0"/>
              <w:rPr>
                <w:sz w:val="24"/>
                <w:szCs w:val="24"/>
              </w:rPr>
            </w:pPr>
            <w:r>
              <w:rPr>
                <w:sz w:val="24"/>
                <w:szCs w:val="24"/>
              </w:rPr>
              <w:t>Berk. 143</w:t>
            </w:r>
          </w:p>
        </w:tc>
        <w:tc>
          <w:tcPr>
            <w:tcW w:w="6816" w:type="dxa"/>
            <w:tcBorders>
              <w:top w:val="nil"/>
              <w:left w:val="nil"/>
              <w:bottom w:val="nil"/>
              <w:right w:val="nil"/>
            </w:tcBorders>
            <w:tcMar>
              <w:top w:w="20" w:type="dxa"/>
              <w:left w:w="20" w:type="dxa"/>
              <w:bottom w:w="100" w:type="dxa"/>
              <w:right w:w="20" w:type="dxa"/>
            </w:tcMar>
            <w:vAlign w:val="bottom"/>
          </w:tcPr>
          <w:p w14:paraId="5568EA39" w14:textId="0DD7F9C1" w:rsidR="006F75D5" w:rsidRDefault="006F75D5" w:rsidP="000B0FEB">
            <w:pPr>
              <w:widowControl w:val="0"/>
              <w:rPr>
                <w:sz w:val="24"/>
                <w:szCs w:val="24"/>
              </w:rPr>
            </w:pPr>
            <w:r>
              <w:rPr>
                <w:sz w:val="24"/>
                <w:szCs w:val="24"/>
              </w:rPr>
              <w:t>Weber (2023)</w:t>
            </w:r>
          </w:p>
        </w:tc>
      </w:tr>
      <w:tr w:rsidR="005B0D65" w14:paraId="47348F28"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73A0D12B" w14:textId="77777777" w:rsidR="005B0D65" w:rsidRDefault="005B0D65" w:rsidP="000B0FEB">
            <w:pPr>
              <w:widowControl w:val="0"/>
              <w:rPr>
                <w:sz w:val="24"/>
                <w:szCs w:val="24"/>
              </w:rPr>
            </w:pPr>
            <w:r>
              <w:rPr>
                <w:sz w:val="24"/>
                <w:szCs w:val="24"/>
              </w:rPr>
              <w:t>Berk. 148</w:t>
            </w:r>
          </w:p>
        </w:tc>
        <w:tc>
          <w:tcPr>
            <w:tcW w:w="6816" w:type="dxa"/>
            <w:tcBorders>
              <w:top w:val="nil"/>
              <w:left w:val="nil"/>
              <w:bottom w:val="nil"/>
              <w:right w:val="nil"/>
            </w:tcBorders>
            <w:tcMar>
              <w:top w:w="20" w:type="dxa"/>
              <w:left w:w="20" w:type="dxa"/>
              <w:bottom w:w="100" w:type="dxa"/>
              <w:right w:w="20" w:type="dxa"/>
            </w:tcMar>
            <w:vAlign w:val="bottom"/>
          </w:tcPr>
          <w:p w14:paraId="7B856304" w14:textId="0E1B3FE9"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42</w:t>
            </w:r>
            <w:r w:rsidR="00073A6E">
              <w:rPr>
                <w:sz w:val="24"/>
                <w:szCs w:val="24"/>
              </w:rPr>
              <w:t>–</w:t>
            </w:r>
            <w:r>
              <w:rPr>
                <w:sz w:val="24"/>
                <w:szCs w:val="24"/>
              </w:rPr>
              <w:t>3)</w:t>
            </w:r>
            <w:r w:rsidR="006F75D5">
              <w:rPr>
                <w:sz w:val="24"/>
                <w:szCs w:val="24"/>
              </w:rPr>
              <w:t>, Weber (2022–23)</w:t>
            </w:r>
          </w:p>
        </w:tc>
      </w:tr>
      <w:tr w:rsidR="005B0D65" w14:paraId="11FF74B8"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664D15D" w14:textId="77777777" w:rsidR="005B0D65" w:rsidRDefault="005B0D65" w:rsidP="000B0FEB">
            <w:pPr>
              <w:widowControl w:val="0"/>
              <w:rPr>
                <w:sz w:val="24"/>
                <w:szCs w:val="24"/>
              </w:rPr>
            </w:pPr>
            <w:r>
              <w:rPr>
                <w:sz w:val="24"/>
                <w:szCs w:val="24"/>
              </w:rPr>
              <w:t>Berk. 149</w:t>
            </w:r>
          </w:p>
        </w:tc>
        <w:tc>
          <w:tcPr>
            <w:tcW w:w="6816" w:type="dxa"/>
            <w:tcBorders>
              <w:top w:val="nil"/>
              <w:left w:val="nil"/>
              <w:bottom w:val="nil"/>
              <w:right w:val="nil"/>
            </w:tcBorders>
            <w:tcMar>
              <w:top w:w="20" w:type="dxa"/>
              <w:left w:w="20" w:type="dxa"/>
              <w:bottom w:w="100" w:type="dxa"/>
              <w:right w:w="20" w:type="dxa"/>
            </w:tcMar>
            <w:vAlign w:val="bottom"/>
          </w:tcPr>
          <w:p w14:paraId="24C0C2D7" w14:textId="40EFE790" w:rsidR="005B0D65" w:rsidRDefault="005B0D65" w:rsidP="000B0FEB">
            <w:pPr>
              <w:widowControl w:val="0"/>
              <w:rPr>
                <w:sz w:val="24"/>
                <w:szCs w:val="24"/>
              </w:rPr>
            </w:pPr>
            <w:r>
              <w:rPr>
                <w:sz w:val="24"/>
                <w:szCs w:val="24"/>
              </w:rPr>
              <w:t>Weber (2015</w:t>
            </w:r>
            <w:r w:rsidR="00537AE4">
              <w:rPr>
                <w:sz w:val="24"/>
                <w:szCs w:val="24"/>
              </w:rPr>
              <w:t>a</w:t>
            </w:r>
            <w:r>
              <w:rPr>
                <w:sz w:val="24"/>
                <w:szCs w:val="24"/>
              </w:rPr>
              <w:t>)</w:t>
            </w:r>
          </w:p>
        </w:tc>
      </w:tr>
      <w:tr w:rsidR="005B0D65" w14:paraId="078CE879"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102D7CAE" w14:textId="77777777" w:rsidR="005B0D65" w:rsidRDefault="005B0D65" w:rsidP="000B0FEB">
            <w:pPr>
              <w:widowControl w:val="0"/>
              <w:rPr>
                <w:sz w:val="24"/>
                <w:szCs w:val="24"/>
              </w:rPr>
            </w:pPr>
            <w:r>
              <w:rPr>
                <w:sz w:val="24"/>
                <w:szCs w:val="24"/>
              </w:rPr>
              <w:t>Berk. 154</w:t>
            </w:r>
          </w:p>
        </w:tc>
        <w:tc>
          <w:tcPr>
            <w:tcW w:w="6816" w:type="dxa"/>
            <w:tcBorders>
              <w:top w:val="nil"/>
              <w:left w:val="nil"/>
              <w:bottom w:val="nil"/>
              <w:right w:val="nil"/>
            </w:tcBorders>
            <w:tcMar>
              <w:top w:w="20" w:type="dxa"/>
              <w:left w:w="20" w:type="dxa"/>
              <w:bottom w:w="100" w:type="dxa"/>
              <w:right w:w="20" w:type="dxa"/>
            </w:tcMar>
            <w:vAlign w:val="bottom"/>
          </w:tcPr>
          <w:p w14:paraId="3C14DDC7" w14:textId="77777777" w:rsidR="005B0D65" w:rsidRDefault="005B0D65" w:rsidP="000B0FEB">
            <w:pPr>
              <w:widowControl w:val="0"/>
              <w:rPr>
                <w:sz w:val="24"/>
                <w:szCs w:val="24"/>
              </w:rPr>
            </w:pPr>
            <w:r>
              <w:rPr>
                <w:sz w:val="24"/>
                <w:szCs w:val="24"/>
              </w:rPr>
              <w:t>Weber (2013), Weber (2022b)</w:t>
            </w:r>
          </w:p>
        </w:tc>
      </w:tr>
      <w:tr w:rsidR="005B0D65" w14:paraId="1115A300"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3BF20E1" w14:textId="77777777" w:rsidR="005B0D65" w:rsidRDefault="005B0D65" w:rsidP="000B0FEB">
            <w:pPr>
              <w:widowControl w:val="0"/>
              <w:rPr>
                <w:sz w:val="24"/>
                <w:szCs w:val="24"/>
              </w:rPr>
            </w:pPr>
            <w:r>
              <w:rPr>
                <w:sz w:val="24"/>
                <w:szCs w:val="24"/>
              </w:rPr>
              <w:t>Berk. 156</w:t>
            </w:r>
          </w:p>
        </w:tc>
        <w:tc>
          <w:tcPr>
            <w:tcW w:w="6816" w:type="dxa"/>
            <w:tcBorders>
              <w:top w:val="nil"/>
              <w:left w:val="nil"/>
              <w:bottom w:val="nil"/>
              <w:right w:val="nil"/>
            </w:tcBorders>
            <w:tcMar>
              <w:top w:w="20" w:type="dxa"/>
              <w:left w:w="20" w:type="dxa"/>
              <w:bottom w:w="100" w:type="dxa"/>
              <w:right w:w="20" w:type="dxa"/>
            </w:tcMar>
            <w:vAlign w:val="bottom"/>
          </w:tcPr>
          <w:p w14:paraId="165D370D" w14:textId="77777777" w:rsidR="005B0D65" w:rsidRDefault="005B0D65" w:rsidP="000B0FEB">
            <w:pPr>
              <w:widowControl w:val="0"/>
              <w:rPr>
                <w:sz w:val="24"/>
                <w:szCs w:val="24"/>
              </w:rPr>
            </w:pPr>
            <w:r>
              <w:rPr>
                <w:sz w:val="24"/>
                <w:szCs w:val="24"/>
              </w:rPr>
              <w:t>Weber (2014a)</w:t>
            </w:r>
          </w:p>
        </w:tc>
      </w:tr>
      <w:tr w:rsidR="005B0D65" w14:paraId="21B9BE77"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061AF019" w14:textId="77777777" w:rsidR="005B0D65" w:rsidRDefault="005B0D65" w:rsidP="000B0FEB">
            <w:pPr>
              <w:widowControl w:val="0"/>
              <w:rPr>
                <w:sz w:val="24"/>
                <w:szCs w:val="24"/>
              </w:rPr>
            </w:pPr>
            <w:r>
              <w:rPr>
                <w:sz w:val="24"/>
                <w:szCs w:val="24"/>
              </w:rPr>
              <w:t>Berk. 158</w:t>
            </w:r>
          </w:p>
        </w:tc>
        <w:tc>
          <w:tcPr>
            <w:tcW w:w="6816" w:type="dxa"/>
            <w:tcBorders>
              <w:top w:val="nil"/>
              <w:left w:val="nil"/>
              <w:bottom w:val="nil"/>
              <w:right w:val="nil"/>
            </w:tcBorders>
            <w:tcMar>
              <w:top w:w="20" w:type="dxa"/>
              <w:left w:w="20" w:type="dxa"/>
              <w:bottom w:w="100" w:type="dxa"/>
              <w:right w:w="20" w:type="dxa"/>
            </w:tcMar>
            <w:vAlign w:val="bottom"/>
          </w:tcPr>
          <w:p w14:paraId="5279B24B" w14:textId="3DB5E733"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38</w:t>
            </w:r>
            <w:r w:rsidR="00073A6E">
              <w:rPr>
                <w:sz w:val="24"/>
                <w:szCs w:val="24"/>
              </w:rPr>
              <w:t>–</w:t>
            </w:r>
            <w:r>
              <w:rPr>
                <w:sz w:val="24"/>
                <w:szCs w:val="24"/>
              </w:rPr>
              <w:t>9)</w:t>
            </w:r>
          </w:p>
        </w:tc>
      </w:tr>
      <w:tr w:rsidR="005B0D65" w14:paraId="575A3A15"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6DCC9F30" w14:textId="77777777" w:rsidR="005B0D65" w:rsidRDefault="005B0D65" w:rsidP="000B0FEB">
            <w:pPr>
              <w:widowControl w:val="0"/>
              <w:rPr>
                <w:sz w:val="24"/>
                <w:szCs w:val="24"/>
              </w:rPr>
            </w:pPr>
            <w:r>
              <w:rPr>
                <w:sz w:val="24"/>
                <w:szCs w:val="24"/>
              </w:rPr>
              <w:t>Berk. 159</w:t>
            </w:r>
          </w:p>
        </w:tc>
        <w:tc>
          <w:tcPr>
            <w:tcW w:w="6816" w:type="dxa"/>
            <w:tcBorders>
              <w:top w:val="nil"/>
              <w:left w:val="nil"/>
              <w:bottom w:val="nil"/>
              <w:right w:val="nil"/>
            </w:tcBorders>
            <w:tcMar>
              <w:top w:w="20" w:type="dxa"/>
              <w:left w:w="20" w:type="dxa"/>
              <w:bottom w:w="100" w:type="dxa"/>
              <w:right w:w="20" w:type="dxa"/>
            </w:tcMar>
            <w:vAlign w:val="bottom"/>
          </w:tcPr>
          <w:p w14:paraId="5E03EAF9" w14:textId="77777777"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100-101), Weber (2019a)</w:t>
            </w:r>
          </w:p>
        </w:tc>
      </w:tr>
      <w:tr w:rsidR="005B0D65" w14:paraId="6F091E64"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3B73197C" w14:textId="77777777" w:rsidR="005B0D65" w:rsidRDefault="005B0D65" w:rsidP="000B0FEB">
            <w:pPr>
              <w:widowControl w:val="0"/>
              <w:rPr>
                <w:sz w:val="24"/>
                <w:szCs w:val="24"/>
              </w:rPr>
            </w:pPr>
            <w:r>
              <w:rPr>
                <w:sz w:val="24"/>
                <w:szCs w:val="24"/>
              </w:rPr>
              <w:t>Berk. 160</w:t>
            </w:r>
          </w:p>
        </w:tc>
        <w:tc>
          <w:tcPr>
            <w:tcW w:w="6816" w:type="dxa"/>
            <w:tcBorders>
              <w:top w:val="nil"/>
              <w:left w:val="nil"/>
              <w:bottom w:val="nil"/>
              <w:right w:val="nil"/>
            </w:tcBorders>
            <w:tcMar>
              <w:top w:w="20" w:type="dxa"/>
              <w:left w:w="20" w:type="dxa"/>
              <w:bottom w:w="100" w:type="dxa"/>
              <w:right w:w="20" w:type="dxa"/>
            </w:tcMar>
            <w:vAlign w:val="bottom"/>
          </w:tcPr>
          <w:p w14:paraId="49A58C6D" w14:textId="12C6A208"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120</w:t>
            </w:r>
            <w:r w:rsidR="00073A6E">
              <w:rPr>
                <w:sz w:val="24"/>
                <w:szCs w:val="24"/>
              </w:rPr>
              <w:t>–</w:t>
            </w:r>
            <w:r>
              <w:rPr>
                <w:sz w:val="24"/>
                <w:szCs w:val="24"/>
              </w:rPr>
              <w:t>21)</w:t>
            </w:r>
          </w:p>
        </w:tc>
      </w:tr>
      <w:tr w:rsidR="005B0D65" w14:paraId="020817F6"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BDFD8A4" w14:textId="77777777" w:rsidR="005B0D65" w:rsidRDefault="005B0D65" w:rsidP="000B0FEB">
            <w:pPr>
              <w:widowControl w:val="0"/>
              <w:rPr>
                <w:sz w:val="24"/>
                <w:szCs w:val="24"/>
              </w:rPr>
            </w:pPr>
            <w:r>
              <w:rPr>
                <w:sz w:val="24"/>
                <w:szCs w:val="24"/>
              </w:rPr>
              <w:t>Berk. 162</w:t>
            </w:r>
          </w:p>
        </w:tc>
        <w:tc>
          <w:tcPr>
            <w:tcW w:w="6816" w:type="dxa"/>
            <w:tcBorders>
              <w:top w:val="nil"/>
              <w:left w:val="nil"/>
              <w:bottom w:val="nil"/>
              <w:right w:val="nil"/>
            </w:tcBorders>
            <w:tcMar>
              <w:top w:w="20" w:type="dxa"/>
              <w:left w:w="20" w:type="dxa"/>
              <w:bottom w:w="100" w:type="dxa"/>
              <w:right w:w="20" w:type="dxa"/>
            </w:tcMar>
            <w:vAlign w:val="bottom"/>
          </w:tcPr>
          <w:p w14:paraId="6586DE39" w14:textId="4456592F"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94</w:t>
            </w:r>
            <w:r w:rsidR="00073A6E">
              <w:rPr>
                <w:sz w:val="24"/>
                <w:szCs w:val="24"/>
              </w:rPr>
              <w:t>–</w:t>
            </w:r>
            <w:r>
              <w:rPr>
                <w:sz w:val="24"/>
                <w:szCs w:val="24"/>
              </w:rPr>
              <w:t>5)</w:t>
            </w:r>
          </w:p>
        </w:tc>
      </w:tr>
      <w:tr w:rsidR="005B0D65" w14:paraId="3852FBA0"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0B8BF763" w14:textId="77777777" w:rsidR="005B0D65" w:rsidRDefault="005B0D65" w:rsidP="000B0FEB">
            <w:pPr>
              <w:widowControl w:val="0"/>
              <w:rPr>
                <w:sz w:val="24"/>
                <w:szCs w:val="24"/>
              </w:rPr>
            </w:pPr>
            <w:r>
              <w:rPr>
                <w:sz w:val="24"/>
                <w:szCs w:val="24"/>
              </w:rPr>
              <w:t>Berk. 165</w:t>
            </w:r>
          </w:p>
        </w:tc>
        <w:tc>
          <w:tcPr>
            <w:tcW w:w="6816" w:type="dxa"/>
            <w:tcBorders>
              <w:top w:val="nil"/>
              <w:left w:val="nil"/>
              <w:bottom w:val="nil"/>
              <w:right w:val="nil"/>
            </w:tcBorders>
            <w:tcMar>
              <w:top w:w="20" w:type="dxa"/>
              <w:left w:w="20" w:type="dxa"/>
              <w:bottom w:w="100" w:type="dxa"/>
              <w:right w:w="20" w:type="dxa"/>
            </w:tcMar>
            <w:vAlign w:val="bottom"/>
          </w:tcPr>
          <w:p w14:paraId="139E3B3B" w14:textId="31F6AC5F"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46</w:t>
            </w:r>
            <w:r w:rsidR="00073A6E">
              <w:rPr>
                <w:sz w:val="24"/>
                <w:szCs w:val="24"/>
              </w:rPr>
              <w:t>–</w:t>
            </w:r>
            <w:r>
              <w:rPr>
                <w:sz w:val="24"/>
                <w:szCs w:val="24"/>
              </w:rPr>
              <w:t>7)</w:t>
            </w:r>
          </w:p>
        </w:tc>
      </w:tr>
      <w:tr w:rsidR="005B0D65" w14:paraId="334E2D17"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628BF25E" w14:textId="77777777" w:rsidR="005B0D65" w:rsidRDefault="005B0D65" w:rsidP="000B0FEB">
            <w:pPr>
              <w:widowControl w:val="0"/>
              <w:rPr>
                <w:sz w:val="24"/>
                <w:szCs w:val="24"/>
              </w:rPr>
            </w:pPr>
            <w:r>
              <w:rPr>
                <w:sz w:val="24"/>
                <w:szCs w:val="24"/>
              </w:rPr>
              <w:t>Berk. 166</w:t>
            </w:r>
          </w:p>
        </w:tc>
        <w:tc>
          <w:tcPr>
            <w:tcW w:w="6816" w:type="dxa"/>
            <w:tcBorders>
              <w:top w:val="nil"/>
              <w:left w:val="nil"/>
              <w:bottom w:val="nil"/>
              <w:right w:val="nil"/>
            </w:tcBorders>
            <w:tcMar>
              <w:top w:w="20" w:type="dxa"/>
              <w:left w:w="20" w:type="dxa"/>
              <w:bottom w:w="100" w:type="dxa"/>
              <w:right w:w="20" w:type="dxa"/>
            </w:tcMar>
            <w:vAlign w:val="bottom"/>
          </w:tcPr>
          <w:p w14:paraId="2DDDDC03" w14:textId="77777777" w:rsidR="005B0D65" w:rsidRDefault="005B0D65" w:rsidP="000B0FEB">
            <w:pPr>
              <w:widowControl w:val="0"/>
              <w:rPr>
                <w:sz w:val="24"/>
                <w:szCs w:val="24"/>
              </w:rPr>
            </w:pPr>
            <w:r>
              <w:rPr>
                <w:sz w:val="24"/>
                <w:szCs w:val="24"/>
              </w:rPr>
              <w:t>Weber (2021b)</w:t>
            </w:r>
          </w:p>
        </w:tc>
      </w:tr>
      <w:tr w:rsidR="005B0D65" w14:paraId="7E3EC835"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5924A891" w14:textId="77777777" w:rsidR="005B0D65" w:rsidRDefault="005B0D65" w:rsidP="000B0FEB">
            <w:pPr>
              <w:widowControl w:val="0"/>
              <w:rPr>
                <w:sz w:val="24"/>
                <w:szCs w:val="24"/>
              </w:rPr>
            </w:pPr>
            <w:r>
              <w:rPr>
                <w:sz w:val="24"/>
                <w:szCs w:val="24"/>
              </w:rPr>
              <w:t>Berk. 168</w:t>
            </w:r>
          </w:p>
        </w:tc>
        <w:tc>
          <w:tcPr>
            <w:tcW w:w="6816" w:type="dxa"/>
            <w:tcBorders>
              <w:top w:val="nil"/>
              <w:left w:val="nil"/>
              <w:bottom w:val="nil"/>
              <w:right w:val="nil"/>
            </w:tcBorders>
            <w:tcMar>
              <w:top w:w="20" w:type="dxa"/>
              <w:left w:w="20" w:type="dxa"/>
              <w:bottom w:w="100" w:type="dxa"/>
              <w:right w:w="20" w:type="dxa"/>
            </w:tcMar>
            <w:vAlign w:val="bottom"/>
          </w:tcPr>
          <w:p w14:paraId="6E639B04" w14:textId="77777777" w:rsidR="005B0D65" w:rsidRDefault="005B0D65" w:rsidP="000B0FEB">
            <w:pPr>
              <w:widowControl w:val="0"/>
              <w:rPr>
                <w:sz w:val="24"/>
                <w:szCs w:val="24"/>
              </w:rPr>
            </w:pPr>
            <w:r>
              <w:rPr>
                <w:sz w:val="24"/>
                <w:szCs w:val="24"/>
              </w:rPr>
              <w:t>Weber (2021b)</w:t>
            </w:r>
          </w:p>
        </w:tc>
      </w:tr>
      <w:tr w:rsidR="006F75D5" w14:paraId="244EB1C8"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54C3603D" w14:textId="20E537FB" w:rsidR="006F75D5" w:rsidRDefault="006F75D5" w:rsidP="000B0FEB">
            <w:pPr>
              <w:widowControl w:val="0"/>
              <w:rPr>
                <w:sz w:val="24"/>
                <w:szCs w:val="24"/>
              </w:rPr>
            </w:pPr>
            <w:r>
              <w:rPr>
                <w:sz w:val="24"/>
                <w:szCs w:val="24"/>
              </w:rPr>
              <w:t>Berk. 173B</w:t>
            </w:r>
          </w:p>
        </w:tc>
        <w:tc>
          <w:tcPr>
            <w:tcW w:w="6816" w:type="dxa"/>
            <w:tcBorders>
              <w:top w:val="nil"/>
              <w:left w:val="nil"/>
              <w:bottom w:val="nil"/>
              <w:right w:val="nil"/>
            </w:tcBorders>
            <w:tcMar>
              <w:top w:w="20" w:type="dxa"/>
              <w:left w:w="20" w:type="dxa"/>
              <w:bottom w:w="100" w:type="dxa"/>
              <w:right w:w="20" w:type="dxa"/>
            </w:tcMar>
            <w:vAlign w:val="bottom"/>
          </w:tcPr>
          <w:p w14:paraId="664FF3F3" w14:textId="2AF41C28" w:rsidR="006F75D5" w:rsidRDefault="006F75D5" w:rsidP="000B0FEB">
            <w:pPr>
              <w:widowControl w:val="0"/>
              <w:rPr>
                <w:sz w:val="24"/>
                <w:szCs w:val="24"/>
              </w:rPr>
            </w:pPr>
            <w:r>
              <w:rPr>
                <w:sz w:val="24"/>
                <w:szCs w:val="24"/>
              </w:rPr>
              <w:t>Asefi (2023b)</w:t>
            </w:r>
          </w:p>
        </w:tc>
      </w:tr>
      <w:tr w:rsidR="005B0D65" w14:paraId="5E1F12BC"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9939EDA" w14:textId="77777777" w:rsidR="005B0D65" w:rsidRDefault="005B0D65" w:rsidP="000B0FEB">
            <w:pPr>
              <w:widowControl w:val="0"/>
              <w:rPr>
                <w:sz w:val="24"/>
                <w:szCs w:val="24"/>
              </w:rPr>
            </w:pPr>
            <w:r>
              <w:rPr>
                <w:sz w:val="24"/>
                <w:szCs w:val="24"/>
              </w:rPr>
              <w:lastRenderedPageBreak/>
              <w:t>Berk. 175B</w:t>
            </w:r>
          </w:p>
        </w:tc>
        <w:tc>
          <w:tcPr>
            <w:tcW w:w="6816" w:type="dxa"/>
            <w:tcBorders>
              <w:top w:val="nil"/>
              <w:left w:val="nil"/>
              <w:bottom w:val="nil"/>
              <w:right w:val="nil"/>
            </w:tcBorders>
            <w:tcMar>
              <w:top w:w="20" w:type="dxa"/>
              <w:left w:w="20" w:type="dxa"/>
              <w:bottom w:w="100" w:type="dxa"/>
              <w:right w:w="20" w:type="dxa"/>
            </w:tcMar>
            <w:vAlign w:val="bottom"/>
          </w:tcPr>
          <w:p w14:paraId="3F41E5F1" w14:textId="77777777" w:rsidR="005B0D65" w:rsidRDefault="005B0D65" w:rsidP="000B0FEB">
            <w:pPr>
              <w:widowControl w:val="0"/>
              <w:rPr>
                <w:sz w:val="24"/>
                <w:szCs w:val="24"/>
              </w:rPr>
            </w:pPr>
            <w:r>
              <w:rPr>
                <w:sz w:val="24"/>
                <w:szCs w:val="24"/>
              </w:rPr>
              <w:t>Weber (2016)</w:t>
            </w:r>
          </w:p>
        </w:tc>
      </w:tr>
      <w:tr w:rsidR="005B0D65" w14:paraId="459C9AF4"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691E9B5F" w14:textId="77777777" w:rsidR="005B0D65" w:rsidRDefault="005B0D65" w:rsidP="000B0FEB">
            <w:pPr>
              <w:widowControl w:val="0"/>
              <w:rPr>
                <w:sz w:val="24"/>
                <w:szCs w:val="24"/>
              </w:rPr>
            </w:pPr>
            <w:r>
              <w:rPr>
                <w:sz w:val="24"/>
                <w:szCs w:val="24"/>
              </w:rPr>
              <w:t>Berk. 184</w:t>
            </w:r>
          </w:p>
        </w:tc>
        <w:tc>
          <w:tcPr>
            <w:tcW w:w="6816" w:type="dxa"/>
            <w:tcBorders>
              <w:top w:val="nil"/>
              <w:left w:val="nil"/>
              <w:bottom w:val="nil"/>
              <w:right w:val="nil"/>
            </w:tcBorders>
            <w:tcMar>
              <w:top w:w="20" w:type="dxa"/>
              <w:left w:w="20" w:type="dxa"/>
              <w:bottom w:w="100" w:type="dxa"/>
              <w:right w:w="20" w:type="dxa"/>
            </w:tcMar>
            <w:vAlign w:val="bottom"/>
          </w:tcPr>
          <w:p w14:paraId="563B8CFD" w14:textId="77777777" w:rsidR="005B0D65" w:rsidRDefault="005B0D65" w:rsidP="000B0FEB">
            <w:pPr>
              <w:widowControl w:val="0"/>
              <w:rPr>
                <w:sz w:val="24"/>
                <w:szCs w:val="24"/>
              </w:rPr>
            </w:pPr>
            <w:r>
              <w:rPr>
                <w:sz w:val="24"/>
                <w:szCs w:val="24"/>
              </w:rPr>
              <w:t>Weber (2021b)</w:t>
            </w:r>
          </w:p>
        </w:tc>
      </w:tr>
      <w:tr w:rsidR="005B0D65" w14:paraId="67364D5F"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23F162B3" w14:textId="77777777" w:rsidR="005B0D65" w:rsidRDefault="005B0D65" w:rsidP="000B0FEB">
            <w:pPr>
              <w:widowControl w:val="0"/>
              <w:rPr>
                <w:sz w:val="24"/>
                <w:szCs w:val="24"/>
              </w:rPr>
            </w:pPr>
            <w:r>
              <w:rPr>
                <w:sz w:val="24"/>
                <w:szCs w:val="24"/>
              </w:rPr>
              <w:t>Berk. 186</w:t>
            </w:r>
          </w:p>
        </w:tc>
        <w:tc>
          <w:tcPr>
            <w:tcW w:w="6816" w:type="dxa"/>
            <w:tcBorders>
              <w:top w:val="nil"/>
              <w:left w:val="nil"/>
              <w:bottom w:val="nil"/>
              <w:right w:val="nil"/>
            </w:tcBorders>
            <w:tcMar>
              <w:top w:w="20" w:type="dxa"/>
              <w:left w:w="20" w:type="dxa"/>
              <w:bottom w:w="100" w:type="dxa"/>
              <w:right w:w="20" w:type="dxa"/>
            </w:tcMar>
            <w:vAlign w:val="bottom"/>
          </w:tcPr>
          <w:p w14:paraId="7E64419E" w14:textId="77777777" w:rsidR="005B0D65" w:rsidRDefault="005B0D65" w:rsidP="000B0FEB">
            <w:pPr>
              <w:widowControl w:val="0"/>
              <w:rPr>
                <w:sz w:val="24"/>
                <w:szCs w:val="24"/>
              </w:rPr>
            </w:pPr>
            <w:r>
              <w:rPr>
                <w:sz w:val="24"/>
                <w:szCs w:val="24"/>
              </w:rPr>
              <w:t>Weber (2016)</w:t>
            </w:r>
          </w:p>
        </w:tc>
      </w:tr>
      <w:tr w:rsidR="005B0D65" w14:paraId="737A981C"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294322D5" w14:textId="77777777" w:rsidR="005B0D65" w:rsidRDefault="005B0D65" w:rsidP="000B0FEB">
            <w:pPr>
              <w:widowControl w:val="0"/>
              <w:rPr>
                <w:sz w:val="24"/>
                <w:szCs w:val="24"/>
              </w:rPr>
            </w:pPr>
            <w:r>
              <w:rPr>
                <w:sz w:val="24"/>
                <w:szCs w:val="24"/>
              </w:rPr>
              <w:t>Berk. 187</w:t>
            </w:r>
          </w:p>
        </w:tc>
        <w:tc>
          <w:tcPr>
            <w:tcW w:w="6816" w:type="dxa"/>
            <w:tcBorders>
              <w:top w:val="nil"/>
              <w:left w:val="nil"/>
              <w:bottom w:val="nil"/>
              <w:right w:val="nil"/>
            </w:tcBorders>
            <w:tcMar>
              <w:top w:w="20" w:type="dxa"/>
              <w:left w:w="20" w:type="dxa"/>
              <w:bottom w:w="100" w:type="dxa"/>
              <w:right w:w="20" w:type="dxa"/>
            </w:tcMar>
            <w:vAlign w:val="bottom"/>
          </w:tcPr>
          <w:p w14:paraId="0F9C1FBF" w14:textId="77777777" w:rsidR="005B0D65" w:rsidRDefault="005B0D65" w:rsidP="000B0FEB">
            <w:pPr>
              <w:widowControl w:val="0"/>
              <w:rPr>
                <w:sz w:val="24"/>
                <w:szCs w:val="24"/>
              </w:rPr>
            </w:pPr>
            <w:r>
              <w:rPr>
                <w:sz w:val="24"/>
                <w:szCs w:val="24"/>
              </w:rPr>
              <w:t>Weber (2014a), Weber (2021a)</w:t>
            </w:r>
          </w:p>
        </w:tc>
      </w:tr>
      <w:tr w:rsidR="005B0D65" w14:paraId="20BF3700"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12A4D14" w14:textId="77777777" w:rsidR="005B0D65" w:rsidRDefault="005B0D65" w:rsidP="000B0FEB">
            <w:pPr>
              <w:widowControl w:val="0"/>
              <w:rPr>
                <w:sz w:val="24"/>
                <w:szCs w:val="24"/>
              </w:rPr>
            </w:pPr>
            <w:r>
              <w:rPr>
                <w:sz w:val="24"/>
                <w:szCs w:val="24"/>
              </w:rPr>
              <w:t>Berk. 189</w:t>
            </w:r>
          </w:p>
        </w:tc>
        <w:tc>
          <w:tcPr>
            <w:tcW w:w="6816" w:type="dxa"/>
            <w:tcBorders>
              <w:top w:val="nil"/>
              <w:left w:val="nil"/>
              <w:bottom w:val="nil"/>
              <w:right w:val="nil"/>
            </w:tcBorders>
            <w:tcMar>
              <w:top w:w="20" w:type="dxa"/>
              <w:left w:w="20" w:type="dxa"/>
              <w:bottom w:w="100" w:type="dxa"/>
              <w:right w:w="20" w:type="dxa"/>
            </w:tcMar>
            <w:vAlign w:val="bottom"/>
          </w:tcPr>
          <w:p w14:paraId="0EDBC91E" w14:textId="25E10CBB"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58</w:t>
            </w:r>
            <w:r w:rsidR="00073A6E">
              <w:rPr>
                <w:sz w:val="24"/>
                <w:szCs w:val="24"/>
              </w:rPr>
              <w:t>–</w:t>
            </w:r>
            <w:r>
              <w:rPr>
                <w:sz w:val="24"/>
                <w:szCs w:val="24"/>
              </w:rPr>
              <w:t>9)</w:t>
            </w:r>
          </w:p>
        </w:tc>
      </w:tr>
      <w:tr w:rsidR="006F75D5" w14:paraId="3B839F9C"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2B55D931" w14:textId="79916EFE" w:rsidR="006F75D5" w:rsidRDefault="006F75D5" w:rsidP="000B0FEB">
            <w:pPr>
              <w:widowControl w:val="0"/>
              <w:rPr>
                <w:sz w:val="24"/>
                <w:szCs w:val="24"/>
              </w:rPr>
            </w:pPr>
            <w:r>
              <w:rPr>
                <w:sz w:val="24"/>
                <w:szCs w:val="24"/>
              </w:rPr>
              <w:t>Berk. 191</w:t>
            </w:r>
          </w:p>
        </w:tc>
        <w:tc>
          <w:tcPr>
            <w:tcW w:w="6816" w:type="dxa"/>
            <w:tcBorders>
              <w:top w:val="nil"/>
              <w:left w:val="nil"/>
              <w:bottom w:val="nil"/>
              <w:right w:val="nil"/>
            </w:tcBorders>
            <w:tcMar>
              <w:top w:w="20" w:type="dxa"/>
              <w:left w:w="20" w:type="dxa"/>
              <w:bottom w:w="100" w:type="dxa"/>
              <w:right w:w="20" w:type="dxa"/>
            </w:tcMar>
            <w:vAlign w:val="bottom"/>
          </w:tcPr>
          <w:p w14:paraId="1779ECF1" w14:textId="46E057E2" w:rsidR="006F75D5" w:rsidRDefault="006F75D5" w:rsidP="000B0FEB">
            <w:pPr>
              <w:widowControl w:val="0"/>
              <w:rPr>
                <w:sz w:val="24"/>
                <w:szCs w:val="24"/>
              </w:rPr>
            </w:pPr>
            <w:r>
              <w:rPr>
                <w:sz w:val="24"/>
                <w:szCs w:val="24"/>
              </w:rPr>
              <w:t>Asefi (2023a)</w:t>
            </w:r>
          </w:p>
        </w:tc>
      </w:tr>
      <w:tr w:rsidR="005B0D65" w14:paraId="70CEBF75"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62ADD031" w14:textId="77777777" w:rsidR="005B0D65" w:rsidRDefault="005B0D65" w:rsidP="000B0FEB">
            <w:pPr>
              <w:widowControl w:val="0"/>
              <w:rPr>
                <w:sz w:val="24"/>
                <w:szCs w:val="24"/>
              </w:rPr>
            </w:pPr>
            <w:r>
              <w:rPr>
                <w:sz w:val="24"/>
                <w:szCs w:val="24"/>
              </w:rPr>
              <w:t>Berk. 198</w:t>
            </w:r>
          </w:p>
        </w:tc>
        <w:tc>
          <w:tcPr>
            <w:tcW w:w="6816" w:type="dxa"/>
            <w:tcBorders>
              <w:top w:val="nil"/>
              <w:left w:val="nil"/>
              <w:bottom w:val="nil"/>
              <w:right w:val="nil"/>
            </w:tcBorders>
            <w:tcMar>
              <w:top w:w="20" w:type="dxa"/>
              <w:left w:w="20" w:type="dxa"/>
              <w:bottom w:w="100" w:type="dxa"/>
              <w:right w:w="20" w:type="dxa"/>
            </w:tcMar>
            <w:vAlign w:val="bottom"/>
          </w:tcPr>
          <w:p w14:paraId="4118D5CC" w14:textId="77777777"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110), Weber (2016)</w:t>
            </w:r>
          </w:p>
        </w:tc>
      </w:tr>
      <w:tr w:rsidR="005B0D65" w14:paraId="18FB6F98"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693EF3A" w14:textId="77777777" w:rsidR="005B0D65" w:rsidRDefault="005B0D65" w:rsidP="000B0FEB">
            <w:pPr>
              <w:widowControl w:val="0"/>
              <w:rPr>
                <w:sz w:val="24"/>
                <w:szCs w:val="24"/>
              </w:rPr>
            </w:pPr>
            <w:r>
              <w:rPr>
                <w:sz w:val="24"/>
                <w:szCs w:val="24"/>
              </w:rPr>
              <w:t>Berk. 205</w:t>
            </w:r>
          </w:p>
        </w:tc>
        <w:tc>
          <w:tcPr>
            <w:tcW w:w="6816" w:type="dxa"/>
            <w:tcBorders>
              <w:top w:val="nil"/>
              <w:left w:val="nil"/>
              <w:bottom w:val="nil"/>
              <w:right w:val="nil"/>
            </w:tcBorders>
            <w:tcMar>
              <w:top w:w="20" w:type="dxa"/>
              <w:left w:w="20" w:type="dxa"/>
              <w:bottom w:w="100" w:type="dxa"/>
              <w:right w:w="20" w:type="dxa"/>
            </w:tcMar>
            <w:vAlign w:val="bottom"/>
          </w:tcPr>
          <w:p w14:paraId="344D6A80" w14:textId="77777777"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64-5)</w:t>
            </w:r>
          </w:p>
        </w:tc>
      </w:tr>
      <w:tr w:rsidR="005B0D65" w14:paraId="57740EE9"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00F4CB73" w14:textId="77777777" w:rsidR="005B0D65" w:rsidRDefault="005B0D65" w:rsidP="000B0FEB">
            <w:pPr>
              <w:widowControl w:val="0"/>
              <w:rPr>
                <w:sz w:val="24"/>
                <w:szCs w:val="24"/>
              </w:rPr>
            </w:pPr>
            <w:r>
              <w:rPr>
                <w:sz w:val="24"/>
                <w:szCs w:val="24"/>
              </w:rPr>
              <w:t>Berk. 211W</w:t>
            </w:r>
          </w:p>
        </w:tc>
        <w:tc>
          <w:tcPr>
            <w:tcW w:w="6816" w:type="dxa"/>
            <w:tcBorders>
              <w:top w:val="nil"/>
              <w:left w:val="nil"/>
              <w:bottom w:val="nil"/>
              <w:right w:val="nil"/>
            </w:tcBorders>
            <w:tcMar>
              <w:top w:w="20" w:type="dxa"/>
              <w:left w:w="20" w:type="dxa"/>
              <w:bottom w:w="100" w:type="dxa"/>
              <w:right w:w="20" w:type="dxa"/>
            </w:tcMar>
            <w:vAlign w:val="bottom"/>
          </w:tcPr>
          <w:p w14:paraId="4A2DBB37" w14:textId="33E8B763"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110</w:t>
            </w:r>
            <w:r w:rsidR="00073A6E">
              <w:rPr>
                <w:sz w:val="24"/>
                <w:szCs w:val="24"/>
              </w:rPr>
              <w:t>–</w:t>
            </w:r>
            <w:r>
              <w:rPr>
                <w:sz w:val="24"/>
                <w:szCs w:val="24"/>
              </w:rPr>
              <w:t>12)</w:t>
            </w:r>
          </w:p>
        </w:tc>
      </w:tr>
      <w:tr w:rsidR="005B0D65" w14:paraId="74228CDE"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1A6CF576" w14:textId="77777777" w:rsidR="005B0D65" w:rsidRDefault="005B0D65" w:rsidP="000B0FEB">
            <w:pPr>
              <w:widowControl w:val="0"/>
              <w:rPr>
                <w:sz w:val="24"/>
                <w:szCs w:val="24"/>
              </w:rPr>
            </w:pPr>
            <w:r>
              <w:rPr>
                <w:sz w:val="24"/>
                <w:szCs w:val="24"/>
              </w:rPr>
              <w:t>Berk. 212</w:t>
            </w:r>
          </w:p>
        </w:tc>
        <w:tc>
          <w:tcPr>
            <w:tcW w:w="6816" w:type="dxa"/>
            <w:tcBorders>
              <w:top w:val="nil"/>
              <w:left w:val="nil"/>
              <w:bottom w:val="nil"/>
              <w:right w:val="nil"/>
            </w:tcBorders>
            <w:tcMar>
              <w:top w:w="20" w:type="dxa"/>
              <w:left w:w="20" w:type="dxa"/>
              <w:bottom w:w="100" w:type="dxa"/>
              <w:right w:w="20" w:type="dxa"/>
            </w:tcMar>
            <w:vAlign w:val="bottom"/>
          </w:tcPr>
          <w:p w14:paraId="61116A29" w14:textId="5016EBE9" w:rsidR="005B0D65" w:rsidRDefault="005B0D65" w:rsidP="000B0FEB">
            <w:pPr>
              <w:widowControl w:val="0"/>
              <w:rPr>
                <w:sz w:val="24"/>
                <w:szCs w:val="24"/>
              </w:rPr>
            </w:pPr>
            <w:r>
              <w:rPr>
                <w:sz w:val="24"/>
                <w:szCs w:val="24"/>
              </w:rPr>
              <w:t>Weber (2010)</w:t>
            </w:r>
            <w:r w:rsidR="006F75D5">
              <w:rPr>
                <w:sz w:val="24"/>
                <w:szCs w:val="24"/>
              </w:rPr>
              <w:t xml:space="preserve">, </w:t>
            </w:r>
            <w:proofErr w:type="spellStart"/>
            <w:r w:rsidR="006F75D5">
              <w:rPr>
                <w:sz w:val="24"/>
                <w:szCs w:val="24"/>
                <w:lang w:val="x-none"/>
              </w:rPr>
              <w:t>Šafiʿī</w:t>
            </w:r>
            <w:proofErr w:type="spellEnd"/>
            <w:r w:rsidR="006F75D5">
              <w:rPr>
                <w:sz w:val="24"/>
                <w:szCs w:val="24"/>
                <w:lang w:val="x-none"/>
              </w:rPr>
              <w:t xml:space="preserve"> (2023)</w:t>
            </w:r>
          </w:p>
        </w:tc>
      </w:tr>
      <w:tr w:rsidR="005B0D65" w14:paraId="10AB6033"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6C832904" w14:textId="77777777" w:rsidR="005B0D65" w:rsidRDefault="005B0D65" w:rsidP="000B0FEB">
            <w:pPr>
              <w:widowControl w:val="0"/>
              <w:rPr>
                <w:sz w:val="24"/>
                <w:szCs w:val="24"/>
              </w:rPr>
            </w:pPr>
            <w:r>
              <w:rPr>
                <w:sz w:val="24"/>
                <w:szCs w:val="24"/>
              </w:rPr>
              <w:t>Berk. 218B</w:t>
            </w:r>
          </w:p>
        </w:tc>
        <w:tc>
          <w:tcPr>
            <w:tcW w:w="6816" w:type="dxa"/>
            <w:tcBorders>
              <w:top w:val="nil"/>
              <w:left w:val="nil"/>
              <w:bottom w:val="nil"/>
              <w:right w:val="nil"/>
            </w:tcBorders>
            <w:tcMar>
              <w:top w:w="20" w:type="dxa"/>
              <w:left w:w="20" w:type="dxa"/>
              <w:bottom w:w="100" w:type="dxa"/>
              <w:right w:w="20" w:type="dxa"/>
            </w:tcMar>
            <w:vAlign w:val="bottom"/>
          </w:tcPr>
          <w:p w14:paraId="7EC96EC4" w14:textId="77777777" w:rsidR="005B0D65" w:rsidRDefault="005B0D65" w:rsidP="000B0FEB">
            <w:pPr>
              <w:widowControl w:val="0"/>
              <w:rPr>
                <w:sz w:val="24"/>
                <w:szCs w:val="24"/>
              </w:rPr>
            </w:pPr>
            <w:r>
              <w:rPr>
                <w:sz w:val="24"/>
                <w:szCs w:val="24"/>
              </w:rPr>
              <w:t>Weber (2021b)</w:t>
            </w:r>
          </w:p>
        </w:tc>
      </w:tr>
      <w:tr w:rsidR="005B0D65" w14:paraId="122AADB9"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199635E8" w14:textId="77777777" w:rsidR="005B0D65" w:rsidRDefault="005B0D65" w:rsidP="000B0FEB">
            <w:pPr>
              <w:widowControl w:val="0"/>
              <w:rPr>
                <w:sz w:val="24"/>
                <w:szCs w:val="24"/>
              </w:rPr>
            </w:pPr>
            <w:r>
              <w:rPr>
                <w:sz w:val="24"/>
                <w:szCs w:val="24"/>
              </w:rPr>
              <w:t>Berk. 219</w:t>
            </w:r>
          </w:p>
        </w:tc>
        <w:tc>
          <w:tcPr>
            <w:tcW w:w="6816" w:type="dxa"/>
            <w:tcBorders>
              <w:top w:val="nil"/>
              <w:left w:val="nil"/>
              <w:bottom w:val="nil"/>
              <w:right w:val="nil"/>
            </w:tcBorders>
            <w:tcMar>
              <w:top w:w="20" w:type="dxa"/>
              <w:left w:w="20" w:type="dxa"/>
              <w:bottom w:w="100" w:type="dxa"/>
              <w:right w:w="20" w:type="dxa"/>
            </w:tcMar>
            <w:vAlign w:val="bottom"/>
          </w:tcPr>
          <w:p w14:paraId="329ED3A8" w14:textId="77777777" w:rsidR="005B0D65" w:rsidRDefault="005B0D65" w:rsidP="000B0FEB">
            <w:pPr>
              <w:widowControl w:val="0"/>
              <w:rPr>
                <w:sz w:val="24"/>
                <w:szCs w:val="24"/>
              </w:rPr>
            </w:pPr>
            <w:proofErr w:type="spellStart"/>
            <w:r>
              <w:rPr>
                <w:sz w:val="24"/>
                <w:szCs w:val="24"/>
              </w:rPr>
              <w:t>Gignoux</w:t>
            </w:r>
            <w:proofErr w:type="spellEnd"/>
            <w:r>
              <w:rPr>
                <w:sz w:val="24"/>
                <w:szCs w:val="24"/>
              </w:rPr>
              <w:t xml:space="preserve"> (2009)</w:t>
            </w:r>
          </w:p>
        </w:tc>
      </w:tr>
      <w:tr w:rsidR="005B0D65" w14:paraId="450D388D"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0A5755F2" w14:textId="77777777" w:rsidR="005B0D65" w:rsidRDefault="005B0D65" w:rsidP="000B0FEB">
            <w:pPr>
              <w:widowControl w:val="0"/>
              <w:rPr>
                <w:sz w:val="24"/>
                <w:szCs w:val="24"/>
              </w:rPr>
            </w:pPr>
            <w:r>
              <w:rPr>
                <w:sz w:val="24"/>
                <w:szCs w:val="24"/>
              </w:rPr>
              <w:t>Berk. 220B</w:t>
            </w:r>
          </w:p>
        </w:tc>
        <w:tc>
          <w:tcPr>
            <w:tcW w:w="6816" w:type="dxa"/>
            <w:tcBorders>
              <w:top w:val="nil"/>
              <w:left w:val="nil"/>
              <w:bottom w:val="nil"/>
              <w:right w:val="nil"/>
            </w:tcBorders>
            <w:tcMar>
              <w:top w:w="20" w:type="dxa"/>
              <w:left w:w="20" w:type="dxa"/>
              <w:bottom w:w="100" w:type="dxa"/>
              <w:right w:w="20" w:type="dxa"/>
            </w:tcMar>
            <w:vAlign w:val="bottom"/>
          </w:tcPr>
          <w:p w14:paraId="5388E02E" w14:textId="25FF00F0"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32</w:t>
            </w:r>
            <w:r w:rsidR="00073A6E">
              <w:rPr>
                <w:sz w:val="24"/>
                <w:szCs w:val="24"/>
              </w:rPr>
              <w:t>–</w:t>
            </w:r>
            <w:r>
              <w:rPr>
                <w:sz w:val="24"/>
                <w:szCs w:val="24"/>
              </w:rPr>
              <w:t>3), Weber (2014a)</w:t>
            </w:r>
          </w:p>
        </w:tc>
      </w:tr>
      <w:tr w:rsidR="005B0D65" w14:paraId="31F4B2B7"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273F4C05" w14:textId="77777777" w:rsidR="005B0D65" w:rsidRDefault="005B0D65" w:rsidP="000B0FEB">
            <w:pPr>
              <w:widowControl w:val="0"/>
              <w:rPr>
                <w:sz w:val="24"/>
                <w:szCs w:val="24"/>
              </w:rPr>
            </w:pPr>
            <w:r>
              <w:rPr>
                <w:sz w:val="24"/>
                <w:szCs w:val="24"/>
              </w:rPr>
              <w:t>Berk. 221</w:t>
            </w:r>
          </w:p>
        </w:tc>
        <w:tc>
          <w:tcPr>
            <w:tcW w:w="6816" w:type="dxa"/>
            <w:tcBorders>
              <w:top w:val="nil"/>
              <w:left w:val="nil"/>
              <w:bottom w:val="nil"/>
              <w:right w:val="nil"/>
            </w:tcBorders>
            <w:tcMar>
              <w:top w:w="20" w:type="dxa"/>
              <w:left w:w="20" w:type="dxa"/>
              <w:bottom w:w="100" w:type="dxa"/>
              <w:right w:w="20" w:type="dxa"/>
            </w:tcMar>
            <w:vAlign w:val="bottom"/>
          </w:tcPr>
          <w:p w14:paraId="42542AA4" w14:textId="77777777" w:rsidR="005B0D65" w:rsidRDefault="005B0D65" w:rsidP="000B0FEB">
            <w:pPr>
              <w:widowControl w:val="0"/>
              <w:rPr>
                <w:sz w:val="24"/>
                <w:szCs w:val="24"/>
              </w:rPr>
            </w:pPr>
            <w:r>
              <w:rPr>
                <w:sz w:val="24"/>
                <w:szCs w:val="24"/>
              </w:rPr>
              <w:t>Weber (2021b)</w:t>
            </w:r>
          </w:p>
        </w:tc>
      </w:tr>
      <w:tr w:rsidR="005B0D65" w14:paraId="234F099D"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1378E7DB" w14:textId="77777777" w:rsidR="005B0D65" w:rsidRDefault="005B0D65" w:rsidP="000B0FEB">
            <w:pPr>
              <w:widowControl w:val="0"/>
              <w:rPr>
                <w:sz w:val="24"/>
                <w:szCs w:val="24"/>
              </w:rPr>
            </w:pPr>
            <w:r>
              <w:rPr>
                <w:sz w:val="24"/>
                <w:szCs w:val="24"/>
              </w:rPr>
              <w:t>Berk. 222</w:t>
            </w:r>
          </w:p>
        </w:tc>
        <w:tc>
          <w:tcPr>
            <w:tcW w:w="6816" w:type="dxa"/>
            <w:tcBorders>
              <w:top w:val="nil"/>
              <w:left w:val="nil"/>
              <w:bottom w:val="nil"/>
              <w:right w:val="nil"/>
            </w:tcBorders>
            <w:tcMar>
              <w:top w:w="20" w:type="dxa"/>
              <w:left w:w="20" w:type="dxa"/>
              <w:bottom w:w="100" w:type="dxa"/>
              <w:right w:w="20" w:type="dxa"/>
            </w:tcMar>
            <w:vAlign w:val="bottom"/>
          </w:tcPr>
          <w:p w14:paraId="20637A14" w14:textId="77777777" w:rsidR="005B0D65" w:rsidRDefault="005B0D65" w:rsidP="000B0FEB">
            <w:pPr>
              <w:widowControl w:val="0"/>
              <w:rPr>
                <w:sz w:val="24"/>
                <w:szCs w:val="24"/>
              </w:rPr>
            </w:pPr>
            <w:r>
              <w:rPr>
                <w:sz w:val="24"/>
                <w:szCs w:val="24"/>
              </w:rPr>
              <w:t>Weber (2021b)</w:t>
            </w:r>
          </w:p>
        </w:tc>
      </w:tr>
      <w:tr w:rsidR="005B0D65" w14:paraId="6967207D"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2A30964A" w14:textId="77777777" w:rsidR="005B0D65" w:rsidRDefault="005B0D65" w:rsidP="000B0FEB">
            <w:pPr>
              <w:widowControl w:val="0"/>
              <w:rPr>
                <w:sz w:val="24"/>
                <w:szCs w:val="24"/>
              </w:rPr>
            </w:pPr>
            <w:r>
              <w:rPr>
                <w:sz w:val="24"/>
                <w:szCs w:val="24"/>
              </w:rPr>
              <w:t>Berk. 223</w:t>
            </w:r>
          </w:p>
        </w:tc>
        <w:tc>
          <w:tcPr>
            <w:tcW w:w="6816" w:type="dxa"/>
            <w:tcBorders>
              <w:top w:val="nil"/>
              <w:left w:val="nil"/>
              <w:bottom w:val="nil"/>
              <w:right w:val="nil"/>
            </w:tcBorders>
            <w:tcMar>
              <w:top w:w="20" w:type="dxa"/>
              <w:left w:w="20" w:type="dxa"/>
              <w:bottom w:w="100" w:type="dxa"/>
              <w:right w:w="20" w:type="dxa"/>
            </w:tcMar>
            <w:vAlign w:val="bottom"/>
          </w:tcPr>
          <w:p w14:paraId="25026EF3" w14:textId="77777777" w:rsidR="005B0D65" w:rsidRDefault="005B0D65" w:rsidP="000B0FEB">
            <w:pPr>
              <w:widowControl w:val="0"/>
              <w:rPr>
                <w:sz w:val="24"/>
                <w:szCs w:val="24"/>
              </w:rPr>
            </w:pPr>
            <w:proofErr w:type="spellStart"/>
            <w:r>
              <w:rPr>
                <w:sz w:val="24"/>
                <w:szCs w:val="24"/>
              </w:rPr>
              <w:t>Gignoux</w:t>
            </w:r>
            <w:proofErr w:type="spellEnd"/>
            <w:r>
              <w:rPr>
                <w:sz w:val="24"/>
                <w:szCs w:val="24"/>
              </w:rPr>
              <w:t xml:space="preserve"> (2009)</w:t>
            </w:r>
          </w:p>
        </w:tc>
      </w:tr>
      <w:tr w:rsidR="005B0D65" w14:paraId="715FA8D6"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34564ECD" w14:textId="77777777" w:rsidR="005B0D65" w:rsidRDefault="005B0D65" w:rsidP="000B0FEB">
            <w:pPr>
              <w:widowControl w:val="0"/>
              <w:rPr>
                <w:sz w:val="24"/>
                <w:szCs w:val="24"/>
              </w:rPr>
            </w:pPr>
            <w:r>
              <w:rPr>
                <w:sz w:val="24"/>
                <w:szCs w:val="24"/>
              </w:rPr>
              <w:t>Berk. 226</w:t>
            </w:r>
          </w:p>
        </w:tc>
        <w:tc>
          <w:tcPr>
            <w:tcW w:w="6816" w:type="dxa"/>
            <w:tcBorders>
              <w:top w:val="nil"/>
              <w:left w:val="nil"/>
              <w:bottom w:val="nil"/>
              <w:right w:val="nil"/>
            </w:tcBorders>
            <w:tcMar>
              <w:top w:w="20" w:type="dxa"/>
              <w:left w:w="20" w:type="dxa"/>
              <w:bottom w:w="100" w:type="dxa"/>
              <w:right w:w="20" w:type="dxa"/>
            </w:tcMar>
            <w:vAlign w:val="bottom"/>
          </w:tcPr>
          <w:p w14:paraId="6E19DDD2" w14:textId="77777777" w:rsidR="005B0D65" w:rsidRDefault="005B0D65" w:rsidP="000B0FEB">
            <w:pPr>
              <w:widowControl w:val="0"/>
              <w:rPr>
                <w:sz w:val="24"/>
                <w:szCs w:val="24"/>
              </w:rPr>
            </w:pPr>
            <w:proofErr w:type="spellStart"/>
            <w:r>
              <w:rPr>
                <w:sz w:val="24"/>
                <w:szCs w:val="24"/>
              </w:rPr>
              <w:t>Gignoux</w:t>
            </w:r>
            <w:proofErr w:type="spellEnd"/>
            <w:r>
              <w:rPr>
                <w:sz w:val="24"/>
                <w:szCs w:val="24"/>
              </w:rPr>
              <w:t xml:space="preserve"> (2019), Weber (2021b)</w:t>
            </w:r>
          </w:p>
        </w:tc>
      </w:tr>
      <w:tr w:rsidR="005B0D65" w14:paraId="5E8D1414"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7DDD1B24" w14:textId="77777777" w:rsidR="005B0D65" w:rsidRDefault="005B0D65" w:rsidP="000B0FEB">
            <w:pPr>
              <w:widowControl w:val="0"/>
              <w:rPr>
                <w:sz w:val="24"/>
                <w:szCs w:val="24"/>
              </w:rPr>
            </w:pPr>
            <w:r>
              <w:rPr>
                <w:sz w:val="24"/>
                <w:szCs w:val="24"/>
              </w:rPr>
              <w:t>Berk. 227</w:t>
            </w:r>
          </w:p>
        </w:tc>
        <w:tc>
          <w:tcPr>
            <w:tcW w:w="6816" w:type="dxa"/>
            <w:tcBorders>
              <w:top w:val="nil"/>
              <w:left w:val="nil"/>
              <w:bottom w:val="nil"/>
              <w:right w:val="nil"/>
            </w:tcBorders>
            <w:tcMar>
              <w:top w:w="20" w:type="dxa"/>
              <w:left w:w="20" w:type="dxa"/>
              <w:bottom w:w="100" w:type="dxa"/>
              <w:right w:w="20" w:type="dxa"/>
            </w:tcMar>
            <w:vAlign w:val="bottom"/>
          </w:tcPr>
          <w:p w14:paraId="26672898" w14:textId="77777777" w:rsidR="005B0D65" w:rsidRDefault="005B0D65" w:rsidP="000B0FEB">
            <w:pPr>
              <w:widowControl w:val="0"/>
              <w:rPr>
                <w:sz w:val="24"/>
                <w:szCs w:val="24"/>
              </w:rPr>
            </w:pPr>
            <w:r>
              <w:rPr>
                <w:sz w:val="24"/>
                <w:szCs w:val="24"/>
              </w:rPr>
              <w:t>Weber (2019b)</w:t>
            </w:r>
          </w:p>
        </w:tc>
      </w:tr>
      <w:tr w:rsidR="005B0D65" w14:paraId="66E8081E"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65481A55" w14:textId="77777777" w:rsidR="005B0D65" w:rsidRDefault="005B0D65" w:rsidP="000B0FEB">
            <w:pPr>
              <w:widowControl w:val="0"/>
              <w:rPr>
                <w:sz w:val="24"/>
                <w:szCs w:val="24"/>
              </w:rPr>
            </w:pPr>
            <w:r>
              <w:rPr>
                <w:sz w:val="24"/>
                <w:szCs w:val="24"/>
              </w:rPr>
              <w:t>Berk. 228</w:t>
            </w:r>
          </w:p>
        </w:tc>
        <w:tc>
          <w:tcPr>
            <w:tcW w:w="6816" w:type="dxa"/>
            <w:tcBorders>
              <w:top w:val="nil"/>
              <w:left w:val="nil"/>
              <w:bottom w:val="nil"/>
              <w:right w:val="nil"/>
            </w:tcBorders>
            <w:tcMar>
              <w:top w:w="20" w:type="dxa"/>
              <w:left w:w="20" w:type="dxa"/>
              <w:bottom w:w="100" w:type="dxa"/>
              <w:right w:w="20" w:type="dxa"/>
            </w:tcMar>
            <w:vAlign w:val="bottom"/>
          </w:tcPr>
          <w:p w14:paraId="1A270B45" w14:textId="77777777" w:rsidR="005B0D65" w:rsidRDefault="005B0D65" w:rsidP="000B0FEB">
            <w:pPr>
              <w:widowControl w:val="0"/>
              <w:rPr>
                <w:sz w:val="24"/>
                <w:szCs w:val="24"/>
              </w:rPr>
            </w:pPr>
            <w:proofErr w:type="spellStart"/>
            <w:r>
              <w:rPr>
                <w:sz w:val="24"/>
                <w:szCs w:val="24"/>
              </w:rPr>
              <w:t>Gignoux</w:t>
            </w:r>
            <w:proofErr w:type="spellEnd"/>
            <w:r>
              <w:rPr>
                <w:sz w:val="24"/>
                <w:szCs w:val="24"/>
              </w:rPr>
              <w:t xml:space="preserve"> (2019)</w:t>
            </w:r>
          </w:p>
        </w:tc>
      </w:tr>
      <w:tr w:rsidR="005B0D65" w14:paraId="43110F9D"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6E8C4D9F" w14:textId="77777777" w:rsidR="005B0D65" w:rsidRDefault="005B0D65" w:rsidP="000B0FEB">
            <w:pPr>
              <w:widowControl w:val="0"/>
              <w:rPr>
                <w:sz w:val="24"/>
                <w:szCs w:val="24"/>
              </w:rPr>
            </w:pPr>
            <w:r>
              <w:rPr>
                <w:sz w:val="24"/>
                <w:szCs w:val="24"/>
              </w:rPr>
              <w:t>Berk. 229 (= Tehran H)</w:t>
            </w:r>
          </w:p>
        </w:tc>
        <w:tc>
          <w:tcPr>
            <w:tcW w:w="6816" w:type="dxa"/>
            <w:tcBorders>
              <w:top w:val="nil"/>
              <w:left w:val="nil"/>
              <w:bottom w:val="nil"/>
              <w:right w:val="nil"/>
            </w:tcBorders>
            <w:tcMar>
              <w:top w:w="20" w:type="dxa"/>
              <w:left w:w="20" w:type="dxa"/>
              <w:bottom w:w="100" w:type="dxa"/>
              <w:right w:w="20" w:type="dxa"/>
            </w:tcMar>
            <w:vAlign w:val="bottom"/>
          </w:tcPr>
          <w:p w14:paraId="178ACE17" w14:textId="252495B5" w:rsidR="005B0D65" w:rsidRDefault="00103199" w:rsidP="000B0FEB">
            <w:pPr>
              <w:widowControl w:val="0"/>
              <w:rPr>
                <w:sz w:val="24"/>
                <w:szCs w:val="24"/>
              </w:rPr>
            </w:pPr>
            <w:r>
              <w:rPr>
                <w:sz w:val="24"/>
                <w:szCs w:val="24"/>
              </w:rPr>
              <w:t>Weber (2008a</w:t>
            </w:r>
            <w:r w:rsidR="005B0D65">
              <w:rPr>
                <w:sz w:val="24"/>
                <w:szCs w:val="24"/>
              </w:rPr>
              <w:t>: 180</w:t>
            </w:r>
            <w:r w:rsidR="00073A6E">
              <w:rPr>
                <w:sz w:val="24"/>
                <w:szCs w:val="24"/>
              </w:rPr>
              <w:t>–8</w:t>
            </w:r>
            <w:r w:rsidR="005B0D65">
              <w:rPr>
                <w:sz w:val="24"/>
                <w:szCs w:val="24"/>
              </w:rPr>
              <w:t>1)</w:t>
            </w:r>
          </w:p>
        </w:tc>
      </w:tr>
      <w:tr w:rsidR="005B0D65" w14:paraId="5D82444A"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0090C9EA" w14:textId="77777777" w:rsidR="005B0D65" w:rsidRDefault="005B0D65" w:rsidP="000B0FEB">
            <w:pPr>
              <w:widowControl w:val="0"/>
              <w:rPr>
                <w:sz w:val="24"/>
                <w:szCs w:val="24"/>
              </w:rPr>
            </w:pPr>
            <w:r>
              <w:rPr>
                <w:sz w:val="24"/>
                <w:szCs w:val="24"/>
              </w:rPr>
              <w:t>Berk. 230 (= Tehran I)</w:t>
            </w:r>
          </w:p>
        </w:tc>
        <w:tc>
          <w:tcPr>
            <w:tcW w:w="6816" w:type="dxa"/>
            <w:tcBorders>
              <w:top w:val="nil"/>
              <w:left w:val="nil"/>
              <w:bottom w:val="nil"/>
              <w:right w:val="nil"/>
            </w:tcBorders>
            <w:tcMar>
              <w:top w:w="20" w:type="dxa"/>
              <w:left w:w="20" w:type="dxa"/>
              <w:bottom w:w="100" w:type="dxa"/>
              <w:right w:w="20" w:type="dxa"/>
            </w:tcMar>
            <w:vAlign w:val="bottom"/>
          </w:tcPr>
          <w:p w14:paraId="4D9EBB3F" w14:textId="3B5F4D2A" w:rsidR="005B0D65" w:rsidRDefault="00103199" w:rsidP="000B0FEB">
            <w:pPr>
              <w:widowControl w:val="0"/>
              <w:rPr>
                <w:sz w:val="24"/>
                <w:szCs w:val="24"/>
              </w:rPr>
            </w:pPr>
            <w:r>
              <w:rPr>
                <w:sz w:val="24"/>
                <w:szCs w:val="24"/>
              </w:rPr>
              <w:t>Weber (2008a</w:t>
            </w:r>
            <w:r w:rsidR="005B0D65">
              <w:rPr>
                <w:sz w:val="24"/>
                <w:szCs w:val="24"/>
              </w:rPr>
              <w:t>: 182</w:t>
            </w:r>
            <w:r w:rsidR="00073A6E">
              <w:rPr>
                <w:sz w:val="24"/>
                <w:szCs w:val="24"/>
              </w:rPr>
              <w:t>–</w:t>
            </w:r>
            <w:r w:rsidR="005B0D65">
              <w:rPr>
                <w:sz w:val="24"/>
                <w:szCs w:val="24"/>
              </w:rPr>
              <w:t>3), Weber (2019a)</w:t>
            </w:r>
          </w:p>
        </w:tc>
      </w:tr>
      <w:tr w:rsidR="005B0D65" w14:paraId="6C3D2218"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6982BF78" w14:textId="77777777" w:rsidR="005B0D65" w:rsidRDefault="005B0D65" w:rsidP="000B0FEB">
            <w:pPr>
              <w:widowControl w:val="0"/>
              <w:rPr>
                <w:sz w:val="24"/>
                <w:szCs w:val="24"/>
              </w:rPr>
            </w:pPr>
            <w:r>
              <w:rPr>
                <w:sz w:val="24"/>
                <w:szCs w:val="24"/>
              </w:rPr>
              <w:t>Berk. 231</w:t>
            </w:r>
          </w:p>
        </w:tc>
        <w:tc>
          <w:tcPr>
            <w:tcW w:w="6816" w:type="dxa"/>
            <w:tcBorders>
              <w:top w:val="nil"/>
              <w:left w:val="nil"/>
              <w:bottom w:val="nil"/>
              <w:right w:val="nil"/>
            </w:tcBorders>
            <w:tcMar>
              <w:top w:w="20" w:type="dxa"/>
              <w:left w:w="20" w:type="dxa"/>
              <w:bottom w:w="100" w:type="dxa"/>
              <w:right w:w="20" w:type="dxa"/>
            </w:tcMar>
            <w:vAlign w:val="bottom"/>
          </w:tcPr>
          <w:p w14:paraId="57F850B5" w14:textId="77777777" w:rsidR="005B0D65" w:rsidRDefault="005B0D65" w:rsidP="000B0FEB">
            <w:pPr>
              <w:widowControl w:val="0"/>
              <w:rPr>
                <w:sz w:val="24"/>
                <w:szCs w:val="24"/>
              </w:rPr>
            </w:pPr>
            <w:r>
              <w:rPr>
                <w:sz w:val="24"/>
                <w:szCs w:val="24"/>
              </w:rPr>
              <w:t>Weber (2017)</w:t>
            </w:r>
          </w:p>
        </w:tc>
      </w:tr>
      <w:tr w:rsidR="005B0D65" w14:paraId="61A27DBE"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0051D39B" w14:textId="77777777" w:rsidR="005B0D65" w:rsidRDefault="005B0D65" w:rsidP="000B0FEB">
            <w:pPr>
              <w:widowControl w:val="0"/>
              <w:rPr>
                <w:sz w:val="24"/>
                <w:szCs w:val="24"/>
              </w:rPr>
            </w:pPr>
            <w:r>
              <w:rPr>
                <w:sz w:val="24"/>
                <w:szCs w:val="24"/>
              </w:rPr>
              <w:t>Berk. 233</w:t>
            </w:r>
          </w:p>
        </w:tc>
        <w:tc>
          <w:tcPr>
            <w:tcW w:w="6816" w:type="dxa"/>
            <w:tcBorders>
              <w:top w:val="nil"/>
              <w:left w:val="nil"/>
              <w:bottom w:val="nil"/>
              <w:right w:val="nil"/>
            </w:tcBorders>
            <w:tcMar>
              <w:top w:w="20" w:type="dxa"/>
              <w:left w:w="20" w:type="dxa"/>
              <w:bottom w:w="100" w:type="dxa"/>
              <w:right w:w="20" w:type="dxa"/>
            </w:tcMar>
            <w:vAlign w:val="bottom"/>
          </w:tcPr>
          <w:p w14:paraId="5E2F8F8A" w14:textId="4CC5FC35"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76</w:t>
            </w:r>
            <w:r w:rsidR="00073A6E">
              <w:rPr>
                <w:sz w:val="24"/>
                <w:szCs w:val="24"/>
              </w:rPr>
              <w:t>–</w:t>
            </w:r>
            <w:r>
              <w:rPr>
                <w:sz w:val="24"/>
                <w:szCs w:val="24"/>
              </w:rPr>
              <w:t>7)</w:t>
            </w:r>
            <w:r w:rsidR="006F75D5">
              <w:rPr>
                <w:sz w:val="24"/>
                <w:szCs w:val="24"/>
              </w:rPr>
              <w:t>, Weber (2022–23)</w:t>
            </w:r>
          </w:p>
        </w:tc>
      </w:tr>
      <w:tr w:rsidR="005B0D65" w14:paraId="647E2CF9"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31BEDDBB" w14:textId="77777777" w:rsidR="005B0D65" w:rsidRDefault="005B0D65" w:rsidP="000B0FEB">
            <w:pPr>
              <w:widowControl w:val="0"/>
              <w:rPr>
                <w:sz w:val="24"/>
                <w:szCs w:val="24"/>
              </w:rPr>
            </w:pPr>
            <w:r>
              <w:rPr>
                <w:sz w:val="24"/>
                <w:szCs w:val="24"/>
              </w:rPr>
              <w:lastRenderedPageBreak/>
              <w:t>Berk. 234</w:t>
            </w:r>
          </w:p>
        </w:tc>
        <w:tc>
          <w:tcPr>
            <w:tcW w:w="6816" w:type="dxa"/>
            <w:tcBorders>
              <w:top w:val="nil"/>
              <w:left w:val="nil"/>
              <w:bottom w:val="nil"/>
              <w:right w:val="nil"/>
            </w:tcBorders>
            <w:tcMar>
              <w:top w:w="20" w:type="dxa"/>
              <w:left w:w="20" w:type="dxa"/>
              <w:bottom w:w="100" w:type="dxa"/>
              <w:right w:w="20" w:type="dxa"/>
            </w:tcMar>
            <w:vAlign w:val="bottom"/>
          </w:tcPr>
          <w:p w14:paraId="024D2481" w14:textId="7225D098"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74</w:t>
            </w:r>
            <w:r w:rsidR="00073A6E">
              <w:rPr>
                <w:sz w:val="24"/>
                <w:szCs w:val="24"/>
              </w:rPr>
              <w:t>–</w:t>
            </w:r>
            <w:r>
              <w:rPr>
                <w:sz w:val="24"/>
                <w:szCs w:val="24"/>
              </w:rPr>
              <w:t>5)</w:t>
            </w:r>
            <w:r w:rsidR="006F75D5">
              <w:rPr>
                <w:sz w:val="24"/>
                <w:szCs w:val="24"/>
              </w:rPr>
              <w:t>, Weber (2022–23)</w:t>
            </w:r>
          </w:p>
        </w:tc>
      </w:tr>
      <w:tr w:rsidR="005B0D65" w14:paraId="221CC69D"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57902A91" w14:textId="77777777" w:rsidR="005B0D65" w:rsidRDefault="005B0D65" w:rsidP="000B0FEB">
            <w:pPr>
              <w:widowControl w:val="0"/>
              <w:rPr>
                <w:sz w:val="24"/>
                <w:szCs w:val="24"/>
              </w:rPr>
            </w:pPr>
            <w:r>
              <w:rPr>
                <w:sz w:val="24"/>
                <w:szCs w:val="24"/>
              </w:rPr>
              <w:t>Berk. 235</w:t>
            </w:r>
          </w:p>
        </w:tc>
        <w:tc>
          <w:tcPr>
            <w:tcW w:w="6816" w:type="dxa"/>
            <w:tcBorders>
              <w:top w:val="nil"/>
              <w:left w:val="nil"/>
              <w:bottom w:val="nil"/>
              <w:right w:val="nil"/>
            </w:tcBorders>
            <w:tcMar>
              <w:top w:w="20" w:type="dxa"/>
              <w:left w:w="20" w:type="dxa"/>
              <w:bottom w:w="100" w:type="dxa"/>
              <w:right w:w="20" w:type="dxa"/>
            </w:tcMar>
            <w:vAlign w:val="bottom"/>
          </w:tcPr>
          <w:p w14:paraId="50BDF2E9" w14:textId="61BD4340"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100</w:t>
            </w:r>
            <w:r w:rsidR="00073A6E">
              <w:rPr>
                <w:sz w:val="24"/>
                <w:szCs w:val="24"/>
              </w:rPr>
              <w:t>–</w:t>
            </w:r>
            <w:r>
              <w:rPr>
                <w:sz w:val="24"/>
                <w:szCs w:val="24"/>
              </w:rPr>
              <w:t>102)</w:t>
            </w:r>
          </w:p>
        </w:tc>
      </w:tr>
      <w:tr w:rsidR="005B0D65" w14:paraId="2F3E6550"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4FC3313" w14:textId="77777777" w:rsidR="005B0D65" w:rsidRDefault="005B0D65" w:rsidP="000B0FEB">
            <w:pPr>
              <w:widowControl w:val="0"/>
              <w:rPr>
                <w:sz w:val="24"/>
                <w:szCs w:val="24"/>
              </w:rPr>
            </w:pPr>
            <w:r>
              <w:rPr>
                <w:sz w:val="24"/>
                <w:szCs w:val="24"/>
              </w:rPr>
              <w:t>Berk. 236</w:t>
            </w:r>
          </w:p>
        </w:tc>
        <w:tc>
          <w:tcPr>
            <w:tcW w:w="6816" w:type="dxa"/>
            <w:tcBorders>
              <w:top w:val="nil"/>
              <w:left w:val="nil"/>
              <w:bottom w:val="nil"/>
              <w:right w:val="nil"/>
            </w:tcBorders>
            <w:tcMar>
              <w:top w:w="20" w:type="dxa"/>
              <w:left w:w="20" w:type="dxa"/>
              <w:bottom w:w="100" w:type="dxa"/>
              <w:right w:w="20" w:type="dxa"/>
            </w:tcMar>
            <w:vAlign w:val="bottom"/>
          </w:tcPr>
          <w:p w14:paraId="1A404908" w14:textId="77777777" w:rsidR="005B0D65" w:rsidRDefault="005B0D65" w:rsidP="000B0FEB">
            <w:pPr>
              <w:widowControl w:val="0"/>
              <w:rPr>
                <w:sz w:val="24"/>
                <w:szCs w:val="24"/>
              </w:rPr>
            </w:pPr>
            <w:proofErr w:type="spellStart"/>
            <w:r>
              <w:rPr>
                <w:sz w:val="24"/>
                <w:szCs w:val="24"/>
              </w:rPr>
              <w:t>Gignoux</w:t>
            </w:r>
            <w:proofErr w:type="spellEnd"/>
            <w:r>
              <w:rPr>
                <w:sz w:val="24"/>
                <w:szCs w:val="24"/>
              </w:rPr>
              <w:t xml:space="preserve"> (2013)</w:t>
            </w:r>
          </w:p>
        </w:tc>
      </w:tr>
      <w:tr w:rsidR="006F75D5" w14:paraId="2983C250"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0457088F" w14:textId="3146B4B0" w:rsidR="006F75D5" w:rsidRDefault="006F75D5" w:rsidP="000B0FEB">
            <w:pPr>
              <w:widowControl w:val="0"/>
              <w:rPr>
                <w:sz w:val="24"/>
                <w:szCs w:val="24"/>
              </w:rPr>
            </w:pPr>
            <w:r>
              <w:rPr>
                <w:sz w:val="24"/>
                <w:szCs w:val="24"/>
              </w:rPr>
              <w:t>Berk. 237</w:t>
            </w:r>
          </w:p>
        </w:tc>
        <w:tc>
          <w:tcPr>
            <w:tcW w:w="6816" w:type="dxa"/>
            <w:tcBorders>
              <w:top w:val="nil"/>
              <w:left w:val="nil"/>
              <w:bottom w:val="nil"/>
              <w:right w:val="nil"/>
            </w:tcBorders>
            <w:tcMar>
              <w:top w:w="20" w:type="dxa"/>
              <w:left w:w="20" w:type="dxa"/>
              <w:bottom w:w="100" w:type="dxa"/>
              <w:right w:w="20" w:type="dxa"/>
            </w:tcMar>
            <w:vAlign w:val="bottom"/>
          </w:tcPr>
          <w:p w14:paraId="19F00F32" w14:textId="008E82E2" w:rsidR="006F75D5" w:rsidRDefault="006F75D5" w:rsidP="000B0FEB">
            <w:pPr>
              <w:widowControl w:val="0"/>
              <w:rPr>
                <w:sz w:val="24"/>
                <w:szCs w:val="24"/>
              </w:rPr>
            </w:pPr>
            <w:r>
              <w:rPr>
                <w:sz w:val="24"/>
                <w:szCs w:val="24"/>
              </w:rPr>
              <w:t>Weber (2023)</w:t>
            </w:r>
          </w:p>
        </w:tc>
      </w:tr>
      <w:tr w:rsidR="005B0D65" w14:paraId="14EA8418"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07C18AC1" w14:textId="77777777" w:rsidR="005B0D65" w:rsidRDefault="005B0D65" w:rsidP="000B0FEB">
            <w:pPr>
              <w:widowControl w:val="0"/>
              <w:rPr>
                <w:sz w:val="24"/>
                <w:szCs w:val="24"/>
              </w:rPr>
            </w:pPr>
            <w:r>
              <w:rPr>
                <w:sz w:val="24"/>
                <w:szCs w:val="24"/>
              </w:rPr>
              <w:t>Berk. 238</w:t>
            </w:r>
          </w:p>
        </w:tc>
        <w:tc>
          <w:tcPr>
            <w:tcW w:w="6816" w:type="dxa"/>
            <w:tcBorders>
              <w:top w:val="nil"/>
              <w:left w:val="nil"/>
              <w:bottom w:val="nil"/>
              <w:right w:val="nil"/>
            </w:tcBorders>
            <w:tcMar>
              <w:top w:w="20" w:type="dxa"/>
              <w:left w:w="20" w:type="dxa"/>
              <w:bottom w:w="100" w:type="dxa"/>
              <w:right w:w="20" w:type="dxa"/>
            </w:tcMar>
            <w:vAlign w:val="bottom"/>
          </w:tcPr>
          <w:p w14:paraId="26F4B5AD" w14:textId="63CF22BE"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78</w:t>
            </w:r>
            <w:r w:rsidR="00073A6E">
              <w:rPr>
                <w:sz w:val="24"/>
                <w:szCs w:val="24"/>
              </w:rPr>
              <w:t>–</w:t>
            </w:r>
            <w:r>
              <w:rPr>
                <w:sz w:val="24"/>
                <w:szCs w:val="24"/>
              </w:rPr>
              <w:t>9), Weber (2016)</w:t>
            </w:r>
            <w:r w:rsidR="006F75D5">
              <w:rPr>
                <w:sz w:val="24"/>
                <w:szCs w:val="24"/>
              </w:rPr>
              <w:t>, Weber (2022–23)</w:t>
            </w:r>
          </w:p>
        </w:tc>
      </w:tr>
      <w:tr w:rsidR="005B0D65" w14:paraId="7084584D"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03DA42D2" w14:textId="77777777" w:rsidR="005B0D65" w:rsidRDefault="005B0D65" w:rsidP="000B0FEB">
            <w:pPr>
              <w:widowControl w:val="0"/>
              <w:rPr>
                <w:sz w:val="24"/>
                <w:szCs w:val="24"/>
              </w:rPr>
            </w:pPr>
            <w:r>
              <w:rPr>
                <w:sz w:val="24"/>
                <w:szCs w:val="24"/>
              </w:rPr>
              <w:t>Berk. 244</w:t>
            </w:r>
          </w:p>
        </w:tc>
        <w:tc>
          <w:tcPr>
            <w:tcW w:w="6816" w:type="dxa"/>
            <w:tcBorders>
              <w:top w:val="nil"/>
              <w:left w:val="nil"/>
              <w:bottom w:val="nil"/>
              <w:right w:val="nil"/>
            </w:tcBorders>
            <w:tcMar>
              <w:top w:w="20" w:type="dxa"/>
              <w:left w:w="20" w:type="dxa"/>
              <w:bottom w:w="100" w:type="dxa"/>
              <w:right w:w="20" w:type="dxa"/>
            </w:tcMar>
            <w:vAlign w:val="bottom"/>
          </w:tcPr>
          <w:p w14:paraId="67422B4F" w14:textId="77777777" w:rsidR="005B0D65" w:rsidRDefault="005B0D65" w:rsidP="000B0FEB">
            <w:pPr>
              <w:widowControl w:val="0"/>
              <w:rPr>
                <w:sz w:val="24"/>
                <w:szCs w:val="24"/>
              </w:rPr>
            </w:pPr>
            <w:r>
              <w:rPr>
                <w:sz w:val="24"/>
                <w:szCs w:val="24"/>
              </w:rPr>
              <w:t>Weber (2021a)</w:t>
            </w:r>
          </w:p>
        </w:tc>
      </w:tr>
      <w:tr w:rsidR="005B0D65" w14:paraId="6F8820E3"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203C83AD" w14:textId="77777777" w:rsidR="005B0D65" w:rsidRDefault="005B0D65" w:rsidP="000B0FEB">
            <w:pPr>
              <w:widowControl w:val="0"/>
              <w:rPr>
                <w:sz w:val="24"/>
                <w:szCs w:val="24"/>
              </w:rPr>
            </w:pPr>
            <w:r>
              <w:rPr>
                <w:sz w:val="24"/>
                <w:szCs w:val="24"/>
              </w:rPr>
              <w:t>Berk. 245</w:t>
            </w:r>
          </w:p>
        </w:tc>
        <w:tc>
          <w:tcPr>
            <w:tcW w:w="6816" w:type="dxa"/>
            <w:tcBorders>
              <w:top w:val="nil"/>
              <w:left w:val="nil"/>
              <w:bottom w:val="nil"/>
              <w:right w:val="nil"/>
            </w:tcBorders>
            <w:tcMar>
              <w:top w:w="20" w:type="dxa"/>
              <w:left w:w="20" w:type="dxa"/>
              <w:bottom w:w="100" w:type="dxa"/>
              <w:right w:w="20" w:type="dxa"/>
            </w:tcMar>
            <w:vAlign w:val="bottom"/>
          </w:tcPr>
          <w:p w14:paraId="4C944782" w14:textId="77777777" w:rsidR="005B0D65" w:rsidRDefault="005B0D65" w:rsidP="000B0FEB">
            <w:pPr>
              <w:widowControl w:val="0"/>
              <w:rPr>
                <w:sz w:val="24"/>
                <w:szCs w:val="24"/>
              </w:rPr>
            </w:pPr>
            <w:r>
              <w:rPr>
                <w:sz w:val="24"/>
                <w:szCs w:val="24"/>
              </w:rPr>
              <w:t>Weber (2011)</w:t>
            </w:r>
          </w:p>
        </w:tc>
      </w:tr>
      <w:tr w:rsidR="005B0D65" w14:paraId="3B307609"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54629C6D" w14:textId="77777777" w:rsidR="005B0D65" w:rsidRDefault="005B0D65" w:rsidP="000B0FEB">
            <w:pPr>
              <w:widowControl w:val="0"/>
              <w:rPr>
                <w:sz w:val="24"/>
                <w:szCs w:val="24"/>
              </w:rPr>
            </w:pPr>
            <w:r>
              <w:rPr>
                <w:sz w:val="24"/>
                <w:szCs w:val="24"/>
              </w:rPr>
              <w:t>Berk. 246</w:t>
            </w:r>
          </w:p>
        </w:tc>
        <w:tc>
          <w:tcPr>
            <w:tcW w:w="6816" w:type="dxa"/>
            <w:tcBorders>
              <w:top w:val="nil"/>
              <w:left w:val="nil"/>
              <w:bottom w:val="nil"/>
              <w:right w:val="nil"/>
            </w:tcBorders>
            <w:tcMar>
              <w:top w:w="20" w:type="dxa"/>
              <w:left w:w="20" w:type="dxa"/>
              <w:bottom w:w="100" w:type="dxa"/>
              <w:right w:w="20" w:type="dxa"/>
            </w:tcMar>
            <w:vAlign w:val="bottom"/>
          </w:tcPr>
          <w:p w14:paraId="6617D417" w14:textId="77777777" w:rsidR="005B0D65" w:rsidRDefault="005B0D65" w:rsidP="000B0FEB">
            <w:pPr>
              <w:widowControl w:val="0"/>
              <w:rPr>
                <w:sz w:val="24"/>
                <w:szCs w:val="24"/>
              </w:rPr>
            </w:pPr>
            <w:r>
              <w:rPr>
                <w:sz w:val="24"/>
                <w:szCs w:val="24"/>
              </w:rPr>
              <w:t>Weber (2021b)</w:t>
            </w:r>
          </w:p>
        </w:tc>
      </w:tr>
      <w:tr w:rsidR="005B0D65" w14:paraId="2F8612FA"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D2CFE87" w14:textId="77777777" w:rsidR="005B0D65" w:rsidRDefault="005B0D65" w:rsidP="000B0FEB">
            <w:pPr>
              <w:widowControl w:val="0"/>
              <w:rPr>
                <w:sz w:val="24"/>
                <w:szCs w:val="24"/>
              </w:rPr>
            </w:pPr>
            <w:r>
              <w:rPr>
                <w:sz w:val="24"/>
                <w:szCs w:val="24"/>
              </w:rPr>
              <w:t>Berk. 247</w:t>
            </w:r>
          </w:p>
        </w:tc>
        <w:tc>
          <w:tcPr>
            <w:tcW w:w="6816" w:type="dxa"/>
            <w:tcBorders>
              <w:top w:val="nil"/>
              <w:left w:val="nil"/>
              <w:bottom w:val="nil"/>
              <w:right w:val="nil"/>
            </w:tcBorders>
            <w:tcMar>
              <w:top w:w="20" w:type="dxa"/>
              <w:left w:w="20" w:type="dxa"/>
              <w:bottom w:w="100" w:type="dxa"/>
              <w:right w:w="20" w:type="dxa"/>
            </w:tcMar>
            <w:vAlign w:val="bottom"/>
          </w:tcPr>
          <w:p w14:paraId="522D50EA" w14:textId="33F3063F"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62</w:t>
            </w:r>
            <w:r w:rsidR="00073A6E">
              <w:rPr>
                <w:sz w:val="24"/>
                <w:szCs w:val="24"/>
              </w:rPr>
              <w:t>–</w:t>
            </w:r>
            <w:r>
              <w:rPr>
                <w:sz w:val="24"/>
                <w:szCs w:val="24"/>
              </w:rPr>
              <w:t>3), Weber (2019a)</w:t>
            </w:r>
          </w:p>
        </w:tc>
      </w:tr>
      <w:tr w:rsidR="005B0D65" w14:paraId="029C8B22"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592BEDC" w14:textId="77777777" w:rsidR="005B0D65" w:rsidRDefault="005B0D65" w:rsidP="000B0FEB">
            <w:pPr>
              <w:widowControl w:val="0"/>
              <w:rPr>
                <w:sz w:val="24"/>
                <w:szCs w:val="24"/>
              </w:rPr>
            </w:pPr>
            <w:r>
              <w:rPr>
                <w:sz w:val="24"/>
                <w:szCs w:val="24"/>
              </w:rPr>
              <w:t>Berk. 251</w:t>
            </w:r>
          </w:p>
        </w:tc>
        <w:tc>
          <w:tcPr>
            <w:tcW w:w="6816" w:type="dxa"/>
            <w:tcBorders>
              <w:top w:val="nil"/>
              <w:left w:val="nil"/>
              <w:bottom w:val="nil"/>
              <w:right w:val="nil"/>
            </w:tcBorders>
            <w:tcMar>
              <w:top w:w="20" w:type="dxa"/>
              <w:left w:w="20" w:type="dxa"/>
              <w:bottom w:w="100" w:type="dxa"/>
              <w:right w:w="20" w:type="dxa"/>
            </w:tcMar>
            <w:vAlign w:val="bottom"/>
          </w:tcPr>
          <w:p w14:paraId="29B0E70C" w14:textId="6C621872"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36</w:t>
            </w:r>
            <w:r w:rsidR="00073A6E">
              <w:rPr>
                <w:sz w:val="24"/>
                <w:szCs w:val="24"/>
              </w:rPr>
              <w:t>–</w:t>
            </w:r>
            <w:r>
              <w:rPr>
                <w:sz w:val="24"/>
                <w:szCs w:val="24"/>
              </w:rPr>
              <w:t>7)</w:t>
            </w:r>
          </w:p>
        </w:tc>
      </w:tr>
      <w:tr w:rsidR="005B0D65" w14:paraId="3A8FA02D"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A924DAD" w14:textId="77777777" w:rsidR="005B0D65" w:rsidRDefault="005B0D65" w:rsidP="000B0FEB">
            <w:pPr>
              <w:widowControl w:val="0"/>
              <w:rPr>
                <w:sz w:val="24"/>
                <w:szCs w:val="24"/>
              </w:rPr>
            </w:pPr>
            <w:r>
              <w:rPr>
                <w:sz w:val="24"/>
                <w:szCs w:val="24"/>
              </w:rPr>
              <w:t>Berk. 255</w:t>
            </w:r>
          </w:p>
        </w:tc>
        <w:tc>
          <w:tcPr>
            <w:tcW w:w="6816" w:type="dxa"/>
            <w:tcBorders>
              <w:top w:val="nil"/>
              <w:left w:val="nil"/>
              <w:bottom w:val="nil"/>
              <w:right w:val="nil"/>
            </w:tcBorders>
            <w:tcMar>
              <w:top w:w="20" w:type="dxa"/>
              <w:left w:w="20" w:type="dxa"/>
              <w:bottom w:w="100" w:type="dxa"/>
              <w:right w:w="20" w:type="dxa"/>
            </w:tcMar>
            <w:vAlign w:val="bottom"/>
          </w:tcPr>
          <w:p w14:paraId="69BAB3C6" w14:textId="544F8D39" w:rsidR="005B0D65" w:rsidRDefault="005B0D65" w:rsidP="000B0FEB">
            <w:pPr>
              <w:widowControl w:val="0"/>
              <w:rPr>
                <w:sz w:val="24"/>
                <w:szCs w:val="24"/>
              </w:rPr>
            </w:pPr>
            <w:proofErr w:type="spellStart"/>
            <w:r>
              <w:rPr>
                <w:sz w:val="24"/>
                <w:szCs w:val="24"/>
              </w:rPr>
              <w:t>Gignoux</w:t>
            </w:r>
            <w:proofErr w:type="spellEnd"/>
            <w:r>
              <w:rPr>
                <w:sz w:val="24"/>
                <w:szCs w:val="24"/>
              </w:rPr>
              <w:t xml:space="preserve"> (2010: 88</w:t>
            </w:r>
            <w:r w:rsidR="00073A6E">
              <w:rPr>
                <w:sz w:val="24"/>
                <w:szCs w:val="24"/>
              </w:rPr>
              <w:t>–</w:t>
            </w:r>
            <w:r>
              <w:rPr>
                <w:sz w:val="24"/>
                <w:szCs w:val="24"/>
              </w:rPr>
              <w:t>9), Weber (2016)</w:t>
            </w:r>
          </w:p>
        </w:tc>
      </w:tr>
      <w:tr w:rsidR="005B0D65" w14:paraId="398907F7"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3300B1BE" w14:textId="77777777" w:rsidR="005B0D65" w:rsidRDefault="005B0D65" w:rsidP="000B0FEB">
            <w:pPr>
              <w:widowControl w:val="0"/>
              <w:rPr>
                <w:sz w:val="24"/>
                <w:szCs w:val="24"/>
              </w:rPr>
            </w:pPr>
            <w:r>
              <w:rPr>
                <w:sz w:val="24"/>
                <w:szCs w:val="24"/>
              </w:rPr>
              <w:t>Berlin 1</w:t>
            </w:r>
          </w:p>
        </w:tc>
        <w:tc>
          <w:tcPr>
            <w:tcW w:w="6816" w:type="dxa"/>
            <w:tcBorders>
              <w:top w:val="nil"/>
              <w:left w:val="nil"/>
              <w:bottom w:val="nil"/>
              <w:right w:val="nil"/>
            </w:tcBorders>
            <w:tcMar>
              <w:top w:w="20" w:type="dxa"/>
              <w:left w:w="20" w:type="dxa"/>
              <w:bottom w:w="100" w:type="dxa"/>
              <w:right w:w="20" w:type="dxa"/>
            </w:tcMar>
            <w:vAlign w:val="bottom"/>
          </w:tcPr>
          <w:p w14:paraId="3CAFA63B" w14:textId="441ED325" w:rsidR="005B0D65" w:rsidRDefault="00103199" w:rsidP="000B0FEB">
            <w:pPr>
              <w:widowControl w:val="0"/>
              <w:rPr>
                <w:sz w:val="24"/>
                <w:szCs w:val="24"/>
              </w:rPr>
            </w:pPr>
            <w:r>
              <w:rPr>
                <w:sz w:val="24"/>
                <w:szCs w:val="24"/>
              </w:rPr>
              <w:t>Weber (2008a</w:t>
            </w:r>
            <w:r w:rsidR="005B0D65">
              <w:rPr>
                <w:sz w:val="24"/>
                <w:szCs w:val="24"/>
              </w:rPr>
              <w:t>), Weber (2022b)</w:t>
            </w:r>
          </w:p>
        </w:tc>
      </w:tr>
      <w:tr w:rsidR="005B0D65" w14:paraId="2A8F3F7D"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59036319" w14:textId="77777777" w:rsidR="005B0D65" w:rsidRDefault="005B0D65" w:rsidP="000B0FEB">
            <w:pPr>
              <w:widowControl w:val="0"/>
              <w:rPr>
                <w:sz w:val="24"/>
                <w:szCs w:val="24"/>
              </w:rPr>
            </w:pPr>
            <w:r>
              <w:rPr>
                <w:sz w:val="24"/>
                <w:szCs w:val="24"/>
              </w:rPr>
              <w:t>Berlin 2</w:t>
            </w:r>
          </w:p>
        </w:tc>
        <w:tc>
          <w:tcPr>
            <w:tcW w:w="6816" w:type="dxa"/>
            <w:tcBorders>
              <w:top w:val="nil"/>
              <w:left w:val="nil"/>
              <w:bottom w:val="nil"/>
              <w:right w:val="nil"/>
            </w:tcBorders>
            <w:tcMar>
              <w:top w:w="20" w:type="dxa"/>
              <w:left w:w="20" w:type="dxa"/>
              <w:bottom w:w="100" w:type="dxa"/>
              <w:right w:w="20" w:type="dxa"/>
            </w:tcMar>
            <w:vAlign w:val="bottom"/>
          </w:tcPr>
          <w:p w14:paraId="71FDA426" w14:textId="5585A5EC" w:rsidR="005B0D65" w:rsidRDefault="00103199" w:rsidP="000B0FEB">
            <w:pPr>
              <w:widowControl w:val="0"/>
              <w:rPr>
                <w:sz w:val="24"/>
                <w:szCs w:val="24"/>
              </w:rPr>
            </w:pPr>
            <w:r>
              <w:rPr>
                <w:sz w:val="24"/>
                <w:szCs w:val="24"/>
              </w:rPr>
              <w:t>Weber (2008a</w:t>
            </w:r>
            <w:r w:rsidR="005B0D65">
              <w:rPr>
                <w:sz w:val="24"/>
                <w:szCs w:val="24"/>
              </w:rPr>
              <w:t>)</w:t>
            </w:r>
          </w:p>
        </w:tc>
      </w:tr>
      <w:tr w:rsidR="005B0D65" w14:paraId="4661E800"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548377A6" w14:textId="77777777" w:rsidR="005B0D65" w:rsidRDefault="005B0D65" w:rsidP="000B0FEB">
            <w:pPr>
              <w:widowControl w:val="0"/>
              <w:rPr>
                <w:sz w:val="24"/>
                <w:szCs w:val="24"/>
              </w:rPr>
            </w:pPr>
            <w:r>
              <w:rPr>
                <w:sz w:val="24"/>
                <w:szCs w:val="24"/>
              </w:rPr>
              <w:t>Berlin 3</w:t>
            </w:r>
          </w:p>
        </w:tc>
        <w:tc>
          <w:tcPr>
            <w:tcW w:w="6816" w:type="dxa"/>
            <w:tcBorders>
              <w:top w:val="nil"/>
              <w:left w:val="nil"/>
              <w:bottom w:val="nil"/>
              <w:right w:val="nil"/>
            </w:tcBorders>
            <w:tcMar>
              <w:top w:w="20" w:type="dxa"/>
              <w:left w:w="20" w:type="dxa"/>
              <w:bottom w:w="100" w:type="dxa"/>
              <w:right w:w="20" w:type="dxa"/>
            </w:tcMar>
            <w:vAlign w:val="bottom"/>
          </w:tcPr>
          <w:p w14:paraId="529201F5" w14:textId="139572C7" w:rsidR="005B0D65" w:rsidRDefault="00103199" w:rsidP="000B0FEB">
            <w:pPr>
              <w:widowControl w:val="0"/>
              <w:rPr>
                <w:sz w:val="24"/>
                <w:szCs w:val="24"/>
              </w:rPr>
            </w:pPr>
            <w:r>
              <w:rPr>
                <w:sz w:val="24"/>
                <w:szCs w:val="24"/>
              </w:rPr>
              <w:t>Weber (2008a</w:t>
            </w:r>
            <w:r w:rsidR="005B0D65">
              <w:rPr>
                <w:sz w:val="24"/>
                <w:szCs w:val="24"/>
              </w:rPr>
              <w:t>)</w:t>
            </w:r>
          </w:p>
        </w:tc>
      </w:tr>
      <w:tr w:rsidR="005B0D65" w14:paraId="5FAF3100"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350E133B" w14:textId="77777777" w:rsidR="005B0D65" w:rsidRDefault="005B0D65" w:rsidP="000B0FEB">
            <w:pPr>
              <w:widowControl w:val="0"/>
              <w:rPr>
                <w:sz w:val="24"/>
                <w:szCs w:val="24"/>
              </w:rPr>
            </w:pPr>
            <w:r>
              <w:rPr>
                <w:sz w:val="24"/>
                <w:szCs w:val="24"/>
              </w:rPr>
              <w:t>Berlin 4</w:t>
            </w:r>
          </w:p>
        </w:tc>
        <w:tc>
          <w:tcPr>
            <w:tcW w:w="6816" w:type="dxa"/>
            <w:tcBorders>
              <w:top w:val="nil"/>
              <w:left w:val="nil"/>
              <w:bottom w:val="nil"/>
              <w:right w:val="nil"/>
            </w:tcBorders>
            <w:tcMar>
              <w:top w:w="20" w:type="dxa"/>
              <w:left w:w="20" w:type="dxa"/>
              <w:bottom w:w="100" w:type="dxa"/>
              <w:right w:w="20" w:type="dxa"/>
            </w:tcMar>
            <w:vAlign w:val="bottom"/>
          </w:tcPr>
          <w:p w14:paraId="78047FFE" w14:textId="0FE91E11" w:rsidR="005B0D65" w:rsidRDefault="00103199" w:rsidP="000B0FEB">
            <w:pPr>
              <w:widowControl w:val="0"/>
              <w:rPr>
                <w:sz w:val="24"/>
                <w:szCs w:val="24"/>
              </w:rPr>
            </w:pPr>
            <w:r>
              <w:rPr>
                <w:sz w:val="24"/>
                <w:szCs w:val="24"/>
              </w:rPr>
              <w:t>Weber (2008a</w:t>
            </w:r>
            <w:r w:rsidR="005B0D65">
              <w:rPr>
                <w:sz w:val="24"/>
                <w:szCs w:val="24"/>
              </w:rPr>
              <w:t>), Weber (2022a)</w:t>
            </w:r>
          </w:p>
        </w:tc>
      </w:tr>
      <w:tr w:rsidR="005B0D65" w14:paraId="2A150A13"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5EF7C568" w14:textId="77777777" w:rsidR="005B0D65" w:rsidRDefault="005B0D65" w:rsidP="000B0FEB">
            <w:pPr>
              <w:widowControl w:val="0"/>
              <w:rPr>
                <w:sz w:val="24"/>
                <w:szCs w:val="24"/>
              </w:rPr>
            </w:pPr>
            <w:r>
              <w:rPr>
                <w:sz w:val="24"/>
                <w:szCs w:val="24"/>
              </w:rPr>
              <w:t>Berlin 5</w:t>
            </w:r>
          </w:p>
        </w:tc>
        <w:tc>
          <w:tcPr>
            <w:tcW w:w="6816" w:type="dxa"/>
            <w:tcBorders>
              <w:top w:val="nil"/>
              <w:left w:val="nil"/>
              <w:bottom w:val="nil"/>
              <w:right w:val="nil"/>
            </w:tcBorders>
            <w:tcMar>
              <w:top w:w="20" w:type="dxa"/>
              <w:left w:w="20" w:type="dxa"/>
              <w:bottom w:w="100" w:type="dxa"/>
              <w:right w:w="20" w:type="dxa"/>
            </w:tcMar>
            <w:vAlign w:val="bottom"/>
          </w:tcPr>
          <w:p w14:paraId="625D2303" w14:textId="31490609" w:rsidR="005B0D65" w:rsidRDefault="00103199" w:rsidP="000B0FEB">
            <w:pPr>
              <w:widowControl w:val="0"/>
              <w:rPr>
                <w:sz w:val="24"/>
                <w:szCs w:val="24"/>
              </w:rPr>
            </w:pPr>
            <w:r>
              <w:rPr>
                <w:sz w:val="24"/>
                <w:szCs w:val="24"/>
              </w:rPr>
              <w:t>Weber (2008a</w:t>
            </w:r>
            <w:r w:rsidR="005B0D65">
              <w:rPr>
                <w:sz w:val="24"/>
                <w:szCs w:val="24"/>
              </w:rPr>
              <w:t>), Weber (2022a)</w:t>
            </w:r>
          </w:p>
        </w:tc>
      </w:tr>
      <w:tr w:rsidR="005B0D65" w14:paraId="0743EFE1"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04304888" w14:textId="77777777" w:rsidR="005B0D65" w:rsidRDefault="005B0D65" w:rsidP="000B0FEB">
            <w:pPr>
              <w:widowControl w:val="0"/>
              <w:rPr>
                <w:sz w:val="24"/>
                <w:szCs w:val="24"/>
              </w:rPr>
            </w:pPr>
            <w:r>
              <w:rPr>
                <w:sz w:val="24"/>
                <w:szCs w:val="24"/>
              </w:rPr>
              <w:t>Berlin 6</w:t>
            </w:r>
          </w:p>
        </w:tc>
        <w:tc>
          <w:tcPr>
            <w:tcW w:w="6816" w:type="dxa"/>
            <w:tcBorders>
              <w:top w:val="nil"/>
              <w:left w:val="nil"/>
              <w:bottom w:val="nil"/>
              <w:right w:val="nil"/>
            </w:tcBorders>
            <w:tcMar>
              <w:top w:w="20" w:type="dxa"/>
              <w:left w:w="20" w:type="dxa"/>
              <w:bottom w:w="100" w:type="dxa"/>
              <w:right w:w="20" w:type="dxa"/>
            </w:tcMar>
            <w:vAlign w:val="bottom"/>
          </w:tcPr>
          <w:p w14:paraId="4B5B43C6" w14:textId="1EA0D717" w:rsidR="005B0D65" w:rsidRDefault="00103199" w:rsidP="000B0FEB">
            <w:pPr>
              <w:widowControl w:val="0"/>
              <w:rPr>
                <w:sz w:val="24"/>
                <w:szCs w:val="24"/>
              </w:rPr>
            </w:pPr>
            <w:r>
              <w:rPr>
                <w:sz w:val="24"/>
                <w:szCs w:val="24"/>
              </w:rPr>
              <w:t>Weber (2008a</w:t>
            </w:r>
            <w:r w:rsidR="005B0D65">
              <w:rPr>
                <w:sz w:val="24"/>
                <w:szCs w:val="24"/>
              </w:rPr>
              <w:t>), Weber (2021b)</w:t>
            </w:r>
          </w:p>
        </w:tc>
      </w:tr>
      <w:tr w:rsidR="005B0D65" w:rsidRPr="00042B1B" w14:paraId="7A5D5726"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54564242" w14:textId="77777777" w:rsidR="005B0D65" w:rsidRDefault="005B0D65" w:rsidP="000B0FEB">
            <w:pPr>
              <w:widowControl w:val="0"/>
              <w:rPr>
                <w:sz w:val="24"/>
                <w:szCs w:val="24"/>
              </w:rPr>
            </w:pPr>
            <w:r>
              <w:rPr>
                <w:sz w:val="24"/>
                <w:szCs w:val="24"/>
              </w:rPr>
              <w:t>Berlin 7</w:t>
            </w:r>
          </w:p>
        </w:tc>
        <w:tc>
          <w:tcPr>
            <w:tcW w:w="6816" w:type="dxa"/>
            <w:tcBorders>
              <w:top w:val="nil"/>
              <w:left w:val="nil"/>
              <w:bottom w:val="nil"/>
              <w:right w:val="nil"/>
            </w:tcBorders>
            <w:tcMar>
              <w:top w:w="20" w:type="dxa"/>
              <w:left w:w="20" w:type="dxa"/>
              <w:bottom w:w="100" w:type="dxa"/>
              <w:right w:w="20" w:type="dxa"/>
            </w:tcMar>
            <w:vAlign w:val="bottom"/>
          </w:tcPr>
          <w:p w14:paraId="0C38CEAC" w14:textId="033A5B3D" w:rsidR="005B0D65" w:rsidRPr="006F75D5" w:rsidRDefault="00103199" w:rsidP="000B0FEB">
            <w:pPr>
              <w:widowControl w:val="0"/>
              <w:rPr>
                <w:sz w:val="24"/>
                <w:szCs w:val="24"/>
                <w:lang w:val="de-DE"/>
              </w:rPr>
            </w:pPr>
            <w:r w:rsidRPr="006F75D5">
              <w:rPr>
                <w:sz w:val="24"/>
                <w:szCs w:val="24"/>
                <w:lang w:val="de-DE"/>
              </w:rPr>
              <w:t>Weber (2008a</w:t>
            </w:r>
            <w:r w:rsidR="005B0D65" w:rsidRPr="006F75D5">
              <w:rPr>
                <w:sz w:val="24"/>
                <w:szCs w:val="24"/>
                <w:lang w:val="de-DE"/>
              </w:rPr>
              <w:t>), Weber (2021b)</w:t>
            </w:r>
            <w:r w:rsidR="006F75D5" w:rsidRPr="006F75D5">
              <w:rPr>
                <w:sz w:val="24"/>
                <w:szCs w:val="24"/>
                <w:lang w:val="de-DE"/>
              </w:rPr>
              <w:t>, Weber (2023)</w:t>
            </w:r>
          </w:p>
        </w:tc>
      </w:tr>
      <w:tr w:rsidR="005B0D65" w14:paraId="4CDDCE9C"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69E5559F" w14:textId="77777777" w:rsidR="005B0D65" w:rsidRDefault="005B0D65" w:rsidP="000B0FEB">
            <w:pPr>
              <w:widowControl w:val="0"/>
              <w:rPr>
                <w:sz w:val="24"/>
                <w:szCs w:val="24"/>
              </w:rPr>
            </w:pPr>
            <w:r>
              <w:rPr>
                <w:sz w:val="24"/>
                <w:szCs w:val="24"/>
              </w:rPr>
              <w:t>Berlin 8</w:t>
            </w:r>
          </w:p>
        </w:tc>
        <w:tc>
          <w:tcPr>
            <w:tcW w:w="6816" w:type="dxa"/>
            <w:tcBorders>
              <w:top w:val="nil"/>
              <w:left w:val="nil"/>
              <w:bottom w:val="nil"/>
              <w:right w:val="nil"/>
            </w:tcBorders>
            <w:tcMar>
              <w:top w:w="20" w:type="dxa"/>
              <w:left w:w="20" w:type="dxa"/>
              <w:bottom w:w="100" w:type="dxa"/>
              <w:right w:w="20" w:type="dxa"/>
            </w:tcMar>
            <w:vAlign w:val="bottom"/>
          </w:tcPr>
          <w:p w14:paraId="1E12A8AE" w14:textId="4E5E7805" w:rsidR="005B0D65" w:rsidRDefault="00103199" w:rsidP="000B0FEB">
            <w:pPr>
              <w:widowControl w:val="0"/>
              <w:rPr>
                <w:sz w:val="24"/>
                <w:szCs w:val="24"/>
              </w:rPr>
            </w:pPr>
            <w:r>
              <w:rPr>
                <w:sz w:val="24"/>
                <w:szCs w:val="24"/>
              </w:rPr>
              <w:t>Weber (2008a</w:t>
            </w:r>
            <w:r w:rsidR="005B0D65">
              <w:rPr>
                <w:sz w:val="24"/>
                <w:szCs w:val="24"/>
              </w:rPr>
              <w:t>), Weber (2021b)</w:t>
            </w:r>
          </w:p>
        </w:tc>
      </w:tr>
      <w:tr w:rsidR="005B0D65" w14:paraId="37BF74D6"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744C27BC" w14:textId="77777777" w:rsidR="005B0D65" w:rsidRDefault="005B0D65" w:rsidP="000B0FEB">
            <w:pPr>
              <w:widowControl w:val="0"/>
              <w:rPr>
                <w:sz w:val="24"/>
                <w:szCs w:val="24"/>
              </w:rPr>
            </w:pPr>
            <w:r>
              <w:rPr>
                <w:sz w:val="24"/>
                <w:szCs w:val="24"/>
              </w:rPr>
              <w:t>Berlin 9</w:t>
            </w:r>
          </w:p>
        </w:tc>
        <w:tc>
          <w:tcPr>
            <w:tcW w:w="6816" w:type="dxa"/>
            <w:tcBorders>
              <w:top w:val="nil"/>
              <w:left w:val="nil"/>
              <w:bottom w:val="nil"/>
              <w:right w:val="nil"/>
            </w:tcBorders>
            <w:tcMar>
              <w:top w:w="20" w:type="dxa"/>
              <w:left w:w="20" w:type="dxa"/>
              <w:bottom w:w="100" w:type="dxa"/>
              <w:right w:w="20" w:type="dxa"/>
            </w:tcMar>
            <w:vAlign w:val="bottom"/>
          </w:tcPr>
          <w:p w14:paraId="289D5B2C" w14:textId="415499EE" w:rsidR="005B0D65" w:rsidRDefault="00103199" w:rsidP="000B0FEB">
            <w:pPr>
              <w:widowControl w:val="0"/>
              <w:rPr>
                <w:sz w:val="24"/>
                <w:szCs w:val="24"/>
              </w:rPr>
            </w:pPr>
            <w:r>
              <w:rPr>
                <w:sz w:val="24"/>
                <w:szCs w:val="24"/>
              </w:rPr>
              <w:t>Weber (2008a</w:t>
            </w:r>
            <w:r w:rsidR="005B0D65">
              <w:rPr>
                <w:sz w:val="24"/>
                <w:szCs w:val="24"/>
              </w:rPr>
              <w:t>), Weber (2021b)</w:t>
            </w:r>
          </w:p>
        </w:tc>
      </w:tr>
      <w:tr w:rsidR="005B0D65" w14:paraId="0BC67748"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6F20504" w14:textId="77777777" w:rsidR="005B0D65" w:rsidRDefault="005B0D65" w:rsidP="000B0FEB">
            <w:pPr>
              <w:widowControl w:val="0"/>
              <w:rPr>
                <w:sz w:val="24"/>
                <w:szCs w:val="24"/>
              </w:rPr>
            </w:pPr>
            <w:r>
              <w:rPr>
                <w:sz w:val="24"/>
                <w:szCs w:val="24"/>
              </w:rPr>
              <w:t>Berlin 10</w:t>
            </w:r>
          </w:p>
        </w:tc>
        <w:tc>
          <w:tcPr>
            <w:tcW w:w="6816" w:type="dxa"/>
            <w:tcBorders>
              <w:top w:val="nil"/>
              <w:left w:val="nil"/>
              <w:bottom w:val="nil"/>
              <w:right w:val="nil"/>
            </w:tcBorders>
            <w:tcMar>
              <w:top w:w="20" w:type="dxa"/>
              <w:left w:w="20" w:type="dxa"/>
              <w:bottom w:w="100" w:type="dxa"/>
              <w:right w:w="20" w:type="dxa"/>
            </w:tcMar>
            <w:vAlign w:val="bottom"/>
          </w:tcPr>
          <w:p w14:paraId="4DB74B09" w14:textId="1591FD94" w:rsidR="005B0D65" w:rsidRDefault="00103199" w:rsidP="000B0FEB">
            <w:pPr>
              <w:widowControl w:val="0"/>
              <w:rPr>
                <w:sz w:val="24"/>
                <w:szCs w:val="24"/>
              </w:rPr>
            </w:pPr>
            <w:r>
              <w:rPr>
                <w:sz w:val="24"/>
                <w:szCs w:val="24"/>
              </w:rPr>
              <w:t>Weber (2008a</w:t>
            </w:r>
            <w:r w:rsidR="005B0D65">
              <w:rPr>
                <w:sz w:val="24"/>
                <w:szCs w:val="24"/>
              </w:rPr>
              <w:t>), Weber (2019a)</w:t>
            </w:r>
          </w:p>
        </w:tc>
      </w:tr>
      <w:tr w:rsidR="005B0D65" w14:paraId="5AD8F423"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57DAC4EB" w14:textId="77777777" w:rsidR="005B0D65" w:rsidRDefault="005B0D65" w:rsidP="000B0FEB">
            <w:pPr>
              <w:widowControl w:val="0"/>
              <w:rPr>
                <w:sz w:val="24"/>
                <w:szCs w:val="24"/>
              </w:rPr>
            </w:pPr>
            <w:r>
              <w:rPr>
                <w:sz w:val="24"/>
                <w:szCs w:val="24"/>
              </w:rPr>
              <w:t>Berlin 11</w:t>
            </w:r>
          </w:p>
        </w:tc>
        <w:tc>
          <w:tcPr>
            <w:tcW w:w="6816" w:type="dxa"/>
            <w:tcBorders>
              <w:top w:val="nil"/>
              <w:left w:val="nil"/>
              <w:bottom w:val="nil"/>
              <w:right w:val="nil"/>
            </w:tcBorders>
            <w:tcMar>
              <w:top w:w="20" w:type="dxa"/>
              <w:left w:w="20" w:type="dxa"/>
              <w:bottom w:w="100" w:type="dxa"/>
              <w:right w:w="20" w:type="dxa"/>
            </w:tcMar>
            <w:vAlign w:val="bottom"/>
          </w:tcPr>
          <w:p w14:paraId="7EC15B4F" w14:textId="22C38DD4" w:rsidR="005B0D65" w:rsidRDefault="00103199" w:rsidP="000B0FEB">
            <w:pPr>
              <w:widowControl w:val="0"/>
              <w:rPr>
                <w:sz w:val="24"/>
                <w:szCs w:val="24"/>
              </w:rPr>
            </w:pPr>
            <w:r>
              <w:rPr>
                <w:sz w:val="24"/>
                <w:szCs w:val="24"/>
              </w:rPr>
              <w:t>Weber (2008a</w:t>
            </w:r>
            <w:r w:rsidR="005B0D65">
              <w:rPr>
                <w:sz w:val="24"/>
                <w:szCs w:val="24"/>
              </w:rPr>
              <w:t>)</w:t>
            </w:r>
          </w:p>
        </w:tc>
      </w:tr>
      <w:tr w:rsidR="005B0D65" w14:paraId="42552187"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501AC818" w14:textId="77777777" w:rsidR="005B0D65" w:rsidRDefault="005B0D65" w:rsidP="000B0FEB">
            <w:pPr>
              <w:widowControl w:val="0"/>
              <w:rPr>
                <w:sz w:val="24"/>
                <w:szCs w:val="24"/>
              </w:rPr>
            </w:pPr>
            <w:r>
              <w:rPr>
                <w:sz w:val="24"/>
                <w:szCs w:val="24"/>
              </w:rPr>
              <w:t>Berlin 12</w:t>
            </w:r>
          </w:p>
        </w:tc>
        <w:tc>
          <w:tcPr>
            <w:tcW w:w="6816" w:type="dxa"/>
            <w:tcBorders>
              <w:top w:val="nil"/>
              <w:left w:val="nil"/>
              <w:bottom w:val="nil"/>
              <w:right w:val="nil"/>
            </w:tcBorders>
            <w:tcMar>
              <w:top w:w="20" w:type="dxa"/>
              <w:left w:w="20" w:type="dxa"/>
              <w:bottom w:w="100" w:type="dxa"/>
              <w:right w:w="20" w:type="dxa"/>
            </w:tcMar>
            <w:vAlign w:val="bottom"/>
          </w:tcPr>
          <w:p w14:paraId="2E7B1158" w14:textId="7665CAA5" w:rsidR="005B0D65" w:rsidRDefault="00103199" w:rsidP="000B0FEB">
            <w:pPr>
              <w:widowControl w:val="0"/>
              <w:rPr>
                <w:sz w:val="24"/>
                <w:szCs w:val="24"/>
              </w:rPr>
            </w:pPr>
            <w:r>
              <w:rPr>
                <w:sz w:val="24"/>
                <w:szCs w:val="24"/>
              </w:rPr>
              <w:t>Weber (2008a</w:t>
            </w:r>
            <w:r w:rsidR="005B0D65">
              <w:rPr>
                <w:sz w:val="24"/>
                <w:szCs w:val="24"/>
              </w:rPr>
              <w:t>), Weber (2021b)</w:t>
            </w:r>
          </w:p>
        </w:tc>
      </w:tr>
      <w:tr w:rsidR="005B0D65" w14:paraId="6C9D0C0E"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56F41999" w14:textId="77777777" w:rsidR="005B0D65" w:rsidRDefault="005B0D65" w:rsidP="000B0FEB">
            <w:pPr>
              <w:widowControl w:val="0"/>
              <w:rPr>
                <w:sz w:val="24"/>
                <w:szCs w:val="24"/>
              </w:rPr>
            </w:pPr>
            <w:r>
              <w:rPr>
                <w:sz w:val="24"/>
                <w:szCs w:val="24"/>
              </w:rPr>
              <w:lastRenderedPageBreak/>
              <w:t>Berlin 13</w:t>
            </w:r>
          </w:p>
        </w:tc>
        <w:tc>
          <w:tcPr>
            <w:tcW w:w="6816" w:type="dxa"/>
            <w:tcBorders>
              <w:top w:val="nil"/>
              <w:left w:val="nil"/>
              <w:bottom w:val="nil"/>
              <w:right w:val="nil"/>
            </w:tcBorders>
            <w:tcMar>
              <w:top w:w="20" w:type="dxa"/>
              <w:left w:w="20" w:type="dxa"/>
              <w:bottom w:w="100" w:type="dxa"/>
              <w:right w:w="20" w:type="dxa"/>
            </w:tcMar>
            <w:vAlign w:val="bottom"/>
          </w:tcPr>
          <w:p w14:paraId="6D86EF73" w14:textId="5F6B777C" w:rsidR="005B0D65" w:rsidRDefault="00103199" w:rsidP="000B0FEB">
            <w:pPr>
              <w:widowControl w:val="0"/>
              <w:rPr>
                <w:sz w:val="24"/>
                <w:szCs w:val="24"/>
              </w:rPr>
            </w:pPr>
            <w:r>
              <w:rPr>
                <w:sz w:val="24"/>
                <w:szCs w:val="24"/>
              </w:rPr>
              <w:t>Weber (2008a</w:t>
            </w:r>
            <w:r w:rsidR="005B0D65">
              <w:rPr>
                <w:sz w:val="24"/>
                <w:szCs w:val="24"/>
              </w:rPr>
              <w:t>)</w:t>
            </w:r>
          </w:p>
        </w:tc>
      </w:tr>
      <w:tr w:rsidR="005B0D65" w14:paraId="45364677"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5FE469E6" w14:textId="77777777" w:rsidR="005B0D65" w:rsidRDefault="005B0D65" w:rsidP="000B0FEB">
            <w:pPr>
              <w:widowControl w:val="0"/>
              <w:rPr>
                <w:sz w:val="24"/>
                <w:szCs w:val="24"/>
              </w:rPr>
            </w:pPr>
            <w:r>
              <w:rPr>
                <w:sz w:val="24"/>
                <w:szCs w:val="24"/>
              </w:rPr>
              <w:t>Berlin 14</w:t>
            </w:r>
          </w:p>
        </w:tc>
        <w:tc>
          <w:tcPr>
            <w:tcW w:w="6816" w:type="dxa"/>
            <w:tcBorders>
              <w:top w:val="nil"/>
              <w:left w:val="nil"/>
              <w:bottom w:val="nil"/>
              <w:right w:val="nil"/>
            </w:tcBorders>
            <w:tcMar>
              <w:top w:w="20" w:type="dxa"/>
              <w:left w:w="20" w:type="dxa"/>
              <w:bottom w:w="100" w:type="dxa"/>
              <w:right w:w="20" w:type="dxa"/>
            </w:tcMar>
            <w:vAlign w:val="bottom"/>
          </w:tcPr>
          <w:p w14:paraId="58BF7D49" w14:textId="2EC3F1A0" w:rsidR="005B0D65" w:rsidRDefault="00103199" w:rsidP="000B0FEB">
            <w:pPr>
              <w:widowControl w:val="0"/>
              <w:rPr>
                <w:sz w:val="24"/>
                <w:szCs w:val="24"/>
              </w:rPr>
            </w:pPr>
            <w:r>
              <w:rPr>
                <w:sz w:val="24"/>
                <w:szCs w:val="24"/>
              </w:rPr>
              <w:t>Weber (2008a</w:t>
            </w:r>
            <w:r w:rsidR="005B0D65">
              <w:rPr>
                <w:sz w:val="24"/>
                <w:szCs w:val="24"/>
              </w:rPr>
              <w:t>), Weber (2021b)</w:t>
            </w:r>
          </w:p>
        </w:tc>
      </w:tr>
      <w:tr w:rsidR="005B0D65" w14:paraId="76340019"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E3A211D" w14:textId="77777777" w:rsidR="005B0D65" w:rsidRDefault="005B0D65" w:rsidP="000B0FEB">
            <w:pPr>
              <w:widowControl w:val="0"/>
              <w:rPr>
                <w:sz w:val="24"/>
                <w:szCs w:val="24"/>
              </w:rPr>
            </w:pPr>
            <w:r>
              <w:rPr>
                <w:sz w:val="24"/>
                <w:szCs w:val="24"/>
              </w:rPr>
              <w:t>Berlin 15</w:t>
            </w:r>
          </w:p>
        </w:tc>
        <w:tc>
          <w:tcPr>
            <w:tcW w:w="6816" w:type="dxa"/>
            <w:tcBorders>
              <w:top w:val="nil"/>
              <w:left w:val="nil"/>
              <w:bottom w:val="nil"/>
              <w:right w:val="nil"/>
            </w:tcBorders>
            <w:tcMar>
              <w:top w:w="20" w:type="dxa"/>
              <w:left w:w="20" w:type="dxa"/>
              <w:bottom w:w="100" w:type="dxa"/>
              <w:right w:w="20" w:type="dxa"/>
            </w:tcMar>
            <w:vAlign w:val="bottom"/>
          </w:tcPr>
          <w:p w14:paraId="2715463B" w14:textId="1BD27620" w:rsidR="005B0D65" w:rsidRDefault="00103199" w:rsidP="000B0FEB">
            <w:pPr>
              <w:widowControl w:val="0"/>
              <w:rPr>
                <w:sz w:val="24"/>
                <w:szCs w:val="24"/>
              </w:rPr>
            </w:pPr>
            <w:r>
              <w:rPr>
                <w:sz w:val="24"/>
                <w:szCs w:val="24"/>
              </w:rPr>
              <w:t>Weber (2008a</w:t>
            </w:r>
            <w:r w:rsidR="005B0D65">
              <w:rPr>
                <w:sz w:val="24"/>
                <w:szCs w:val="24"/>
              </w:rPr>
              <w:t>)</w:t>
            </w:r>
          </w:p>
        </w:tc>
      </w:tr>
      <w:tr w:rsidR="005B0D65" w14:paraId="1055F35C"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3F4C7E7" w14:textId="77777777" w:rsidR="005B0D65" w:rsidRDefault="005B0D65" w:rsidP="000B0FEB">
            <w:pPr>
              <w:widowControl w:val="0"/>
              <w:rPr>
                <w:sz w:val="24"/>
                <w:szCs w:val="24"/>
              </w:rPr>
            </w:pPr>
            <w:r>
              <w:rPr>
                <w:sz w:val="24"/>
                <w:szCs w:val="24"/>
              </w:rPr>
              <w:t>Berlin 16</w:t>
            </w:r>
          </w:p>
        </w:tc>
        <w:tc>
          <w:tcPr>
            <w:tcW w:w="6816" w:type="dxa"/>
            <w:tcBorders>
              <w:top w:val="nil"/>
              <w:left w:val="nil"/>
              <w:bottom w:val="nil"/>
              <w:right w:val="nil"/>
            </w:tcBorders>
            <w:tcMar>
              <w:top w:w="20" w:type="dxa"/>
              <w:left w:w="20" w:type="dxa"/>
              <w:bottom w:w="100" w:type="dxa"/>
              <w:right w:w="20" w:type="dxa"/>
            </w:tcMar>
            <w:vAlign w:val="bottom"/>
          </w:tcPr>
          <w:p w14:paraId="20A5B679" w14:textId="4019EC59" w:rsidR="005B0D65" w:rsidRDefault="00103199" w:rsidP="000B0FEB">
            <w:pPr>
              <w:widowControl w:val="0"/>
              <w:rPr>
                <w:sz w:val="24"/>
                <w:szCs w:val="24"/>
              </w:rPr>
            </w:pPr>
            <w:r>
              <w:rPr>
                <w:sz w:val="24"/>
                <w:szCs w:val="24"/>
              </w:rPr>
              <w:t>Weber (2008a</w:t>
            </w:r>
            <w:r w:rsidR="005B0D65">
              <w:rPr>
                <w:sz w:val="24"/>
                <w:szCs w:val="24"/>
              </w:rPr>
              <w:t xml:space="preserve">), </w:t>
            </w:r>
            <w:proofErr w:type="spellStart"/>
            <w:r w:rsidR="005B0D65">
              <w:rPr>
                <w:sz w:val="24"/>
                <w:szCs w:val="24"/>
              </w:rPr>
              <w:t>Gignoux</w:t>
            </w:r>
            <w:proofErr w:type="spellEnd"/>
            <w:r w:rsidR="005B0D65">
              <w:rPr>
                <w:sz w:val="24"/>
                <w:szCs w:val="24"/>
              </w:rPr>
              <w:t xml:space="preserve"> (2010: 122</w:t>
            </w:r>
            <w:r w:rsidR="00073A6E">
              <w:rPr>
                <w:sz w:val="24"/>
                <w:szCs w:val="24"/>
              </w:rPr>
              <w:t>–</w:t>
            </w:r>
            <w:r w:rsidR="005B0D65">
              <w:rPr>
                <w:sz w:val="24"/>
                <w:szCs w:val="24"/>
              </w:rPr>
              <w:t>3), Weber (2016)</w:t>
            </w:r>
          </w:p>
        </w:tc>
      </w:tr>
      <w:tr w:rsidR="005B0D65" w14:paraId="233A6491"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C65DB20" w14:textId="77777777" w:rsidR="005B0D65" w:rsidRDefault="005B0D65" w:rsidP="000B0FEB">
            <w:pPr>
              <w:widowControl w:val="0"/>
              <w:rPr>
                <w:sz w:val="24"/>
                <w:szCs w:val="24"/>
              </w:rPr>
            </w:pPr>
            <w:r>
              <w:rPr>
                <w:sz w:val="24"/>
                <w:szCs w:val="24"/>
              </w:rPr>
              <w:t>Berlin 17</w:t>
            </w:r>
          </w:p>
        </w:tc>
        <w:tc>
          <w:tcPr>
            <w:tcW w:w="6816" w:type="dxa"/>
            <w:tcBorders>
              <w:top w:val="nil"/>
              <w:left w:val="nil"/>
              <w:bottom w:val="nil"/>
              <w:right w:val="nil"/>
            </w:tcBorders>
            <w:tcMar>
              <w:top w:w="20" w:type="dxa"/>
              <w:left w:w="20" w:type="dxa"/>
              <w:bottom w:w="100" w:type="dxa"/>
              <w:right w:w="20" w:type="dxa"/>
            </w:tcMar>
            <w:vAlign w:val="bottom"/>
          </w:tcPr>
          <w:p w14:paraId="7A943822" w14:textId="3FE4DE37" w:rsidR="005B0D65" w:rsidRDefault="00103199" w:rsidP="000B0FEB">
            <w:pPr>
              <w:widowControl w:val="0"/>
              <w:rPr>
                <w:sz w:val="24"/>
                <w:szCs w:val="24"/>
              </w:rPr>
            </w:pPr>
            <w:r>
              <w:rPr>
                <w:sz w:val="24"/>
                <w:szCs w:val="24"/>
              </w:rPr>
              <w:t>Weber (2008a</w:t>
            </w:r>
            <w:r w:rsidR="005B0D65">
              <w:rPr>
                <w:sz w:val="24"/>
                <w:szCs w:val="24"/>
              </w:rPr>
              <w:t>)</w:t>
            </w:r>
          </w:p>
        </w:tc>
      </w:tr>
      <w:tr w:rsidR="005B0D65" w14:paraId="79DEA7D2"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1230DE07" w14:textId="77777777" w:rsidR="005B0D65" w:rsidRDefault="005B0D65" w:rsidP="000B0FEB">
            <w:pPr>
              <w:widowControl w:val="0"/>
              <w:rPr>
                <w:sz w:val="24"/>
                <w:szCs w:val="24"/>
              </w:rPr>
            </w:pPr>
            <w:r>
              <w:rPr>
                <w:sz w:val="24"/>
                <w:szCs w:val="24"/>
              </w:rPr>
              <w:t>Berlin 18</w:t>
            </w:r>
          </w:p>
        </w:tc>
        <w:tc>
          <w:tcPr>
            <w:tcW w:w="6816" w:type="dxa"/>
            <w:tcBorders>
              <w:top w:val="nil"/>
              <w:left w:val="nil"/>
              <w:bottom w:val="nil"/>
              <w:right w:val="nil"/>
            </w:tcBorders>
            <w:tcMar>
              <w:top w:w="20" w:type="dxa"/>
              <w:left w:w="20" w:type="dxa"/>
              <w:bottom w:w="100" w:type="dxa"/>
              <w:right w:w="20" w:type="dxa"/>
            </w:tcMar>
            <w:vAlign w:val="bottom"/>
          </w:tcPr>
          <w:p w14:paraId="77C273BA" w14:textId="563FC553" w:rsidR="005B0D65" w:rsidRDefault="00103199" w:rsidP="000B0FEB">
            <w:pPr>
              <w:widowControl w:val="0"/>
              <w:rPr>
                <w:sz w:val="24"/>
                <w:szCs w:val="24"/>
              </w:rPr>
            </w:pPr>
            <w:r>
              <w:rPr>
                <w:sz w:val="24"/>
                <w:szCs w:val="24"/>
              </w:rPr>
              <w:t>Weber (2008a</w:t>
            </w:r>
            <w:r w:rsidR="005B0D65">
              <w:rPr>
                <w:sz w:val="24"/>
                <w:szCs w:val="24"/>
              </w:rPr>
              <w:t>)</w:t>
            </w:r>
          </w:p>
        </w:tc>
      </w:tr>
      <w:tr w:rsidR="005B0D65" w14:paraId="0378DA25"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6DD909DD" w14:textId="77777777" w:rsidR="005B0D65" w:rsidRDefault="005B0D65" w:rsidP="000B0FEB">
            <w:pPr>
              <w:widowControl w:val="0"/>
              <w:rPr>
                <w:sz w:val="24"/>
                <w:szCs w:val="24"/>
              </w:rPr>
            </w:pPr>
            <w:r>
              <w:rPr>
                <w:sz w:val="24"/>
                <w:szCs w:val="24"/>
              </w:rPr>
              <w:t>Berlin 19</w:t>
            </w:r>
          </w:p>
        </w:tc>
        <w:tc>
          <w:tcPr>
            <w:tcW w:w="6816" w:type="dxa"/>
            <w:tcBorders>
              <w:top w:val="nil"/>
              <w:left w:val="nil"/>
              <w:bottom w:val="nil"/>
              <w:right w:val="nil"/>
            </w:tcBorders>
            <w:tcMar>
              <w:top w:w="20" w:type="dxa"/>
              <w:left w:w="20" w:type="dxa"/>
              <w:bottom w:w="100" w:type="dxa"/>
              <w:right w:w="20" w:type="dxa"/>
            </w:tcMar>
            <w:vAlign w:val="bottom"/>
          </w:tcPr>
          <w:p w14:paraId="3A5C56C0" w14:textId="7D1F83E8" w:rsidR="005B0D65" w:rsidRDefault="00103199" w:rsidP="000B0FEB">
            <w:pPr>
              <w:widowControl w:val="0"/>
              <w:rPr>
                <w:sz w:val="24"/>
                <w:szCs w:val="24"/>
              </w:rPr>
            </w:pPr>
            <w:r>
              <w:rPr>
                <w:sz w:val="24"/>
                <w:szCs w:val="24"/>
              </w:rPr>
              <w:t>Weber (2008a</w:t>
            </w:r>
            <w:r w:rsidR="005B0D65">
              <w:rPr>
                <w:sz w:val="24"/>
                <w:szCs w:val="24"/>
              </w:rPr>
              <w:t>)</w:t>
            </w:r>
          </w:p>
        </w:tc>
      </w:tr>
      <w:tr w:rsidR="005B0D65" w14:paraId="74661E38"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E55817A" w14:textId="77777777" w:rsidR="005B0D65" w:rsidRDefault="005B0D65" w:rsidP="000B0FEB">
            <w:pPr>
              <w:widowControl w:val="0"/>
              <w:rPr>
                <w:sz w:val="24"/>
                <w:szCs w:val="24"/>
              </w:rPr>
            </w:pPr>
            <w:r>
              <w:rPr>
                <w:sz w:val="24"/>
                <w:szCs w:val="24"/>
              </w:rPr>
              <w:t>Berlin 20</w:t>
            </w:r>
          </w:p>
        </w:tc>
        <w:tc>
          <w:tcPr>
            <w:tcW w:w="6816" w:type="dxa"/>
            <w:tcBorders>
              <w:top w:val="nil"/>
              <w:left w:val="nil"/>
              <w:bottom w:val="nil"/>
              <w:right w:val="nil"/>
            </w:tcBorders>
            <w:tcMar>
              <w:top w:w="20" w:type="dxa"/>
              <w:left w:w="20" w:type="dxa"/>
              <w:bottom w:w="100" w:type="dxa"/>
              <w:right w:w="20" w:type="dxa"/>
            </w:tcMar>
            <w:vAlign w:val="bottom"/>
          </w:tcPr>
          <w:p w14:paraId="4154FC76" w14:textId="4F1DCBC7" w:rsidR="005B0D65" w:rsidRDefault="00103199" w:rsidP="000B0FEB">
            <w:pPr>
              <w:widowControl w:val="0"/>
              <w:rPr>
                <w:sz w:val="24"/>
                <w:szCs w:val="24"/>
              </w:rPr>
            </w:pPr>
            <w:r>
              <w:rPr>
                <w:sz w:val="24"/>
                <w:szCs w:val="24"/>
              </w:rPr>
              <w:t>Weber (2008a</w:t>
            </w:r>
            <w:r w:rsidR="005B0D65">
              <w:rPr>
                <w:sz w:val="24"/>
                <w:szCs w:val="24"/>
              </w:rPr>
              <w:t>)</w:t>
            </w:r>
          </w:p>
        </w:tc>
      </w:tr>
      <w:tr w:rsidR="005B0D65" w14:paraId="0C66B4C3"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0CA24501" w14:textId="77777777" w:rsidR="005B0D65" w:rsidRDefault="005B0D65" w:rsidP="000B0FEB">
            <w:pPr>
              <w:widowControl w:val="0"/>
              <w:rPr>
                <w:sz w:val="24"/>
                <w:szCs w:val="24"/>
              </w:rPr>
            </w:pPr>
            <w:r>
              <w:rPr>
                <w:sz w:val="24"/>
                <w:szCs w:val="24"/>
              </w:rPr>
              <w:t>Berlin 21</w:t>
            </w:r>
          </w:p>
        </w:tc>
        <w:tc>
          <w:tcPr>
            <w:tcW w:w="6816" w:type="dxa"/>
            <w:tcBorders>
              <w:top w:val="nil"/>
              <w:left w:val="nil"/>
              <w:bottom w:val="nil"/>
              <w:right w:val="nil"/>
            </w:tcBorders>
            <w:tcMar>
              <w:top w:w="20" w:type="dxa"/>
              <w:left w:w="20" w:type="dxa"/>
              <w:bottom w:w="100" w:type="dxa"/>
              <w:right w:w="20" w:type="dxa"/>
            </w:tcMar>
            <w:vAlign w:val="bottom"/>
          </w:tcPr>
          <w:p w14:paraId="483DF82D" w14:textId="63D90C71" w:rsidR="005B0D65" w:rsidRDefault="00103199" w:rsidP="000B0FEB">
            <w:pPr>
              <w:widowControl w:val="0"/>
              <w:rPr>
                <w:sz w:val="24"/>
                <w:szCs w:val="24"/>
              </w:rPr>
            </w:pPr>
            <w:r>
              <w:rPr>
                <w:sz w:val="24"/>
                <w:szCs w:val="24"/>
              </w:rPr>
              <w:t>Weber (2008a</w:t>
            </w:r>
            <w:r w:rsidR="005B0D65">
              <w:rPr>
                <w:sz w:val="24"/>
                <w:szCs w:val="24"/>
              </w:rPr>
              <w:t>)</w:t>
            </w:r>
          </w:p>
        </w:tc>
      </w:tr>
      <w:tr w:rsidR="005B0D65" w14:paraId="0E9348E9"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5B314B38" w14:textId="77777777" w:rsidR="005B0D65" w:rsidRDefault="005B0D65" w:rsidP="000B0FEB">
            <w:pPr>
              <w:widowControl w:val="0"/>
              <w:rPr>
                <w:sz w:val="24"/>
                <w:szCs w:val="24"/>
              </w:rPr>
            </w:pPr>
            <w:r>
              <w:rPr>
                <w:sz w:val="24"/>
                <w:szCs w:val="24"/>
              </w:rPr>
              <w:t>Berlin 22</w:t>
            </w:r>
          </w:p>
        </w:tc>
        <w:tc>
          <w:tcPr>
            <w:tcW w:w="6816" w:type="dxa"/>
            <w:tcBorders>
              <w:top w:val="nil"/>
              <w:left w:val="nil"/>
              <w:bottom w:val="nil"/>
              <w:right w:val="nil"/>
            </w:tcBorders>
            <w:tcMar>
              <w:top w:w="20" w:type="dxa"/>
              <w:left w:w="20" w:type="dxa"/>
              <w:bottom w:w="100" w:type="dxa"/>
              <w:right w:w="20" w:type="dxa"/>
            </w:tcMar>
            <w:vAlign w:val="bottom"/>
          </w:tcPr>
          <w:p w14:paraId="0D1F8DE5" w14:textId="79642013" w:rsidR="005B0D65" w:rsidRDefault="00103199" w:rsidP="000B0FEB">
            <w:pPr>
              <w:widowControl w:val="0"/>
              <w:rPr>
                <w:sz w:val="24"/>
                <w:szCs w:val="24"/>
              </w:rPr>
            </w:pPr>
            <w:r>
              <w:rPr>
                <w:sz w:val="24"/>
                <w:szCs w:val="24"/>
              </w:rPr>
              <w:t>Weber (2008a</w:t>
            </w:r>
            <w:r w:rsidR="005B0D65">
              <w:rPr>
                <w:sz w:val="24"/>
                <w:szCs w:val="24"/>
              </w:rPr>
              <w:t>)</w:t>
            </w:r>
          </w:p>
        </w:tc>
      </w:tr>
      <w:tr w:rsidR="005B0D65" w14:paraId="6DE3065A"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360C765" w14:textId="77777777" w:rsidR="005B0D65" w:rsidRDefault="005B0D65" w:rsidP="000B0FEB">
            <w:pPr>
              <w:widowControl w:val="0"/>
              <w:rPr>
                <w:sz w:val="24"/>
                <w:szCs w:val="24"/>
              </w:rPr>
            </w:pPr>
            <w:r>
              <w:rPr>
                <w:sz w:val="24"/>
                <w:szCs w:val="24"/>
              </w:rPr>
              <w:t>Berlin 23</w:t>
            </w:r>
          </w:p>
        </w:tc>
        <w:tc>
          <w:tcPr>
            <w:tcW w:w="6816" w:type="dxa"/>
            <w:tcBorders>
              <w:top w:val="nil"/>
              <w:left w:val="nil"/>
              <w:bottom w:val="nil"/>
              <w:right w:val="nil"/>
            </w:tcBorders>
            <w:tcMar>
              <w:top w:w="20" w:type="dxa"/>
              <w:left w:w="20" w:type="dxa"/>
              <w:bottom w:w="100" w:type="dxa"/>
              <w:right w:w="20" w:type="dxa"/>
            </w:tcMar>
            <w:vAlign w:val="bottom"/>
          </w:tcPr>
          <w:p w14:paraId="72CE42BB" w14:textId="6182DDCE" w:rsidR="005B0D65" w:rsidRDefault="00103199" w:rsidP="000B0FEB">
            <w:pPr>
              <w:widowControl w:val="0"/>
              <w:rPr>
                <w:sz w:val="24"/>
                <w:szCs w:val="24"/>
              </w:rPr>
            </w:pPr>
            <w:r>
              <w:rPr>
                <w:sz w:val="24"/>
                <w:szCs w:val="24"/>
              </w:rPr>
              <w:t>Weber (2008a</w:t>
            </w:r>
            <w:r w:rsidR="005B0D65">
              <w:rPr>
                <w:sz w:val="24"/>
                <w:szCs w:val="24"/>
              </w:rPr>
              <w:t>)</w:t>
            </w:r>
          </w:p>
        </w:tc>
      </w:tr>
      <w:tr w:rsidR="005B0D65" w14:paraId="02DE48C5"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3977A5CE" w14:textId="77777777" w:rsidR="005B0D65" w:rsidRDefault="005B0D65" w:rsidP="000B0FEB">
            <w:pPr>
              <w:widowControl w:val="0"/>
              <w:rPr>
                <w:sz w:val="24"/>
                <w:szCs w:val="24"/>
              </w:rPr>
            </w:pPr>
            <w:r>
              <w:rPr>
                <w:sz w:val="24"/>
                <w:szCs w:val="24"/>
              </w:rPr>
              <w:t>Berlin 24</w:t>
            </w:r>
          </w:p>
        </w:tc>
        <w:tc>
          <w:tcPr>
            <w:tcW w:w="6816" w:type="dxa"/>
            <w:tcBorders>
              <w:top w:val="nil"/>
              <w:left w:val="nil"/>
              <w:bottom w:val="nil"/>
              <w:right w:val="nil"/>
            </w:tcBorders>
            <w:tcMar>
              <w:top w:w="20" w:type="dxa"/>
              <w:left w:w="20" w:type="dxa"/>
              <w:bottom w:w="100" w:type="dxa"/>
              <w:right w:w="20" w:type="dxa"/>
            </w:tcMar>
            <w:vAlign w:val="bottom"/>
          </w:tcPr>
          <w:p w14:paraId="3E209419" w14:textId="071BBD34" w:rsidR="005B0D65" w:rsidRDefault="00103199" w:rsidP="000B0FEB">
            <w:pPr>
              <w:widowControl w:val="0"/>
              <w:rPr>
                <w:sz w:val="24"/>
                <w:szCs w:val="24"/>
              </w:rPr>
            </w:pPr>
            <w:r>
              <w:rPr>
                <w:sz w:val="24"/>
                <w:szCs w:val="24"/>
              </w:rPr>
              <w:t>Weber (2008a</w:t>
            </w:r>
            <w:r w:rsidR="005B0D65">
              <w:rPr>
                <w:sz w:val="24"/>
                <w:szCs w:val="24"/>
              </w:rPr>
              <w:t>)</w:t>
            </w:r>
          </w:p>
        </w:tc>
      </w:tr>
      <w:tr w:rsidR="005B0D65" w14:paraId="4C713CAB"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249A5E32" w14:textId="77777777" w:rsidR="005B0D65" w:rsidRDefault="005B0D65" w:rsidP="000B0FEB">
            <w:pPr>
              <w:widowControl w:val="0"/>
              <w:rPr>
                <w:sz w:val="24"/>
                <w:szCs w:val="24"/>
              </w:rPr>
            </w:pPr>
            <w:r>
              <w:rPr>
                <w:sz w:val="24"/>
                <w:szCs w:val="24"/>
              </w:rPr>
              <w:t>Berlin 25</w:t>
            </w:r>
          </w:p>
        </w:tc>
        <w:tc>
          <w:tcPr>
            <w:tcW w:w="6816" w:type="dxa"/>
            <w:tcBorders>
              <w:top w:val="nil"/>
              <w:left w:val="nil"/>
              <w:bottom w:val="nil"/>
              <w:right w:val="nil"/>
            </w:tcBorders>
            <w:tcMar>
              <w:top w:w="20" w:type="dxa"/>
              <w:left w:w="20" w:type="dxa"/>
              <w:bottom w:w="100" w:type="dxa"/>
              <w:right w:w="20" w:type="dxa"/>
            </w:tcMar>
            <w:vAlign w:val="bottom"/>
          </w:tcPr>
          <w:p w14:paraId="511C7995" w14:textId="10CA3938" w:rsidR="005B0D65" w:rsidRDefault="00103199" w:rsidP="000B0FEB">
            <w:pPr>
              <w:widowControl w:val="0"/>
              <w:rPr>
                <w:sz w:val="24"/>
                <w:szCs w:val="24"/>
              </w:rPr>
            </w:pPr>
            <w:r>
              <w:rPr>
                <w:sz w:val="24"/>
                <w:szCs w:val="24"/>
              </w:rPr>
              <w:t>Weber (2008a</w:t>
            </w:r>
            <w:r w:rsidR="005B0D65">
              <w:rPr>
                <w:sz w:val="24"/>
                <w:szCs w:val="24"/>
              </w:rPr>
              <w:t>)</w:t>
            </w:r>
          </w:p>
        </w:tc>
      </w:tr>
      <w:tr w:rsidR="005B0D65" w14:paraId="155C1FFF"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2F314968" w14:textId="77777777" w:rsidR="005B0D65" w:rsidRDefault="005B0D65" w:rsidP="000B0FEB">
            <w:pPr>
              <w:widowControl w:val="0"/>
              <w:rPr>
                <w:sz w:val="24"/>
                <w:szCs w:val="24"/>
              </w:rPr>
            </w:pPr>
            <w:r>
              <w:rPr>
                <w:sz w:val="24"/>
                <w:szCs w:val="24"/>
              </w:rPr>
              <w:t>Berlin 26</w:t>
            </w:r>
          </w:p>
        </w:tc>
        <w:tc>
          <w:tcPr>
            <w:tcW w:w="6816" w:type="dxa"/>
            <w:tcBorders>
              <w:top w:val="nil"/>
              <w:left w:val="nil"/>
              <w:bottom w:val="nil"/>
              <w:right w:val="nil"/>
            </w:tcBorders>
            <w:tcMar>
              <w:top w:w="20" w:type="dxa"/>
              <w:left w:w="20" w:type="dxa"/>
              <w:bottom w:w="100" w:type="dxa"/>
              <w:right w:w="20" w:type="dxa"/>
            </w:tcMar>
            <w:vAlign w:val="bottom"/>
          </w:tcPr>
          <w:p w14:paraId="10D9FA18" w14:textId="137D7896" w:rsidR="005B0D65" w:rsidRDefault="00103199" w:rsidP="000B0FEB">
            <w:pPr>
              <w:widowControl w:val="0"/>
              <w:rPr>
                <w:sz w:val="24"/>
                <w:szCs w:val="24"/>
              </w:rPr>
            </w:pPr>
            <w:r>
              <w:rPr>
                <w:sz w:val="24"/>
                <w:szCs w:val="24"/>
              </w:rPr>
              <w:t>Weber (2008a</w:t>
            </w:r>
            <w:r w:rsidR="005B0D65">
              <w:rPr>
                <w:sz w:val="24"/>
                <w:szCs w:val="24"/>
              </w:rPr>
              <w:t>)</w:t>
            </w:r>
          </w:p>
        </w:tc>
      </w:tr>
      <w:tr w:rsidR="005B0D65" w14:paraId="42EE6771"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0A4432BC" w14:textId="77777777" w:rsidR="005B0D65" w:rsidRDefault="005B0D65" w:rsidP="000B0FEB">
            <w:pPr>
              <w:widowControl w:val="0"/>
              <w:rPr>
                <w:sz w:val="24"/>
                <w:szCs w:val="24"/>
              </w:rPr>
            </w:pPr>
            <w:r>
              <w:rPr>
                <w:sz w:val="24"/>
                <w:szCs w:val="24"/>
              </w:rPr>
              <w:t>Berlin 27</w:t>
            </w:r>
          </w:p>
        </w:tc>
        <w:tc>
          <w:tcPr>
            <w:tcW w:w="6816" w:type="dxa"/>
            <w:tcBorders>
              <w:top w:val="nil"/>
              <w:left w:val="nil"/>
              <w:bottom w:val="nil"/>
              <w:right w:val="nil"/>
            </w:tcBorders>
            <w:tcMar>
              <w:top w:w="20" w:type="dxa"/>
              <w:left w:w="20" w:type="dxa"/>
              <w:bottom w:w="100" w:type="dxa"/>
              <w:right w:w="20" w:type="dxa"/>
            </w:tcMar>
            <w:vAlign w:val="bottom"/>
          </w:tcPr>
          <w:p w14:paraId="755B1981" w14:textId="29632E81" w:rsidR="005B0D65" w:rsidRDefault="00103199" w:rsidP="000B0FEB">
            <w:pPr>
              <w:widowControl w:val="0"/>
              <w:rPr>
                <w:sz w:val="24"/>
                <w:szCs w:val="24"/>
              </w:rPr>
            </w:pPr>
            <w:r>
              <w:rPr>
                <w:sz w:val="24"/>
                <w:szCs w:val="24"/>
              </w:rPr>
              <w:t>Weber (2008a</w:t>
            </w:r>
            <w:r w:rsidR="005B0D65">
              <w:rPr>
                <w:sz w:val="24"/>
                <w:szCs w:val="24"/>
              </w:rPr>
              <w:t>)</w:t>
            </w:r>
          </w:p>
        </w:tc>
      </w:tr>
      <w:tr w:rsidR="005B0D65" w14:paraId="2C469ED6"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F034460" w14:textId="77777777" w:rsidR="005B0D65" w:rsidRDefault="005B0D65" w:rsidP="000B0FEB">
            <w:pPr>
              <w:widowControl w:val="0"/>
              <w:rPr>
                <w:sz w:val="24"/>
                <w:szCs w:val="24"/>
              </w:rPr>
            </w:pPr>
            <w:r>
              <w:rPr>
                <w:sz w:val="24"/>
                <w:szCs w:val="24"/>
              </w:rPr>
              <w:t>Berlin 28</w:t>
            </w:r>
          </w:p>
        </w:tc>
        <w:tc>
          <w:tcPr>
            <w:tcW w:w="6816" w:type="dxa"/>
            <w:tcBorders>
              <w:top w:val="nil"/>
              <w:left w:val="nil"/>
              <w:bottom w:val="nil"/>
              <w:right w:val="nil"/>
            </w:tcBorders>
            <w:tcMar>
              <w:top w:w="20" w:type="dxa"/>
              <w:left w:w="20" w:type="dxa"/>
              <w:bottom w:w="100" w:type="dxa"/>
              <w:right w:w="20" w:type="dxa"/>
            </w:tcMar>
            <w:vAlign w:val="bottom"/>
          </w:tcPr>
          <w:p w14:paraId="4B62E70C" w14:textId="6460EDBB" w:rsidR="005B0D65" w:rsidRDefault="00103199" w:rsidP="000B0FEB">
            <w:pPr>
              <w:widowControl w:val="0"/>
              <w:rPr>
                <w:sz w:val="24"/>
                <w:szCs w:val="24"/>
              </w:rPr>
            </w:pPr>
            <w:r>
              <w:rPr>
                <w:sz w:val="24"/>
                <w:szCs w:val="24"/>
              </w:rPr>
              <w:t>Weber (2008a</w:t>
            </w:r>
            <w:r w:rsidR="005B0D65">
              <w:rPr>
                <w:sz w:val="24"/>
                <w:szCs w:val="24"/>
              </w:rPr>
              <w:t xml:space="preserve">), </w:t>
            </w:r>
            <w:proofErr w:type="spellStart"/>
            <w:r w:rsidR="005B0D65">
              <w:rPr>
                <w:sz w:val="24"/>
                <w:szCs w:val="24"/>
              </w:rPr>
              <w:t>Gignoux</w:t>
            </w:r>
            <w:proofErr w:type="spellEnd"/>
            <w:r w:rsidR="005B0D65">
              <w:rPr>
                <w:sz w:val="24"/>
                <w:szCs w:val="24"/>
              </w:rPr>
              <w:t xml:space="preserve"> (2010: 124</w:t>
            </w:r>
            <w:r w:rsidR="00073A6E">
              <w:rPr>
                <w:sz w:val="24"/>
                <w:szCs w:val="24"/>
              </w:rPr>
              <w:t>–</w:t>
            </w:r>
            <w:r w:rsidR="005B0D65">
              <w:rPr>
                <w:sz w:val="24"/>
                <w:szCs w:val="24"/>
              </w:rPr>
              <w:t>5)</w:t>
            </w:r>
          </w:p>
        </w:tc>
      </w:tr>
      <w:tr w:rsidR="005B0D65" w14:paraId="3E47EE80"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2C484BAA" w14:textId="77777777" w:rsidR="005B0D65" w:rsidRDefault="005B0D65" w:rsidP="000B0FEB">
            <w:pPr>
              <w:widowControl w:val="0"/>
              <w:rPr>
                <w:sz w:val="24"/>
                <w:szCs w:val="24"/>
              </w:rPr>
            </w:pPr>
            <w:r>
              <w:rPr>
                <w:sz w:val="24"/>
                <w:szCs w:val="24"/>
              </w:rPr>
              <w:t>Berlin 29</w:t>
            </w:r>
          </w:p>
        </w:tc>
        <w:tc>
          <w:tcPr>
            <w:tcW w:w="6816" w:type="dxa"/>
            <w:tcBorders>
              <w:top w:val="nil"/>
              <w:left w:val="nil"/>
              <w:bottom w:val="nil"/>
              <w:right w:val="nil"/>
            </w:tcBorders>
            <w:tcMar>
              <w:top w:w="20" w:type="dxa"/>
              <w:left w:w="20" w:type="dxa"/>
              <w:bottom w:w="100" w:type="dxa"/>
              <w:right w:w="20" w:type="dxa"/>
            </w:tcMar>
            <w:vAlign w:val="bottom"/>
          </w:tcPr>
          <w:p w14:paraId="6C8B7D04" w14:textId="677983B4" w:rsidR="005B0D65" w:rsidRDefault="00103199" w:rsidP="000B0FEB">
            <w:pPr>
              <w:widowControl w:val="0"/>
              <w:rPr>
                <w:sz w:val="24"/>
                <w:szCs w:val="24"/>
              </w:rPr>
            </w:pPr>
            <w:r>
              <w:rPr>
                <w:sz w:val="24"/>
                <w:szCs w:val="24"/>
              </w:rPr>
              <w:t>Weber (2008a</w:t>
            </w:r>
            <w:r w:rsidR="005B0D65">
              <w:rPr>
                <w:sz w:val="24"/>
                <w:szCs w:val="24"/>
              </w:rPr>
              <w:t>)</w:t>
            </w:r>
          </w:p>
        </w:tc>
      </w:tr>
      <w:tr w:rsidR="005B0D65" w14:paraId="457D161E"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68957BA4" w14:textId="77777777" w:rsidR="005B0D65" w:rsidRDefault="005B0D65" w:rsidP="000B0FEB">
            <w:pPr>
              <w:widowControl w:val="0"/>
              <w:rPr>
                <w:sz w:val="24"/>
                <w:szCs w:val="24"/>
              </w:rPr>
            </w:pPr>
            <w:r>
              <w:rPr>
                <w:sz w:val="24"/>
                <w:szCs w:val="24"/>
              </w:rPr>
              <w:t>Berlin 30</w:t>
            </w:r>
          </w:p>
        </w:tc>
        <w:tc>
          <w:tcPr>
            <w:tcW w:w="6816" w:type="dxa"/>
            <w:tcBorders>
              <w:top w:val="nil"/>
              <w:left w:val="nil"/>
              <w:bottom w:val="nil"/>
              <w:right w:val="nil"/>
            </w:tcBorders>
            <w:tcMar>
              <w:top w:w="20" w:type="dxa"/>
              <w:left w:w="20" w:type="dxa"/>
              <w:bottom w:w="100" w:type="dxa"/>
              <w:right w:w="20" w:type="dxa"/>
            </w:tcMar>
            <w:vAlign w:val="bottom"/>
          </w:tcPr>
          <w:p w14:paraId="49B525EF" w14:textId="167F02C2" w:rsidR="005B0D65" w:rsidRDefault="00103199" w:rsidP="000B0FEB">
            <w:pPr>
              <w:widowControl w:val="0"/>
              <w:rPr>
                <w:sz w:val="24"/>
                <w:szCs w:val="24"/>
              </w:rPr>
            </w:pPr>
            <w:r>
              <w:rPr>
                <w:sz w:val="24"/>
                <w:szCs w:val="24"/>
              </w:rPr>
              <w:t>Weber (2008a</w:t>
            </w:r>
            <w:r w:rsidR="005B0D65">
              <w:rPr>
                <w:sz w:val="24"/>
                <w:szCs w:val="24"/>
              </w:rPr>
              <w:t>)</w:t>
            </w:r>
          </w:p>
        </w:tc>
      </w:tr>
      <w:tr w:rsidR="005B0D65" w14:paraId="404A66FE"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6AC663FF" w14:textId="77777777" w:rsidR="005B0D65" w:rsidRDefault="005B0D65" w:rsidP="000B0FEB">
            <w:pPr>
              <w:widowControl w:val="0"/>
              <w:rPr>
                <w:sz w:val="24"/>
                <w:szCs w:val="24"/>
              </w:rPr>
            </w:pPr>
            <w:r>
              <w:rPr>
                <w:sz w:val="24"/>
                <w:szCs w:val="24"/>
              </w:rPr>
              <w:t>Berlin 31</w:t>
            </w:r>
          </w:p>
        </w:tc>
        <w:tc>
          <w:tcPr>
            <w:tcW w:w="6816" w:type="dxa"/>
            <w:tcBorders>
              <w:top w:val="nil"/>
              <w:left w:val="nil"/>
              <w:bottom w:val="nil"/>
              <w:right w:val="nil"/>
            </w:tcBorders>
            <w:tcMar>
              <w:top w:w="20" w:type="dxa"/>
              <w:left w:w="20" w:type="dxa"/>
              <w:bottom w:w="100" w:type="dxa"/>
              <w:right w:w="20" w:type="dxa"/>
            </w:tcMar>
            <w:vAlign w:val="bottom"/>
          </w:tcPr>
          <w:p w14:paraId="57F72B71" w14:textId="1B862605" w:rsidR="005B0D65" w:rsidRDefault="00103199" w:rsidP="000B0FEB">
            <w:pPr>
              <w:widowControl w:val="0"/>
              <w:rPr>
                <w:sz w:val="24"/>
                <w:szCs w:val="24"/>
              </w:rPr>
            </w:pPr>
            <w:r>
              <w:rPr>
                <w:sz w:val="24"/>
                <w:szCs w:val="24"/>
              </w:rPr>
              <w:t>Weber (2008a</w:t>
            </w:r>
            <w:r w:rsidR="005B0D65">
              <w:rPr>
                <w:sz w:val="24"/>
                <w:szCs w:val="24"/>
              </w:rPr>
              <w:t>)</w:t>
            </w:r>
          </w:p>
        </w:tc>
      </w:tr>
      <w:tr w:rsidR="005B0D65" w14:paraId="6223A09F"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015DE90E" w14:textId="77777777" w:rsidR="005B0D65" w:rsidRDefault="005B0D65" w:rsidP="000B0FEB">
            <w:pPr>
              <w:widowControl w:val="0"/>
              <w:rPr>
                <w:sz w:val="24"/>
                <w:szCs w:val="24"/>
              </w:rPr>
            </w:pPr>
            <w:r>
              <w:rPr>
                <w:sz w:val="24"/>
                <w:szCs w:val="24"/>
              </w:rPr>
              <w:t>Berlin 32</w:t>
            </w:r>
          </w:p>
        </w:tc>
        <w:tc>
          <w:tcPr>
            <w:tcW w:w="6816" w:type="dxa"/>
            <w:tcBorders>
              <w:top w:val="nil"/>
              <w:left w:val="nil"/>
              <w:bottom w:val="nil"/>
              <w:right w:val="nil"/>
            </w:tcBorders>
            <w:tcMar>
              <w:top w:w="20" w:type="dxa"/>
              <w:left w:w="20" w:type="dxa"/>
              <w:bottom w:w="100" w:type="dxa"/>
              <w:right w:w="20" w:type="dxa"/>
            </w:tcMar>
            <w:vAlign w:val="bottom"/>
          </w:tcPr>
          <w:p w14:paraId="0AC27C34" w14:textId="6E632C6F" w:rsidR="005B0D65" w:rsidRDefault="00103199" w:rsidP="000B0FEB">
            <w:pPr>
              <w:widowControl w:val="0"/>
              <w:rPr>
                <w:sz w:val="24"/>
                <w:szCs w:val="24"/>
              </w:rPr>
            </w:pPr>
            <w:r>
              <w:rPr>
                <w:sz w:val="24"/>
                <w:szCs w:val="24"/>
              </w:rPr>
              <w:t>Weber (2008a</w:t>
            </w:r>
            <w:r w:rsidR="005B0D65">
              <w:rPr>
                <w:sz w:val="24"/>
                <w:szCs w:val="24"/>
              </w:rPr>
              <w:t>)</w:t>
            </w:r>
          </w:p>
        </w:tc>
      </w:tr>
      <w:tr w:rsidR="005B0D65" w14:paraId="6B3559CF"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0BD5CEEA" w14:textId="77777777" w:rsidR="005B0D65" w:rsidRDefault="005B0D65" w:rsidP="000B0FEB">
            <w:pPr>
              <w:widowControl w:val="0"/>
              <w:rPr>
                <w:sz w:val="24"/>
                <w:szCs w:val="24"/>
              </w:rPr>
            </w:pPr>
            <w:r>
              <w:rPr>
                <w:sz w:val="24"/>
                <w:szCs w:val="24"/>
              </w:rPr>
              <w:t>Berlin 33</w:t>
            </w:r>
          </w:p>
        </w:tc>
        <w:tc>
          <w:tcPr>
            <w:tcW w:w="6816" w:type="dxa"/>
            <w:tcBorders>
              <w:top w:val="nil"/>
              <w:left w:val="nil"/>
              <w:bottom w:val="nil"/>
              <w:right w:val="nil"/>
            </w:tcBorders>
            <w:tcMar>
              <w:top w:w="20" w:type="dxa"/>
              <w:left w:w="20" w:type="dxa"/>
              <w:bottom w:w="100" w:type="dxa"/>
              <w:right w:w="20" w:type="dxa"/>
            </w:tcMar>
            <w:vAlign w:val="bottom"/>
          </w:tcPr>
          <w:p w14:paraId="246FAC65" w14:textId="0EF1D955" w:rsidR="005B0D65" w:rsidRDefault="00103199" w:rsidP="000B0FEB">
            <w:pPr>
              <w:widowControl w:val="0"/>
              <w:rPr>
                <w:sz w:val="24"/>
                <w:szCs w:val="24"/>
              </w:rPr>
            </w:pPr>
            <w:r>
              <w:rPr>
                <w:sz w:val="24"/>
                <w:szCs w:val="24"/>
              </w:rPr>
              <w:t>Weber (2008a</w:t>
            </w:r>
            <w:r w:rsidR="005B0D65">
              <w:rPr>
                <w:sz w:val="24"/>
                <w:szCs w:val="24"/>
              </w:rPr>
              <w:t>)</w:t>
            </w:r>
          </w:p>
        </w:tc>
      </w:tr>
      <w:tr w:rsidR="005B0D65" w14:paraId="24426333"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78C34019" w14:textId="77777777" w:rsidR="005B0D65" w:rsidRDefault="005B0D65" w:rsidP="000B0FEB">
            <w:pPr>
              <w:widowControl w:val="0"/>
              <w:rPr>
                <w:sz w:val="24"/>
                <w:szCs w:val="24"/>
              </w:rPr>
            </w:pPr>
            <w:r>
              <w:rPr>
                <w:sz w:val="24"/>
                <w:szCs w:val="24"/>
              </w:rPr>
              <w:t>Berlin 34</w:t>
            </w:r>
          </w:p>
        </w:tc>
        <w:tc>
          <w:tcPr>
            <w:tcW w:w="6816" w:type="dxa"/>
            <w:tcBorders>
              <w:top w:val="nil"/>
              <w:left w:val="nil"/>
              <w:bottom w:val="nil"/>
              <w:right w:val="nil"/>
            </w:tcBorders>
            <w:tcMar>
              <w:top w:w="20" w:type="dxa"/>
              <w:left w:w="20" w:type="dxa"/>
              <w:bottom w:w="100" w:type="dxa"/>
              <w:right w:w="20" w:type="dxa"/>
            </w:tcMar>
            <w:vAlign w:val="bottom"/>
          </w:tcPr>
          <w:p w14:paraId="757F007B" w14:textId="6B1EB992" w:rsidR="005B0D65" w:rsidRDefault="00103199" w:rsidP="000B0FEB">
            <w:pPr>
              <w:widowControl w:val="0"/>
              <w:rPr>
                <w:sz w:val="24"/>
                <w:szCs w:val="24"/>
              </w:rPr>
            </w:pPr>
            <w:r>
              <w:rPr>
                <w:sz w:val="24"/>
                <w:szCs w:val="24"/>
              </w:rPr>
              <w:t>Weber (2008a</w:t>
            </w:r>
            <w:r w:rsidR="005B0D65">
              <w:rPr>
                <w:sz w:val="24"/>
                <w:szCs w:val="24"/>
              </w:rPr>
              <w:t xml:space="preserve">), </w:t>
            </w:r>
            <w:proofErr w:type="spellStart"/>
            <w:r w:rsidR="005B0D65">
              <w:rPr>
                <w:sz w:val="24"/>
                <w:szCs w:val="24"/>
              </w:rPr>
              <w:t>Gignoux</w:t>
            </w:r>
            <w:proofErr w:type="spellEnd"/>
            <w:r w:rsidR="005B0D65">
              <w:rPr>
                <w:sz w:val="24"/>
                <w:szCs w:val="24"/>
              </w:rPr>
              <w:t xml:space="preserve"> (2019), Weber (2019a)</w:t>
            </w:r>
          </w:p>
        </w:tc>
      </w:tr>
      <w:tr w:rsidR="005B0D65" w14:paraId="66F9484A"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21E46063" w14:textId="77777777" w:rsidR="005B0D65" w:rsidRDefault="005B0D65" w:rsidP="000B0FEB">
            <w:pPr>
              <w:widowControl w:val="0"/>
              <w:rPr>
                <w:sz w:val="24"/>
                <w:szCs w:val="24"/>
              </w:rPr>
            </w:pPr>
            <w:r>
              <w:rPr>
                <w:sz w:val="24"/>
                <w:szCs w:val="24"/>
              </w:rPr>
              <w:t>Berlin 35</w:t>
            </w:r>
          </w:p>
        </w:tc>
        <w:tc>
          <w:tcPr>
            <w:tcW w:w="6816" w:type="dxa"/>
            <w:tcBorders>
              <w:top w:val="nil"/>
              <w:left w:val="nil"/>
              <w:bottom w:val="nil"/>
              <w:right w:val="nil"/>
            </w:tcBorders>
            <w:tcMar>
              <w:top w:w="20" w:type="dxa"/>
              <w:left w:w="20" w:type="dxa"/>
              <w:bottom w:w="100" w:type="dxa"/>
              <w:right w:w="20" w:type="dxa"/>
            </w:tcMar>
            <w:vAlign w:val="bottom"/>
          </w:tcPr>
          <w:p w14:paraId="51528D08" w14:textId="743B2182" w:rsidR="005B0D65" w:rsidRDefault="00103199" w:rsidP="000B0FEB">
            <w:pPr>
              <w:widowControl w:val="0"/>
              <w:rPr>
                <w:sz w:val="24"/>
                <w:szCs w:val="24"/>
              </w:rPr>
            </w:pPr>
            <w:r>
              <w:rPr>
                <w:sz w:val="24"/>
                <w:szCs w:val="24"/>
              </w:rPr>
              <w:t>Weber (2008a</w:t>
            </w:r>
            <w:r w:rsidR="005B0D65">
              <w:rPr>
                <w:sz w:val="24"/>
                <w:szCs w:val="24"/>
              </w:rPr>
              <w:t>)</w:t>
            </w:r>
          </w:p>
        </w:tc>
      </w:tr>
      <w:tr w:rsidR="005B0D65" w14:paraId="78187739"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04573DAA" w14:textId="77777777" w:rsidR="005B0D65" w:rsidRDefault="005B0D65" w:rsidP="000B0FEB">
            <w:pPr>
              <w:widowControl w:val="0"/>
              <w:rPr>
                <w:sz w:val="24"/>
                <w:szCs w:val="24"/>
              </w:rPr>
            </w:pPr>
            <w:r>
              <w:rPr>
                <w:sz w:val="24"/>
                <w:szCs w:val="24"/>
              </w:rPr>
              <w:lastRenderedPageBreak/>
              <w:t>Berlin 36</w:t>
            </w:r>
          </w:p>
        </w:tc>
        <w:tc>
          <w:tcPr>
            <w:tcW w:w="6816" w:type="dxa"/>
            <w:tcBorders>
              <w:top w:val="nil"/>
              <w:left w:val="nil"/>
              <w:bottom w:val="nil"/>
              <w:right w:val="nil"/>
            </w:tcBorders>
            <w:tcMar>
              <w:top w:w="20" w:type="dxa"/>
              <w:left w:w="20" w:type="dxa"/>
              <w:bottom w:w="100" w:type="dxa"/>
              <w:right w:w="20" w:type="dxa"/>
            </w:tcMar>
            <w:vAlign w:val="bottom"/>
          </w:tcPr>
          <w:p w14:paraId="21E56320" w14:textId="5206F97F" w:rsidR="005B0D65" w:rsidRDefault="00103199" w:rsidP="000B0FEB">
            <w:pPr>
              <w:widowControl w:val="0"/>
              <w:rPr>
                <w:sz w:val="24"/>
                <w:szCs w:val="24"/>
              </w:rPr>
            </w:pPr>
            <w:r>
              <w:rPr>
                <w:sz w:val="24"/>
                <w:szCs w:val="24"/>
              </w:rPr>
              <w:t>Weber (2008a</w:t>
            </w:r>
            <w:r w:rsidR="005B0D65">
              <w:rPr>
                <w:sz w:val="24"/>
                <w:szCs w:val="24"/>
              </w:rPr>
              <w:t>), Weber (2019a)</w:t>
            </w:r>
          </w:p>
        </w:tc>
      </w:tr>
      <w:tr w:rsidR="005B0D65" w14:paraId="0BD56D06"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5DA2B32D" w14:textId="77777777" w:rsidR="005B0D65" w:rsidRDefault="005B0D65" w:rsidP="000B0FEB">
            <w:pPr>
              <w:widowControl w:val="0"/>
              <w:rPr>
                <w:sz w:val="24"/>
                <w:szCs w:val="24"/>
              </w:rPr>
            </w:pPr>
            <w:r>
              <w:rPr>
                <w:sz w:val="24"/>
                <w:szCs w:val="24"/>
              </w:rPr>
              <w:t>Berlin 37</w:t>
            </w:r>
          </w:p>
        </w:tc>
        <w:tc>
          <w:tcPr>
            <w:tcW w:w="6816" w:type="dxa"/>
            <w:tcBorders>
              <w:top w:val="nil"/>
              <w:left w:val="nil"/>
              <w:bottom w:val="nil"/>
              <w:right w:val="nil"/>
            </w:tcBorders>
            <w:tcMar>
              <w:top w:w="20" w:type="dxa"/>
              <w:left w:w="20" w:type="dxa"/>
              <w:bottom w:w="100" w:type="dxa"/>
              <w:right w:w="20" w:type="dxa"/>
            </w:tcMar>
            <w:vAlign w:val="bottom"/>
          </w:tcPr>
          <w:p w14:paraId="45C0ADB9" w14:textId="06531CCC" w:rsidR="005B0D65" w:rsidRDefault="00103199" w:rsidP="000B0FEB">
            <w:pPr>
              <w:widowControl w:val="0"/>
              <w:rPr>
                <w:sz w:val="24"/>
                <w:szCs w:val="24"/>
              </w:rPr>
            </w:pPr>
            <w:r>
              <w:rPr>
                <w:sz w:val="24"/>
                <w:szCs w:val="24"/>
              </w:rPr>
              <w:t>Weber (2008a</w:t>
            </w:r>
            <w:r w:rsidR="005B0D65">
              <w:rPr>
                <w:sz w:val="24"/>
                <w:szCs w:val="24"/>
              </w:rPr>
              <w:t>)</w:t>
            </w:r>
          </w:p>
        </w:tc>
      </w:tr>
      <w:tr w:rsidR="005B0D65" w14:paraId="1685CA79"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15C4385A" w14:textId="77777777" w:rsidR="005B0D65" w:rsidRDefault="005B0D65" w:rsidP="000B0FEB">
            <w:pPr>
              <w:widowControl w:val="0"/>
              <w:rPr>
                <w:sz w:val="24"/>
                <w:szCs w:val="24"/>
              </w:rPr>
            </w:pPr>
            <w:r>
              <w:rPr>
                <w:sz w:val="24"/>
                <w:szCs w:val="24"/>
              </w:rPr>
              <w:t>Berlin 38</w:t>
            </w:r>
          </w:p>
        </w:tc>
        <w:tc>
          <w:tcPr>
            <w:tcW w:w="6816" w:type="dxa"/>
            <w:tcBorders>
              <w:top w:val="nil"/>
              <w:left w:val="nil"/>
              <w:bottom w:val="nil"/>
              <w:right w:val="nil"/>
            </w:tcBorders>
            <w:tcMar>
              <w:top w:w="20" w:type="dxa"/>
              <w:left w:w="20" w:type="dxa"/>
              <w:bottom w:w="100" w:type="dxa"/>
              <w:right w:w="20" w:type="dxa"/>
            </w:tcMar>
            <w:vAlign w:val="bottom"/>
          </w:tcPr>
          <w:p w14:paraId="23B29EE0" w14:textId="1CA49D90" w:rsidR="005B0D65" w:rsidRDefault="00103199" w:rsidP="000B0FEB">
            <w:pPr>
              <w:widowControl w:val="0"/>
              <w:rPr>
                <w:sz w:val="24"/>
                <w:szCs w:val="24"/>
              </w:rPr>
            </w:pPr>
            <w:r>
              <w:rPr>
                <w:sz w:val="24"/>
                <w:szCs w:val="24"/>
              </w:rPr>
              <w:t>Weber (2008a</w:t>
            </w:r>
            <w:r w:rsidR="005B0D65">
              <w:rPr>
                <w:sz w:val="24"/>
                <w:szCs w:val="24"/>
              </w:rPr>
              <w:t>), Weber (2016)</w:t>
            </w:r>
          </w:p>
        </w:tc>
      </w:tr>
      <w:tr w:rsidR="005B0D65" w14:paraId="2DBE176D"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25B5484B" w14:textId="77777777" w:rsidR="005B0D65" w:rsidRDefault="005B0D65" w:rsidP="000B0FEB">
            <w:pPr>
              <w:widowControl w:val="0"/>
              <w:rPr>
                <w:sz w:val="24"/>
                <w:szCs w:val="24"/>
              </w:rPr>
            </w:pPr>
            <w:r>
              <w:rPr>
                <w:sz w:val="24"/>
                <w:szCs w:val="24"/>
              </w:rPr>
              <w:t>Berlin 39</w:t>
            </w:r>
          </w:p>
        </w:tc>
        <w:tc>
          <w:tcPr>
            <w:tcW w:w="6816" w:type="dxa"/>
            <w:tcBorders>
              <w:top w:val="nil"/>
              <w:left w:val="nil"/>
              <w:bottom w:val="nil"/>
              <w:right w:val="nil"/>
            </w:tcBorders>
            <w:tcMar>
              <w:top w:w="20" w:type="dxa"/>
              <w:left w:w="20" w:type="dxa"/>
              <w:bottom w:w="100" w:type="dxa"/>
              <w:right w:w="20" w:type="dxa"/>
            </w:tcMar>
            <w:vAlign w:val="bottom"/>
          </w:tcPr>
          <w:p w14:paraId="36A331E6" w14:textId="38FFFCA3" w:rsidR="005B0D65" w:rsidRDefault="00103199" w:rsidP="000B0FEB">
            <w:pPr>
              <w:widowControl w:val="0"/>
              <w:rPr>
                <w:sz w:val="24"/>
                <w:szCs w:val="24"/>
              </w:rPr>
            </w:pPr>
            <w:r>
              <w:rPr>
                <w:sz w:val="24"/>
                <w:szCs w:val="24"/>
              </w:rPr>
              <w:t>Weber (2008a</w:t>
            </w:r>
            <w:r w:rsidR="005B0D65">
              <w:rPr>
                <w:sz w:val="24"/>
                <w:szCs w:val="24"/>
              </w:rPr>
              <w:t>)</w:t>
            </w:r>
          </w:p>
        </w:tc>
      </w:tr>
      <w:tr w:rsidR="005B0D65" w14:paraId="592898B7"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70958663" w14:textId="77777777" w:rsidR="005B0D65" w:rsidRDefault="005B0D65" w:rsidP="000B0FEB">
            <w:pPr>
              <w:widowControl w:val="0"/>
              <w:rPr>
                <w:sz w:val="24"/>
                <w:szCs w:val="24"/>
              </w:rPr>
            </w:pPr>
            <w:r>
              <w:rPr>
                <w:sz w:val="24"/>
                <w:szCs w:val="24"/>
              </w:rPr>
              <w:t>Berlin 40</w:t>
            </w:r>
          </w:p>
        </w:tc>
        <w:tc>
          <w:tcPr>
            <w:tcW w:w="6816" w:type="dxa"/>
            <w:tcBorders>
              <w:top w:val="nil"/>
              <w:left w:val="nil"/>
              <w:bottom w:val="nil"/>
              <w:right w:val="nil"/>
            </w:tcBorders>
            <w:tcMar>
              <w:top w:w="20" w:type="dxa"/>
              <w:left w:w="20" w:type="dxa"/>
              <w:bottom w:w="100" w:type="dxa"/>
              <w:right w:w="20" w:type="dxa"/>
            </w:tcMar>
            <w:vAlign w:val="bottom"/>
          </w:tcPr>
          <w:p w14:paraId="33518358" w14:textId="40C821CB" w:rsidR="005B0D65" w:rsidRDefault="00103199" w:rsidP="000B0FEB">
            <w:pPr>
              <w:widowControl w:val="0"/>
              <w:rPr>
                <w:sz w:val="24"/>
                <w:szCs w:val="24"/>
              </w:rPr>
            </w:pPr>
            <w:r>
              <w:rPr>
                <w:sz w:val="24"/>
                <w:szCs w:val="24"/>
              </w:rPr>
              <w:t>Weber (2008a</w:t>
            </w:r>
            <w:r w:rsidR="005B0D65">
              <w:rPr>
                <w:sz w:val="24"/>
                <w:szCs w:val="24"/>
              </w:rPr>
              <w:t>)</w:t>
            </w:r>
          </w:p>
        </w:tc>
      </w:tr>
      <w:tr w:rsidR="00DF70CD" w14:paraId="1A616ADF"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17F841D0" w14:textId="196A41CC" w:rsidR="00DF70CD" w:rsidRDefault="00DF70CD" w:rsidP="000B0FEB">
            <w:pPr>
              <w:widowControl w:val="0"/>
              <w:rPr>
                <w:sz w:val="24"/>
                <w:szCs w:val="24"/>
              </w:rPr>
            </w:pPr>
            <w:r>
              <w:rPr>
                <w:sz w:val="24"/>
                <w:szCs w:val="24"/>
              </w:rPr>
              <w:t>“Document 1”</w:t>
            </w:r>
          </w:p>
        </w:tc>
        <w:tc>
          <w:tcPr>
            <w:tcW w:w="6816" w:type="dxa"/>
            <w:tcBorders>
              <w:top w:val="nil"/>
              <w:left w:val="nil"/>
              <w:bottom w:val="nil"/>
              <w:right w:val="nil"/>
            </w:tcBorders>
            <w:tcMar>
              <w:top w:w="20" w:type="dxa"/>
              <w:left w:w="20" w:type="dxa"/>
              <w:bottom w:w="100" w:type="dxa"/>
              <w:right w:w="20" w:type="dxa"/>
            </w:tcMar>
            <w:vAlign w:val="bottom"/>
          </w:tcPr>
          <w:p w14:paraId="2A019943" w14:textId="266CC3B3" w:rsidR="00DF70CD" w:rsidRDefault="00DF70CD" w:rsidP="000B0FEB">
            <w:pPr>
              <w:widowControl w:val="0"/>
              <w:rPr>
                <w:sz w:val="24"/>
                <w:szCs w:val="24"/>
              </w:rPr>
            </w:pPr>
            <w:r>
              <w:rPr>
                <w:sz w:val="24"/>
                <w:szCs w:val="24"/>
              </w:rPr>
              <w:t>Weber (2019c), Weber (2021a)</w:t>
            </w:r>
          </w:p>
        </w:tc>
      </w:tr>
      <w:tr w:rsidR="00DF70CD" w14:paraId="658F0175"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13BAB2C6" w14:textId="613899F1" w:rsidR="00DF70CD" w:rsidRDefault="00DF70CD" w:rsidP="000B0FEB">
            <w:pPr>
              <w:widowControl w:val="0"/>
              <w:rPr>
                <w:sz w:val="24"/>
                <w:szCs w:val="24"/>
              </w:rPr>
            </w:pPr>
            <w:r>
              <w:rPr>
                <w:sz w:val="24"/>
                <w:szCs w:val="24"/>
              </w:rPr>
              <w:t>“Document 2”</w:t>
            </w:r>
          </w:p>
        </w:tc>
        <w:tc>
          <w:tcPr>
            <w:tcW w:w="6816" w:type="dxa"/>
            <w:tcBorders>
              <w:top w:val="nil"/>
              <w:left w:val="nil"/>
              <w:bottom w:val="nil"/>
              <w:right w:val="nil"/>
            </w:tcBorders>
            <w:tcMar>
              <w:top w:w="20" w:type="dxa"/>
              <w:left w:w="20" w:type="dxa"/>
              <w:bottom w:w="100" w:type="dxa"/>
              <w:right w:w="20" w:type="dxa"/>
            </w:tcMar>
            <w:vAlign w:val="bottom"/>
          </w:tcPr>
          <w:p w14:paraId="7C690FC5" w14:textId="5029AD4C" w:rsidR="00DF70CD" w:rsidRDefault="00DF70CD" w:rsidP="000B0FEB">
            <w:pPr>
              <w:widowControl w:val="0"/>
              <w:rPr>
                <w:sz w:val="24"/>
                <w:szCs w:val="24"/>
              </w:rPr>
            </w:pPr>
            <w:r>
              <w:rPr>
                <w:sz w:val="24"/>
                <w:szCs w:val="24"/>
              </w:rPr>
              <w:t>Weber (2019c)</w:t>
            </w:r>
          </w:p>
        </w:tc>
      </w:tr>
      <w:tr w:rsidR="006F75D5" w14:paraId="595B3230"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091B5401" w14:textId="68CE8059" w:rsidR="006F75D5" w:rsidRDefault="006F75D5" w:rsidP="000B0FEB">
            <w:pPr>
              <w:widowControl w:val="0"/>
              <w:rPr>
                <w:sz w:val="24"/>
                <w:szCs w:val="24"/>
              </w:rPr>
            </w:pPr>
            <w:r>
              <w:rPr>
                <w:sz w:val="24"/>
                <w:szCs w:val="24"/>
              </w:rPr>
              <w:t>Ebrahimi</w:t>
            </w:r>
          </w:p>
        </w:tc>
        <w:tc>
          <w:tcPr>
            <w:tcW w:w="6816" w:type="dxa"/>
            <w:tcBorders>
              <w:top w:val="nil"/>
              <w:left w:val="nil"/>
              <w:bottom w:val="nil"/>
              <w:right w:val="nil"/>
            </w:tcBorders>
            <w:tcMar>
              <w:top w:w="20" w:type="dxa"/>
              <w:left w:w="20" w:type="dxa"/>
              <w:bottom w:w="100" w:type="dxa"/>
              <w:right w:w="20" w:type="dxa"/>
            </w:tcMar>
            <w:vAlign w:val="bottom"/>
          </w:tcPr>
          <w:p w14:paraId="787270B8" w14:textId="23E4552B" w:rsidR="006F75D5" w:rsidRDefault="006F75D5" w:rsidP="000B0FEB">
            <w:pPr>
              <w:widowControl w:val="0"/>
              <w:rPr>
                <w:sz w:val="24"/>
                <w:szCs w:val="24"/>
              </w:rPr>
            </w:pPr>
            <w:r>
              <w:rPr>
                <w:sz w:val="24"/>
                <w:szCs w:val="24"/>
              </w:rPr>
              <w:t>Asefi (2023b)</w:t>
            </w:r>
          </w:p>
        </w:tc>
      </w:tr>
      <w:tr w:rsidR="005B0D65" w14:paraId="2C0541BF"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057784D8" w14:textId="77777777" w:rsidR="005B0D65" w:rsidRDefault="005B0D65" w:rsidP="000B0FEB">
            <w:pPr>
              <w:widowControl w:val="0"/>
              <w:rPr>
                <w:sz w:val="24"/>
                <w:szCs w:val="24"/>
              </w:rPr>
            </w:pPr>
            <w:r>
              <w:rPr>
                <w:sz w:val="24"/>
                <w:szCs w:val="24"/>
              </w:rPr>
              <w:t>LA 1</w:t>
            </w:r>
          </w:p>
        </w:tc>
        <w:tc>
          <w:tcPr>
            <w:tcW w:w="6816" w:type="dxa"/>
            <w:tcBorders>
              <w:top w:val="nil"/>
              <w:left w:val="nil"/>
              <w:bottom w:val="nil"/>
              <w:right w:val="nil"/>
            </w:tcBorders>
            <w:tcMar>
              <w:top w:w="20" w:type="dxa"/>
              <w:left w:w="20" w:type="dxa"/>
              <w:bottom w:w="100" w:type="dxa"/>
              <w:right w:w="20" w:type="dxa"/>
            </w:tcMar>
            <w:vAlign w:val="bottom"/>
          </w:tcPr>
          <w:p w14:paraId="552FF635" w14:textId="245E71BC" w:rsidR="005B0D65" w:rsidRDefault="00103199" w:rsidP="000B0FEB">
            <w:pPr>
              <w:widowControl w:val="0"/>
              <w:rPr>
                <w:sz w:val="24"/>
                <w:szCs w:val="24"/>
              </w:rPr>
            </w:pPr>
            <w:r>
              <w:rPr>
                <w:sz w:val="24"/>
                <w:szCs w:val="24"/>
              </w:rPr>
              <w:t>Weber (2008a</w:t>
            </w:r>
            <w:r w:rsidR="005B0D65">
              <w:rPr>
                <w:sz w:val="24"/>
                <w:szCs w:val="24"/>
              </w:rPr>
              <w:t>)</w:t>
            </w:r>
          </w:p>
        </w:tc>
      </w:tr>
      <w:tr w:rsidR="005B0D65" w14:paraId="763CDBC7"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60B804D7" w14:textId="77777777" w:rsidR="005B0D65" w:rsidRDefault="005B0D65" w:rsidP="000B0FEB">
            <w:pPr>
              <w:widowControl w:val="0"/>
              <w:rPr>
                <w:sz w:val="24"/>
                <w:szCs w:val="24"/>
              </w:rPr>
            </w:pPr>
            <w:r>
              <w:rPr>
                <w:sz w:val="24"/>
                <w:szCs w:val="24"/>
              </w:rPr>
              <w:t>LA 2</w:t>
            </w:r>
          </w:p>
        </w:tc>
        <w:tc>
          <w:tcPr>
            <w:tcW w:w="6816" w:type="dxa"/>
            <w:tcBorders>
              <w:top w:val="nil"/>
              <w:left w:val="nil"/>
              <w:bottom w:val="nil"/>
              <w:right w:val="nil"/>
            </w:tcBorders>
            <w:tcMar>
              <w:top w:w="20" w:type="dxa"/>
              <w:left w:w="20" w:type="dxa"/>
              <w:bottom w:w="100" w:type="dxa"/>
              <w:right w:w="20" w:type="dxa"/>
            </w:tcMar>
            <w:vAlign w:val="bottom"/>
          </w:tcPr>
          <w:p w14:paraId="0E9E9EC0" w14:textId="20C83892" w:rsidR="005B0D65" w:rsidRDefault="00103199" w:rsidP="000B0FEB">
            <w:pPr>
              <w:widowControl w:val="0"/>
              <w:rPr>
                <w:sz w:val="24"/>
                <w:szCs w:val="24"/>
              </w:rPr>
            </w:pPr>
            <w:r>
              <w:rPr>
                <w:sz w:val="24"/>
                <w:szCs w:val="24"/>
              </w:rPr>
              <w:t>Weber (2008a</w:t>
            </w:r>
            <w:r w:rsidR="005B0D65">
              <w:rPr>
                <w:sz w:val="24"/>
                <w:szCs w:val="24"/>
              </w:rPr>
              <w:t>)</w:t>
            </w:r>
          </w:p>
        </w:tc>
      </w:tr>
      <w:tr w:rsidR="005B0D65" w14:paraId="50DA7E68"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17C84BB2" w14:textId="77777777" w:rsidR="005B0D65" w:rsidRDefault="005B0D65" w:rsidP="000B0FEB">
            <w:pPr>
              <w:widowControl w:val="0"/>
              <w:rPr>
                <w:sz w:val="24"/>
                <w:szCs w:val="24"/>
              </w:rPr>
            </w:pPr>
            <w:r>
              <w:rPr>
                <w:sz w:val="24"/>
                <w:szCs w:val="24"/>
              </w:rPr>
              <w:t>LA 3</w:t>
            </w:r>
          </w:p>
        </w:tc>
        <w:tc>
          <w:tcPr>
            <w:tcW w:w="6816" w:type="dxa"/>
            <w:tcBorders>
              <w:top w:val="nil"/>
              <w:left w:val="nil"/>
              <w:bottom w:val="nil"/>
              <w:right w:val="nil"/>
            </w:tcBorders>
            <w:tcMar>
              <w:top w:w="20" w:type="dxa"/>
              <w:left w:w="20" w:type="dxa"/>
              <w:bottom w:w="100" w:type="dxa"/>
              <w:right w:w="20" w:type="dxa"/>
            </w:tcMar>
            <w:vAlign w:val="bottom"/>
          </w:tcPr>
          <w:p w14:paraId="7A0C9C70" w14:textId="6FF20D16" w:rsidR="005B0D65" w:rsidRDefault="00103199" w:rsidP="000B0FEB">
            <w:pPr>
              <w:widowControl w:val="0"/>
              <w:rPr>
                <w:sz w:val="24"/>
                <w:szCs w:val="24"/>
              </w:rPr>
            </w:pPr>
            <w:r>
              <w:rPr>
                <w:sz w:val="24"/>
                <w:szCs w:val="24"/>
              </w:rPr>
              <w:t>Weber (2008a</w:t>
            </w:r>
            <w:r w:rsidR="005B0D65">
              <w:rPr>
                <w:sz w:val="24"/>
                <w:szCs w:val="24"/>
              </w:rPr>
              <w:t>)</w:t>
            </w:r>
          </w:p>
        </w:tc>
      </w:tr>
      <w:tr w:rsidR="005B0D65" w14:paraId="1D184197"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69303039" w14:textId="77777777" w:rsidR="005B0D65" w:rsidRDefault="005B0D65" w:rsidP="000B0FEB">
            <w:pPr>
              <w:widowControl w:val="0"/>
              <w:rPr>
                <w:sz w:val="24"/>
                <w:szCs w:val="24"/>
              </w:rPr>
            </w:pPr>
            <w:r>
              <w:rPr>
                <w:sz w:val="24"/>
                <w:szCs w:val="24"/>
              </w:rPr>
              <w:t>LA 4</w:t>
            </w:r>
          </w:p>
        </w:tc>
        <w:tc>
          <w:tcPr>
            <w:tcW w:w="6816" w:type="dxa"/>
            <w:tcBorders>
              <w:top w:val="nil"/>
              <w:left w:val="nil"/>
              <w:bottom w:val="nil"/>
              <w:right w:val="nil"/>
            </w:tcBorders>
            <w:tcMar>
              <w:top w:w="20" w:type="dxa"/>
              <w:left w:w="20" w:type="dxa"/>
              <w:bottom w:w="100" w:type="dxa"/>
              <w:right w:w="20" w:type="dxa"/>
            </w:tcMar>
            <w:vAlign w:val="bottom"/>
          </w:tcPr>
          <w:p w14:paraId="78B6EFBE" w14:textId="2657A7A3" w:rsidR="005B0D65" w:rsidRDefault="00103199" w:rsidP="000B0FEB">
            <w:pPr>
              <w:widowControl w:val="0"/>
              <w:rPr>
                <w:sz w:val="24"/>
                <w:szCs w:val="24"/>
              </w:rPr>
            </w:pPr>
            <w:r>
              <w:rPr>
                <w:sz w:val="24"/>
                <w:szCs w:val="24"/>
              </w:rPr>
              <w:t>Weber (2008a</w:t>
            </w:r>
            <w:r w:rsidR="005B0D65">
              <w:rPr>
                <w:sz w:val="24"/>
                <w:szCs w:val="24"/>
              </w:rPr>
              <w:t>)</w:t>
            </w:r>
          </w:p>
        </w:tc>
      </w:tr>
      <w:tr w:rsidR="005B0D65" w14:paraId="08F3F5D6"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698F12E" w14:textId="77777777" w:rsidR="005B0D65" w:rsidRDefault="005B0D65" w:rsidP="000B0FEB">
            <w:pPr>
              <w:widowControl w:val="0"/>
              <w:rPr>
                <w:sz w:val="24"/>
                <w:szCs w:val="24"/>
              </w:rPr>
            </w:pPr>
            <w:r>
              <w:rPr>
                <w:sz w:val="24"/>
                <w:szCs w:val="24"/>
              </w:rPr>
              <w:t>LA 5</w:t>
            </w:r>
          </w:p>
        </w:tc>
        <w:tc>
          <w:tcPr>
            <w:tcW w:w="6816" w:type="dxa"/>
            <w:tcBorders>
              <w:top w:val="nil"/>
              <w:left w:val="nil"/>
              <w:bottom w:val="nil"/>
              <w:right w:val="nil"/>
            </w:tcBorders>
            <w:tcMar>
              <w:top w:w="20" w:type="dxa"/>
              <w:left w:w="20" w:type="dxa"/>
              <w:bottom w:w="100" w:type="dxa"/>
              <w:right w:w="20" w:type="dxa"/>
            </w:tcMar>
            <w:vAlign w:val="bottom"/>
          </w:tcPr>
          <w:p w14:paraId="74695BCE" w14:textId="192275F6" w:rsidR="005B0D65" w:rsidRDefault="00103199" w:rsidP="000B0FEB">
            <w:pPr>
              <w:widowControl w:val="0"/>
              <w:rPr>
                <w:sz w:val="24"/>
                <w:szCs w:val="24"/>
              </w:rPr>
            </w:pPr>
            <w:r>
              <w:rPr>
                <w:sz w:val="24"/>
                <w:szCs w:val="24"/>
              </w:rPr>
              <w:t>Weber (2008a</w:t>
            </w:r>
            <w:r w:rsidR="005B0D65">
              <w:rPr>
                <w:sz w:val="24"/>
                <w:szCs w:val="24"/>
              </w:rPr>
              <w:t xml:space="preserve">), </w:t>
            </w:r>
            <w:proofErr w:type="spellStart"/>
            <w:r w:rsidR="005B0D65">
              <w:rPr>
                <w:sz w:val="24"/>
                <w:szCs w:val="24"/>
              </w:rPr>
              <w:t>Gignoux</w:t>
            </w:r>
            <w:proofErr w:type="spellEnd"/>
            <w:r w:rsidR="005B0D65">
              <w:rPr>
                <w:sz w:val="24"/>
                <w:szCs w:val="24"/>
              </w:rPr>
              <w:t xml:space="preserve"> (2010: 116</w:t>
            </w:r>
            <w:r w:rsidR="00073A6E">
              <w:rPr>
                <w:sz w:val="24"/>
                <w:szCs w:val="24"/>
              </w:rPr>
              <w:t>–</w:t>
            </w:r>
            <w:r w:rsidR="005B0D65">
              <w:rPr>
                <w:sz w:val="24"/>
                <w:szCs w:val="24"/>
              </w:rPr>
              <w:t>17)</w:t>
            </w:r>
          </w:p>
        </w:tc>
      </w:tr>
      <w:tr w:rsidR="005B0D65" w14:paraId="046DB0C7"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122AB9EF" w14:textId="77777777" w:rsidR="005B0D65" w:rsidRDefault="005B0D65" w:rsidP="000B0FEB">
            <w:pPr>
              <w:widowControl w:val="0"/>
              <w:rPr>
                <w:sz w:val="24"/>
                <w:szCs w:val="24"/>
              </w:rPr>
            </w:pPr>
            <w:r>
              <w:rPr>
                <w:sz w:val="24"/>
                <w:szCs w:val="24"/>
              </w:rPr>
              <w:t>LA 6</w:t>
            </w:r>
          </w:p>
        </w:tc>
        <w:tc>
          <w:tcPr>
            <w:tcW w:w="6816" w:type="dxa"/>
            <w:tcBorders>
              <w:top w:val="nil"/>
              <w:left w:val="nil"/>
              <w:bottom w:val="nil"/>
              <w:right w:val="nil"/>
            </w:tcBorders>
            <w:tcMar>
              <w:top w:w="20" w:type="dxa"/>
              <w:left w:w="20" w:type="dxa"/>
              <w:bottom w:w="100" w:type="dxa"/>
              <w:right w:w="20" w:type="dxa"/>
            </w:tcMar>
            <w:vAlign w:val="bottom"/>
          </w:tcPr>
          <w:p w14:paraId="0C2BB93B" w14:textId="0B71BC88" w:rsidR="005B0D65" w:rsidRDefault="00103199" w:rsidP="000B0FEB">
            <w:pPr>
              <w:widowControl w:val="0"/>
              <w:rPr>
                <w:sz w:val="24"/>
                <w:szCs w:val="24"/>
              </w:rPr>
            </w:pPr>
            <w:r>
              <w:rPr>
                <w:sz w:val="24"/>
                <w:szCs w:val="24"/>
              </w:rPr>
              <w:t>Weber (2008a</w:t>
            </w:r>
            <w:r w:rsidR="005B0D65">
              <w:rPr>
                <w:sz w:val="24"/>
                <w:szCs w:val="24"/>
              </w:rPr>
              <w:t>)</w:t>
            </w:r>
          </w:p>
        </w:tc>
      </w:tr>
      <w:tr w:rsidR="005B0D65" w14:paraId="2913BA45"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7F237970" w14:textId="77777777" w:rsidR="005B0D65" w:rsidRDefault="005B0D65" w:rsidP="000B0FEB">
            <w:pPr>
              <w:widowControl w:val="0"/>
              <w:rPr>
                <w:sz w:val="24"/>
                <w:szCs w:val="24"/>
              </w:rPr>
            </w:pPr>
            <w:r>
              <w:rPr>
                <w:sz w:val="24"/>
                <w:szCs w:val="24"/>
              </w:rPr>
              <w:t>Tehran A</w:t>
            </w:r>
          </w:p>
        </w:tc>
        <w:tc>
          <w:tcPr>
            <w:tcW w:w="6816" w:type="dxa"/>
            <w:tcBorders>
              <w:top w:val="nil"/>
              <w:left w:val="nil"/>
              <w:bottom w:val="nil"/>
              <w:right w:val="nil"/>
            </w:tcBorders>
            <w:tcMar>
              <w:top w:w="20" w:type="dxa"/>
              <w:left w:w="20" w:type="dxa"/>
              <w:bottom w:w="100" w:type="dxa"/>
              <w:right w:w="20" w:type="dxa"/>
            </w:tcMar>
            <w:vAlign w:val="bottom"/>
          </w:tcPr>
          <w:p w14:paraId="0EF6B1E8" w14:textId="17E48889" w:rsidR="005B0D65" w:rsidRDefault="00103199" w:rsidP="000B0FEB">
            <w:pPr>
              <w:widowControl w:val="0"/>
              <w:rPr>
                <w:sz w:val="24"/>
                <w:szCs w:val="24"/>
              </w:rPr>
            </w:pPr>
            <w:r>
              <w:rPr>
                <w:sz w:val="24"/>
                <w:szCs w:val="24"/>
              </w:rPr>
              <w:t>Weber (2008a</w:t>
            </w:r>
            <w:r w:rsidR="005B0D65">
              <w:rPr>
                <w:sz w:val="24"/>
                <w:szCs w:val="24"/>
              </w:rPr>
              <w:t>)</w:t>
            </w:r>
          </w:p>
        </w:tc>
      </w:tr>
      <w:tr w:rsidR="005B0D65" w14:paraId="0B71C715"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74DDAA40" w14:textId="77777777" w:rsidR="005B0D65" w:rsidRDefault="005B0D65" w:rsidP="000B0FEB">
            <w:pPr>
              <w:widowControl w:val="0"/>
              <w:rPr>
                <w:sz w:val="24"/>
                <w:szCs w:val="24"/>
              </w:rPr>
            </w:pPr>
            <w:r>
              <w:rPr>
                <w:sz w:val="24"/>
                <w:szCs w:val="24"/>
              </w:rPr>
              <w:t>Tehran B</w:t>
            </w:r>
          </w:p>
        </w:tc>
        <w:tc>
          <w:tcPr>
            <w:tcW w:w="6816" w:type="dxa"/>
            <w:tcBorders>
              <w:top w:val="nil"/>
              <w:left w:val="nil"/>
              <w:bottom w:val="nil"/>
              <w:right w:val="nil"/>
            </w:tcBorders>
            <w:tcMar>
              <w:top w:w="20" w:type="dxa"/>
              <w:left w:w="20" w:type="dxa"/>
              <w:bottom w:w="100" w:type="dxa"/>
              <w:right w:w="20" w:type="dxa"/>
            </w:tcMar>
            <w:vAlign w:val="bottom"/>
          </w:tcPr>
          <w:p w14:paraId="76D95A80" w14:textId="57993B5E" w:rsidR="005B0D65" w:rsidRDefault="00103199" w:rsidP="000B0FEB">
            <w:pPr>
              <w:widowControl w:val="0"/>
              <w:rPr>
                <w:sz w:val="24"/>
                <w:szCs w:val="24"/>
              </w:rPr>
            </w:pPr>
            <w:r>
              <w:rPr>
                <w:sz w:val="24"/>
                <w:szCs w:val="24"/>
              </w:rPr>
              <w:t>Weber (2008a</w:t>
            </w:r>
            <w:r w:rsidR="005B0D65">
              <w:rPr>
                <w:sz w:val="24"/>
                <w:szCs w:val="24"/>
              </w:rPr>
              <w:t>)</w:t>
            </w:r>
          </w:p>
        </w:tc>
      </w:tr>
      <w:tr w:rsidR="005B0D65" w14:paraId="31A283A9"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26EF175E" w14:textId="77777777" w:rsidR="005B0D65" w:rsidRDefault="005B0D65" w:rsidP="000B0FEB">
            <w:pPr>
              <w:widowControl w:val="0"/>
              <w:rPr>
                <w:sz w:val="24"/>
                <w:szCs w:val="24"/>
              </w:rPr>
            </w:pPr>
            <w:r>
              <w:rPr>
                <w:sz w:val="24"/>
                <w:szCs w:val="24"/>
              </w:rPr>
              <w:t>Tehran C</w:t>
            </w:r>
          </w:p>
        </w:tc>
        <w:tc>
          <w:tcPr>
            <w:tcW w:w="6816" w:type="dxa"/>
            <w:tcBorders>
              <w:top w:val="nil"/>
              <w:left w:val="nil"/>
              <w:bottom w:val="nil"/>
              <w:right w:val="nil"/>
            </w:tcBorders>
            <w:tcMar>
              <w:top w:w="20" w:type="dxa"/>
              <w:left w:w="20" w:type="dxa"/>
              <w:bottom w:w="100" w:type="dxa"/>
              <w:right w:w="20" w:type="dxa"/>
            </w:tcMar>
            <w:vAlign w:val="bottom"/>
          </w:tcPr>
          <w:p w14:paraId="3D604777" w14:textId="632840FD" w:rsidR="005B0D65" w:rsidRDefault="00103199" w:rsidP="000B0FEB">
            <w:pPr>
              <w:widowControl w:val="0"/>
              <w:rPr>
                <w:sz w:val="24"/>
                <w:szCs w:val="24"/>
              </w:rPr>
            </w:pPr>
            <w:r>
              <w:rPr>
                <w:sz w:val="24"/>
                <w:szCs w:val="24"/>
              </w:rPr>
              <w:t>Weber (2008a</w:t>
            </w:r>
            <w:r w:rsidR="005B0D65">
              <w:rPr>
                <w:sz w:val="24"/>
                <w:szCs w:val="24"/>
              </w:rPr>
              <w:t>)</w:t>
            </w:r>
          </w:p>
        </w:tc>
      </w:tr>
      <w:tr w:rsidR="005B0D65" w14:paraId="58B5C7E8"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42A1C5A8" w14:textId="77777777" w:rsidR="005B0D65" w:rsidRDefault="005B0D65" w:rsidP="000B0FEB">
            <w:pPr>
              <w:widowControl w:val="0"/>
              <w:rPr>
                <w:sz w:val="24"/>
                <w:szCs w:val="24"/>
              </w:rPr>
            </w:pPr>
            <w:r>
              <w:rPr>
                <w:sz w:val="24"/>
                <w:szCs w:val="24"/>
              </w:rPr>
              <w:t>Tehran D</w:t>
            </w:r>
          </w:p>
        </w:tc>
        <w:tc>
          <w:tcPr>
            <w:tcW w:w="6816" w:type="dxa"/>
            <w:tcBorders>
              <w:top w:val="nil"/>
              <w:left w:val="nil"/>
              <w:bottom w:val="nil"/>
              <w:right w:val="nil"/>
            </w:tcBorders>
            <w:tcMar>
              <w:top w:w="20" w:type="dxa"/>
              <w:left w:w="20" w:type="dxa"/>
              <w:bottom w:w="100" w:type="dxa"/>
              <w:right w:w="20" w:type="dxa"/>
            </w:tcMar>
            <w:vAlign w:val="bottom"/>
          </w:tcPr>
          <w:p w14:paraId="5328A103" w14:textId="5CADB1A3" w:rsidR="005B0D65" w:rsidRDefault="00103199" w:rsidP="000B0FEB">
            <w:pPr>
              <w:widowControl w:val="0"/>
              <w:rPr>
                <w:sz w:val="24"/>
                <w:szCs w:val="24"/>
              </w:rPr>
            </w:pPr>
            <w:r>
              <w:rPr>
                <w:sz w:val="24"/>
                <w:szCs w:val="24"/>
              </w:rPr>
              <w:t>Weber (2008a</w:t>
            </w:r>
            <w:r w:rsidR="005B0D65">
              <w:rPr>
                <w:sz w:val="24"/>
                <w:szCs w:val="24"/>
              </w:rPr>
              <w:t>)</w:t>
            </w:r>
          </w:p>
        </w:tc>
      </w:tr>
      <w:tr w:rsidR="005B0D65" w14:paraId="5599A7C6"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50C2E4A0" w14:textId="77777777" w:rsidR="005B0D65" w:rsidRDefault="005B0D65" w:rsidP="000B0FEB">
            <w:pPr>
              <w:widowControl w:val="0"/>
              <w:rPr>
                <w:sz w:val="24"/>
                <w:szCs w:val="24"/>
              </w:rPr>
            </w:pPr>
            <w:r>
              <w:rPr>
                <w:sz w:val="24"/>
                <w:szCs w:val="24"/>
              </w:rPr>
              <w:t>Tehran E</w:t>
            </w:r>
          </w:p>
        </w:tc>
        <w:tc>
          <w:tcPr>
            <w:tcW w:w="6816" w:type="dxa"/>
            <w:tcBorders>
              <w:top w:val="nil"/>
              <w:left w:val="nil"/>
              <w:bottom w:val="nil"/>
              <w:right w:val="nil"/>
            </w:tcBorders>
            <w:tcMar>
              <w:top w:w="20" w:type="dxa"/>
              <w:left w:w="20" w:type="dxa"/>
              <w:bottom w:w="100" w:type="dxa"/>
              <w:right w:w="20" w:type="dxa"/>
            </w:tcMar>
            <w:vAlign w:val="bottom"/>
          </w:tcPr>
          <w:p w14:paraId="5FC9A3B1" w14:textId="12108DA7" w:rsidR="005B0D65" w:rsidRDefault="00103199" w:rsidP="000B0FEB">
            <w:pPr>
              <w:widowControl w:val="0"/>
              <w:rPr>
                <w:sz w:val="24"/>
                <w:szCs w:val="24"/>
              </w:rPr>
            </w:pPr>
            <w:r>
              <w:rPr>
                <w:sz w:val="24"/>
                <w:szCs w:val="24"/>
              </w:rPr>
              <w:t>Weber (2008a</w:t>
            </w:r>
            <w:r w:rsidR="005B0D65">
              <w:rPr>
                <w:sz w:val="24"/>
                <w:szCs w:val="24"/>
              </w:rPr>
              <w:t>)</w:t>
            </w:r>
          </w:p>
        </w:tc>
      </w:tr>
      <w:tr w:rsidR="005B0D65" w14:paraId="1F1ADC52"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02C6350B" w14:textId="77777777" w:rsidR="005B0D65" w:rsidRDefault="005B0D65" w:rsidP="000B0FEB">
            <w:pPr>
              <w:widowControl w:val="0"/>
              <w:rPr>
                <w:sz w:val="24"/>
                <w:szCs w:val="24"/>
              </w:rPr>
            </w:pPr>
            <w:r>
              <w:rPr>
                <w:sz w:val="24"/>
                <w:szCs w:val="24"/>
              </w:rPr>
              <w:t>Tehran F</w:t>
            </w:r>
          </w:p>
        </w:tc>
        <w:tc>
          <w:tcPr>
            <w:tcW w:w="6816" w:type="dxa"/>
            <w:tcBorders>
              <w:top w:val="nil"/>
              <w:left w:val="nil"/>
              <w:bottom w:val="nil"/>
              <w:right w:val="nil"/>
            </w:tcBorders>
            <w:tcMar>
              <w:top w:w="20" w:type="dxa"/>
              <w:left w:w="20" w:type="dxa"/>
              <w:bottom w:w="100" w:type="dxa"/>
              <w:right w:w="20" w:type="dxa"/>
            </w:tcMar>
            <w:vAlign w:val="bottom"/>
          </w:tcPr>
          <w:p w14:paraId="08ED9FDF" w14:textId="2E4943C8" w:rsidR="005B0D65" w:rsidRDefault="00103199" w:rsidP="000B0FEB">
            <w:pPr>
              <w:widowControl w:val="0"/>
              <w:rPr>
                <w:sz w:val="24"/>
                <w:szCs w:val="24"/>
              </w:rPr>
            </w:pPr>
            <w:r>
              <w:rPr>
                <w:sz w:val="24"/>
                <w:szCs w:val="24"/>
              </w:rPr>
              <w:t>Weber (2008a</w:t>
            </w:r>
            <w:r w:rsidR="005B0D65">
              <w:rPr>
                <w:sz w:val="24"/>
                <w:szCs w:val="24"/>
              </w:rPr>
              <w:t>)</w:t>
            </w:r>
          </w:p>
        </w:tc>
      </w:tr>
      <w:tr w:rsidR="005B0D65" w14:paraId="74FB3831"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648309FF" w14:textId="77777777" w:rsidR="005B0D65" w:rsidRDefault="005B0D65" w:rsidP="000B0FEB">
            <w:pPr>
              <w:widowControl w:val="0"/>
              <w:rPr>
                <w:sz w:val="24"/>
                <w:szCs w:val="24"/>
              </w:rPr>
            </w:pPr>
            <w:r>
              <w:rPr>
                <w:sz w:val="24"/>
                <w:szCs w:val="24"/>
              </w:rPr>
              <w:t>Tehran G</w:t>
            </w:r>
          </w:p>
        </w:tc>
        <w:tc>
          <w:tcPr>
            <w:tcW w:w="6816" w:type="dxa"/>
            <w:tcBorders>
              <w:top w:val="nil"/>
              <w:left w:val="nil"/>
              <w:bottom w:val="nil"/>
              <w:right w:val="nil"/>
            </w:tcBorders>
            <w:tcMar>
              <w:top w:w="20" w:type="dxa"/>
              <w:left w:w="20" w:type="dxa"/>
              <w:bottom w:w="100" w:type="dxa"/>
              <w:right w:w="20" w:type="dxa"/>
            </w:tcMar>
            <w:vAlign w:val="bottom"/>
          </w:tcPr>
          <w:p w14:paraId="122372E3" w14:textId="409A3604" w:rsidR="005B0D65" w:rsidRDefault="00103199" w:rsidP="000B0FEB">
            <w:pPr>
              <w:widowControl w:val="0"/>
              <w:rPr>
                <w:sz w:val="24"/>
                <w:szCs w:val="24"/>
              </w:rPr>
            </w:pPr>
            <w:r>
              <w:rPr>
                <w:sz w:val="24"/>
                <w:szCs w:val="24"/>
              </w:rPr>
              <w:t>Weber (2008a</w:t>
            </w:r>
            <w:r w:rsidR="005B0D65">
              <w:rPr>
                <w:sz w:val="24"/>
                <w:szCs w:val="24"/>
              </w:rPr>
              <w:t>)</w:t>
            </w:r>
          </w:p>
        </w:tc>
      </w:tr>
      <w:tr w:rsidR="006F75D5" w14:paraId="5E8626CE" w14:textId="77777777" w:rsidTr="00AE7F12">
        <w:trPr>
          <w:trHeight w:val="430"/>
        </w:trPr>
        <w:tc>
          <w:tcPr>
            <w:tcW w:w="2544" w:type="dxa"/>
            <w:tcBorders>
              <w:top w:val="nil"/>
              <w:left w:val="nil"/>
              <w:bottom w:val="nil"/>
              <w:right w:val="nil"/>
            </w:tcBorders>
            <w:tcMar>
              <w:top w:w="20" w:type="dxa"/>
              <w:left w:w="20" w:type="dxa"/>
              <w:bottom w:w="100" w:type="dxa"/>
              <w:right w:w="20" w:type="dxa"/>
            </w:tcMar>
            <w:vAlign w:val="bottom"/>
          </w:tcPr>
          <w:p w14:paraId="3E213562" w14:textId="77777777" w:rsidR="006F75D5" w:rsidRDefault="006F75D5" w:rsidP="000B0FEB">
            <w:pPr>
              <w:widowControl w:val="0"/>
              <w:rPr>
                <w:sz w:val="24"/>
                <w:szCs w:val="24"/>
              </w:rPr>
            </w:pPr>
          </w:p>
        </w:tc>
        <w:tc>
          <w:tcPr>
            <w:tcW w:w="6816" w:type="dxa"/>
            <w:tcBorders>
              <w:top w:val="nil"/>
              <w:left w:val="nil"/>
              <w:bottom w:val="nil"/>
              <w:right w:val="nil"/>
            </w:tcBorders>
            <w:tcMar>
              <w:top w:w="20" w:type="dxa"/>
              <w:left w:w="20" w:type="dxa"/>
              <w:bottom w:w="100" w:type="dxa"/>
              <w:right w:w="20" w:type="dxa"/>
            </w:tcMar>
            <w:vAlign w:val="bottom"/>
          </w:tcPr>
          <w:p w14:paraId="1B09B58A" w14:textId="77777777" w:rsidR="006F75D5" w:rsidRDefault="006F75D5" w:rsidP="000B0FEB">
            <w:pPr>
              <w:widowControl w:val="0"/>
              <w:rPr>
                <w:sz w:val="24"/>
                <w:szCs w:val="24"/>
              </w:rPr>
            </w:pPr>
          </w:p>
        </w:tc>
      </w:tr>
    </w:tbl>
    <w:p w14:paraId="23D8CDE5" w14:textId="77777777" w:rsidR="005B0D65" w:rsidRDefault="005B0D65" w:rsidP="005B0D65">
      <w:pPr>
        <w:spacing w:line="480" w:lineRule="auto"/>
        <w:jc w:val="center"/>
        <w:rPr>
          <w:sz w:val="24"/>
          <w:szCs w:val="24"/>
        </w:rPr>
      </w:pPr>
    </w:p>
    <w:p w14:paraId="1A11C718" w14:textId="77777777" w:rsidR="00270585" w:rsidRDefault="00270585">
      <w:pPr>
        <w:rPr>
          <w:b/>
          <w:bCs/>
        </w:rPr>
      </w:pPr>
    </w:p>
    <w:p w14:paraId="097D1661" w14:textId="5FE61DCA" w:rsidR="0031389E" w:rsidRDefault="00825928">
      <w:pPr>
        <w:rPr>
          <w:b/>
          <w:bCs/>
        </w:rPr>
      </w:pPr>
      <w:r w:rsidRPr="0063646D">
        <w:rPr>
          <w:b/>
          <w:bCs/>
        </w:rPr>
        <w:lastRenderedPageBreak/>
        <w:t>Bibliography</w:t>
      </w:r>
    </w:p>
    <w:p w14:paraId="24E43FBC" w14:textId="636DCA6A" w:rsidR="00042B1B" w:rsidRDefault="00042B1B" w:rsidP="00042B1B">
      <w:pPr>
        <w:autoSpaceDE w:val="0"/>
        <w:autoSpaceDN w:val="0"/>
        <w:adjustRightInd w:val="0"/>
        <w:ind w:left="709" w:hanging="709"/>
        <w:rPr>
          <w:rFonts w:eastAsia="SimSun"/>
          <w:lang w:val="en-GB"/>
        </w:rPr>
      </w:pPr>
      <w:proofErr w:type="spellStart"/>
      <w:r w:rsidRPr="00042B1B">
        <w:rPr>
          <w:rFonts w:eastAsia="SimSun"/>
          <w:lang w:val="en-GB"/>
        </w:rPr>
        <w:t>Anṣārī</w:t>
      </w:r>
      <w:proofErr w:type="spellEnd"/>
      <w:r w:rsidRPr="00042B1B">
        <w:rPr>
          <w:rFonts w:eastAsia="SimSun"/>
          <w:lang w:val="en-GB"/>
        </w:rPr>
        <w:t xml:space="preserve"> </w:t>
      </w:r>
      <w:proofErr w:type="spellStart"/>
      <w:r w:rsidRPr="00042B1B">
        <w:rPr>
          <w:rFonts w:eastAsia="SimSun"/>
          <w:lang w:val="en-GB"/>
        </w:rPr>
        <w:t>Qomī</w:t>
      </w:r>
      <w:proofErr w:type="spellEnd"/>
      <w:r w:rsidRPr="00042B1B">
        <w:rPr>
          <w:rFonts w:eastAsia="SimSun"/>
          <w:lang w:val="en-GB"/>
        </w:rPr>
        <w:t xml:space="preserve"> (ed.), al-</w:t>
      </w:r>
      <w:proofErr w:type="spellStart"/>
      <w:r w:rsidRPr="00042B1B">
        <w:rPr>
          <w:rFonts w:eastAsia="SimSun"/>
          <w:lang w:val="en-GB"/>
        </w:rPr>
        <w:t>Qummī</w:t>
      </w:r>
      <w:proofErr w:type="spellEnd"/>
      <w:r w:rsidRPr="00042B1B">
        <w:rPr>
          <w:rFonts w:eastAsia="SimSun"/>
          <w:lang w:val="en-GB"/>
        </w:rPr>
        <w:t xml:space="preserve">, </w:t>
      </w:r>
      <w:proofErr w:type="spellStart"/>
      <w:r w:rsidRPr="00042B1B">
        <w:rPr>
          <w:rFonts w:eastAsia="SimSun"/>
          <w:lang w:val="en-GB"/>
        </w:rPr>
        <w:t>Ḥasan</w:t>
      </w:r>
      <w:proofErr w:type="spellEnd"/>
      <w:r w:rsidRPr="00042B1B">
        <w:rPr>
          <w:rFonts w:eastAsia="SimSun"/>
          <w:lang w:val="en-GB"/>
        </w:rPr>
        <w:t xml:space="preserve"> b. </w:t>
      </w:r>
      <w:proofErr w:type="spellStart"/>
      <w:r w:rsidRPr="00042B1B">
        <w:rPr>
          <w:rFonts w:eastAsia="SimSun"/>
          <w:lang w:val="en-GB"/>
        </w:rPr>
        <w:t>Muḥammad</w:t>
      </w:r>
      <w:proofErr w:type="spellEnd"/>
      <w:r w:rsidRPr="00042B1B">
        <w:rPr>
          <w:rFonts w:eastAsia="SimSun"/>
          <w:lang w:val="en-GB"/>
        </w:rPr>
        <w:t xml:space="preserve"> (author). 2006. </w:t>
      </w:r>
      <w:proofErr w:type="spellStart"/>
      <w:r w:rsidRPr="00042B1B">
        <w:rPr>
          <w:rFonts w:eastAsia="SimSun"/>
          <w:i/>
          <w:iCs/>
          <w:lang w:val="en-GB"/>
        </w:rPr>
        <w:t>Tārīkh</w:t>
      </w:r>
      <w:proofErr w:type="spellEnd"/>
      <w:r w:rsidRPr="00042B1B">
        <w:rPr>
          <w:rFonts w:eastAsia="SimSun"/>
          <w:i/>
          <w:iCs/>
          <w:lang w:val="en-GB"/>
        </w:rPr>
        <w:t>-e Qom</w:t>
      </w:r>
      <w:r w:rsidRPr="00042B1B">
        <w:rPr>
          <w:rFonts w:eastAsia="SimSun"/>
          <w:lang w:val="en-GB"/>
        </w:rPr>
        <w:t xml:space="preserve">. M.R. Qom: </w:t>
      </w:r>
      <w:proofErr w:type="spellStart"/>
      <w:r w:rsidRPr="00042B1B">
        <w:rPr>
          <w:rFonts w:eastAsia="SimSun"/>
          <w:lang w:val="en-GB"/>
        </w:rPr>
        <w:t>Ketābkhāne</w:t>
      </w:r>
      <w:proofErr w:type="spellEnd"/>
      <w:r w:rsidRPr="00042B1B">
        <w:rPr>
          <w:rFonts w:eastAsia="SimSun"/>
          <w:lang w:val="en-GB"/>
        </w:rPr>
        <w:t>-ye</w:t>
      </w:r>
      <w:r>
        <w:rPr>
          <w:rFonts w:eastAsia="SimSun"/>
          <w:lang w:val="en-GB"/>
        </w:rPr>
        <w:t xml:space="preserve"> </w:t>
      </w:r>
      <w:proofErr w:type="spellStart"/>
      <w:r w:rsidRPr="00042B1B">
        <w:rPr>
          <w:rFonts w:eastAsia="SimSun"/>
          <w:lang w:val="en-GB"/>
        </w:rPr>
        <w:t>bozorg</w:t>
      </w:r>
      <w:proofErr w:type="spellEnd"/>
      <w:r w:rsidRPr="00042B1B">
        <w:rPr>
          <w:rFonts w:eastAsia="SimSun"/>
          <w:lang w:val="en-GB"/>
        </w:rPr>
        <w:t xml:space="preserve">-e </w:t>
      </w:r>
      <w:proofErr w:type="spellStart"/>
      <w:r w:rsidRPr="00042B1B">
        <w:rPr>
          <w:rFonts w:eastAsia="SimSun"/>
          <w:lang w:val="en-GB"/>
        </w:rPr>
        <w:t>hadrat</w:t>
      </w:r>
      <w:proofErr w:type="spellEnd"/>
      <w:r w:rsidRPr="00042B1B">
        <w:rPr>
          <w:rFonts w:eastAsia="SimSun"/>
          <w:lang w:val="en-GB"/>
        </w:rPr>
        <w:t xml:space="preserve">-e </w:t>
      </w:r>
      <w:proofErr w:type="spellStart"/>
      <w:r w:rsidRPr="00042B1B">
        <w:rPr>
          <w:rFonts w:eastAsia="SimSun"/>
          <w:lang w:val="en-GB"/>
        </w:rPr>
        <w:t>Āyatollāh</w:t>
      </w:r>
      <w:proofErr w:type="spellEnd"/>
      <w:r w:rsidRPr="00042B1B">
        <w:rPr>
          <w:rFonts w:eastAsia="SimSun"/>
          <w:lang w:val="en-GB"/>
        </w:rPr>
        <w:t xml:space="preserve"> al-’</w:t>
      </w:r>
      <w:proofErr w:type="spellStart"/>
      <w:r w:rsidRPr="00042B1B">
        <w:rPr>
          <w:rFonts w:eastAsia="SimSun"/>
          <w:lang w:val="en-GB"/>
        </w:rPr>
        <w:t>Azāmī</w:t>
      </w:r>
      <w:proofErr w:type="spellEnd"/>
      <w:r w:rsidRPr="00042B1B">
        <w:rPr>
          <w:rFonts w:eastAsia="SimSun"/>
          <w:lang w:val="en-GB"/>
        </w:rPr>
        <w:t xml:space="preserve"> </w:t>
      </w:r>
      <w:proofErr w:type="spellStart"/>
      <w:r w:rsidRPr="00042B1B">
        <w:rPr>
          <w:rFonts w:eastAsia="SimSun"/>
          <w:lang w:val="en-GB"/>
        </w:rPr>
        <w:t>Mar’ashī</w:t>
      </w:r>
      <w:proofErr w:type="spellEnd"/>
      <w:r w:rsidRPr="00042B1B">
        <w:rPr>
          <w:rFonts w:eastAsia="SimSun"/>
          <w:lang w:val="en-GB"/>
        </w:rPr>
        <w:t xml:space="preserve"> </w:t>
      </w:r>
      <w:proofErr w:type="spellStart"/>
      <w:r w:rsidRPr="00042B1B">
        <w:rPr>
          <w:rFonts w:eastAsia="SimSun"/>
          <w:lang w:val="en-GB"/>
        </w:rPr>
        <w:t>Najafī</w:t>
      </w:r>
      <w:proofErr w:type="spellEnd"/>
      <w:r w:rsidRPr="00042B1B">
        <w:rPr>
          <w:rFonts w:eastAsia="SimSun"/>
          <w:lang w:val="en-GB"/>
        </w:rPr>
        <w:t>.</w:t>
      </w:r>
    </w:p>
    <w:p w14:paraId="5C632B5C" w14:textId="2101FBFB" w:rsidR="00073B8A" w:rsidRPr="00073B8A" w:rsidRDefault="00073B8A" w:rsidP="00042B1B">
      <w:pPr>
        <w:spacing w:after="120"/>
        <w:ind w:left="709" w:hanging="709"/>
        <w:rPr>
          <w:lang w:val="en-GB"/>
        </w:rPr>
      </w:pPr>
      <w:proofErr w:type="spellStart"/>
      <w:r w:rsidRPr="00073B8A">
        <w:rPr>
          <w:lang w:val="en-GB"/>
        </w:rPr>
        <w:t>Asefi</w:t>
      </w:r>
      <w:proofErr w:type="spellEnd"/>
      <w:r w:rsidRPr="00073B8A">
        <w:rPr>
          <w:lang w:val="en-GB"/>
        </w:rPr>
        <w:t>, Nima. 2023a. “</w:t>
      </w:r>
      <w:proofErr w:type="spellStart"/>
      <w:r w:rsidRPr="00073B8A">
        <w:rPr>
          <w:lang w:val="en-GB"/>
        </w:rPr>
        <w:t>Āzādmard</w:t>
      </w:r>
      <w:proofErr w:type="spellEnd"/>
      <w:r w:rsidRPr="00073B8A">
        <w:rPr>
          <w:lang w:val="en-GB"/>
        </w:rPr>
        <w:t xml:space="preserve"> in the Pahlavi Archive of </w:t>
      </w:r>
      <w:proofErr w:type="spellStart"/>
      <w:r w:rsidRPr="00073B8A">
        <w:rPr>
          <w:lang w:val="en-GB"/>
        </w:rPr>
        <w:t>Hastijan</w:t>
      </w:r>
      <w:proofErr w:type="spellEnd"/>
      <w:r w:rsidRPr="00073B8A">
        <w:rPr>
          <w:lang w:val="en-GB"/>
        </w:rPr>
        <w:t xml:space="preserve">”, </w:t>
      </w:r>
      <w:r w:rsidRPr="00073B8A">
        <w:rPr>
          <w:i/>
          <w:iCs/>
          <w:lang w:val="en-GB"/>
        </w:rPr>
        <w:t>Sasanian Studies: Late Antique Iranian</w:t>
      </w:r>
      <w:r w:rsidR="00042B1B">
        <w:rPr>
          <w:i/>
          <w:iCs/>
          <w:lang w:val="en-GB"/>
        </w:rPr>
        <w:t xml:space="preserve"> </w:t>
      </w:r>
      <w:r w:rsidRPr="00073B8A">
        <w:rPr>
          <w:i/>
          <w:iCs/>
          <w:lang w:val="en-GB"/>
        </w:rPr>
        <w:t>World</w:t>
      </w:r>
      <w:r w:rsidRPr="00073B8A">
        <w:rPr>
          <w:lang w:val="en-GB"/>
        </w:rPr>
        <w:t>/</w:t>
      </w:r>
      <w:proofErr w:type="spellStart"/>
      <w:r w:rsidRPr="00073B8A">
        <w:rPr>
          <w:i/>
          <w:iCs/>
          <w:lang w:val="en-GB"/>
        </w:rPr>
        <w:t>Sasanidische</w:t>
      </w:r>
      <w:proofErr w:type="spellEnd"/>
      <w:r w:rsidRPr="00073B8A">
        <w:rPr>
          <w:i/>
          <w:iCs/>
          <w:lang w:val="en-GB"/>
        </w:rPr>
        <w:t xml:space="preserve"> </w:t>
      </w:r>
      <w:proofErr w:type="spellStart"/>
      <w:r w:rsidRPr="00073B8A">
        <w:rPr>
          <w:i/>
          <w:iCs/>
          <w:lang w:val="en-GB"/>
        </w:rPr>
        <w:t>Studien</w:t>
      </w:r>
      <w:proofErr w:type="spellEnd"/>
      <w:r w:rsidRPr="00073B8A">
        <w:rPr>
          <w:i/>
          <w:iCs/>
          <w:lang w:val="en-GB"/>
        </w:rPr>
        <w:t xml:space="preserve">: </w:t>
      </w:r>
      <w:proofErr w:type="spellStart"/>
      <w:r w:rsidRPr="00073B8A">
        <w:rPr>
          <w:i/>
          <w:iCs/>
          <w:lang w:val="en-GB"/>
        </w:rPr>
        <w:t>Spätantike</w:t>
      </w:r>
      <w:proofErr w:type="spellEnd"/>
      <w:r w:rsidRPr="00073B8A">
        <w:rPr>
          <w:i/>
          <w:iCs/>
          <w:lang w:val="en-GB"/>
        </w:rPr>
        <w:t xml:space="preserve"> </w:t>
      </w:r>
      <w:proofErr w:type="spellStart"/>
      <w:r w:rsidRPr="00073B8A">
        <w:rPr>
          <w:i/>
          <w:iCs/>
          <w:lang w:val="en-GB"/>
        </w:rPr>
        <w:t>iranische</w:t>
      </w:r>
      <w:proofErr w:type="spellEnd"/>
      <w:r w:rsidRPr="00073B8A">
        <w:rPr>
          <w:i/>
          <w:iCs/>
          <w:lang w:val="en-GB"/>
        </w:rPr>
        <w:t xml:space="preserve"> Welt</w:t>
      </w:r>
      <w:r w:rsidRPr="00073B8A">
        <w:rPr>
          <w:lang w:val="en-GB"/>
        </w:rPr>
        <w:t xml:space="preserve"> 2, 1–25.</w:t>
      </w:r>
    </w:p>
    <w:p w14:paraId="425A5EEB" w14:textId="77777777" w:rsidR="00073B8A" w:rsidRDefault="00073B8A" w:rsidP="00042B1B">
      <w:pPr>
        <w:spacing w:after="120"/>
        <w:ind w:left="709" w:hanging="709"/>
        <w:rPr>
          <w:lang w:val="en-GB"/>
        </w:rPr>
      </w:pPr>
      <w:r w:rsidRPr="00073B8A">
        <w:rPr>
          <w:lang w:val="en-GB"/>
        </w:rPr>
        <w:t xml:space="preserve">Asefi, Nima. 2023b. “A new Middle Persian document from </w:t>
      </w:r>
      <w:proofErr w:type="spellStart"/>
      <w:r w:rsidRPr="00073B8A">
        <w:rPr>
          <w:lang w:val="en-GB"/>
        </w:rPr>
        <w:t>Hastijan</w:t>
      </w:r>
      <w:proofErr w:type="spellEnd"/>
      <w:r w:rsidRPr="00073B8A">
        <w:rPr>
          <w:lang w:val="en-GB"/>
        </w:rPr>
        <w:t xml:space="preserve"> belonging to the </w:t>
      </w:r>
      <w:proofErr w:type="spellStart"/>
      <w:r w:rsidRPr="00073B8A">
        <w:rPr>
          <w:lang w:val="en-GB"/>
        </w:rPr>
        <w:t>Farroxzād</w:t>
      </w:r>
      <w:proofErr w:type="spellEnd"/>
      <w:r w:rsidRPr="00073B8A">
        <w:rPr>
          <w:lang w:val="en-GB"/>
        </w:rPr>
        <w:t xml:space="preserve"> family”, </w:t>
      </w:r>
      <w:r w:rsidRPr="00073B8A">
        <w:rPr>
          <w:i/>
          <w:iCs/>
          <w:lang w:val="en-GB"/>
        </w:rPr>
        <w:t>Berkeley Working Papers in Middle Iranian Philology</w:t>
      </w:r>
      <w:r w:rsidRPr="00073B8A">
        <w:rPr>
          <w:lang w:val="en-GB"/>
        </w:rPr>
        <w:t xml:space="preserve"> 3, 1–14. </w:t>
      </w:r>
    </w:p>
    <w:p w14:paraId="5CAB2551" w14:textId="6AB390A9" w:rsidR="00042B1B" w:rsidRDefault="00042B1B" w:rsidP="00042B1B">
      <w:pPr>
        <w:spacing w:after="120"/>
        <w:ind w:left="720" w:hanging="720"/>
        <w:rPr>
          <w:lang w:val="en-GB"/>
        </w:rPr>
      </w:pPr>
      <w:r w:rsidRPr="00042B1B">
        <w:rPr>
          <w:lang w:val="en-GB"/>
        </w:rPr>
        <w:t>de Blois, François. 2006. “Glossary to the New Persian texts in Manichaean script”, in François de Blois,</w:t>
      </w:r>
      <w:r>
        <w:rPr>
          <w:lang w:val="en-GB"/>
        </w:rPr>
        <w:t xml:space="preserve"> </w:t>
      </w:r>
      <w:r w:rsidRPr="00042B1B">
        <w:rPr>
          <w:lang w:val="en-GB"/>
        </w:rPr>
        <w:t>Nicholas Sims-Williams, Erica Hunter and Dieter Taillieu (eds and comps</w:t>
      </w:r>
      <w:r w:rsidRPr="00042B1B">
        <w:rPr>
          <w:i/>
          <w:iCs/>
          <w:lang w:val="en-GB"/>
        </w:rPr>
        <w:t>), Dictionary of Manichaean Texts,</w:t>
      </w:r>
      <w:r>
        <w:rPr>
          <w:lang w:val="en-GB"/>
        </w:rPr>
        <w:t xml:space="preserve"> </w:t>
      </w:r>
      <w:r w:rsidRPr="00042B1B">
        <w:rPr>
          <w:i/>
          <w:iCs/>
          <w:lang w:val="en-GB"/>
        </w:rPr>
        <w:t>Vol. II: Texts from Iraq and Iran (Texts in Syriac, Arabic, Persian, and Zoroastrian Middle Persian)</w:t>
      </w:r>
      <w:r>
        <w:rPr>
          <w:lang w:val="en-GB"/>
        </w:rPr>
        <w:t>,</w:t>
      </w:r>
      <w:r w:rsidRPr="00042B1B">
        <w:rPr>
          <w:lang w:val="en-GB"/>
        </w:rPr>
        <w:t xml:space="preserve"> 89–114.</w:t>
      </w:r>
      <w:r>
        <w:rPr>
          <w:lang w:val="en-GB"/>
        </w:rPr>
        <w:t xml:space="preserve"> </w:t>
      </w:r>
      <w:r w:rsidRPr="00042B1B">
        <w:rPr>
          <w:lang w:val="en-GB"/>
        </w:rPr>
        <w:t xml:space="preserve">Turnhout: </w:t>
      </w:r>
      <w:proofErr w:type="spellStart"/>
      <w:r w:rsidRPr="00042B1B">
        <w:rPr>
          <w:lang w:val="en-GB"/>
        </w:rPr>
        <w:t>Brepols</w:t>
      </w:r>
      <w:proofErr w:type="spellEnd"/>
      <w:r w:rsidRPr="00042B1B">
        <w:rPr>
          <w:lang w:val="en-GB"/>
        </w:rPr>
        <w:t>.</w:t>
      </w:r>
    </w:p>
    <w:p w14:paraId="2D0AC1F0" w14:textId="41AC4865" w:rsidR="00042B1B" w:rsidRPr="00042B1B" w:rsidRDefault="00042B1B" w:rsidP="00042B1B">
      <w:pPr>
        <w:spacing w:after="120"/>
        <w:ind w:left="720" w:hanging="720"/>
        <w:rPr>
          <w:lang w:val="en-GB"/>
        </w:rPr>
      </w:pPr>
      <w:r w:rsidRPr="00042B1B">
        <w:rPr>
          <w:lang w:val="de-DE"/>
        </w:rPr>
        <w:t xml:space="preserve">Dresden, Mark J. 1966. </w:t>
      </w:r>
      <w:proofErr w:type="spellStart"/>
      <w:r w:rsidRPr="00042B1B">
        <w:rPr>
          <w:i/>
          <w:iCs/>
          <w:lang w:val="de-DE"/>
        </w:rPr>
        <w:t>Dēnkart</w:t>
      </w:r>
      <w:proofErr w:type="spellEnd"/>
      <w:r w:rsidRPr="00042B1B">
        <w:rPr>
          <w:i/>
          <w:iCs/>
          <w:lang w:val="de-DE"/>
        </w:rPr>
        <w:t>. A Pahlavi Text.</w:t>
      </w:r>
      <w:r w:rsidRPr="00042B1B">
        <w:rPr>
          <w:lang w:val="de-DE"/>
        </w:rPr>
        <w:t xml:space="preserve"> </w:t>
      </w:r>
      <w:r w:rsidRPr="00042B1B">
        <w:rPr>
          <w:lang w:val="en-GB"/>
        </w:rPr>
        <w:t xml:space="preserve">Wiesbaden: </w:t>
      </w:r>
      <w:proofErr w:type="spellStart"/>
      <w:r w:rsidRPr="00042B1B">
        <w:rPr>
          <w:lang w:val="en-GB"/>
        </w:rPr>
        <w:t>Harrassowitz</w:t>
      </w:r>
      <w:proofErr w:type="spellEnd"/>
      <w:r w:rsidRPr="00042B1B">
        <w:rPr>
          <w:lang w:val="en-GB"/>
        </w:rPr>
        <w:t>.</w:t>
      </w:r>
    </w:p>
    <w:p w14:paraId="6041D745" w14:textId="0548E10D" w:rsidR="00042B1B" w:rsidRDefault="00042B1B" w:rsidP="00042B1B">
      <w:pPr>
        <w:spacing w:after="120"/>
        <w:ind w:left="720" w:hanging="720"/>
        <w:rPr>
          <w:i/>
          <w:iCs/>
          <w:lang w:val="en-GB"/>
        </w:rPr>
      </w:pPr>
      <w:proofErr w:type="spellStart"/>
      <w:r w:rsidRPr="00042B1B">
        <w:rPr>
          <w:i/>
          <w:iCs/>
          <w:lang w:val="en-GB"/>
        </w:rPr>
        <w:t>EIr</w:t>
      </w:r>
      <w:proofErr w:type="spellEnd"/>
      <w:r w:rsidRPr="00042B1B">
        <w:rPr>
          <w:i/>
          <w:iCs/>
          <w:lang w:val="en-GB"/>
        </w:rPr>
        <w:t xml:space="preserve"> </w:t>
      </w:r>
      <w:r>
        <w:rPr>
          <w:lang w:val="en-GB"/>
        </w:rPr>
        <w:t>(</w:t>
      </w:r>
      <w:proofErr w:type="spellStart"/>
      <w:r w:rsidRPr="00042B1B">
        <w:rPr>
          <w:i/>
          <w:iCs/>
          <w:lang w:val="en-GB"/>
        </w:rPr>
        <w:t>Encyclopædia</w:t>
      </w:r>
      <w:proofErr w:type="spellEnd"/>
      <w:r w:rsidRPr="00042B1B">
        <w:rPr>
          <w:i/>
          <w:iCs/>
          <w:lang w:val="en-GB"/>
        </w:rPr>
        <w:t xml:space="preserve"> </w:t>
      </w:r>
      <w:proofErr w:type="spellStart"/>
      <w:r w:rsidRPr="00042B1B">
        <w:rPr>
          <w:i/>
          <w:iCs/>
          <w:lang w:val="en-GB"/>
        </w:rPr>
        <w:t>Iranica</w:t>
      </w:r>
      <w:proofErr w:type="spellEnd"/>
      <w:r>
        <w:rPr>
          <w:lang w:val="en-GB"/>
        </w:rPr>
        <w:t>)</w:t>
      </w:r>
      <w:r w:rsidRPr="00042B1B">
        <w:rPr>
          <w:i/>
          <w:iCs/>
          <w:lang w:val="en-GB"/>
        </w:rPr>
        <w:t xml:space="preserve">, </w:t>
      </w:r>
      <w:hyperlink r:id="rId10" w:history="1">
        <w:r w:rsidRPr="00A66697">
          <w:rPr>
            <w:rStyle w:val="Hyperlink"/>
            <w:i/>
            <w:iCs/>
            <w:lang w:val="en-GB"/>
          </w:rPr>
          <w:t>http://www.iranicaonline.org</w:t>
        </w:r>
      </w:hyperlink>
      <w:r w:rsidRPr="00042B1B">
        <w:rPr>
          <w:i/>
          <w:iCs/>
          <w:lang w:val="en-GB"/>
        </w:rPr>
        <w:t>.</w:t>
      </w:r>
    </w:p>
    <w:p w14:paraId="335C887C" w14:textId="02B93D48" w:rsidR="00042B1B" w:rsidRPr="00042B1B" w:rsidRDefault="00042B1B" w:rsidP="00042B1B">
      <w:pPr>
        <w:spacing w:after="120"/>
        <w:ind w:left="720" w:hanging="720"/>
        <w:rPr>
          <w:lang w:val="de-DE"/>
        </w:rPr>
      </w:pPr>
      <w:proofErr w:type="spellStart"/>
      <w:r w:rsidRPr="00042B1B">
        <w:rPr>
          <w:lang w:val="en-GB"/>
        </w:rPr>
        <w:t>Gignoux</w:t>
      </w:r>
      <w:proofErr w:type="spellEnd"/>
      <w:r w:rsidRPr="00042B1B">
        <w:rPr>
          <w:lang w:val="en-GB"/>
        </w:rPr>
        <w:t xml:space="preserve">, Philippe. </w:t>
      </w:r>
      <w:r w:rsidRPr="00042B1B">
        <w:rPr>
          <w:lang w:val="de-DE"/>
        </w:rPr>
        <w:t>1991. “</w:t>
      </w:r>
      <w:proofErr w:type="spellStart"/>
      <w:r w:rsidRPr="00042B1B">
        <w:rPr>
          <w:lang w:val="de-DE"/>
        </w:rPr>
        <w:t>D’Abnun</w:t>
      </w:r>
      <w:proofErr w:type="spellEnd"/>
      <w:r w:rsidRPr="00042B1B">
        <w:rPr>
          <w:lang w:val="de-DE"/>
        </w:rPr>
        <w:t xml:space="preserve"> à Mahan: </w:t>
      </w:r>
      <w:proofErr w:type="spellStart"/>
      <w:r w:rsidRPr="00042B1B">
        <w:rPr>
          <w:lang w:val="de-DE"/>
        </w:rPr>
        <w:t>Étude</w:t>
      </w:r>
      <w:proofErr w:type="spellEnd"/>
      <w:r w:rsidRPr="00042B1B">
        <w:rPr>
          <w:lang w:val="de-DE"/>
        </w:rPr>
        <w:t xml:space="preserve"> de deux </w:t>
      </w:r>
      <w:proofErr w:type="spellStart"/>
      <w:r w:rsidRPr="00042B1B">
        <w:rPr>
          <w:lang w:val="de-DE"/>
        </w:rPr>
        <w:t>inscriptions</w:t>
      </w:r>
      <w:proofErr w:type="spellEnd"/>
      <w:r w:rsidRPr="00042B1B">
        <w:rPr>
          <w:lang w:val="de-DE"/>
        </w:rPr>
        <w:t xml:space="preserve"> </w:t>
      </w:r>
      <w:proofErr w:type="spellStart"/>
      <w:r w:rsidRPr="00042B1B">
        <w:rPr>
          <w:lang w:val="de-DE"/>
        </w:rPr>
        <w:t>sassanides</w:t>
      </w:r>
      <w:proofErr w:type="spellEnd"/>
      <w:r w:rsidRPr="00042B1B">
        <w:rPr>
          <w:lang w:val="de-DE"/>
        </w:rPr>
        <w:t xml:space="preserve">”, </w:t>
      </w:r>
      <w:proofErr w:type="spellStart"/>
      <w:r w:rsidRPr="00042B1B">
        <w:rPr>
          <w:i/>
          <w:iCs/>
          <w:lang w:val="de-DE"/>
        </w:rPr>
        <w:t>Studia</w:t>
      </w:r>
      <w:proofErr w:type="spellEnd"/>
      <w:r w:rsidRPr="00042B1B">
        <w:rPr>
          <w:i/>
          <w:iCs/>
          <w:lang w:val="de-DE"/>
        </w:rPr>
        <w:t xml:space="preserve"> </w:t>
      </w:r>
      <w:proofErr w:type="spellStart"/>
      <w:r w:rsidRPr="00042B1B">
        <w:rPr>
          <w:i/>
          <w:iCs/>
          <w:lang w:val="de-DE"/>
        </w:rPr>
        <w:t>Iranica</w:t>
      </w:r>
      <w:proofErr w:type="spellEnd"/>
      <w:r w:rsidRPr="00042B1B">
        <w:rPr>
          <w:lang w:val="de-DE"/>
        </w:rPr>
        <w:t xml:space="preserve"> 20, 9–22.</w:t>
      </w:r>
    </w:p>
    <w:p w14:paraId="649C44A4" w14:textId="23B48AE9" w:rsidR="00FA52DC" w:rsidRPr="00FA52DC" w:rsidRDefault="00FA52DC" w:rsidP="003D0759">
      <w:pPr>
        <w:spacing w:after="120"/>
        <w:ind w:left="720" w:hanging="720"/>
        <w:rPr>
          <w:lang w:val="en-GB"/>
        </w:rPr>
      </w:pPr>
      <w:proofErr w:type="spellStart"/>
      <w:r w:rsidRPr="00FA52DC">
        <w:rPr>
          <w:lang w:val="en-GB"/>
        </w:rPr>
        <w:t>Gignoux</w:t>
      </w:r>
      <w:proofErr w:type="spellEnd"/>
      <w:r w:rsidRPr="00FA52DC">
        <w:rPr>
          <w:lang w:val="en-GB"/>
        </w:rPr>
        <w:t xml:space="preserve">, Philippe. 2002–2003. “Une </w:t>
      </w:r>
      <w:proofErr w:type="spellStart"/>
      <w:r w:rsidRPr="00FA52DC">
        <w:rPr>
          <w:lang w:val="en-GB"/>
        </w:rPr>
        <w:t>liste</w:t>
      </w:r>
      <w:proofErr w:type="spellEnd"/>
      <w:r w:rsidRPr="00FA52DC">
        <w:rPr>
          <w:lang w:val="en-GB"/>
        </w:rPr>
        <w:t xml:space="preserve"> du </w:t>
      </w:r>
      <w:proofErr w:type="spellStart"/>
      <w:r w:rsidRPr="00FA52DC">
        <w:rPr>
          <w:lang w:val="en-GB"/>
        </w:rPr>
        <w:t>calendrier</w:t>
      </w:r>
      <w:proofErr w:type="spellEnd"/>
      <w:r w:rsidRPr="00FA52DC">
        <w:rPr>
          <w:lang w:val="en-GB"/>
        </w:rPr>
        <w:t xml:space="preserve"> </w:t>
      </w:r>
      <w:proofErr w:type="spellStart"/>
      <w:r w:rsidRPr="00FA52DC">
        <w:rPr>
          <w:lang w:val="en-GB"/>
        </w:rPr>
        <w:t>zoroastrien</w:t>
      </w:r>
      <w:proofErr w:type="spellEnd"/>
      <w:r w:rsidRPr="00FA52DC">
        <w:rPr>
          <w:lang w:val="en-GB"/>
        </w:rPr>
        <w:t xml:space="preserve"> </w:t>
      </w:r>
      <w:proofErr w:type="spellStart"/>
      <w:r w:rsidRPr="00FA52DC">
        <w:rPr>
          <w:lang w:val="en-GB"/>
        </w:rPr>
        <w:t>en</w:t>
      </w:r>
      <w:proofErr w:type="spellEnd"/>
      <w:r w:rsidRPr="00FA52DC">
        <w:rPr>
          <w:lang w:val="en-GB"/>
        </w:rPr>
        <w:t xml:space="preserve"> </w:t>
      </w:r>
      <w:proofErr w:type="spellStart"/>
      <w:r w:rsidRPr="00FA52DC">
        <w:rPr>
          <w:lang w:val="en-GB"/>
        </w:rPr>
        <w:t>pehlevi</w:t>
      </w:r>
      <w:proofErr w:type="spellEnd"/>
      <w:r w:rsidRPr="00FA52DC">
        <w:rPr>
          <w:lang w:val="en-GB"/>
        </w:rPr>
        <w:t xml:space="preserve"> </w:t>
      </w:r>
      <w:proofErr w:type="spellStart"/>
      <w:r w:rsidRPr="00FA52DC">
        <w:rPr>
          <w:lang w:val="en-GB"/>
        </w:rPr>
        <w:t>tardif</w:t>
      </w:r>
      <w:proofErr w:type="spellEnd"/>
      <w:r w:rsidRPr="00FA52DC">
        <w:rPr>
          <w:lang w:val="en-GB"/>
        </w:rPr>
        <w:t xml:space="preserve">”, </w:t>
      </w:r>
      <w:r w:rsidRPr="00042B1B">
        <w:rPr>
          <w:i/>
          <w:iCs/>
          <w:lang w:val="en-GB"/>
        </w:rPr>
        <w:t xml:space="preserve">Orientalia </w:t>
      </w:r>
      <w:proofErr w:type="spellStart"/>
      <w:r w:rsidRPr="00042B1B">
        <w:rPr>
          <w:i/>
          <w:iCs/>
          <w:lang w:val="en-GB"/>
        </w:rPr>
        <w:t>Suecana</w:t>
      </w:r>
      <w:proofErr w:type="spellEnd"/>
      <w:r w:rsidRPr="00FA52DC">
        <w:rPr>
          <w:lang w:val="en-GB"/>
        </w:rPr>
        <w:t xml:space="preserve"> 51–52,</w:t>
      </w:r>
      <w:r w:rsidR="00935525">
        <w:rPr>
          <w:lang w:val="en-GB"/>
        </w:rPr>
        <w:t xml:space="preserve"> </w:t>
      </w:r>
      <w:r w:rsidRPr="00FA52DC">
        <w:rPr>
          <w:lang w:val="en-GB"/>
        </w:rPr>
        <w:t>161–4.</w:t>
      </w:r>
    </w:p>
    <w:p w14:paraId="21B1560D" w14:textId="50A130D7" w:rsidR="00FA52DC" w:rsidRPr="00FA52DC" w:rsidRDefault="00FA52DC" w:rsidP="003D0759">
      <w:pPr>
        <w:spacing w:after="120"/>
        <w:ind w:left="720" w:hanging="720"/>
        <w:rPr>
          <w:lang w:val="en-GB"/>
        </w:rPr>
      </w:pPr>
      <w:proofErr w:type="spellStart"/>
      <w:r w:rsidRPr="00FA52DC">
        <w:rPr>
          <w:lang w:val="en-GB"/>
        </w:rPr>
        <w:t>Gignoux</w:t>
      </w:r>
      <w:proofErr w:type="spellEnd"/>
      <w:r w:rsidRPr="00FA52DC">
        <w:rPr>
          <w:lang w:val="en-GB"/>
        </w:rPr>
        <w:t xml:space="preserve">, Philippe. 2003. “Sept documents </w:t>
      </w:r>
      <w:proofErr w:type="spellStart"/>
      <w:r w:rsidRPr="00FA52DC">
        <w:rPr>
          <w:lang w:val="en-GB"/>
        </w:rPr>
        <w:t>économiques</w:t>
      </w:r>
      <w:proofErr w:type="spellEnd"/>
      <w:r w:rsidRPr="00FA52DC">
        <w:rPr>
          <w:lang w:val="en-GB"/>
        </w:rPr>
        <w:t xml:space="preserve"> </w:t>
      </w:r>
      <w:proofErr w:type="spellStart"/>
      <w:r w:rsidRPr="00FA52DC">
        <w:rPr>
          <w:lang w:val="en-GB"/>
        </w:rPr>
        <w:t>en</w:t>
      </w:r>
      <w:proofErr w:type="spellEnd"/>
      <w:r w:rsidRPr="00FA52DC">
        <w:rPr>
          <w:lang w:val="en-GB"/>
        </w:rPr>
        <w:t xml:space="preserve"> </w:t>
      </w:r>
      <w:proofErr w:type="spellStart"/>
      <w:r w:rsidRPr="00FA52DC">
        <w:rPr>
          <w:lang w:val="en-GB"/>
        </w:rPr>
        <w:t>pehlevi</w:t>
      </w:r>
      <w:proofErr w:type="spellEnd"/>
      <w:r w:rsidRPr="00FA52DC">
        <w:rPr>
          <w:lang w:val="en-GB"/>
        </w:rPr>
        <w:t xml:space="preserve">”, in Alois </w:t>
      </w:r>
      <w:proofErr w:type="spellStart"/>
      <w:r w:rsidRPr="00FA52DC">
        <w:rPr>
          <w:lang w:val="en-GB"/>
        </w:rPr>
        <w:t>Tongerloo</w:t>
      </w:r>
      <w:proofErr w:type="spellEnd"/>
      <w:r w:rsidRPr="00FA52DC">
        <w:rPr>
          <w:lang w:val="en-GB"/>
        </w:rPr>
        <w:t xml:space="preserve"> (ed.), </w:t>
      </w:r>
      <w:r w:rsidRPr="00FA52DC">
        <w:rPr>
          <w:i/>
          <w:iCs/>
          <w:lang w:val="en-GB"/>
        </w:rPr>
        <w:t>Irania Selecta: Studies</w:t>
      </w:r>
      <w:r>
        <w:rPr>
          <w:i/>
          <w:iCs/>
          <w:lang w:val="en-GB"/>
        </w:rPr>
        <w:t xml:space="preserve"> </w:t>
      </w:r>
      <w:r w:rsidRPr="00FA52DC">
        <w:rPr>
          <w:i/>
          <w:iCs/>
          <w:lang w:val="en-GB"/>
        </w:rPr>
        <w:t xml:space="preserve">in Honour of Professor Wojciech </w:t>
      </w:r>
      <w:proofErr w:type="spellStart"/>
      <w:r w:rsidRPr="00FA52DC">
        <w:rPr>
          <w:i/>
          <w:iCs/>
          <w:lang w:val="en-GB"/>
        </w:rPr>
        <w:t>Skalmowski</w:t>
      </w:r>
      <w:proofErr w:type="spellEnd"/>
      <w:r w:rsidRPr="00FA52DC">
        <w:rPr>
          <w:i/>
          <w:iCs/>
          <w:lang w:val="en-GB"/>
        </w:rPr>
        <w:t xml:space="preserve"> </w:t>
      </w:r>
      <w:proofErr w:type="gramStart"/>
      <w:r w:rsidRPr="00FA52DC">
        <w:rPr>
          <w:i/>
          <w:iCs/>
          <w:lang w:val="en-GB"/>
        </w:rPr>
        <w:t>on the Occasion of</w:t>
      </w:r>
      <w:proofErr w:type="gramEnd"/>
      <w:r w:rsidRPr="00FA52DC">
        <w:rPr>
          <w:i/>
          <w:iCs/>
          <w:lang w:val="en-GB"/>
        </w:rPr>
        <w:t xml:space="preserve"> his Seventieth Birthday</w:t>
      </w:r>
      <w:r w:rsidRPr="00FA52DC">
        <w:rPr>
          <w:lang w:val="en-GB"/>
        </w:rPr>
        <w:t xml:space="preserve">, 79–89. Turnhout: </w:t>
      </w:r>
      <w:proofErr w:type="spellStart"/>
      <w:r w:rsidRPr="00FA52DC">
        <w:rPr>
          <w:lang w:val="en-GB"/>
        </w:rPr>
        <w:t>Brepols</w:t>
      </w:r>
      <w:proofErr w:type="spellEnd"/>
      <w:r w:rsidRPr="00FA52DC">
        <w:rPr>
          <w:lang w:val="en-GB"/>
        </w:rPr>
        <w:t>.</w:t>
      </w:r>
    </w:p>
    <w:p w14:paraId="2DC8E345" w14:textId="56FCDA2B" w:rsidR="00FA52DC" w:rsidRPr="00FA52DC" w:rsidRDefault="00FA52DC" w:rsidP="003D0759">
      <w:pPr>
        <w:spacing w:after="120"/>
        <w:ind w:left="720" w:hanging="720"/>
        <w:rPr>
          <w:lang w:val="en-GB"/>
        </w:rPr>
      </w:pPr>
      <w:proofErr w:type="spellStart"/>
      <w:r w:rsidRPr="00FA52DC">
        <w:rPr>
          <w:lang w:val="en-GB"/>
        </w:rPr>
        <w:t>Gignoux</w:t>
      </w:r>
      <w:proofErr w:type="spellEnd"/>
      <w:r w:rsidRPr="00FA52DC">
        <w:rPr>
          <w:lang w:val="en-GB"/>
        </w:rPr>
        <w:t xml:space="preserve">, Philippe. 2008. “Lettres </w:t>
      </w:r>
      <w:proofErr w:type="spellStart"/>
      <w:r w:rsidRPr="00FA52DC">
        <w:rPr>
          <w:lang w:val="en-GB"/>
        </w:rPr>
        <w:t>privées</w:t>
      </w:r>
      <w:proofErr w:type="spellEnd"/>
      <w:r w:rsidRPr="00FA52DC">
        <w:rPr>
          <w:lang w:val="en-GB"/>
        </w:rPr>
        <w:t xml:space="preserve"> et </w:t>
      </w:r>
      <w:proofErr w:type="spellStart"/>
      <w:r w:rsidRPr="00FA52DC">
        <w:rPr>
          <w:lang w:val="en-GB"/>
        </w:rPr>
        <w:t>lettres</w:t>
      </w:r>
      <w:proofErr w:type="spellEnd"/>
      <w:r w:rsidRPr="00FA52DC">
        <w:rPr>
          <w:lang w:val="en-GB"/>
        </w:rPr>
        <w:t xml:space="preserve"> d’affaires dans </w:t>
      </w:r>
      <w:proofErr w:type="spellStart"/>
      <w:r w:rsidRPr="00FA52DC">
        <w:rPr>
          <w:lang w:val="en-GB"/>
        </w:rPr>
        <w:t>l’Iran</w:t>
      </w:r>
      <w:proofErr w:type="spellEnd"/>
      <w:r w:rsidRPr="00FA52DC">
        <w:rPr>
          <w:lang w:val="en-GB"/>
        </w:rPr>
        <w:t xml:space="preserve"> du 7ème siècle”, in Eva Mira Grob and</w:t>
      </w:r>
      <w:r w:rsidR="005E6CF3">
        <w:rPr>
          <w:lang w:val="en-GB"/>
        </w:rPr>
        <w:t xml:space="preserve"> </w:t>
      </w:r>
      <w:r w:rsidRPr="00FA52DC">
        <w:rPr>
          <w:lang w:val="en-GB"/>
        </w:rPr>
        <w:t>Andreas Kaplony (eds), D</w:t>
      </w:r>
      <w:r w:rsidRPr="00FA52DC">
        <w:rPr>
          <w:i/>
          <w:iCs/>
          <w:lang w:val="en-GB"/>
        </w:rPr>
        <w:t>ocumentary Letters from the Middle East: The Evidence in Greek, Coptic, South Arabian,</w:t>
      </w:r>
      <w:r w:rsidR="005E6CF3" w:rsidRPr="006E052D">
        <w:rPr>
          <w:i/>
          <w:iCs/>
          <w:lang w:val="en-GB"/>
        </w:rPr>
        <w:t xml:space="preserve"> </w:t>
      </w:r>
      <w:r w:rsidRPr="00FA52DC">
        <w:rPr>
          <w:i/>
          <w:iCs/>
          <w:lang w:val="en-GB"/>
        </w:rPr>
        <w:t>Pehlevi and Arabic (1st–15th c CE)</w:t>
      </w:r>
      <w:r w:rsidRPr="00FA52DC">
        <w:rPr>
          <w:lang w:val="en-GB"/>
        </w:rPr>
        <w:t>, 827–42. Bern: Peter Lang.</w:t>
      </w:r>
    </w:p>
    <w:p w14:paraId="7F390D0D" w14:textId="4FA45074" w:rsidR="00FA52DC" w:rsidRPr="00FA52DC" w:rsidRDefault="00FA52DC" w:rsidP="003D0759">
      <w:pPr>
        <w:spacing w:after="120"/>
        <w:ind w:left="720" w:hanging="720"/>
        <w:rPr>
          <w:lang w:val="en-GB"/>
        </w:rPr>
      </w:pPr>
      <w:proofErr w:type="spellStart"/>
      <w:r w:rsidRPr="00FA52DC">
        <w:rPr>
          <w:lang w:val="en-GB"/>
        </w:rPr>
        <w:t>Gignoux</w:t>
      </w:r>
      <w:proofErr w:type="spellEnd"/>
      <w:r w:rsidRPr="00FA52DC">
        <w:rPr>
          <w:lang w:val="en-GB"/>
        </w:rPr>
        <w:t xml:space="preserve">, Philippe. 2009. “Les documents </w:t>
      </w:r>
      <w:proofErr w:type="spellStart"/>
      <w:r w:rsidRPr="00FA52DC">
        <w:rPr>
          <w:lang w:val="en-GB"/>
        </w:rPr>
        <w:t>économiques</w:t>
      </w:r>
      <w:proofErr w:type="spellEnd"/>
      <w:r w:rsidRPr="00FA52DC">
        <w:rPr>
          <w:lang w:val="en-GB"/>
        </w:rPr>
        <w:t xml:space="preserve"> de </w:t>
      </w:r>
      <w:proofErr w:type="spellStart"/>
      <w:r w:rsidRPr="00FA52DC">
        <w:rPr>
          <w:lang w:val="en-GB"/>
        </w:rPr>
        <w:t>Xwar</w:t>
      </w:r>
      <w:r w:rsidRPr="00FA52DC">
        <w:rPr>
          <w:rFonts w:hint="eastAsia"/>
          <w:lang w:val="en-GB"/>
        </w:rPr>
        <w:t>ē</w:t>
      </w:r>
      <w:r w:rsidRPr="00FA52DC">
        <w:rPr>
          <w:lang w:val="en-GB"/>
        </w:rPr>
        <w:t>n</w:t>
      </w:r>
      <w:proofErr w:type="spellEnd"/>
      <w:r w:rsidRPr="00FA52DC">
        <w:rPr>
          <w:lang w:val="en-GB"/>
        </w:rPr>
        <w:t xml:space="preserve">”, in Philippe </w:t>
      </w:r>
      <w:proofErr w:type="spellStart"/>
      <w:r w:rsidRPr="00FA52DC">
        <w:rPr>
          <w:lang w:val="en-GB"/>
        </w:rPr>
        <w:t>Gignoux</w:t>
      </w:r>
      <w:proofErr w:type="spellEnd"/>
      <w:r w:rsidRPr="00FA52DC">
        <w:rPr>
          <w:lang w:val="en-GB"/>
        </w:rPr>
        <w:t xml:space="preserve">, Christelle </w:t>
      </w:r>
      <w:proofErr w:type="spellStart"/>
      <w:r w:rsidRPr="00FA52DC">
        <w:rPr>
          <w:lang w:val="en-GB"/>
        </w:rPr>
        <w:t>Jullien</w:t>
      </w:r>
      <w:proofErr w:type="spellEnd"/>
      <w:r w:rsidRPr="00FA52DC">
        <w:rPr>
          <w:lang w:val="en-GB"/>
        </w:rPr>
        <w:t xml:space="preserve"> and</w:t>
      </w:r>
      <w:r w:rsidR="005E6CF3">
        <w:rPr>
          <w:lang w:val="en-GB"/>
        </w:rPr>
        <w:t xml:space="preserve"> </w:t>
      </w:r>
      <w:r w:rsidRPr="00FA52DC">
        <w:rPr>
          <w:lang w:val="en-GB"/>
        </w:rPr>
        <w:t xml:space="preserve">Florence </w:t>
      </w:r>
      <w:proofErr w:type="spellStart"/>
      <w:r w:rsidRPr="00FA52DC">
        <w:rPr>
          <w:lang w:val="en-GB"/>
        </w:rPr>
        <w:t>Jullien</w:t>
      </w:r>
      <w:proofErr w:type="spellEnd"/>
      <w:r w:rsidRPr="00FA52DC">
        <w:rPr>
          <w:lang w:val="en-GB"/>
        </w:rPr>
        <w:t xml:space="preserve"> (eds), </w:t>
      </w:r>
      <w:proofErr w:type="spellStart"/>
      <w:r w:rsidRPr="00FA52DC">
        <w:rPr>
          <w:i/>
          <w:iCs/>
          <w:lang w:val="en-GB"/>
        </w:rPr>
        <w:t>Trésors</w:t>
      </w:r>
      <w:proofErr w:type="spellEnd"/>
      <w:r w:rsidRPr="00FA52DC">
        <w:rPr>
          <w:i/>
          <w:iCs/>
          <w:lang w:val="en-GB"/>
        </w:rPr>
        <w:t xml:space="preserve"> </w:t>
      </w:r>
      <w:proofErr w:type="spellStart"/>
      <w:r w:rsidRPr="00FA52DC">
        <w:rPr>
          <w:i/>
          <w:iCs/>
          <w:lang w:val="en-GB"/>
        </w:rPr>
        <w:t>d’Orient</w:t>
      </w:r>
      <w:proofErr w:type="spellEnd"/>
      <w:r w:rsidRPr="00FA52DC">
        <w:rPr>
          <w:i/>
          <w:iCs/>
          <w:lang w:val="en-GB"/>
        </w:rPr>
        <w:t xml:space="preserve">: Mélanges </w:t>
      </w:r>
      <w:proofErr w:type="spellStart"/>
      <w:r w:rsidRPr="00FA52DC">
        <w:rPr>
          <w:i/>
          <w:iCs/>
          <w:lang w:val="en-GB"/>
        </w:rPr>
        <w:t>offerts</w:t>
      </w:r>
      <w:proofErr w:type="spellEnd"/>
      <w:r w:rsidRPr="00FA52DC">
        <w:rPr>
          <w:i/>
          <w:iCs/>
          <w:lang w:val="en-GB"/>
        </w:rPr>
        <w:t xml:space="preserve"> à Rika </w:t>
      </w:r>
      <w:proofErr w:type="spellStart"/>
      <w:r w:rsidRPr="00FA52DC">
        <w:rPr>
          <w:i/>
          <w:iCs/>
          <w:lang w:val="en-GB"/>
        </w:rPr>
        <w:t>Gyselen</w:t>
      </w:r>
      <w:proofErr w:type="spellEnd"/>
      <w:r w:rsidRPr="00FA52DC">
        <w:rPr>
          <w:lang w:val="en-GB"/>
        </w:rPr>
        <w:t>, 81–102. Paris: Peeters.</w:t>
      </w:r>
    </w:p>
    <w:p w14:paraId="435FDA47" w14:textId="2725B749" w:rsidR="00FA52DC" w:rsidRPr="00FA52DC" w:rsidRDefault="00FA52DC" w:rsidP="003D0759">
      <w:pPr>
        <w:spacing w:after="120"/>
        <w:ind w:left="720" w:hanging="720"/>
        <w:rPr>
          <w:lang w:val="en-GB"/>
        </w:rPr>
      </w:pPr>
      <w:proofErr w:type="spellStart"/>
      <w:r w:rsidRPr="00FA52DC">
        <w:rPr>
          <w:lang w:val="en-GB"/>
        </w:rPr>
        <w:t>Gignoux</w:t>
      </w:r>
      <w:proofErr w:type="spellEnd"/>
      <w:r w:rsidRPr="00FA52DC">
        <w:rPr>
          <w:lang w:val="en-GB"/>
        </w:rPr>
        <w:t xml:space="preserve">, Philippe. 2010. “Les documents au nom de </w:t>
      </w:r>
      <w:proofErr w:type="spellStart"/>
      <w:r w:rsidRPr="00FA52DC">
        <w:rPr>
          <w:lang w:val="en-GB"/>
        </w:rPr>
        <w:t>D</w:t>
      </w:r>
      <w:r w:rsidRPr="00FA52DC">
        <w:rPr>
          <w:rFonts w:hint="eastAsia"/>
          <w:lang w:val="en-GB"/>
        </w:rPr>
        <w:t>ā</w:t>
      </w:r>
      <w:r w:rsidRPr="00FA52DC">
        <w:rPr>
          <w:lang w:val="en-GB"/>
        </w:rPr>
        <w:t>d</w:t>
      </w:r>
      <w:r w:rsidRPr="00FA52DC">
        <w:rPr>
          <w:rFonts w:hint="eastAsia"/>
          <w:lang w:val="en-GB"/>
        </w:rPr>
        <w:t>ē</w:t>
      </w:r>
      <w:r w:rsidRPr="00FA52DC">
        <w:rPr>
          <w:lang w:val="en-GB"/>
        </w:rPr>
        <w:t>n-Vind</w:t>
      </w:r>
      <w:r w:rsidRPr="00FA52DC">
        <w:rPr>
          <w:rFonts w:hint="eastAsia"/>
          <w:lang w:val="en-GB"/>
        </w:rPr>
        <w:t>ā</w:t>
      </w:r>
      <w:r w:rsidRPr="00FA52DC">
        <w:rPr>
          <w:lang w:val="en-GB"/>
        </w:rPr>
        <w:t>d</w:t>
      </w:r>
      <w:proofErr w:type="spellEnd"/>
      <w:r w:rsidRPr="00FA52DC">
        <w:rPr>
          <w:lang w:val="en-GB"/>
        </w:rPr>
        <w:t xml:space="preserve">”, in Rika </w:t>
      </w:r>
      <w:proofErr w:type="spellStart"/>
      <w:r w:rsidRPr="00FA52DC">
        <w:rPr>
          <w:lang w:val="en-GB"/>
        </w:rPr>
        <w:t>Gyselen</w:t>
      </w:r>
      <w:proofErr w:type="spellEnd"/>
      <w:r w:rsidRPr="00FA52DC">
        <w:rPr>
          <w:lang w:val="en-GB"/>
        </w:rPr>
        <w:t xml:space="preserve"> (ed.), </w:t>
      </w:r>
      <w:r w:rsidRPr="00FA52DC">
        <w:rPr>
          <w:i/>
          <w:iCs/>
          <w:lang w:val="en-GB"/>
        </w:rPr>
        <w:t>Sources for the History of</w:t>
      </w:r>
      <w:r w:rsidR="002C21B7" w:rsidRPr="00CA4226">
        <w:rPr>
          <w:i/>
          <w:iCs/>
          <w:lang w:val="en-GB"/>
        </w:rPr>
        <w:t xml:space="preserve"> </w:t>
      </w:r>
      <w:r w:rsidRPr="00FA52DC">
        <w:rPr>
          <w:i/>
          <w:iCs/>
          <w:lang w:val="en-GB"/>
        </w:rPr>
        <w:t>Sasanian and Post-Sasanian Iran</w:t>
      </w:r>
      <w:r w:rsidRPr="00FA52DC">
        <w:rPr>
          <w:lang w:val="en-GB"/>
        </w:rPr>
        <w:t xml:space="preserve">, 11–134. Bures-sur-Yvette: Groupe pour </w:t>
      </w:r>
      <w:proofErr w:type="spellStart"/>
      <w:r w:rsidRPr="00FA52DC">
        <w:rPr>
          <w:lang w:val="en-GB"/>
        </w:rPr>
        <w:t>l’étude</w:t>
      </w:r>
      <w:proofErr w:type="spellEnd"/>
      <w:r w:rsidRPr="00FA52DC">
        <w:rPr>
          <w:lang w:val="en-GB"/>
        </w:rPr>
        <w:t xml:space="preserve"> de la civilisation du</w:t>
      </w:r>
      <w:r w:rsidR="002C21B7">
        <w:rPr>
          <w:lang w:val="en-GB"/>
        </w:rPr>
        <w:t xml:space="preserve"> </w:t>
      </w:r>
      <w:r w:rsidRPr="00FA52DC">
        <w:rPr>
          <w:lang w:val="en-GB"/>
        </w:rPr>
        <w:t>Moyen-Orient.</w:t>
      </w:r>
    </w:p>
    <w:p w14:paraId="3E3EF93B" w14:textId="3F216257" w:rsidR="00FA52DC" w:rsidRPr="00FA52DC" w:rsidRDefault="00FA52DC" w:rsidP="003D0759">
      <w:pPr>
        <w:spacing w:after="120"/>
        <w:ind w:left="720" w:hanging="720"/>
        <w:rPr>
          <w:lang w:val="en-GB"/>
        </w:rPr>
      </w:pPr>
      <w:proofErr w:type="spellStart"/>
      <w:r w:rsidRPr="00FA52DC">
        <w:rPr>
          <w:lang w:val="en-GB"/>
        </w:rPr>
        <w:t>Gignoux</w:t>
      </w:r>
      <w:proofErr w:type="spellEnd"/>
      <w:r w:rsidRPr="00FA52DC">
        <w:rPr>
          <w:lang w:val="en-GB"/>
        </w:rPr>
        <w:t>, Philippe. 2012. “Une archive post-</w:t>
      </w:r>
      <w:proofErr w:type="spellStart"/>
      <w:r w:rsidRPr="00FA52DC">
        <w:rPr>
          <w:lang w:val="en-GB"/>
        </w:rPr>
        <w:t>sassanide</w:t>
      </w:r>
      <w:proofErr w:type="spellEnd"/>
      <w:r w:rsidRPr="00FA52DC">
        <w:rPr>
          <w:lang w:val="en-GB"/>
        </w:rPr>
        <w:t xml:space="preserve"> du </w:t>
      </w:r>
      <w:proofErr w:type="spellStart"/>
      <w:r w:rsidRPr="00FA52DC">
        <w:rPr>
          <w:lang w:val="en-GB"/>
        </w:rPr>
        <w:t>Tabarist</w:t>
      </w:r>
      <w:r w:rsidRPr="00FA52DC">
        <w:rPr>
          <w:rFonts w:hint="eastAsia"/>
          <w:lang w:val="en-GB"/>
        </w:rPr>
        <w:t>ā</w:t>
      </w:r>
      <w:r w:rsidRPr="00FA52DC">
        <w:rPr>
          <w:lang w:val="en-GB"/>
        </w:rPr>
        <w:t>n</w:t>
      </w:r>
      <w:proofErr w:type="spellEnd"/>
      <w:r w:rsidRPr="00FA52DC">
        <w:rPr>
          <w:lang w:val="en-GB"/>
        </w:rPr>
        <w:t xml:space="preserve"> (I)”, in Rika </w:t>
      </w:r>
      <w:proofErr w:type="spellStart"/>
      <w:r w:rsidRPr="00FA52DC">
        <w:rPr>
          <w:lang w:val="en-GB"/>
        </w:rPr>
        <w:t>Gyselen</w:t>
      </w:r>
      <w:proofErr w:type="spellEnd"/>
      <w:r w:rsidRPr="00FA52DC">
        <w:rPr>
          <w:lang w:val="en-GB"/>
        </w:rPr>
        <w:t xml:space="preserve"> (ed.), </w:t>
      </w:r>
      <w:proofErr w:type="spellStart"/>
      <w:r w:rsidRPr="00FA52DC">
        <w:rPr>
          <w:i/>
          <w:iCs/>
          <w:lang w:val="en-GB"/>
        </w:rPr>
        <w:t>Objets</w:t>
      </w:r>
      <w:proofErr w:type="spellEnd"/>
      <w:r w:rsidRPr="00FA52DC">
        <w:rPr>
          <w:i/>
          <w:iCs/>
          <w:lang w:val="en-GB"/>
        </w:rPr>
        <w:t xml:space="preserve"> et documents</w:t>
      </w:r>
      <w:r w:rsidR="002C21B7" w:rsidRPr="00065FF3">
        <w:rPr>
          <w:i/>
          <w:iCs/>
          <w:lang w:val="en-GB"/>
        </w:rPr>
        <w:t xml:space="preserve"> </w:t>
      </w:r>
      <w:proofErr w:type="spellStart"/>
      <w:r w:rsidRPr="00FA52DC">
        <w:rPr>
          <w:i/>
          <w:iCs/>
          <w:lang w:val="en-GB"/>
        </w:rPr>
        <w:t>inscrits</w:t>
      </w:r>
      <w:proofErr w:type="spellEnd"/>
      <w:r w:rsidRPr="00FA52DC">
        <w:rPr>
          <w:i/>
          <w:iCs/>
          <w:lang w:val="en-GB"/>
        </w:rPr>
        <w:t xml:space="preserve"> </w:t>
      </w:r>
      <w:proofErr w:type="spellStart"/>
      <w:r w:rsidRPr="00FA52DC">
        <w:rPr>
          <w:i/>
          <w:iCs/>
          <w:lang w:val="en-GB"/>
        </w:rPr>
        <w:t>en</w:t>
      </w:r>
      <w:proofErr w:type="spellEnd"/>
      <w:r w:rsidRPr="00FA52DC">
        <w:rPr>
          <w:i/>
          <w:iCs/>
          <w:lang w:val="en-GB"/>
        </w:rPr>
        <w:t xml:space="preserve"> </w:t>
      </w:r>
      <w:proofErr w:type="spellStart"/>
      <w:r w:rsidRPr="00FA52DC">
        <w:rPr>
          <w:i/>
          <w:iCs/>
          <w:lang w:val="en-GB"/>
        </w:rPr>
        <w:t>p</w:t>
      </w:r>
      <w:r w:rsidRPr="00FA52DC">
        <w:rPr>
          <w:rFonts w:hint="eastAsia"/>
          <w:i/>
          <w:iCs/>
          <w:lang w:val="en-GB"/>
        </w:rPr>
        <w:t>ā</w:t>
      </w:r>
      <w:r w:rsidRPr="00FA52DC">
        <w:rPr>
          <w:i/>
          <w:iCs/>
          <w:lang w:val="en-GB"/>
        </w:rPr>
        <w:t>rs</w:t>
      </w:r>
      <w:r w:rsidRPr="00FA52DC">
        <w:rPr>
          <w:rFonts w:hint="eastAsia"/>
          <w:i/>
          <w:iCs/>
          <w:lang w:val="en-GB"/>
        </w:rPr>
        <w:t>ī</w:t>
      </w:r>
      <w:r w:rsidRPr="00FA52DC">
        <w:rPr>
          <w:i/>
          <w:iCs/>
          <w:lang w:val="en-GB"/>
        </w:rPr>
        <w:t>g</w:t>
      </w:r>
      <w:proofErr w:type="spellEnd"/>
      <w:r w:rsidRPr="00FA52DC">
        <w:rPr>
          <w:lang w:val="en-GB"/>
        </w:rPr>
        <w:t xml:space="preserve">, 29–96. Bures-sur-Yvette: Groupe pour </w:t>
      </w:r>
      <w:proofErr w:type="spellStart"/>
      <w:r w:rsidRPr="00FA52DC">
        <w:rPr>
          <w:lang w:val="en-GB"/>
        </w:rPr>
        <w:t>l’étude</w:t>
      </w:r>
      <w:proofErr w:type="spellEnd"/>
      <w:r w:rsidRPr="00FA52DC">
        <w:rPr>
          <w:lang w:val="en-GB"/>
        </w:rPr>
        <w:t xml:space="preserve"> de la civilisation du Moyen-Orient.</w:t>
      </w:r>
    </w:p>
    <w:p w14:paraId="759ED1E5" w14:textId="1E1CB9F1" w:rsidR="00FA52DC" w:rsidRPr="00FA52DC" w:rsidRDefault="00FA52DC" w:rsidP="003D0759">
      <w:pPr>
        <w:spacing w:after="120"/>
        <w:ind w:left="720" w:hanging="720"/>
        <w:rPr>
          <w:lang w:val="en-GB"/>
        </w:rPr>
      </w:pPr>
      <w:proofErr w:type="spellStart"/>
      <w:r w:rsidRPr="00FA52DC">
        <w:rPr>
          <w:lang w:val="en-GB"/>
        </w:rPr>
        <w:t>Gignoux</w:t>
      </w:r>
      <w:proofErr w:type="spellEnd"/>
      <w:r w:rsidRPr="00FA52DC">
        <w:rPr>
          <w:lang w:val="en-GB"/>
        </w:rPr>
        <w:t xml:space="preserve">, Philippe. 2013. “Les documents de </w:t>
      </w:r>
      <w:proofErr w:type="spellStart"/>
      <w:r w:rsidRPr="00FA52DC">
        <w:rPr>
          <w:lang w:val="en-GB"/>
        </w:rPr>
        <w:t>D</w:t>
      </w:r>
      <w:r w:rsidRPr="00FA52DC">
        <w:rPr>
          <w:rFonts w:hint="eastAsia"/>
          <w:lang w:val="en-GB"/>
        </w:rPr>
        <w:t>ā</w:t>
      </w:r>
      <w:r w:rsidRPr="00FA52DC">
        <w:rPr>
          <w:lang w:val="en-GB"/>
        </w:rPr>
        <w:t>d</w:t>
      </w:r>
      <w:r w:rsidRPr="00FA52DC">
        <w:rPr>
          <w:rFonts w:hint="eastAsia"/>
          <w:lang w:val="en-GB"/>
        </w:rPr>
        <w:t>ē</w:t>
      </w:r>
      <w:r w:rsidRPr="00FA52DC">
        <w:rPr>
          <w:lang w:val="en-GB"/>
        </w:rPr>
        <w:t>n</w:t>
      </w:r>
      <w:proofErr w:type="spellEnd"/>
      <w:r w:rsidRPr="00FA52DC">
        <w:rPr>
          <w:lang w:val="en-GB"/>
        </w:rPr>
        <w:t xml:space="preserve"> dans </w:t>
      </w:r>
      <w:proofErr w:type="spellStart"/>
      <w:r w:rsidRPr="00FA52DC">
        <w:rPr>
          <w:lang w:val="en-GB"/>
        </w:rPr>
        <w:t>l’archive</w:t>
      </w:r>
      <w:proofErr w:type="spellEnd"/>
      <w:r w:rsidRPr="00FA52DC">
        <w:rPr>
          <w:lang w:val="en-GB"/>
        </w:rPr>
        <w:t xml:space="preserve"> de Berkeley/Berlin”, in S.R. </w:t>
      </w:r>
      <w:proofErr w:type="spellStart"/>
      <w:r w:rsidRPr="00FA52DC">
        <w:rPr>
          <w:lang w:val="en-GB"/>
        </w:rPr>
        <w:t>Tokhtas’yev</w:t>
      </w:r>
      <w:proofErr w:type="spellEnd"/>
      <w:r w:rsidRPr="00FA52DC">
        <w:rPr>
          <w:lang w:val="en-GB"/>
        </w:rPr>
        <w:t xml:space="preserve"> and</w:t>
      </w:r>
      <w:r w:rsidR="002C21B7">
        <w:rPr>
          <w:lang w:val="en-GB"/>
        </w:rPr>
        <w:t xml:space="preserve"> </w:t>
      </w:r>
      <w:r w:rsidRPr="00FA52DC">
        <w:rPr>
          <w:lang w:val="en-GB"/>
        </w:rPr>
        <w:t xml:space="preserve">P.B. </w:t>
      </w:r>
      <w:proofErr w:type="spellStart"/>
      <w:r w:rsidRPr="00FA52DC">
        <w:rPr>
          <w:lang w:val="en-GB"/>
        </w:rPr>
        <w:t>Lur’ye</w:t>
      </w:r>
      <w:proofErr w:type="spellEnd"/>
      <w:r w:rsidRPr="00FA52DC">
        <w:rPr>
          <w:lang w:val="en-GB"/>
        </w:rPr>
        <w:t xml:space="preserve"> (eds), </w:t>
      </w:r>
      <w:proofErr w:type="spellStart"/>
      <w:r w:rsidRPr="00FA52DC">
        <w:rPr>
          <w:i/>
          <w:iCs/>
          <w:lang w:val="en-GB"/>
        </w:rPr>
        <w:t>Commentationes</w:t>
      </w:r>
      <w:proofErr w:type="spellEnd"/>
      <w:r w:rsidRPr="00FA52DC">
        <w:rPr>
          <w:i/>
          <w:iCs/>
          <w:lang w:val="en-GB"/>
        </w:rPr>
        <w:t xml:space="preserve"> </w:t>
      </w:r>
      <w:proofErr w:type="spellStart"/>
      <w:r w:rsidRPr="00FA52DC">
        <w:rPr>
          <w:i/>
          <w:iCs/>
          <w:lang w:val="en-GB"/>
        </w:rPr>
        <w:t>Iranicae</w:t>
      </w:r>
      <w:proofErr w:type="spellEnd"/>
      <w:r w:rsidRPr="00FA52DC">
        <w:rPr>
          <w:i/>
          <w:iCs/>
          <w:lang w:val="en-GB"/>
        </w:rPr>
        <w:t xml:space="preserve">: </w:t>
      </w:r>
      <w:proofErr w:type="spellStart"/>
      <w:r w:rsidRPr="00FA52DC">
        <w:rPr>
          <w:i/>
          <w:iCs/>
          <w:lang w:val="en-GB"/>
        </w:rPr>
        <w:t>Сборник</w:t>
      </w:r>
      <w:proofErr w:type="spellEnd"/>
      <w:r w:rsidRPr="00FA52DC">
        <w:rPr>
          <w:i/>
          <w:iCs/>
          <w:lang w:val="en-GB"/>
        </w:rPr>
        <w:t xml:space="preserve"> </w:t>
      </w:r>
      <w:proofErr w:type="spellStart"/>
      <w:r w:rsidRPr="00FA52DC">
        <w:rPr>
          <w:i/>
          <w:iCs/>
          <w:lang w:val="en-GB"/>
        </w:rPr>
        <w:t>Статей</w:t>
      </w:r>
      <w:proofErr w:type="spellEnd"/>
      <w:r w:rsidRPr="00FA52DC">
        <w:rPr>
          <w:i/>
          <w:iCs/>
          <w:lang w:val="en-GB"/>
        </w:rPr>
        <w:t xml:space="preserve"> к 90-Летию </w:t>
      </w:r>
      <w:proofErr w:type="spellStart"/>
      <w:r w:rsidRPr="00FA52DC">
        <w:rPr>
          <w:i/>
          <w:iCs/>
          <w:lang w:val="en-GB"/>
        </w:rPr>
        <w:t>Владимира</w:t>
      </w:r>
      <w:proofErr w:type="spellEnd"/>
      <w:r w:rsidRPr="00FA52DC">
        <w:rPr>
          <w:i/>
          <w:iCs/>
          <w:lang w:val="en-GB"/>
        </w:rPr>
        <w:t xml:space="preserve"> </w:t>
      </w:r>
      <w:proofErr w:type="spellStart"/>
      <w:r w:rsidRPr="00FA52DC">
        <w:rPr>
          <w:i/>
          <w:iCs/>
          <w:lang w:val="en-GB"/>
        </w:rPr>
        <w:t>Ароновича</w:t>
      </w:r>
      <w:proofErr w:type="spellEnd"/>
      <w:r w:rsidRPr="00FA52DC">
        <w:rPr>
          <w:i/>
          <w:iCs/>
          <w:lang w:val="en-GB"/>
        </w:rPr>
        <w:t xml:space="preserve"> </w:t>
      </w:r>
      <w:proofErr w:type="spellStart"/>
      <w:r w:rsidRPr="00FA52DC">
        <w:rPr>
          <w:i/>
          <w:iCs/>
          <w:lang w:val="en-GB"/>
        </w:rPr>
        <w:t>Лившица</w:t>
      </w:r>
      <w:proofErr w:type="spellEnd"/>
      <w:r w:rsidR="0067370E">
        <w:rPr>
          <w:i/>
          <w:iCs/>
          <w:lang w:val="en-GB"/>
        </w:rPr>
        <w:t xml:space="preserve"> </w:t>
      </w:r>
      <w:r w:rsidRPr="00FA52DC">
        <w:rPr>
          <w:lang w:val="en-GB"/>
        </w:rPr>
        <w:t>[</w:t>
      </w:r>
      <w:proofErr w:type="spellStart"/>
      <w:r w:rsidRPr="00FA52DC">
        <w:rPr>
          <w:lang w:val="en-GB"/>
        </w:rPr>
        <w:t>Commentationes</w:t>
      </w:r>
      <w:proofErr w:type="spellEnd"/>
      <w:r w:rsidRPr="00FA52DC">
        <w:rPr>
          <w:lang w:val="en-GB"/>
        </w:rPr>
        <w:t xml:space="preserve"> </w:t>
      </w:r>
      <w:proofErr w:type="spellStart"/>
      <w:r w:rsidRPr="00FA52DC">
        <w:rPr>
          <w:lang w:val="en-GB"/>
        </w:rPr>
        <w:t>Iranicae</w:t>
      </w:r>
      <w:proofErr w:type="spellEnd"/>
      <w:r w:rsidRPr="00FA52DC">
        <w:rPr>
          <w:lang w:val="en-GB"/>
        </w:rPr>
        <w:t>: Collection of Articles for the Occasion of Vladimir Aronovich Livshits’s 90th Birthday], 157–65. Saint Petersburg: Nestor-</w:t>
      </w:r>
      <w:proofErr w:type="spellStart"/>
      <w:r w:rsidRPr="00FA52DC">
        <w:rPr>
          <w:lang w:val="en-GB"/>
        </w:rPr>
        <w:t>Istoriya</w:t>
      </w:r>
      <w:proofErr w:type="spellEnd"/>
      <w:r w:rsidRPr="00FA52DC">
        <w:rPr>
          <w:lang w:val="en-GB"/>
        </w:rPr>
        <w:t>.</w:t>
      </w:r>
    </w:p>
    <w:p w14:paraId="779701D8" w14:textId="1824DD91" w:rsidR="00FA52DC" w:rsidRDefault="00FA52DC" w:rsidP="003D0759">
      <w:pPr>
        <w:spacing w:after="120"/>
        <w:ind w:left="720" w:hanging="720"/>
        <w:rPr>
          <w:lang w:val="en-GB"/>
        </w:rPr>
      </w:pPr>
      <w:proofErr w:type="spellStart"/>
      <w:r w:rsidRPr="00FA52DC">
        <w:rPr>
          <w:lang w:val="en-GB"/>
        </w:rPr>
        <w:t>Gignoux</w:t>
      </w:r>
      <w:proofErr w:type="spellEnd"/>
      <w:r w:rsidRPr="00FA52DC">
        <w:rPr>
          <w:lang w:val="en-GB"/>
        </w:rPr>
        <w:t>, Philippe. 2019. “Les &lt;</w:t>
      </w:r>
      <w:proofErr w:type="spellStart"/>
      <w:r w:rsidRPr="00FA52DC">
        <w:rPr>
          <w:lang w:val="en-GB"/>
        </w:rPr>
        <w:t>Mémoires</w:t>
      </w:r>
      <w:proofErr w:type="spellEnd"/>
      <w:r w:rsidRPr="00FA52DC">
        <w:rPr>
          <w:lang w:val="en-GB"/>
        </w:rPr>
        <w:t xml:space="preserve">&gt; dans </w:t>
      </w:r>
      <w:proofErr w:type="spellStart"/>
      <w:r w:rsidRPr="00FA52DC">
        <w:rPr>
          <w:lang w:val="en-GB"/>
        </w:rPr>
        <w:t>l’archive</w:t>
      </w:r>
      <w:proofErr w:type="spellEnd"/>
      <w:r w:rsidRPr="00FA52DC">
        <w:rPr>
          <w:lang w:val="en-GB"/>
        </w:rPr>
        <w:t xml:space="preserve"> </w:t>
      </w:r>
      <w:proofErr w:type="spellStart"/>
      <w:r w:rsidRPr="00FA52DC">
        <w:rPr>
          <w:lang w:val="en-GB"/>
        </w:rPr>
        <w:t>pehlevie</w:t>
      </w:r>
      <w:proofErr w:type="spellEnd"/>
      <w:r w:rsidRPr="00FA52DC">
        <w:rPr>
          <w:lang w:val="en-GB"/>
        </w:rPr>
        <w:t xml:space="preserve"> de Berkeley/Berlin”, in </w:t>
      </w:r>
      <w:proofErr w:type="spellStart"/>
      <w:r w:rsidRPr="00FA52DC">
        <w:rPr>
          <w:lang w:val="en-GB"/>
        </w:rPr>
        <w:t>Almut</w:t>
      </w:r>
      <w:proofErr w:type="spellEnd"/>
      <w:r w:rsidRPr="00FA52DC">
        <w:rPr>
          <w:lang w:val="en-GB"/>
        </w:rPr>
        <w:t xml:space="preserve"> Hintze,</w:t>
      </w:r>
      <w:r w:rsidR="00A308D4">
        <w:rPr>
          <w:lang w:val="en-GB"/>
        </w:rPr>
        <w:t xml:space="preserve"> </w:t>
      </w:r>
      <w:r w:rsidRPr="00FA52DC">
        <w:rPr>
          <w:lang w:val="en-GB"/>
        </w:rPr>
        <w:t>Desmond Durkin-</w:t>
      </w:r>
      <w:proofErr w:type="spellStart"/>
      <w:r w:rsidRPr="00FA52DC">
        <w:rPr>
          <w:lang w:val="en-GB"/>
        </w:rPr>
        <w:t>Meisterernst</w:t>
      </w:r>
      <w:proofErr w:type="spellEnd"/>
      <w:r w:rsidRPr="00FA52DC">
        <w:rPr>
          <w:lang w:val="en-GB"/>
        </w:rPr>
        <w:t xml:space="preserve"> and Claudius Naumann (eds), </w:t>
      </w:r>
      <w:r w:rsidRPr="00FA52DC">
        <w:rPr>
          <w:i/>
          <w:iCs/>
          <w:lang w:val="en-GB"/>
        </w:rPr>
        <w:t>A Thousand Judgements: Festschrift for Maria</w:t>
      </w:r>
      <w:r w:rsidR="00A308D4" w:rsidRPr="00A308D4">
        <w:rPr>
          <w:i/>
          <w:iCs/>
          <w:lang w:val="en-GB"/>
        </w:rPr>
        <w:t xml:space="preserve"> </w:t>
      </w:r>
      <w:r w:rsidRPr="00A308D4">
        <w:rPr>
          <w:i/>
          <w:iCs/>
          <w:lang w:val="en-GB"/>
        </w:rPr>
        <w:t>Macuch</w:t>
      </w:r>
      <w:r w:rsidRPr="00FA52DC">
        <w:rPr>
          <w:lang w:val="en-GB"/>
        </w:rPr>
        <w:t xml:space="preserve">, 127–40. Wiesbaden: </w:t>
      </w:r>
      <w:proofErr w:type="spellStart"/>
      <w:r w:rsidRPr="00FA52DC">
        <w:rPr>
          <w:lang w:val="en-GB"/>
        </w:rPr>
        <w:t>Harrassowitz</w:t>
      </w:r>
      <w:proofErr w:type="spellEnd"/>
      <w:r w:rsidRPr="00FA52DC">
        <w:rPr>
          <w:lang w:val="en-GB"/>
        </w:rPr>
        <w:t>.</w:t>
      </w:r>
    </w:p>
    <w:p w14:paraId="096611FD" w14:textId="77777777" w:rsidR="00042B1B" w:rsidRDefault="00042B1B" w:rsidP="00042B1B">
      <w:pPr>
        <w:spacing w:after="120"/>
        <w:ind w:left="720" w:hanging="720"/>
        <w:rPr>
          <w:rFonts w:eastAsia="SimSun"/>
          <w:lang w:val="en-GB"/>
        </w:rPr>
      </w:pPr>
      <w:r w:rsidRPr="00042B1B">
        <w:rPr>
          <w:rFonts w:eastAsia="SimSun"/>
          <w:lang w:val="en-GB"/>
        </w:rPr>
        <w:t xml:space="preserve">Hyderabad </w:t>
      </w:r>
      <w:r w:rsidRPr="00042B1B">
        <w:rPr>
          <w:rFonts w:eastAsia="SimSun"/>
          <w:lang w:val="en-GB"/>
        </w:rPr>
        <w:t>1954</w:t>
      </w:r>
      <w:r w:rsidRPr="00042B1B">
        <w:rPr>
          <w:rFonts w:eastAsia="SimSun"/>
          <w:lang w:val="en-GB"/>
        </w:rPr>
        <w:t xml:space="preserve"> = </w:t>
      </w:r>
      <w:r w:rsidRPr="00042B1B">
        <w:rPr>
          <w:rFonts w:eastAsia="SimSun"/>
          <w:lang w:val="en-GB"/>
        </w:rPr>
        <w:t>al-</w:t>
      </w:r>
      <w:proofErr w:type="spellStart"/>
      <w:r w:rsidRPr="00042B1B">
        <w:rPr>
          <w:rFonts w:eastAsia="SimSun"/>
          <w:lang w:val="en-GB"/>
        </w:rPr>
        <w:t>Bīrūnī</w:t>
      </w:r>
      <w:proofErr w:type="spellEnd"/>
      <w:r w:rsidRPr="00042B1B">
        <w:rPr>
          <w:rFonts w:eastAsia="SimSun"/>
          <w:lang w:val="en-GB"/>
        </w:rPr>
        <w:t xml:space="preserve">. 1954. </w:t>
      </w:r>
      <w:proofErr w:type="spellStart"/>
      <w:r w:rsidRPr="00042B1B">
        <w:rPr>
          <w:rFonts w:eastAsia="SimSun"/>
          <w:i/>
          <w:iCs/>
          <w:lang w:val="en-GB"/>
        </w:rPr>
        <w:t>Kitāb</w:t>
      </w:r>
      <w:proofErr w:type="spellEnd"/>
      <w:r w:rsidRPr="00042B1B">
        <w:rPr>
          <w:rFonts w:eastAsia="SimSun"/>
          <w:i/>
          <w:iCs/>
          <w:lang w:val="en-GB"/>
        </w:rPr>
        <w:t xml:space="preserve"> al-</w:t>
      </w:r>
      <w:proofErr w:type="spellStart"/>
      <w:r w:rsidRPr="00042B1B">
        <w:rPr>
          <w:rFonts w:eastAsia="SimSun"/>
          <w:i/>
          <w:iCs/>
          <w:lang w:val="en-GB"/>
        </w:rPr>
        <w:t>Qānūn</w:t>
      </w:r>
      <w:proofErr w:type="spellEnd"/>
      <w:r w:rsidRPr="00042B1B">
        <w:rPr>
          <w:rFonts w:eastAsia="SimSun"/>
          <w:i/>
          <w:iCs/>
          <w:lang w:val="en-GB"/>
        </w:rPr>
        <w:t xml:space="preserve"> al-</w:t>
      </w:r>
      <w:proofErr w:type="spellStart"/>
      <w:r w:rsidRPr="00042B1B">
        <w:rPr>
          <w:rFonts w:eastAsia="SimSun"/>
          <w:i/>
          <w:iCs/>
          <w:lang w:val="en-GB"/>
        </w:rPr>
        <w:t>Masʻūdī</w:t>
      </w:r>
      <w:proofErr w:type="spellEnd"/>
      <w:r w:rsidRPr="00042B1B">
        <w:rPr>
          <w:rFonts w:eastAsia="SimSun"/>
          <w:lang w:val="en-GB"/>
        </w:rPr>
        <w:t xml:space="preserve">. Hyderabad: </w:t>
      </w:r>
      <w:proofErr w:type="spellStart"/>
      <w:r w:rsidRPr="00042B1B">
        <w:rPr>
          <w:rFonts w:eastAsia="SimSun"/>
          <w:lang w:val="en-GB"/>
        </w:rPr>
        <w:t>Maṭbaʿah</w:t>
      </w:r>
      <w:proofErr w:type="spellEnd"/>
      <w:r w:rsidRPr="00042B1B">
        <w:rPr>
          <w:rFonts w:eastAsia="SimSun"/>
          <w:lang w:val="en-GB"/>
        </w:rPr>
        <w:t xml:space="preserve"> </w:t>
      </w:r>
      <w:proofErr w:type="spellStart"/>
      <w:r w:rsidRPr="00042B1B">
        <w:rPr>
          <w:rFonts w:eastAsia="SimSun"/>
          <w:lang w:val="en-GB"/>
        </w:rPr>
        <w:t>Jamʿīyah</w:t>
      </w:r>
      <w:proofErr w:type="spellEnd"/>
      <w:r w:rsidRPr="00042B1B">
        <w:rPr>
          <w:rFonts w:eastAsia="SimSun"/>
          <w:lang w:val="en-GB"/>
        </w:rPr>
        <w:t xml:space="preserve"> </w:t>
      </w:r>
      <w:proofErr w:type="spellStart"/>
      <w:r w:rsidRPr="00042B1B">
        <w:rPr>
          <w:rFonts w:eastAsia="SimSun"/>
          <w:lang w:val="en-GB"/>
        </w:rPr>
        <w:t>Dāʾirat</w:t>
      </w:r>
      <w:proofErr w:type="spellEnd"/>
      <w:r w:rsidRPr="00042B1B">
        <w:rPr>
          <w:rFonts w:eastAsia="SimSun"/>
          <w:lang w:val="en-GB"/>
        </w:rPr>
        <w:t xml:space="preserve"> al-</w:t>
      </w:r>
      <w:proofErr w:type="spellStart"/>
      <w:r w:rsidRPr="00042B1B">
        <w:rPr>
          <w:rFonts w:eastAsia="SimSun"/>
          <w:lang w:val="en-GB"/>
        </w:rPr>
        <w:t>Maʿārif</w:t>
      </w:r>
      <w:proofErr w:type="spellEnd"/>
      <w:r w:rsidRPr="00042B1B">
        <w:rPr>
          <w:rFonts w:eastAsia="SimSun"/>
          <w:lang w:val="en-GB"/>
        </w:rPr>
        <w:t xml:space="preserve"> al-</w:t>
      </w:r>
      <w:proofErr w:type="spellStart"/>
      <w:r w:rsidRPr="00042B1B">
        <w:rPr>
          <w:rFonts w:eastAsia="SimSun"/>
          <w:lang w:val="en-GB"/>
        </w:rPr>
        <w:t>ʿUthmānīya</w:t>
      </w:r>
      <w:proofErr w:type="spellEnd"/>
      <w:r w:rsidRPr="00042B1B">
        <w:rPr>
          <w:rFonts w:eastAsia="SimSun"/>
          <w:lang w:val="en-GB"/>
        </w:rPr>
        <w:t>.</w:t>
      </w:r>
    </w:p>
    <w:p w14:paraId="1AF4F1BA" w14:textId="1A8C65F1" w:rsidR="00042B1B" w:rsidRPr="00042B1B" w:rsidRDefault="00042B1B" w:rsidP="00042B1B">
      <w:pPr>
        <w:spacing w:after="120"/>
        <w:ind w:left="720" w:hanging="720"/>
        <w:rPr>
          <w:rFonts w:eastAsia="SimSun"/>
          <w:lang w:val="de-DE"/>
        </w:rPr>
      </w:pPr>
      <w:proofErr w:type="spellStart"/>
      <w:r w:rsidRPr="00042B1B">
        <w:rPr>
          <w:rFonts w:eastAsia="SimSun"/>
          <w:lang w:val="de-DE"/>
        </w:rPr>
        <w:t>Jügel</w:t>
      </w:r>
      <w:proofErr w:type="spellEnd"/>
      <w:r w:rsidRPr="00042B1B">
        <w:rPr>
          <w:rFonts w:eastAsia="SimSun"/>
          <w:lang w:val="de-DE"/>
        </w:rPr>
        <w:t xml:space="preserve">, Thomas. 2013. “The verbal </w:t>
      </w:r>
      <w:proofErr w:type="spellStart"/>
      <w:r w:rsidRPr="00042B1B">
        <w:rPr>
          <w:rFonts w:eastAsia="SimSun"/>
          <w:lang w:val="de-DE"/>
        </w:rPr>
        <w:t>particle</w:t>
      </w:r>
      <w:proofErr w:type="spellEnd"/>
      <w:r w:rsidRPr="00042B1B">
        <w:rPr>
          <w:rFonts w:eastAsia="SimSun"/>
          <w:lang w:val="de-DE"/>
        </w:rPr>
        <w:t xml:space="preserve"> BE in Middle </w:t>
      </w:r>
      <w:proofErr w:type="spellStart"/>
      <w:r w:rsidRPr="00042B1B">
        <w:rPr>
          <w:rFonts w:eastAsia="SimSun"/>
          <w:lang w:val="de-DE"/>
        </w:rPr>
        <w:t>Persian</w:t>
      </w:r>
      <w:proofErr w:type="spellEnd"/>
      <w:r w:rsidRPr="00042B1B">
        <w:rPr>
          <w:rFonts w:eastAsia="SimSun"/>
          <w:lang w:val="de-DE"/>
        </w:rPr>
        <w:t xml:space="preserve">”, </w:t>
      </w:r>
      <w:proofErr w:type="spellStart"/>
      <w:r w:rsidRPr="00042B1B">
        <w:rPr>
          <w:rFonts w:eastAsia="SimSun"/>
          <w:i/>
          <w:iCs/>
          <w:lang w:val="de-DE"/>
        </w:rPr>
        <w:t>Münchener</w:t>
      </w:r>
      <w:proofErr w:type="spellEnd"/>
      <w:r w:rsidRPr="00042B1B">
        <w:rPr>
          <w:rFonts w:eastAsia="SimSun"/>
          <w:i/>
          <w:iCs/>
          <w:lang w:val="de-DE"/>
        </w:rPr>
        <w:t xml:space="preserve"> Studien zur Sprachwissenschaft</w:t>
      </w:r>
      <w:r w:rsidRPr="00042B1B">
        <w:rPr>
          <w:rFonts w:eastAsia="SimSun"/>
          <w:lang w:val="de-DE"/>
        </w:rPr>
        <w:t xml:space="preserve"> 67/1, 57–64.</w:t>
      </w:r>
    </w:p>
    <w:p w14:paraId="272B71C6" w14:textId="7AED8F1F" w:rsidR="00042B1B" w:rsidRPr="00042B1B" w:rsidRDefault="00042B1B" w:rsidP="00042B1B">
      <w:pPr>
        <w:spacing w:after="120"/>
        <w:ind w:left="720" w:hanging="720"/>
        <w:rPr>
          <w:rFonts w:eastAsia="SimSun"/>
          <w:lang w:val="de-DE"/>
        </w:rPr>
      </w:pPr>
      <w:r w:rsidRPr="00042B1B">
        <w:rPr>
          <w:rFonts w:eastAsia="SimSun"/>
          <w:lang w:val="de-DE"/>
        </w:rPr>
        <w:lastRenderedPageBreak/>
        <w:t>Lazard, Gilbert. 1986. “</w:t>
      </w:r>
      <w:proofErr w:type="spellStart"/>
      <w:r w:rsidRPr="00042B1B">
        <w:rPr>
          <w:rFonts w:eastAsia="SimSun"/>
          <w:lang w:val="de-DE"/>
        </w:rPr>
        <w:t>Les</w:t>
      </w:r>
      <w:proofErr w:type="spellEnd"/>
      <w:r w:rsidRPr="00042B1B">
        <w:rPr>
          <w:rFonts w:eastAsia="SimSun"/>
          <w:lang w:val="de-DE"/>
        </w:rPr>
        <w:t xml:space="preserve"> </w:t>
      </w:r>
      <w:proofErr w:type="spellStart"/>
      <w:r w:rsidRPr="00042B1B">
        <w:rPr>
          <w:rFonts w:eastAsia="SimSun"/>
          <w:lang w:val="de-DE"/>
        </w:rPr>
        <w:t>prépositions</w:t>
      </w:r>
      <w:proofErr w:type="spellEnd"/>
      <w:r w:rsidRPr="00042B1B">
        <w:rPr>
          <w:rFonts w:eastAsia="SimSun"/>
          <w:lang w:val="de-DE"/>
        </w:rPr>
        <w:t xml:space="preserve"> </w:t>
      </w:r>
      <w:proofErr w:type="spellStart"/>
      <w:r w:rsidRPr="00042B1B">
        <w:rPr>
          <w:rFonts w:eastAsia="SimSun"/>
          <w:lang w:val="de-DE"/>
        </w:rPr>
        <w:t>pa</w:t>
      </w:r>
      <w:proofErr w:type="spellEnd"/>
      <w:r w:rsidRPr="00042B1B">
        <w:rPr>
          <w:rFonts w:eastAsia="SimSun"/>
          <w:lang w:val="de-DE"/>
        </w:rPr>
        <w:t xml:space="preserve">(d) et </w:t>
      </w:r>
      <w:proofErr w:type="spellStart"/>
      <w:r w:rsidRPr="00042B1B">
        <w:rPr>
          <w:rFonts w:eastAsia="SimSun"/>
          <w:lang w:val="de-DE"/>
        </w:rPr>
        <w:t>bē</w:t>
      </w:r>
      <w:proofErr w:type="spellEnd"/>
      <w:r w:rsidRPr="00042B1B">
        <w:rPr>
          <w:rFonts w:eastAsia="SimSun"/>
          <w:lang w:val="de-DE"/>
        </w:rPr>
        <w:t xml:space="preserve"> (ō) en </w:t>
      </w:r>
      <w:proofErr w:type="spellStart"/>
      <w:r w:rsidRPr="00042B1B">
        <w:rPr>
          <w:rFonts w:eastAsia="SimSun"/>
          <w:lang w:val="de-DE"/>
        </w:rPr>
        <w:t>persan</w:t>
      </w:r>
      <w:proofErr w:type="spellEnd"/>
      <w:r w:rsidRPr="00042B1B">
        <w:rPr>
          <w:rFonts w:eastAsia="SimSun"/>
          <w:lang w:val="de-DE"/>
        </w:rPr>
        <w:t xml:space="preserve"> et en </w:t>
      </w:r>
      <w:proofErr w:type="spellStart"/>
      <w:r w:rsidRPr="00042B1B">
        <w:rPr>
          <w:rFonts w:eastAsia="SimSun"/>
          <w:lang w:val="de-DE"/>
        </w:rPr>
        <w:t>pehlevi</w:t>
      </w:r>
      <w:proofErr w:type="spellEnd"/>
      <w:r w:rsidRPr="00042B1B">
        <w:rPr>
          <w:rFonts w:eastAsia="SimSun"/>
          <w:lang w:val="de-DE"/>
        </w:rPr>
        <w:t xml:space="preserve">”, in </w:t>
      </w:r>
      <w:proofErr w:type="spellStart"/>
      <w:r w:rsidRPr="00042B1B">
        <w:rPr>
          <w:rFonts w:eastAsia="SimSun"/>
          <w:lang w:val="de-DE"/>
        </w:rPr>
        <w:t>Rüdiger</w:t>
      </w:r>
      <w:proofErr w:type="spellEnd"/>
      <w:r w:rsidRPr="00042B1B">
        <w:rPr>
          <w:rFonts w:eastAsia="SimSun"/>
          <w:lang w:val="de-DE"/>
        </w:rPr>
        <w:t xml:space="preserve"> Schmitt and </w:t>
      </w:r>
      <w:proofErr w:type="spellStart"/>
      <w:r w:rsidRPr="00042B1B">
        <w:rPr>
          <w:rFonts w:eastAsia="SimSun"/>
          <w:lang w:val="de-DE"/>
        </w:rPr>
        <w:t>Prods</w:t>
      </w:r>
      <w:proofErr w:type="spellEnd"/>
      <w:r>
        <w:rPr>
          <w:rFonts w:eastAsia="SimSun"/>
          <w:lang w:val="de-DE"/>
        </w:rPr>
        <w:t xml:space="preserve"> </w:t>
      </w:r>
      <w:proofErr w:type="spellStart"/>
      <w:r w:rsidRPr="00042B1B">
        <w:rPr>
          <w:rFonts w:eastAsia="SimSun"/>
          <w:lang w:val="de-DE"/>
        </w:rPr>
        <w:t>Oktor</w:t>
      </w:r>
      <w:proofErr w:type="spellEnd"/>
      <w:r w:rsidRPr="00042B1B">
        <w:rPr>
          <w:rFonts w:eastAsia="SimSun"/>
          <w:lang w:val="de-DE"/>
        </w:rPr>
        <w:t xml:space="preserve"> </w:t>
      </w:r>
      <w:proofErr w:type="spellStart"/>
      <w:r w:rsidRPr="00042B1B">
        <w:rPr>
          <w:rFonts w:eastAsia="SimSun"/>
          <w:lang w:val="de-DE"/>
        </w:rPr>
        <w:t>Skjærvø</w:t>
      </w:r>
      <w:proofErr w:type="spellEnd"/>
      <w:r w:rsidRPr="00042B1B">
        <w:rPr>
          <w:rFonts w:eastAsia="SimSun"/>
          <w:lang w:val="de-DE"/>
        </w:rPr>
        <w:t xml:space="preserve"> (</w:t>
      </w:r>
      <w:proofErr w:type="spellStart"/>
      <w:r w:rsidRPr="00042B1B">
        <w:rPr>
          <w:rFonts w:eastAsia="SimSun"/>
          <w:lang w:val="de-DE"/>
        </w:rPr>
        <w:t>eds</w:t>
      </w:r>
      <w:proofErr w:type="spellEnd"/>
      <w:r w:rsidRPr="00042B1B">
        <w:rPr>
          <w:rFonts w:eastAsia="SimSun"/>
          <w:lang w:val="de-DE"/>
        </w:rPr>
        <w:t>),</w:t>
      </w:r>
      <w:r w:rsidRPr="00042B1B">
        <w:rPr>
          <w:rFonts w:eastAsia="SimSun"/>
          <w:i/>
          <w:iCs/>
          <w:lang w:val="de-DE"/>
        </w:rPr>
        <w:t xml:space="preserve"> </w:t>
      </w:r>
      <w:proofErr w:type="spellStart"/>
      <w:r w:rsidRPr="00042B1B">
        <w:rPr>
          <w:rFonts w:eastAsia="SimSun"/>
          <w:i/>
          <w:iCs/>
          <w:lang w:val="de-DE"/>
        </w:rPr>
        <w:t>Studia</w:t>
      </w:r>
      <w:proofErr w:type="spellEnd"/>
      <w:r w:rsidRPr="00042B1B">
        <w:rPr>
          <w:rFonts w:eastAsia="SimSun"/>
          <w:i/>
          <w:iCs/>
          <w:lang w:val="de-DE"/>
        </w:rPr>
        <w:t xml:space="preserve"> </w:t>
      </w:r>
      <w:proofErr w:type="spellStart"/>
      <w:r w:rsidRPr="00042B1B">
        <w:rPr>
          <w:rFonts w:eastAsia="SimSun"/>
          <w:i/>
          <w:iCs/>
          <w:lang w:val="de-DE"/>
        </w:rPr>
        <w:t>grammatica</w:t>
      </w:r>
      <w:proofErr w:type="spellEnd"/>
      <w:r w:rsidRPr="00042B1B">
        <w:rPr>
          <w:rFonts w:eastAsia="SimSun"/>
          <w:i/>
          <w:iCs/>
          <w:lang w:val="de-DE"/>
        </w:rPr>
        <w:t xml:space="preserve"> </w:t>
      </w:r>
      <w:proofErr w:type="spellStart"/>
      <w:r w:rsidRPr="00042B1B">
        <w:rPr>
          <w:rFonts w:eastAsia="SimSun"/>
          <w:i/>
          <w:iCs/>
          <w:lang w:val="de-DE"/>
        </w:rPr>
        <w:t>Iranica</w:t>
      </w:r>
      <w:proofErr w:type="spellEnd"/>
      <w:r w:rsidRPr="00042B1B">
        <w:rPr>
          <w:rFonts w:eastAsia="SimSun"/>
          <w:i/>
          <w:iCs/>
          <w:lang w:val="de-DE"/>
        </w:rPr>
        <w:t xml:space="preserve">: Festschrift </w:t>
      </w:r>
      <w:proofErr w:type="spellStart"/>
      <w:r w:rsidRPr="00042B1B">
        <w:rPr>
          <w:rFonts w:eastAsia="SimSun"/>
          <w:i/>
          <w:iCs/>
          <w:lang w:val="de-DE"/>
        </w:rPr>
        <w:t>für</w:t>
      </w:r>
      <w:proofErr w:type="spellEnd"/>
      <w:r w:rsidRPr="00042B1B">
        <w:rPr>
          <w:rFonts w:eastAsia="SimSun"/>
          <w:i/>
          <w:iCs/>
          <w:lang w:val="de-DE"/>
        </w:rPr>
        <w:t xml:space="preserve"> Helmut Humbach, </w:t>
      </w:r>
      <w:r w:rsidRPr="00042B1B">
        <w:rPr>
          <w:rFonts w:eastAsia="SimSun"/>
          <w:lang w:val="de-DE"/>
        </w:rPr>
        <w:t>245–55. Munich: R. Kitzinger.</w:t>
      </w:r>
    </w:p>
    <w:p w14:paraId="2DDE7394" w14:textId="7245CCCC" w:rsidR="00042B1B" w:rsidRDefault="00042B1B" w:rsidP="00042B1B">
      <w:pPr>
        <w:spacing w:after="120"/>
        <w:ind w:left="720" w:hanging="720"/>
        <w:rPr>
          <w:lang w:val="en-GB"/>
        </w:rPr>
      </w:pPr>
      <w:proofErr w:type="spellStart"/>
      <w:r w:rsidRPr="00042B1B">
        <w:rPr>
          <w:lang w:val="de-DE"/>
        </w:rPr>
        <w:t>MacKenzie</w:t>
      </w:r>
      <w:proofErr w:type="spellEnd"/>
      <w:r w:rsidRPr="00042B1B">
        <w:rPr>
          <w:lang w:val="de-DE"/>
        </w:rPr>
        <w:t xml:space="preserve">, D.N. 1968. </w:t>
      </w:r>
      <w:r w:rsidRPr="00042B1B">
        <w:rPr>
          <w:lang w:val="en-GB"/>
        </w:rPr>
        <w:t xml:space="preserve">“An early Jewish-Persian argument”, </w:t>
      </w:r>
      <w:r w:rsidRPr="00042B1B">
        <w:rPr>
          <w:i/>
          <w:iCs/>
          <w:lang w:val="en-GB"/>
        </w:rPr>
        <w:t>Bulletin of the School of Oriental and African Studies</w:t>
      </w:r>
      <w:r w:rsidRPr="00042B1B">
        <w:rPr>
          <w:lang w:val="en-GB"/>
        </w:rPr>
        <w:t xml:space="preserve"> 31/2,</w:t>
      </w:r>
      <w:r w:rsidRPr="00042B1B">
        <w:rPr>
          <w:lang w:val="en-GB"/>
        </w:rPr>
        <w:t xml:space="preserve"> </w:t>
      </w:r>
      <w:r w:rsidRPr="00042B1B">
        <w:rPr>
          <w:lang w:val="en-GB"/>
        </w:rPr>
        <w:t>249–69.</w:t>
      </w:r>
    </w:p>
    <w:p w14:paraId="0C41852D" w14:textId="6918DAF4" w:rsidR="00042B1B" w:rsidRDefault="00042B1B" w:rsidP="00042B1B">
      <w:pPr>
        <w:spacing w:after="120"/>
        <w:ind w:left="720" w:hanging="720"/>
        <w:rPr>
          <w:lang w:val="de-DE"/>
        </w:rPr>
      </w:pPr>
      <w:proofErr w:type="spellStart"/>
      <w:r w:rsidRPr="00042B1B">
        <w:rPr>
          <w:lang w:val="de-DE"/>
        </w:rPr>
        <w:t>Macuch</w:t>
      </w:r>
      <w:proofErr w:type="spellEnd"/>
      <w:r w:rsidRPr="00042B1B">
        <w:rPr>
          <w:lang w:val="de-DE"/>
        </w:rPr>
        <w:t>, Maria. 2008. “Anhang VI: Zur juristischen Terminologie der Berliner Pahlavi-Dokumente”, in</w:t>
      </w:r>
      <w:r w:rsidRPr="00042B1B">
        <w:rPr>
          <w:lang w:val="de-DE"/>
        </w:rPr>
        <w:t xml:space="preserve"> </w:t>
      </w:r>
      <w:r w:rsidRPr="00042B1B">
        <w:rPr>
          <w:lang w:val="de-DE"/>
        </w:rPr>
        <w:t xml:space="preserve">Dieter Weber, </w:t>
      </w:r>
      <w:r w:rsidRPr="00042B1B">
        <w:rPr>
          <w:i/>
          <w:iCs/>
          <w:lang w:val="de-DE"/>
        </w:rPr>
        <w:t xml:space="preserve">Berliner Pahlavi-Dokumente: Zeugnisse spätsassanidischer Brief- und Rechtskultur aus </w:t>
      </w:r>
      <w:proofErr w:type="spellStart"/>
      <w:r w:rsidRPr="00042B1B">
        <w:rPr>
          <w:i/>
          <w:iCs/>
          <w:lang w:val="de-DE"/>
        </w:rPr>
        <w:t>frühislamischer</w:t>
      </w:r>
      <w:proofErr w:type="spellEnd"/>
      <w:r w:rsidRPr="00042B1B">
        <w:rPr>
          <w:i/>
          <w:iCs/>
          <w:lang w:val="de-DE"/>
        </w:rPr>
        <w:t xml:space="preserve"> </w:t>
      </w:r>
      <w:r w:rsidRPr="00042B1B">
        <w:rPr>
          <w:i/>
          <w:iCs/>
          <w:lang w:val="de-DE"/>
        </w:rPr>
        <w:t>Zeit</w:t>
      </w:r>
      <w:r>
        <w:rPr>
          <w:lang w:val="de-DE"/>
        </w:rPr>
        <w:t>,</w:t>
      </w:r>
      <w:r w:rsidRPr="00042B1B">
        <w:rPr>
          <w:lang w:val="de-DE"/>
        </w:rPr>
        <w:t xml:space="preserve"> 249–66. Wiesbaden: Harrassowitz.</w:t>
      </w:r>
    </w:p>
    <w:p w14:paraId="5753A822" w14:textId="1D9E26FB" w:rsidR="00042B1B" w:rsidRPr="00042B1B" w:rsidRDefault="00042B1B" w:rsidP="00042B1B">
      <w:pPr>
        <w:spacing w:after="120"/>
        <w:ind w:left="720" w:hanging="720"/>
        <w:rPr>
          <w:lang w:val="de-DE"/>
        </w:rPr>
      </w:pPr>
      <w:r w:rsidRPr="00042B1B">
        <w:rPr>
          <w:lang w:val="de-DE"/>
        </w:rPr>
        <w:t xml:space="preserve">de </w:t>
      </w:r>
      <w:proofErr w:type="spellStart"/>
      <w:r w:rsidRPr="00042B1B">
        <w:rPr>
          <w:lang w:val="de-DE"/>
        </w:rPr>
        <w:t>Menasce</w:t>
      </w:r>
      <w:proofErr w:type="spellEnd"/>
      <w:r w:rsidRPr="00042B1B">
        <w:rPr>
          <w:lang w:val="de-DE"/>
        </w:rPr>
        <w:t>, Jean. 1973</w:t>
      </w:r>
      <w:r w:rsidRPr="00042B1B">
        <w:rPr>
          <w:i/>
          <w:iCs/>
          <w:lang w:val="de-DE"/>
        </w:rPr>
        <w:t xml:space="preserve">. Le </w:t>
      </w:r>
      <w:proofErr w:type="spellStart"/>
      <w:r w:rsidRPr="00042B1B">
        <w:rPr>
          <w:i/>
          <w:iCs/>
          <w:lang w:val="de-DE"/>
        </w:rPr>
        <w:t>troisième</w:t>
      </w:r>
      <w:proofErr w:type="spellEnd"/>
      <w:r w:rsidRPr="00042B1B">
        <w:rPr>
          <w:i/>
          <w:iCs/>
          <w:lang w:val="de-DE"/>
        </w:rPr>
        <w:t xml:space="preserve"> </w:t>
      </w:r>
      <w:proofErr w:type="spellStart"/>
      <w:r w:rsidRPr="00042B1B">
        <w:rPr>
          <w:i/>
          <w:iCs/>
          <w:lang w:val="de-DE"/>
        </w:rPr>
        <w:t>livre</w:t>
      </w:r>
      <w:proofErr w:type="spellEnd"/>
      <w:r w:rsidRPr="00042B1B">
        <w:rPr>
          <w:i/>
          <w:iCs/>
          <w:lang w:val="de-DE"/>
        </w:rPr>
        <w:t xml:space="preserve"> du Denkart.</w:t>
      </w:r>
      <w:r w:rsidRPr="00042B1B">
        <w:rPr>
          <w:lang w:val="de-DE"/>
        </w:rPr>
        <w:t xml:space="preserve"> </w:t>
      </w:r>
      <w:r w:rsidRPr="00042B1B">
        <w:rPr>
          <w:lang w:val="en-GB"/>
        </w:rPr>
        <w:t xml:space="preserve">Paris: C. </w:t>
      </w:r>
      <w:proofErr w:type="spellStart"/>
      <w:r w:rsidRPr="00042B1B">
        <w:rPr>
          <w:lang w:val="en-GB"/>
        </w:rPr>
        <w:t>Klincksieck</w:t>
      </w:r>
      <w:proofErr w:type="spellEnd"/>
      <w:r w:rsidRPr="00042B1B">
        <w:rPr>
          <w:lang w:val="en-GB"/>
        </w:rPr>
        <w:t>.</w:t>
      </w:r>
    </w:p>
    <w:p w14:paraId="7842E253" w14:textId="2032C0E5" w:rsidR="00042B1B" w:rsidRPr="00042B1B" w:rsidRDefault="00042B1B" w:rsidP="00042B1B">
      <w:pPr>
        <w:spacing w:after="120"/>
        <w:ind w:left="720" w:hanging="720"/>
        <w:rPr>
          <w:lang w:val="en-GB"/>
        </w:rPr>
      </w:pPr>
      <w:r w:rsidRPr="00042B1B">
        <w:rPr>
          <w:lang w:val="en-GB"/>
        </w:rPr>
        <w:t>Orsatti, Paola. 2019. “Persian language in Arabic script: the formation of the orthographic standard and the different</w:t>
      </w:r>
      <w:r>
        <w:rPr>
          <w:lang w:val="en-GB"/>
        </w:rPr>
        <w:t xml:space="preserve"> </w:t>
      </w:r>
      <w:r w:rsidRPr="00042B1B">
        <w:rPr>
          <w:lang w:val="en-GB"/>
        </w:rPr>
        <w:t>graphic traditions of Iran in the first centuries of the Islamic era”, in Dmitry Bondarev, Alessandro Gori</w:t>
      </w:r>
      <w:r>
        <w:rPr>
          <w:lang w:val="en-GB"/>
        </w:rPr>
        <w:t xml:space="preserve"> </w:t>
      </w:r>
      <w:r w:rsidRPr="00042B1B">
        <w:rPr>
          <w:lang w:val="en-GB"/>
        </w:rPr>
        <w:t xml:space="preserve">and </w:t>
      </w:r>
      <w:proofErr w:type="spellStart"/>
      <w:r w:rsidRPr="00042B1B">
        <w:rPr>
          <w:lang w:val="en-GB"/>
        </w:rPr>
        <w:t>Lameen</w:t>
      </w:r>
      <w:proofErr w:type="spellEnd"/>
      <w:r w:rsidRPr="00042B1B">
        <w:rPr>
          <w:lang w:val="en-GB"/>
        </w:rPr>
        <w:t xml:space="preserve"> Souag (eds), </w:t>
      </w:r>
      <w:r w:rsidRPr="00042B1B">
        <w:rPr>
          <w:i/>
          <w:iCs/>
          <w:lang w:val="en-GB"/>
        </w:rPr>
        <w:t>Creating Standards. Interactions with Arabic Script in 12 Manuscript Cultures</w:t>
      </w:r>
      <w:r w:rsidRPr="00042B1B">
        <w:rPr>
          <w:lang w:val="en-GB"/>
        </w:rPr>
        <w:t>, 39–72.</w:t>
      </w:r>
      <w:r>
        <w:rPr>
          <w:lang w:val="en-GB"/>
        </w:rPr>
        <w:t xml:space="preserve"> </w:t>
      </w:r>
      <w:r w:rsidRPr="00042B1B">
        <w:rPr>
          <w:lang w:val="en-US"/>
        </w:rPr>
        <w:t>Boston/Berlin: De Gruyter.</w:t>
      </w:r>
    </w:p>
    <w:p w14:paraId="13726A10" w14:textId="40DD0235" w:rsidR="00042B1B" w:rsidRDefault="00042B1B" w:rsidP="00042B1B">
      <w:pPr>
        <w:spacing w:after="120"/>
        <w:ind w:left="720" w:hanging="720"/>
        <w:rPr>
          <w:lang w:val="en-GB"/>
        </w:rPr>
      </w:pPr>
      <w:r w:rsidRPr="00042B1B">
        <w:rPr>
          <w:lang w:val="de-DE"/>
        </w:rPr>
        <w:t xml:space="preserve">Paul, Ludwig. </w:t>
      </w:r>
      <w:r w:rsidRPr="00042B1B">
        <w:rPr>
          <w:lang w:val="en-GB"/>
        </w:rPr>
        <w:t xml:space="preserve">2003. “Early Judaeo-Persian in a historical perspective: the case of the prepositions </w:t>
      </w:r>
      <w:r w:rsidRPr="00042B1B">
        <w:rPr>
          <w:lang w:val="en-GB"/>
        </w:rPr>
        <w:t>b</w:t>
      </w:r>
      <w:r w:rsidRPr="00042B1B">
        <w:rPr>
          <w:lang w:val="en-GB"/>
        </w:rPr>
        <w:t>e, u,</w:t>
      </w:r>
      <w:r w:rsidRPr="00042B1B">
        <w:rPr>
          <w:lang w:val="en-GB"/>
        </w:rPr>
        <w:t xml:space="preserve"> p</w:t>
      </w:r>
      <w:r w:rsidRPr="00042B1B">
        <w:rPr>
          <w:lang w:val="en-GB"/>
        </w:rPr>
        <w:t>a(d), and</w:t>
      </w:r>
      <w:r w:rsidRPr="00042B1B">
        <w:rPr>
          <w:lang w:val="en-GB"/>
        </w:rPr>
        <w:t xml:space="preserve"> </w:t>
      </w:r>
      <w:r w:rsidRPr="00042B1B">
        <w:rPr>
          <w:lang w:val="en-GB"/>
        </w:rPr>
        <w:t xml:space="preserve">the suffix </w:t>
      </w:r>
      <w:proofErr w:type="spellStart"/>
      <w:r w:rsidRPr="00042B1B">
        <w:rPr>
          <w:lang w:val="en-GB"/>
        </w:rPr>
        <w:t>r</w:t>
      </w:r>
      <w:r w:rsidRPr="00042B1B">
        <w:rPr>
          <w:lang w:val="en-GB"/>
        </w:rPr>
        <w:t>ā</w:t>
      </w:r>
      <w:proofErr w:type="spellEnd"/>
      <w:r w:rsidRPr="00042B1B">
        <w:rPr>
          <w:lang w:val="en-GB"/>
        </w:rPr>
        <w:t>”, in Ludwig Paul (ed.),</w:t>
      </w:r>
      <w:r w:rsidRPr="00042B1B">
        <w:rPr>
          <w:i/>
          <w:iCs/>
          <w:lang w:val="en-GB"/>
        </w:rPr>
        <w:t xml:space="preserve"> Persian Origins: Early Judaeo-Persian and the Emergence of New Persian: Collected</w:t>
      </w:r>
      <w:r>
        <w:rPr>
          <w:i/>
          <w:iCs/>
          <w:lang w:val="en-GB"/>
        </w:rPr>
        <w:t xml:space="preserve"> </w:t>
      </w:r>
      <w:r w:rsidRPr="00042B1B">
        <w:rPr>
          <w:i/>
          <w:iCs/>
          <w:lang w:val="en-GB"/>
        </w:rPr>
        <w:t xml:space="preserve">Papers of the Symposium, Göttingen 1999, </w:t>
      </w:r>
      <w:r w:rsidRPr="00042B1B">
        <w:rPr>
          <w:lang w:val="en-GB"/>
        </w:rPr>
        <w:t xml:space="preserve">177–94. Wiesbaden: </w:t>
      </w:r>
      <w:proofErr w:type="spellStart"/>
      <w:r w:rsidRPr="00042B1B">
        <w:rPr>
          <w:lang w:val="en-GB"/>
        </w:rPr>
        <w:t>Harrassowitz</w:t>
      </w:r>
      <w:proofErr w:type="spellEnd"/>
      <w:r w:rsidRPr="00042B1B">
        <w:rPr>
          <w:lang w:val="en-GB"/>
        </w:rPr>
        <w:t>.</w:t>
      </w:r>
    </w:p>
    <w:p w14:paraId="4E54A043" w14:textId="084D010B" w:rsidR="00042B1B" w:rsidRPr="00042B1B" w:rsidRDefault="00042B1B" w:rsidP="00042B1B">
      <w:pPr>
        <w:spacing w:after="120"/>
        <w:ind w:left="720" w:hanging="720"/>
        <w:rPr>
          <w:lang w:val="en-GB"/>
        </w:rPr>
      </w:pPr>
      <w:r>
        <w:rPr>
          <w:lang w:val="en-GB"/>
        </w:rPr>
        <w:t xml:space="preserve">Paul, Ludwig. 2013. </w:t>
      </w:r>
      <w:r>
        <w:rPr>
          <w:i/>
          <w:iCs/>
          <w:lang w:val="en-GB"/>
        </w:rPr>
        <w:t>A Grammar of Early Judaeo-Persian</w:t>
      </w:r>
      <w:r>
        <w:rPr>
          <w:lang w:val="en-GB"/>
        </w:rPr>
        <w:t xml:space="preserve">. Wiesbaden: </w:t>
      </w:r>
      <w:proofErr w:type="spellStart"/>
      <w:r>
        <w:rPr>
          <w:lang w:val="en-GB"/>
        </w:rPr>
        <w:t>Harrassowitz</w:t>
      </w:r>
      <w:proofErr w:type="spellEnd"/>
      <w:r>
        <w:rPr>
          <w:lang w:val="en-GB"/>
        </w:rPr>
        <w:t xml:space="preserve">. </w:t>
      </w:r>
    </w:p>
    <w:p w14:paraId="148F0A0A" w14:textId="7C4D9027" w:rsidR="00582E6F" w:rsidRDefault="00582E6F" w:rsidP="003D0759">
      <w:pPr>
        <w:spacing w:after="120"/>
        <w:ind w:left="720" w:hanging="720"/>
        <w:rPr>
          <w:lang w:val="en-GB"/>
        </w:rPr>
      </w:pPr>
      <w:proofErr w:type="spellStart"/>
      <w:r w:rsidRPr="00582E6F">
        <w:rPr>
          <w:lang w:val="en-GB"/>
        </w:rPr>
        <w:t>Šafiʿī</w:t>
      </w:r>
      <w:proofErr w:type="spellEnd"/>
      <w:r w:rsidRPr="00582E6F">
        <w:rPr>
          <w:lang w:val="en-GB"/>
        </w:rPr>
        <w:t xml:space="preserve">, </w:t>
      </w:r>
      <w:proofErr w:type="spellStart"/>
      <w:r w:rsidRPr="00582E6F">
        <w:rPr>
          <w:lang w:val="en-GB"/>
        </w:rPr>
        <w:t>Ibrāhīm</w:t>
      </w:r>
      <w:proofErr w:type="spellEnd"/>
      <w:r w:rsidRPr="00582E6F">
        <w:rPr>
          <w:lang w:val="en-GB"/>
        </w:rPr>
        <w:t xml:space="preserve">. 2023. “Two pieces of a Sasanian Middle Persian letter (Berk. 129 + Berk. 212)”, </w:t>
      </w:r>
      <w:r w:rsidRPr="00582E6F">
        <w:rPr>
          <w:i/>
          <w:iCs/>
          <w:lang w:val="en-GB"/>
        </w:rPr>
        <w:t>Sasanian Studies: Late Antique Iranian World</w:t>
      </w:r>
      <w:r w:rsidRPr="00582E6F">
        <w:rPr>
          <w:lang w:val="en-GB"/>
        </w:rPr>
        <w:t>/</w:t>
      </w:r>
      <w:proofErr w:type="spellStart"/>
      <w:r w:rsidRPr="00582E6F">
        <w:rPr>
          <w:i/>
          <w:iCs/>
          <w:lang w:val="en-GB"/>
        </w:rPr>
        <w:t>Sasanidische</w:t>
      </w:r>
      <w:proofErr w:type="spellEnd"/>
      <w:r w:rsidRPr="00582E6F">
        <w:rPr>
          <w:i/>
          <w:iCs/>
          <w:lang w:val="en-GB"/>
        </w:rPr>
        <w:t xml:space="preserve"> </w:t>
      </w:r>
      <w:proofErr w:type="spellStart"/>
      <w:r w:rsidRPr="00582E6F">
        <w:rPr>
          <w:i/>
          <w:iCs/>
          <w:lang w:val="en-GB"/>
        </w:rPr>
        <w:t>Studien</w:t>
      </w:r>
      <w:proofErr w:type="spellEnd"/>
      <w:r w:rsidRPr="00582E6F">
        <w:rPr>
          <w:i/>
          <w:iCs/>
          <w:lang w:val="en-GB"/>
        </w:rPr>
        <w:t xml:space="preserve">: </w:t>
      </w:r>
      <w:proofErr w:type="spellStart"/>
      <w:r w:rsidRPr="00582E6F">
        <w:rPr>
          <w:i/>
          <w:iCs/>
          <w:lang w:val="en-GB"/>
        </w:rPr>
        <w:t>Spätantike</w:t>
      </w:r>
      <w:proofErr w:type="spellEnd"/>
      <w:r w:rsidRPr="00582E6F">
        <w:rPr>
          <w:i/>
          <w:iCs/>
          <w:lang w:val="en-GB"/>
        </w:rPr>
        <w:t xml:space="preserve"> </w:t>
      </w:r>
      <w:proofErr w:type="spellStart"/>
      <w:r w:rsidRPr="00582E6F">
        <w:rPr>
          <w:i/>
          <w:iCs/>
          <w:lang w:val="en-GB"/>
        </w:rPr>
        <w:t>iranische</w:t>
      </w:r>
      <w:proofErr w:type="spellEnd"/>
      <w:r w:rsidRPr="00582E6F">
        <w:rPr>
          <w:i/>
          <w:iCs/>
          <w:lang w:val="en-GB"/>
        </w:rPr>
        <w:t xml:space="preserve"> Welt</w:t>
      </w:r>
      <w:r w:rsidRPr="00582E6F">
        <w:rPr>
          <w:lang w:val="en-GB"/>
        </w:rPr>
        <w:t xml:space="preserve"> 2, 273–85.</w:t>
      </w:r>
    </w:p>
    <w:p w14:paraId="542A69F9" w14:textId="26CBDAAB" w:rsidR="00042B1B" w:rsidRPr="00042B1B" w:rsidRDefault="00042B1B" w:rsidP="00042B1B">
      <w:pPr>
        <w:spacing w:after="120"/>
        <w:ind w:left="720" w:hanging="720"/>
        <w:rPr>
          <w:i/>
          <w:iCs/>
          <w:lang w:val="en-GB"/>
        </w:rPr>
      </w:pPr>
      <w:r w:rsidRPr="00042B1B">
        <w:rPr>
          <w:lang w:val="en-GB"/>
        </w:rPr>
        <w:t xml:space="preserve">Shaked, Shaul. 1977. “Jewish and Christian seals of the Sasanian period”, in Myriam Rosen-Ayalon (ed.), </w:t>
      </w:r>
      <w:r w:rsidRPr="00042B1B">
        <w:rPr>
          <w:i/>
          <w:iCs/>
          <w:lang w:val="en-GB"/>
        </w:rPr>
        <w:t>Studies in</w:t>
      </w:r>
      <w:r>
        <w:rPr>
          <w:i/>
          <w:iCs/>
          <w:lang w:val="en-GB"/>
        </w:rPr>
        <w:t xml:space="preserve"> </w:t>
      </w:r>
      <w:r w:rsidRPr="00042B1B">
        <w:rPr>
          <w:i/>
          <w:iCs/>
          <w:lang w:val="en-GB"/>
        </w:rPr>
        <w:t xml:space="preserve">Memory of Gaston </w:t>
      </w:r>
      <w:proofErr w:type="spellStart"/>
      <w:r w:rsidRPr="00042B1B">
        <w:rPr>
          <w:i/>
          <w:iCs/>
          <w:lang w:val="en-GB"/>
        </w:rPr>
        <w:t>Wiet</w:t>
      </w:r>
      <w:proofErr w:type="spellEnd"/>
      <w:r w:rsidRPr="00042B1B">
        <w:rPr>
          <w:lang w:val="en-GB"/>
        </w:rPr>
        <w:t>, 17–31. Jerusalem: Institute of Asian and African Studies, The Hebrew University.</w:t>
      </w:r>
    </w:p>
    <w:p w14:paraId="26AF2ED1" w14:textId="1FB32B86" w:rsidR="00042B1B" w:rsidRPr="00042B1B" w:rsidRDefault="00042B1B" w:rsidP="00042B1B">
      <w:pPr>
        <w:spacing w:after="120"/>
        <w:ind w:left="720" w:hanging="720"/>
        <w:rPr>
          <w:lang w:val="en-GB"/>
        </w:rPr>
      </w:pPr>
      <w:proofErr w:type="spellStart"/>
      <w:r w:rsidRPr="00042B1B">
        <w:rPr>
          <w:lang w:val="en-GB"/>
        </w:rPr>
        <w:t>Skjærvø</w:t>
      </w:r>
      <w:proofErr w:type="spellEnd"/>
      <w:r w:rsidRPr="00042B1B">
        <w:rPr>
          <w:lang w:val="en-GB"/>
        </w:rPr>
        <w:t xml:space="preserve">, Prods </w:t>
      </w:r>
      <w:proofErr w:type="spellStart"/>
      <w:r w:rsidRPr="00042B1B">
        <w:rPr>
          <w:lang w:val="en-GB"/>
        </w:rPr>
        <w:t>Oktor</w:t>
      </w:r>
      <w:proofErr w:type="spellEnd"/>
      <w:r w:rsidRPr="00042B1B">
        <w:rPr>
          <w:lang w:val="en-GB"/>
        </w:rPr>
        <w:t xml:space="preserve">. 2009. “Middle West Iranian”, in Gernot </w:t>
      </w:r>
      <w:proofErr w:type="spellStart"/>
      <w:r w:rsidRPr="00042B1B">
        <w:rPr>
          <w:lang w:val="en-GB"/>
        </w:rPr>
        <w:t>Windfuhr</w:t>
      </w:r>
      <w:proofErr w:type="spellEnd"/>
      <w:r w:rsidRPr="00042B1B">
        <w:rPr>
          <w:lang w:val="en-GB"/>
        </w:rPr>
        <w:t xml:space="preserve"> (ed.), </w:t>
      </w:r>
      <w:r w:rsidRPr="00042B1B">
        <w:rPr>
          <w:i/>
          <w:iCs/>
          <w:lang w:val="en-GB"/>
        </w:rPr>
        <w:t>The Iranian Languages</w:t>
      </w:r>
      <w:r w:rsidRPr="00042B1B">
        <w:rPr>
          <w:lang w:val="en-GB"/>
        </w:rPr>
        <w:t>, 196–278.</w:t>
      </w:r>
      <w:r>
        <w:rPr>
          <w:lang w:val="en-GB"/>
        </w:rPr>
        <w:t xml:space="preserve"> </w:t>
      </w:r>
      <w:r w:rsidRPr="00042B1B">
        <w:rPr>
          <w:lang w:val="en-GB"/>
        </w:rPr>
        <w:t>New York: Routledge.</w:t>
      </w:r>
    </w:p>
    <w:p w14:paraId="41A553F4" w14:textId="3644A570" w:rsidR="00042B1B" w:rsidRDefault="00042B1B" w:rsidP="00042B1B">
      <w:pPr>
        <w:spacing w:after="120"/>
        <w:ind w:left="720" w:hanging="720"/>
        <w:rPr>
          <w:lang w:val="en-GB"/>
        </w:rPr>
      </w:pPr>
      <w:proofErr w:type="spellStart"/>
      <w:r w:rsidRPr="00042B1B">
        <w:rPr>
          <w:lang w:val="en-GB"/>
        </w:rPr>
        <w:t>Taqizadeh</w:t>
      </w:r>
      <w:proofErr w:type="spellEnd"/>
      <w:r w:rsidRPr="00042B1B">
        <w:rPr>
          <w:lang w:val="en-GB"/>
        </w:rPr>
        <w:t>, S.H. 1939. “Various eras and calendars used in the countries of Islam”,</w:t>
      </w:r>
      <w:r w:rsidRPr="00042B1B">
        <w:rPr>
          <w:i/>
          <w:iCs/>
          <w:lang w:val="en-GB"/>
        </w:rPr>
        <w:t xml:space="preserve"> Bulletin of the School of Oriental</w:t>
      </w:r>
      <w:r>
        <w:rPr>
          <w:i/>
          <w:iCs/>
          <w:lang w:val="en-GB"/>
        </w:rPr>
        <w:t xml:space="preserve"> </w:t>
      </w:r>
      <w:r w:rsidRPr="00042B1B">
        <w:rPr>
          <w:i/>
          <w:iCs/>
          <w:lang w:val="en-GB"/>
        </w:rPr>
        <w:t xml:space="preserve">and African Studies </w:t>
      </w:r>
      <w:r w:rsidRPr="00042B1B">
        <w:rPr>
          <w:lang w:val="en-GB"/>
        </w:rPr>
        <w:t>9/4, 903–22.</w:t>
      </w:r>
    </w:p>
    <w:p w14:paraId="5832E28D" w14:textId="35B5582B" w:rsidR="00042B1B" w:rsidRPr="00042B1B" w:rsidRDefault="00042B1B" w:rsidP="00042B1B">
      <w:pPr>
        <w:spacing w:after="120"/>
        <w:ind w:left="720" w:hanging="720"/>
        <w:rPr>
          <w:lang w:val="en-GB"/>
        </w:rPr>
      </w:pPr>
      <w:proofErr w:type="spellStart"/>
      <w:r w:rsidRPr="00042B1B">
        <w:rPr>
          <w:lang w:val="en-GB"/>
        </w:rPr>
        <w:t>Vahman</w:t>
      </w:r>
      <w:proofErr w:type="spellEnd"/>
      <w:r w:rsidRPr="00042B1B">
        <w:rPr>
          <w:lang w:val="en-GB"/>
        </w:rPr>
        <w:t xml:space="preserve">, </w:t>
      </w:r>
      <w:proofErr w:type="spellStart"/>
      <w:r w:rsidRPr="00042B1B">
        <w:rPr>
          <w:lang w:val="en-GB"/>
        </w:rPr>
        <w:t>Farīdūn</w:t>
      </w:r>
      <w:proofErr w:type="spellEnd"/>
      <w:r w:rsidRPr="00042B1B">
        <w:rPr>
          <w:lang w:val="en-GB"/>
        </w:rPr>
        <w:t xml:space="preserve">. 1985. </w:t>
      </w:r>
      <w:proofErr w:type="spellStart"/>
      <w:r w:rsidRPr="00042B1B">
        <w:rPr>
          <w:i/>
          <w:iCs/>
          <w:lang w:val="en-GB"/>
        </w:rPr>
        <w:t>Ardā</w:t>
      </w:r>
      <w:proofErr w:type="spellEnd"/>
      <w:r w:rsidRPr="00042B1B">
        <w:rPr>
          <w:i/>
          <w:iCs/>
          <w:lang w:val="en-GB"/>
        </w:rPr>
        <w:t xml:space="preserve"> </w:t>
      </w:r>
      <w:proofErr w:type="spellStart"/>
      <w:r w:rsidRPr="00042B1B">
        <w:rPr>
          <w:i/>
          <w:iCs/>
          <w:lang w:val="en-GB"/>
        </w:rPr>
        <w:t>Wirāz</w:t>
      </w:r>
      <w:proofErr w:type="spellEnd"/>
      <w:r w:rsidRPr="00042B1B">
        <w:rPr>
          <w:i/>
          <w:iCs/>
          <w:lang w:val="en-GB"/>
        </w:rPr>
        <w:t xml:space="preserve"> </w:t>
      </w:r>
      <w:proofErr w:type="spellStart"/>
      <w:r w:rsidRPr="00042B1B">
        <w:rPr>
          <w:i/>
          <w:iCs/>
          <w:lang w:val="en-GB"/>
        </w:rPr>
        <w:t>Nāmag</w:t>
      </w:r>
      <w:proofErr w:type="spellEnd"/>
      <w:r w:rsidRPr="00042B1B">
        <w:rPr>
          <w:i/>
          <w:iCs/>
          <w:lang w:val="en-GB"/>
        </w:rPr>
        <w:t>: The Iranian “Divina Commedia”.</w:t>
      </w:r>
      <w:r w:rsidRPr="00042B1B">
        <w:rPr>
          <w:lang w:val="en-GB"/>
        </w:rPr>
        <w:t xml:space="preserve"> London: Curzon.</w:t>
      </w:r>
    </w:p>
    <w:p w14:paraId="7B7D9880" w14:textId="343C8667" w:rsidR="00E176B5" w:rsidRPr="00E176B5" w:rsidRDefault="00E176B5" w:rsidP="003D0759">
      <w:pPr>
        <w:spacing w:after="120"/>
        <w:ind w:left="720" w:hanging="720"/>
        <w:rPr>
          <w:lang w:val="en-GB"/>
        </w:rPr>
      </w:pPr>
      <w:r w:rsidRPr="00E176B5">
        <w:rPr>
          <w:lang w:val="en-GB"/>
        </w:rPr>
        <w:t xml:space="preserve">Weber, Dieter. 2012 [2008]. “New arguments for dating the documents from the ‘Pahlavi Archive’”, </w:t>
      </w:r>
      <w:r w:rsidRPr="00E176B5">
        <w:rPr>
          <w:i/>
          <w:iCs/>
          <w:lang w:val="en-GB"/>
        </w:rPr>
        <w:t>Bulletin of the</w:t>
      </w:r>
      <w:r w:rsidR="0063646D" w:rsidRPr="0063646D">
        <w:rPr>
          <w:i/>
          <w:iCs/>
          <w:lang w:val="en-GB"/>
        </w:rPr>
        <w:t xml:space="preserve"> </w:t>
      </w:r>
      <w:r w:rsidRPr="00E176B5">
        <w:rPr>
          <w:i/>
          <w:iCs/>
          <w:lang w:val="en-GB"/>
        </w:rPr>
        <w:t>Asia Institute</w:t>
      </w:r>
      <w:r w:rsidRPr="00E176B5">
        <w:rPr>
          <w:lang w:val="en-GB"/>
        </w:rPr>
        <w:t xml:space="preserve"> 22, 215–22.</w:t>
      </w:r>
    </w:p>
    <w:p w14:paraId="24A4C269" w14:textId="19C4887B" w:rsidR="00E176B5" w:rsidRPr="00042B1B" w:rsidRDefault="00E176B5" w:rsidP="00042B1B">
      <w:pPr>
        <w:spacing w:after="120"/>
        <w:ind w:left="720" w:hanging="720"/>
        <w:rPr>
          <w:lang w:val="en-GB"/>
        </w:rPr>
      </w:pPr>
      <w:r w:rsidRPr="00E176B5">
        <w:rPr>
          <w:lang w:val="en-GB"/>
        </w:rPr>
        <w:t xml:space="preserve">Weber, Dieter. 2013a. “Taxation in Pahlavi documents from early Islamic times”, in S.R. </w:t>
      </w:r>
      <w:proofErr w:type="spellStart"/>
      <w:r w:rsidRPr="00E176B5">
        <w:rPr>
          <w:lang w:val="en-GB"/>
        </w:rPr>
        <w:t>Tokhtas’yev</w:t>
      </w:r>
      <w:proofErr w:type="spellEnd"/>
      <w:r w:rsidRPr="00E176B5">
        <w:rPr>
          <w:lang w:val="en-GB"/>
        </w:rPr>
        <w:t xml:space="preserve"> and</w:t>
      </w:r>
      <w:r w:rsidR="0063646D">
        <w:rPr>
          <w:lang w:val="en-GB"/>
        </w:rPr>
        <w:t xml:space="preserve"> </w:t>
      </w:r>
      <w:r w:rsidRPr="00E176B5">
        <w:rPr>
          <w:lang w:val="en-GB"/>
        </w:rPr>
        <w:t xml:space="preserve">P.B. </w:t>
      </w:r>
      <w:proofErr w:type="spellStart"/>
      <w:r w:rsidRPr="00E176B5">
        <w:rPr>
          <w:lang w:val="en-GB"/>
        </w:rPr>
        <w:t>Lur’ye</w:t>
      </w:r>
      <w:proofErr w:type="spellEnd"/>
      <w:r w:rsidRPr="00E176B5">
        <w:rPr>
          <w:lang w:val="en-GB"/>
        </w:rPr>
        <w:t xml:space="preserve"> (eds), </w:t>
      </w:r>
      <w:proofErr w:type="spellStart"/>
      <w:r w:rsidRPr="00E176B5">
        <w:rPr>
          <w:lang w:val="en-GB"/>
        </w:rPr>
        <w:t>Commentationes</w:t>
      </w:r>
      <w:proofErr w:type="spellEnd"/>
      <w:r w:rsidRPr="00E176B5">
        <w:rPr>
          <w:lang w:val="en-GB"/>
        </w:rPr>
        <w:t xml:space="preserve"> </w:t>
      </w:r>
      <w:proofErr w:type="spellStart"/>
      <w:r w:rsidRPr="00E176B5">
        <w:rPr>
          <w:lang w:val="en-GB"/>
        </w:rPr>
        <w:t>Iranicae</w:t>
      </w:r>
      <w:proofErr w:type="spellEnd"/>
      <w:r w:rsidRPr="00E176B5">
        <w:rPr>
          <w:lang w:val="en-GB"/>
        </w:rPr>
        <w:t xml:space="preserve">: </w:t>
      </w:r>
      <w:proofErr w:type="spellStart"/>
      <w:r w:rsidRPr="00E176B5">
        <w:rPr>
          <w:lang w:val="en-GB"/>
        </w:rPr>
        <w:t>Сборник</w:t>
      </w:r>
      <w:proofErr w:type="spellEnd"/>
      <w:r w:rsidRPr="00E176B5">
        <w:rPr>
          <w:lang w:val="en-GB"/>
        </w:rPr>
        <w:t xml:space="preserve"> </w:t>
      </w:r>
      <w:proofErr w:type="spellStart"/>
      <w:r w:rsidRPr="00E176B5">
        <w:rPr>
          <w:lang w:val="en-GB"/>
        </w:rPr>
        <w:t>Статей</w:t>
      </w:r>
      <w:proofErr w:type="spellEnd"/>
      <w:r w:rsidRPr="00E176B5">
        <w:rPr>
          <w:lang w:val="en-GB"/>
        </w:rPr>
        <w:t xml:space="preserve"> к 90-Летию </w:t>
      </w:r>
      <w:proofErr w:type="spellStart"/>
      <w:r w:rsidRPr="00E176B5">
        <w:rPr>
          <w:lang w:val="en-GB"/>
        </w:rPr>
        <w:t>Владимира</w:t>
      </w:r>
      <w:proofErr w:type="spellEnd"/>
      <w:r w:rsidRPr="00E176B5">
        <w:rPr>
          <w:lang w:val="en-GB"/>
        </w:rPr>
        <w:t xml:space="preserve"> </w:t>
      </w:r>
      <w:proofErr w:type="spellStart"/>
      <w:r w:rsidRPr="00E176B5">
        <w:rPr>
          <w:lang w:val="en-GB"/>
        </w:rPr>
        <w:t>Ароновича</w:t>
      </w:r>
      <w:proofErr w:type="spellEnd"/>
      <w:r w:rsidRPr="00E176B5">
        <w:rPr>
          <w:lang w:val="en-GB"/>
        </w:rPr>
        <w:t xml:space="preserve"> </w:t>
      </w:r>
      <w:proofErr w:type="spellStart"/>
      <w:r w:rsidRPr="00E176B5">
        <w:rPr>
          <w:lang w:val="en-GB"/>
        </w:rPr>
        <w:t>Лившица</w:t>
      </w:r>
      <w:proofErr w:type="spellEnd"/>
      <w:r w:rsidR="00042B1B">
        <w:rPr>
          <w:lang w:val="en-GB"/>
        </w:rPr>
        <w:t xml:space="preserve"> </w:t>
      </w:r>
      <w:r w:rsidRPr="00E176B5">
        <w:rPr>
          <w:lang w:val="en-GB"/>
        </w:rPr>
        <w:t>[</w:t>
      </w:r>
      <w:proofErr w:type="spellStart"/>
      <w:r w:rsidRPr="00E176B5">
        <w:rPr>
          <w:lang w:val="en-GB"/>
        </w:rPr>
        <w:t>Commentationes</w:t>
      </w:r>
      <w:proofErr w:type="spellEnd"/>
      <w:r w:rsidRPr="00E176B5">
        <w:rPr>
          <w:lang w:val="en-GB"/>
        </w:rPr>
        <w:t xml:space="preserve"> </w:t>
      </w:r>
      <w:proofErr w:type="spellStart"/>
      <w:r w:rsidRPr="00E176B5">
        <w:rPr>
          <w:lang w:val="en-GB"/>
        </w:rPr>
        <w:t>Iranicae</w:t>
      </w:r>
      <w:proofErr w:type="spellEnd"/>
      <w:r w:rsidRPr="00E176B5">
        <w:rPr>
          <w:lang w:val="en-GB"/>
        </w:rPr>
        <w:t>: Collection of Articles for the Occasion of Vladimir Aronovich Livshits’s 90th Birthday], 171–81.</w:t>
      </w:r>
      <w:r w:rsidR="00EE283B">
        <w:rPr>
          <w:lang w:val="en-GB"/>
        </w:rPr>
        <w:t xml:space="preserve"> </w:t>
      </w:r>
      <w:r w:rsidRPr="00042B1B">
        <w:rPr>
          <w:lang w:val="de-DE"/>
        </w:rPr>
        <w:t>Saint Petersburg: Nestor-</w:t>
      </w:r>
      <w:proofErr w:type="spellStart"/>
      <w:r w:rsidRPr="00042B1B">
        <w:rPr>
          <w:lang w:val="de-DE"/>
        </w:rPr>
        <w:t>Istoriya</w:t>
      </w:r>
      <w:proofErr w:type="spellEnd"/>
      <w:r w:rsidRPr="00042B1B">
        <w:rPr>
          <w:lang w:val="de-DE"/>
        </w:rPr>
        <w:t>.</w:t>
      </w:r>
    </w:p>
    <w:p w14:paraId="73A81318" w14:textId="265E0EF9" w:rsidR="00E176B5" w:rsidRPr="00E176B5" w:rsidRDefault="00E176B5" w:rsidP="003D0759">
      <w:pPr>
        <w:spacing w:after="120"/>
        <w:ind w:left="720" w:hanging="720"/>
        <w:rPr>
          <w:lang w:val="en-GB"/>
        </w:rPr>
      </w:pPr>
      <w:r w:rsidRPr="00042B1B">
        <w:rPr>
          <w:lang w:val="de-DE"/>
        </w:rPr>
        <w:t xml:space="preserve">Weber, Dieter. 2013b. “Die persische Besetzung Ägyptens 619–629 n. </w:t>
      </w:r>
      <w:proofErr w:type="spellStart"/>
      <w:r w:rsidRPr="00042B1B">
        <w:rPr>
          <w:lang w:val="de-DE"/>
        </w:rPr>
        <w:t>Chr</w:t>
      </w:r>
      <w:proofErr w:type="spellEnd"/>
      <w:r w:rsidRPr="00042B1B">
        <w:rPr>
          <w:lang w:val="de-DE"/>
        </w:rPr>
        <w:t>”, in Frank Feder and Angelika Lohwasser</w:t>
      </w:r>
      <w:r w:rsidR="00EE283B" w:rsidRPr="00042B1B">
        <w:rPr>
          <w:lang w:val="de-DE"/>
        </w:rPr>
        <w:t xml:space="preserve"> </w:t>
      </w:r>
      <w:r w:rsidRPr="00042B1B">
        <w:rPr>
          <w:lang w:val="de-DE"/>
        </w:rPr>
        <w:t>(</w:t>
      </w:r>
      <w:proofErr w:type="spellStart"/>
      <w:r w:rsidRPr="00042B1B">
        <w:rPr>
          <w:lang w:val="de-DE"/>
        </w:rPr>
        <w:t>eds</w:t>
      </w:r>
      <w:proofErr w:type="spellEnd"/>
      <w:r w:rsidRPr="00042B1B">
        <w:rPr>
          <w:lang w:val="de-DE"/>
        </w:rPr>
        <w:t xml:space="preserve">), </w:t>
      </w:r>
      <w:r w:rsidRPr="00042B1B">
        <w:rPr>
          <w:i/>
          <w:iCs/>
          <w:lang w:val="de-DE"/>
        </w:rPr>
        <w:t>Ägypten und sein Umfeld in der Spätantike: vom Regierungsantritt Diokletians 284/285 bis zur arabischen</w:t>
      </w:r>
      <w:r w:rsidR="00EE283B" w:rsidRPr="00042B1B">
        <w:rPr>
          <w:i/>
          <w:iCs/>
          <w:lang w:val="de-DE"/>
        </w:rPr>
        <w:t xml:space="preserve"> </w:t>
      </w:r>
      <w:r w:rsidRPr="00042B1B">
        <w:rPr>
          <w:i/>
          <w:iCs/>
          <w:lang w:val="de-DE"/>
        </w:rPr>
        <w:t>Eroberung des Vorderen Orients um 635–646: Akten der Tagung vom 7.–9.7.2011 in Münster,</w:t>
      </w:r>
      <w:r w:rsidRPr="00042B1B">
        <w:rPr>
          <w:lang w:val="de-DE"/>
        </w:rPr>
        <w:t xml:space="preserve"> 221–46. </w:t>
      </w:r>
      <w:r w:rsidRPr="00E176B5">
        <w:rPr>
          <w:lang w:val="en-GB"/>
        </w:rPr>
        <w:t>Wiesbaden:</w:t>
      </w:r>
      <w:r w:rsidR="00EE283B">
        <w:rPr>
          <w:lang w:val="en-GB"/>
        </w:rPr>
        <w:t xml:space="preserve"> </w:t>
      </w:r>
      <w:proofErr w:type="spellStart"/>
      <w:r w:rsidRPr="00E176B5">
        <w:rPr>
          <w:lang w:val="en-GB"/>
        </w:rPr>
        <w:t>Harrassowitz</w:t>
      </w:r>
      <w:proofErr w:type="spellEnd"/>
      <w:r w:rsidRPr="00E176B5">
        <w:rPr>
          <w:lang w:val="en-GB"/>
        </w:rPr>
        <w:t>.</w:t>
      </w:r>
    </w:p>
    <w:p w14:paraId="783E387B" w14:textId="768CF909" w:rsidR="00E176B5" w:rsidRPr="00E176B5" w:rsidRDefault="00E176B5" w:rsidP="003D0759">
      <w:pPr>
        <w:spacing w:after="120"/>
        <w:ind w:left="720" w:hanging="720"/>
        <w:rPr>
          <w:lang w:val="en-GB"/>
        </w:rPr>
      </w:pPr>
      <w:r w:rsidRPr="00E176B5">
        <w:rPr>
          <w:lang w:val="en-GB"/>
        </w:rPr>
        <w:t>Weber, Dieter. 2014a [2010]. “Villages and estates in the documents from the Pahlavi Archive: the geographical</w:t>
      </w:r>
      <w:r w:rsidR="000D7167">
        <w:rPr>
          <w:lang w:val="en-GB"/>
        </w:rPr>
        <w:t xml:space="preserve"> </w:t>
      </w:r>
      <w:r w:rsidRPr="00E176B5">
        <w:rPr>
          <w:lang w:val="en-GB"/>
        </w:rPr>
        <w:t xml:space="preserve">background”, </w:t>
      </w:r>
      <w:r w:rsidRPr="00E176B5">
        <w:rPr>
          <w:i/>
          <w:iCs/>
          <w:lang w:val="en-GB"/>
        </w:rPr>
        <w:t>Bulletin of the Asia Institute</w:t>
      </w:r>
      <w:r w:rsidRPr="00E176B5">
        <w:rPr>
          <w:lang w:val="en-GB"/>
        </w:rPr>
        <w:t xml:space="preserve"> 24, 37–65.</w:t>
      </w:r>
    </w:p>
    <w:p w14:paraId="4CF3E7C5" w14:textId="5C3F6018" w:rsidR="00E176B5" w:rsidRPr="00E176B5" w:rsidRDefault="00E176B5" w:rsidP="003D0759">
      <w:pPr>
        <w:spacing w:after="120"/>
        <w:ind w:left="720" w:hanging="720"/>
        <w:rPr>
          <w:lang w:val="en-GB"/>
        </w:rPr>
      </w:pPr>
      <w:r w:rsidRPr="00E176B5">
        <w:rPr>
          <w:lang w:val="en-GB"/>
        </w:rPr>
        <w:t>Weber, Dieter. 2014b. “Arabic activities reflected in the documents of the ‘Pahlavi Archive’ (late 7th and early 8</w:t>
      </w:r>
      <w:r w:rsidRPr="00E176B5">
        <w:rPr>
          <w:vertAlign w:val="superscript"/>
          <w:lang w:val="en-GB"/>
        </w:rPr>
        <w:t>th</w:t>
      </w:r>
      <w:r w:rsidR="000D7167">
        <w:rPr>
          <w:lang w:val="en-GB"/>
        </w:rPr>
        <w:t xml:space="preserve"> </w:t>
      </w:r>
      <w:r w:rsidRPr="00E176B5">
        <w:rPr>
          <w:lang w:val="en-GB"/>
        </w:rPr>
        <w:t xml:space="preserve">centuries)”, in Rika </w:t>
      </w:r>
      <w:proofErr w:type="spellStart"/>
      <w:r w:rsidRPr="00E176B5">
        <w:rPr>
          <w:lang w:val="en-GB"/>
        </w:rPr>
        <w:t>Gyselen</w:t>
      </w:r>
      <w:proofErr w:type="spellEnd"/>
      <w:r w:rsidRPr="00E176B5">
        <w:rPr>
          <w:lang w:val="en-GB"/>
        </w:rPr>
        <w:t xml:space="preserve"> (ed.), </w:t>
      </w:r>
      <w:r w:rsidRPr="00E176B5">
        <w:rPr>
          <w:i/>
          <w:iCs/>
          <w:lang w:val="en-GB"/>
        </w:rPr>
        <w:t xml:space="preserve">Documents, </w:t>
      </w:r>
      <w:proofErr w:type="spellStart"/>
      <w:r w:rsidRPr="00E176B5">
        <w:rPr>
          <w:i/>
          <w:iCs/>
          <w:lang w:val="en-GB"/>
        </w:rPr>
        <w:t>argenterie</w:t>
      </w:r>
      <w:proofErr w:type="spellEnd"/>
      <w:r w:rsidRPr="00E176B5">
        <w:rPr>
          <w:i/>
          <w:iCs/>
          <w:lang w:val="en-GB"/>
        </w:rPr>
        <w:t xml:space="preserve"> et </w:t>
      </w:r>
      <w:proofErr w:type="spellStart"/>
      <w:r w:rsidRPr="00E176B5">
        <w:rPr>
          <w:i/>
          <w:iCs/>
          <w:lang w:val="en-GB"/>
        </w:rPr>
        <w:t>monnaies</w:t>
      </w:r>
      <w:proofErr w:type="spellEnd"/>
      <w:r w:rsidRPr="00E176B5">
        <w:rPr>
          <w:i/>
          <w:iCs/>
          <w:lang w:val="en-GB"/>
        </w:rPr>
        <w:t xml:space="preserve"> du tradition </w:t>
      </w:r>
      <w:proofErr w:type="spellStart"/>
      <w:r w:rsidRPr="00E176B5">
        <w:rPr>
          <w:i/>
          <w:iCs/>
          <w:lang w:val="en-GB"/>
        </w:rPr>
        <w:t>sassanide</w:t>
      </w:r>
      <w:proofErr w:type="spellEnd"/>
      <w:r w:rsidRPr="00E176B5">
        <w:rPr>
          <w:lang w:val="en-GB"/>
        </w:rPr>
        <w:t>, 179–89.</w:t>
      </w:r>
      <w:r w:rsidR="004952F7">
        <w:rPr>
          <w:lang w:val="en-GB"/>
        </w:rPr>
        <w:t xml:space="preserve"> </w:t>
      </w:r>
      <w:r w:rsidRPr="00E176B5">
        <w:rPr>
          <w:lang w:val="en-GB"/>
        </w:rPr>
        <w:t xml:space="preserve">Bures-sur-Yvette: Groupe pour </w:t>
      </w:r>
      <w:proofErr w:type="spellStart"/>
      <w:r w:rsidRPr="00E176B5">
        <w:rPr>
          <w:lang w:val="en-GB"/>
        </w:rPr>
        <w:t>l’étude</w:t>
      </w:r>
      <w:proofErr w:type="spellEnd"/>
      <w:r w:rsidRPr="00E176B5">
        <w:rPr>
          <w:lang w:val="en-GB"/>
        </w:rPr>
        <w:t xml:space="preserve"> de la civilisation du Moyen-Orient.</w:t>
      </w:r>
    </w:p>
    <w:p w14:paraId="17BD9F71" w14:textId="2185D06B" w:rsidR="00E176B5" w:rsidRPr="00E176B5" w:rsidRDefault="00E176B5" w:rsidP="003D0759">
      <w:pPr>
        <w:spacing w:after="120"/>
        <w:ind w:left="720" w:hanging="720"/>
        <w:rPr>
          <w:lang w:val="en-GB"/>
        </w:rPr>
      </w:pPr>
      <w:r w:rsidRPr="00E176B5">
        <w:rPr>
          <w:lang w:val="en-GB"/>
        </w:rPr>
        <w:lastRenderedPageBreak/>
        <w:t>Weber, Dieter. 2015a [2011]. “Testing food and garment for the ‘</w:t>
      </w:r>
      <w:proofErr w:type="spellStart"/>
      <w:r w:rsidRPr="00E176B5">
        <w:rPr>
          <w:rFonts w:hint="eastAsia"/>
          <w:lang w:val="en-GB"/>
        </w:rPr>
        <w:t>Ō</w:t>
      </w:r>
      <w:r w:rsidRPr="00E176B5">
        <w:rPr>
          <w:lang w:val="en-GB"/>
        </w:rPr>
        <w:t>st</w:t>
      </w:r>
      <w:r w:rsidRPr="00E176B5">
        <w:rPr>
          <w:rFonts w:hint="eastAsia"/>
          <w:lang w:val="en-GB"/>
        </w:rPr>
        <w:t>ā</w:t>
      </w:r>
      <w:r w:rsidRPr="00E176B5">
        <w:rPr>
          <w:lang w:val="en-GB"/>
        </w:rPr>
        <w:t>nd</w:t>
      </w:r>
      <w:r w:rsidRPr="00E176B5">
        <w:rPr>
          <w:rFonts w:hint="eastAsia"/>
          <w:lang w:val="en-GB"/>
        </w:rPr>
        <w:t>ā</w:t>
      </w:r>
      <w:r w:rsidRPr="00E176B5">
        <w:rPr>
          <w:lang w:val="en-GB"/>
        </w:rPr>
        <w:t>r</w:t>
      </w:r>
      <w:proofErr w:type="spellEnd"/>
      <w:r w:rsidRPr="00E176B5">
        <w:rPr>
          <w:lang w:val="en-GB"/>
        </w:rPr>
        <w:t xml:space="preserve">’: two unpublished documents from </w:t>
      </w:r>
      <w:proofErr w:type="spellStart"/>
      <w:proofErr w:type="gramStart"/>
      <w:r w:rsidRPr="00E176B5">
        <w:rPr>
          <w:lang w:val="en-GB"/>
        </w:rPr>
        <w:t>the‘</w:t>
      </w:r>
      <w:proofErr w:type="gramEnd"/>
      <w:r w:rsidRPr="00E176B5">
        <w:rPr>
          <w:lang w:val="en-GB"/>
        </w:rPr>
        <w:t>Pahlavi</w:t>
      </w:r>
      <w:proofErr w:type="spellEnd"/>
      <w:r w:rsidRPr="00E176B5">
        <w:rPr>
          <w:lang w:val="en-GB"/>
        </w:rPr>
        <w:t xml:space="preserve"> Archive’ in Berkeley, CA”, Bulletin of the Asia Institute 25, 31–7.</w:t>
      </w:r>
    </w:p>
    <w:p w14:paraId="31F0E0E0" w14:textId="2B7E5540" w:rsidR="00E176B5" w:rsidRPr="00E176B5" w:rsidRDefault="00E176B5" w:rsidP="003D0759">
      <w:pPr>
        <w:spacing w:after="120"/>
        <w:ind w:left="720" w:hanging="720"/>
        <w:rPr>
          <w:lang w:val="en-GB"/>
        </w:rPr>
      </w:pPr>
      <w:r w:rsidRPr="00042B1B">
        <w:rPr>
          <w:lang w:val="de-DE"/>
        </w:rPr>
        <w:t>Weber, Dieter. 2015b. “</w:t>
      </w:r>
      <w:proofErr w:type="spellStart"/>
      <w:r w:rsidRPr="00042B1B">
        <w:rPr>
          <w:lang w:val="de-DE"/>
        </w:rPr>
        <w:t>Spätsasanidische</w:t>
      </w:r>
      <w:proofErr w:type="spellEnd"/>
      <w:r w:rsidRPr="00042B1B">
        <w:rPr>
          <w:lang w:val="de-DE"/>
        </w:rPr>
        <w:t xml:space="preserve"> Preislisten im frühislamischen Iran”, in </w:t>
      </w:r>
      <w:proofErr w:type="spellStart"/>
      <w:r w:rsidRPr="00042B1B">
        <w:rPr>
          <w:lang w:val="de-DE"/>
        </w:rPr>
        <w:t>Shervin</w:t>
      </w:r>
      <w:proofErr w:type="spellEnd"/>
      <w:r w:rsidRPr="00042B1B">
        <w:rPr>
          <w:lang w:val="de-DE"/>
        </w:rPr>
        <w:t xml:space="preserve"> </w:t>
      </w:r>
      <w:proofErr w:type="spellStart"/>
      <w:r w:rsidRPr="00042B1B">
        <w:rPr>
          <w:lang w:val="de-DE"/>
        </w:rPr>
        <w:t>Farridnejad</w:t>
      </w:r>
      <w:proofErr w:type="spellEnd"/>
      <w:r w:rsidRPr="00042B1B">
        <w:rPr>
          <w:lang w:val="de-DE"/>
        </w:rPr>
        <w:t>,</w:t>
      </w:r>
      <w:r w:rsidR="004952F7" w:rsidRPr="00042B1B">
        <w:rPr>
          <w:lang w:val="de-DE"/>
        </w:rPr>
        <w:t xml:space="preserve"> </w:t>
      </w:r>
      <w:r w:rsidRPr="00042B1B">
        <w:rPr>
          <w:lang w:val="de-DE"/>
        </w:rPr>
        <w:t>Anke Joisten-</w:t>
      </w:r>
      <w:proofErr w:type="spellStart"/>
      <w:r w:rsidRPr="00042B1B">
        <w:rPr>
          <w:lang w:val="de-DE"/>
        </w:rPr>
        <w:t>Pruschke</w:t>
      </w:r>
      <w:proofErr w:type="spellEnd"/>
      <w:r w:rsidRPr="00042B1B">
        <w:rPr>
          <w:lang w:val="de-DE"/>
        </w:rPr>
        <w:t xml:space="preserve"> and </w:t>
      </w:r>
      <w:proofErr w:type="spellStart"/>
      <w:r w:rsidRPr="00042B1B">
        <w:rPr>
          <w:lang w:val="de-DE"/>
        </w:rPr>
        <w:t>Rika</w:t>
      </w:r>
      <w:proofErr w:type="spellEnd"/>
      <w:r w:rsidRPr="00042B1B">
        <w:rPr>
          <w:lang w:val="de-DE"/>
        </w:rPr>
        <w:t xml:space="preserve"> </w:t>
      </w:r>
      <w:proofErr w:type="spellStart"/>
      <w:r w:rsidRPr="00042B1B">
        <w:rPr>
          <w:lang w:val="de-DE"/>
        </w:rPr>
        <w:t>Gyselen</w:t>
      </w:r>
      <w:proofErr w:type="spellEnd"/>
      <w:r w:rsidRPr="00042B1B">
        <w:rPr>
          <w:lang w:val="de-DE"/>
        </w:rPr>
        <w:t xml:space="preserve"> (</w:t>
      </w:r>
      <w:proofErr w:type="spellStart"/>
      <w:r w:rsidRPr="00042B1B">
        <w:rPr>
          <w:lang w:val="de-DE"/>
        </w:rPr>
        <w:t>eds</w:t>
      </w:r>
      <w:proofErr w:type="spellEnd"/>
      <w:r w:rsidRPr="00042B1B">
        <w:rPr>
          <w:lang w:val="de-DE"/>
        </w:rPr>
        <w:t>), Faszination Iran: Beiträge zur Religion, Geschichte und Kunst des</w:t>
      </w:r>
      <w:r w:rsidR="004952F7" w:rsidRPr="00042B1B">
        <w:rPr>
          <w:lang w:val="de-DE"/>
        </w:rPr>
        <w:t xml:space="preserve"> </w:t>
      </w:r>
      <w:r w:rsidRPr="00042B1B">
        <w:rPr>
          <w:lang w:val="de-DE"/>
        </w:rPr>
        <w:t xml:space="preserve">Alten Iran: Gedenkschrift für Klaus Schippmann, 233–43. </w:t>
      </w:r>
      <w:r w:rsidRPr="00E176B5">
        <w:rPr>
          <w:lang w:val="en-GB"/>
        </w:rPr>
        <w:t xml:space="preserve">Wiesbaden: </w:t>
      </w:r>
      <w:proofErr w:type="spellStart"/>
      <w:r w:rsidRPr="00E176B5">
        <w:rPr>
          <w:lang w:val="en-GB"/>
        </w:rPr>
        <w:t>Harrassowitz</w:t>
      </w:r>
      <w:proofErr w:type="spellEnd"/>
      <w:r w:rsidRPr="00E176B5">
        <w:rPr>
          <w:lang w:val="en-GB"/>
        </w:rPr>
        <w:t>.</w:t>
      </w:r>
    </w:p>
    <w:p w14:paraId="0A063226" w14:textId="0A9FDC9D" w:rsidR="00E176B5" w:rsidRPr="00E176B5" w:rsidRDefault="00E176B5" w:rsidP="003D0759">
      <w:pPr>
        <w:spacing w:after="120"/>
        <w:ind w:left="720" w:hanging="720"/>
        <w:rPr>
          <w:lang w:val="en-GB"/>
        </w:rPr>
      </w:pPr>
      <w:r w:rsidRPr="00E176B5">
        <w:rPr>
          <w:lang w:val="en-GB"/>
        </w:rPr>
        <w:t xml:space="preserve">Weber, Dieter. 2016 [2012]. “Studies in some documents from the ‘Pahlavi Archive’”, </w:t>
      </w:r>
      <w:r w:rsidRPr="00E176B5">
        <w:rPr>
          <w:i/>
          <w:iCs/>
          <w:lang w:val="en-GB"/>
        </w:rPr>
        <w:t>Bulletin of the Asia Institute</w:t>
      </w:r>
      <w:r w:rsidRPr="00E176B5">
        <w:rPr>
          <w:lang w:val="en-GB"/>
        </w:rPr>
        <w:t xml:space="preserve"> 26,</w:t>
      </w:r>
      <w:r w:rsidR="004952F7">
        <w:rPr>
          <w:lang w:val="en-GB"/>
        </w:rPr>
        <w:t xml:space="preserve"> </w:t>
      </w:r>
      <w:r w:rsidRPr="00E176B5">
        <w:rPr>
          <w:lang w:val="en-GB"/>
        </w:rPr>
        <w:t>61–95.</w:t>
      </w:r>
    </w:p>
    <w:p w14:paraId="6AE7C1B3" w14:textId="64EF3F19" w:rsidR="00E176B5" w:rsidRPr="00E176B5" w:rsidRDefault="00E176B5" w:rsidP="003D0759">
      <w:pPr>
        <w:spacing w:after="120"/>
        <w:ind w:left="720" w:hanging="720"/>
        <w:rPr>
          <w:lang w:val="en-GB"/>
        </w:rPr>
      </w:pPr>
      <w:r w:rsidRPr="00E176B5">
        <w:rPr>
          <w:lang w:val="en-GB"/>
        </w:rPr>
        <w:t xml:space="preserve">Weber, Dieter. 2017 [2013]. “Accountancy of a Zoroastrian craftsman in early Islamic times (662–664 C.E.)”, </w:t>
      </w:r>
      <w:r w:rsidRPr="00E176B5">
        <w:rPr>
          <w:i/>
          <w:iCs/>
          <w:lang w:val="en-GB"/>
        </w:rPr>
        <w:t>Bulletin</w:t>
      </w:r>
      <w:r w:rsidR="009B303B" w:rsidRPr="009B303B">
        <w:rPr>
          <w:i/>
          <w:iCs/>
          <w:lang w:val="en-GB"/>
        </w:rPr>
        <w:t xml:space="preserve"> </w:t>
      </w:r>
      <w:r w:rsidRPr="00E176B5">
        <w:rPr>
          <w:i/>
          <w:iCs/>
          <w:lang w:val="en-GB"/>
        </w:rPr>
        <w:t>of the Asia Institute</w:t>
      </w:r>
      <w:r w:rsidRPr="00E176B5">
        <w:rPr>
          <w:lang w:val="en-GB"/>
        </w:rPr>
        <w:t xml:space="preserve"> 28, 129–41.</w:t>
      </w:r>
    </w:p>
    <w:p w14:paraId="3F00D382" w14:textId="787B117C" w:rsidR="00E176B5" w:rsidRPr="00E176B5" w:rsidRDefault="00E176B5" w:rsidP="003D0759">
      <w:pPr>
        <w:spacing w:after="120"/>
        <w:ind w:left="720" w:hanging="720"/>
        <w:rPr>
          <w:lang w:val="en-GB"/>
        </w:rPr>
      </w:pPr>
      <w:r w:rsidRPr="00E176B5">
        <w:rPr>
          <w:lang w:val="en-GB"/>
        </w:rPr>
        <w:t xml:space="preserve">Weber, Dieter. 2018 [2014]. “Pahlavi documents of </w:t>
      </w:r>
      <w:proofErr w:type="spellStart"/>
      <w:r w:rsidRPr="00E176B5">
        <w:rPr>
          <w:lang w:val="en-GB"/>
        </w:rPr>
        <w:t>Wind</w:t>
      </w:r>
      <w:r w:rsidRPr="00E176B5">
        <w:rPr>
          <w:rFonts w:hint="eastAsia"/>
          <w:lang w:val="en-GB"/>
        </w:rPr>
        <w:t>ā</w:t>
      </w:r>
      <w:r w:rsidRPr="00E176B5">
        <w:rPr>
          <w:lang w:val="en-GB"/>
        </w:rPr>
        <w:t>dburzmihr</w:t>
      </w:r>
      <w:r w:rsidRPr="00E176B5">
        <w:rPr>
          <w:rFonts w:hint="eastAsia"/>
          <w:lang w:val="en-GB"/>
        </w:rPr>
        <w:t>ā</w:t>
      </w:r>
      <w:r w:rsidRPr="00E176B5">
        <w:rPr>
          <w:lang w:val="en-GB"/>
        </w:rPr>
        <w:t>b</w:t>
      </w:r>
      <w:r w:rsidRPr="00E176B5">
        <w:rPr>
          <w:rFonts w:hint="eastAsia"/>
          <w:lang w:val="en-GB"/>
        </w:rPr>
        <w:t>ā</w:t>
      </w:r>
      <w:r w:rsidRPr="00E176B5">
        <w:rPr>
          <w:lang w:val="en-GB"/>
        </w:rPr>
        <w:t>d</w:t>
      </w:r>
      <w:proofErr w:type="spellEnd"/>
      <w:r w:rsidRPr="00E176B5">
        <w:rPr>
          <w:lang w:val="en-GB"/>
        </w:rPr>
        <w:t>, the estate of a Zoroastrian entrepreneur</w:t>
      </w:r>
      <w:r w:rsidR="009B303B">
        <w:rPr>
          <w:lang w:val="en-GB"/>
        </w:rPr>
        <w:t xml:space="preserve"> </w:t>
      </w:r>
      <w:r w:rsidRPr="00E176B5">
        <w:rPr>
          <w:lang w:val="en-GB"/>
        </w:rPr>
        <w:t xml:space="preserve">in early Islamic times (with an excursus on the origin of the </w:t>
      </w:r>
      <w:proofErr w:type="spellStart"/>
      <w:r w:rsidRPr="00E176B5">
        <w:rPr>
          <w:lang w:val="en-GB"/>
        </w:rPr>
        <w:t>Fulanabad</w:t>
      </w:r>
      <w:proofErr w:type="spellEnd"/>
      <w:r w:rsidRPr="00E176B5">
        <w:rPr>
          <w:lang w:val="en-GB"/>
        </w:rPr>
        <w:t xml:space="preserve">-type of village names)”, </w:t>
      </w:r>
      <w:r w:rsidRPr="00E176B5">
        <w:rPr>
          <w:i/>
          <w:iCs/>
          <w:lang w:val="en-GB"/>
        </w:rPr>
        <w:t>Bulletin of the</w:t>
      </w:r>
      <w:r w:rsidR="00435D06" w:rsidRPr="00435D06">
        <w:rPr>
          <w:i/>
          <w:iCs/>
          <w:lang w:val="en-GB"/>
        </w:rPr>
        <w:t xml:space="preserve"> </w:t>
      </w:r>
      <w:r w:rsidRPr="00E176B5">
        <w:rPr>
          <w:i/>
          <w:iCs/>
          <w:lang w:val="en-GB"/>
        </w:rPr>
        <w:t>Asia Institute</w:t>
      </w:r>
      <w:r w:rsidRPr="00E176B5">
        <w:rPr>
          <w:lang w:val="en-GB"/>
        </w:rPr>
        <w:t xml:space="preserve"> 28, 127–47.</w:t>
      </w:r>
    </w:p>
    <w:p w14:paraId="409A03B7" w14:textId="12209DD3" w:rsidR="00E176B5" w:rsidRPr="00E176B5" w:rsidRDefault="00E176B5" w:rsidP="003D0759">
      <w:pPr>
        <w:spacing w:after="120"/>
        <w:ind w:left="720" w:hanging="720"/>
        <w:rPr>
          <w:lang w:val="en-GB"/>
        </w:rPr>
      </w:pPr>
      <w:r w:rsidRPr="00E176B5">
        <w:rPr>
          <w:lang w:val="en-GB"/>
        </w:rPr>
        <w:t xml:space="preserve">Weber, Dieter. 2019a [2015]. “Studies in some documents from the ‘Pahlavi Archive’ (2)”, </w:t>
      </w:r>
      <w:r w:rsidRPr="00E176B5">
        <w:rPr>
          <w:i/>
          <w:iCs/>
          <w:lang w:val="en-GB"/>
        </w:rPr>
        <w:t>Bulletin of the Asia</w:t>
      </w:r>
      <w:r w:rsidR="00435D06" w:rsidRPr="00435D06">
        <w:rPr>
          <w:i/>
          <w:iCs/>
          <w:lang w:val="en-GB"/>
        </w:rPr>
        <w:t xml:space="preserve"> </w:t>
      </w:r>
      <w:r w:rsidRPr="00E176B5">
        <w:rPr>
          <w:i/>
          <w:iCs/>
          <w:lang w:val="en-GB"/>
        </w:rPr>
        <w:t xml:space="preserve">Institute </w:t>
      </w:r>
      <w:r w:rsidRPr="00E176B5">
        <w:rPr>
          <w:lang w:val="en-GB"/>
        </w:rPr>
        <w:t>29, 79–116.</w:t>
      </w:r>
    </w:p>
    <w:p w14:paraId="35A2ADC7" w14:textId="079EC7AE" w:rsidR="00E176B5" w:rsidRDefault="00E176B5" w:rsidP="003D0759">
      <w:pPr>
        <w:spacing w:after="120"/>
        <w:ind w:left="720" w:hanging="720"/>
        <w:rPr>
          <w:lang w:val="en-GB"/>
        </w:rPr>
      </w:pPr>
      <w:r w:rsidRPr="00E176B5">
        <w:rPr>
          <w:lang w:val="en-GB"/>
        </w:rPr>
        <w:t xml:space="preserve">Weber, Dieter. 2019b. “The story of </w:t>
      </w:r>
      <w:proofErr w:type="spellStart"/>
      <w:r w:rsidRPr="00E176B5">
        <w:rPr>
          <w:lang w:val="en-GB"/>
        </w:rPr>
        <w:t>Wind</w:t>
      </w:r>
      <w:r w:rsidRPr="00E176B5">
        <w:rPr>
          <w:rFonts w:hint="eastAsia"/>
          <w:lang w:val="en-GB"/>
        </w:rPr>
        <w:t>ā</w:t>
      </w:r>
      <w:r w:rsidRPr="00E176B5">
        <w:rPr>
          <w:lang w:val="en-GB"/>
        </w:rPr>
        <w:t>d</w:t>
      </w:r>
      <w:proofErr w:type="spellEnd"/>
      <w:r w:rsidRPr="00E176B5">
        <w:rPr>
          <w:lang w:val="en-GB"/>
        </w:rPr>
        <w:t xml:space="preserve"> </w:t>
      </w:r>
      <w:proofErr w:type="spellStart"/>
      <w:r w:rsidRPr="00E176B5">
        <w:rPr>
          <w:lang w:val="en-GB"/>
        </w:rPr>
        <w:t>Burzmihr</w:t>
      </w:r>
      <w:proofErr w:type="spellEnd"/>
      <w:r w:rsidRPr="00E176B5">
        <w:rPr>
          <w:lang w:val="en-GB"/>
        </w:rPr>
        <w:t>: a Zoroastrian entrepreneur in early Islamic times”, in</w:t>
      </w:r>
      <w:r w:rsidR="00435D06">
        <w:rPr>
          <w:lang w:val="en-GB"/>
        </w:rPr>
        <w:t xml:space="preserve"> </w:t>
      </w:r>
      <w:proofErr w:type="spellStart"/>
      <w:r w:rsidRPr="00E176B5">
        <w:rPr>
          <w:lang w:val="en-GB"/>
        </w:rPr>
        <w:t>Almut</w:t>
      </w:r>
      <w:proofErr w:type="spellEnd"/>
      <w:r w:rsidRPr="00E176B5">
        <w:rPr>
          <w:lang w:val="en-GB"/>
        </w:rPr>
        <w:t xml:space="preserve"> Hintze, Desmond Durkin-</w:t>
      </w:r>
      <w:proofErr w:type="spellStart"/>
      <w:r w:rsidRPr="00E176B5">
        <w:rPr>
          <w:lang w:val="en-GB"/>
        </w:rPr>
        <w:t>Meisterernst</w:t>
      </w:r>
      <w:proofErr w:type="spellEnd"/>
      <w:r w:rsidRPr="00E176B5">
        <w:rPr>
          <w:lang w:val="en-GB"/>
        </w:rPr>
        <w:t xml:space="preserve"> and Claudius Naumann (eds), </w:t>
      </w:r>
      <w:r w:rsidRPr="00E176B5">
        <w:rPr>
          <w:i/>
          <w:iCs/>
          <w:lang w:val="en-GB"/>
        </w:rPr>
        <w:t>A Thousand Judgements: Festschrift</w:t>
      </w:r>
      <w:r w:rsidR="00435D06" w:rsidRPr="00435D06">
        <w:rPr>
          <w:i/>
          <w:iCs/>
          <w:lang w:val="en-GB"/>
        </w:rPr>
        <w:t xml:space="preserve"> </w:t>
      </w:r>
      <w:r w:rsidRPr="00E176B5">
        <w:rPr>
          <w:i/>
          <w:iCs/>
          <w:lang w:val="en-GB"/>
        </w:rPr>
        <w:t>for Maria Macuch</w:t>
      </w:r>
      <w:r w:rsidRPr="00E176B5">
        <w:rPr>
          <w:lang w:val="en-GB"/>
        </w:rPr>
        <w:t xml:space="preserve">, 373–84. Wiesbaden: </w:t>
      </w:r>
      <w:proofErr w:type="spellStart"/>
      <w:r w:rsidRPr="00E176B5">
        <w:rPr>
          <w:lang w:val="en-GB"/>
        </w:rPr>
        <w:t>Harrassowitz</w:t>
      </w:r>
      <w:proofErr w:type="spellEnd"/>
      <w:r w:rsidRPr="00E176B5">
        <w:rPr>
          <w:lang w:val="en-GB"/>
        </w:rPr>
        <w:t>.</w:t>
      </w:r>
    </w:p>
    <w:p w14:paraId="6E2843D2" w14:textId="164300F2" w:rsidR="00AC4912" w:rsidRPr="00E176B5" w:rsidRDefault="00AC4912" w:rsidP="003D0759">
      <w:pPr>
        <w:spacing w:after="120"/>
        <w:ind w:left="720" w:hanging="720"/>
        <w:rPr>
          <w:lang w:val="en-GB"/>
        </w:rPr>
      </w:pPr>
      <w:r w:rsidRPr="00AC4912">
        <w:rPr>
          <w:lang w:val="en-GB"/>
        </w:rPr>
        <w:t xml:space="preserve">Weber, Dieter. 2019c. "Two unknown documents from the 'Pahlavi Archive'", </w:t>
      </w:r>
      <w:proofErr w:type="spellStart"/>
      <w:r w:rsidRPr="00AC4912">
        <w:rPr>
          <w:i/>
          <w:iCs/>
          <w:lang w:val="en-GB"/>
        </w:rPr>
        <w:t>Sasanika</w:t>
      </w:r>
      <w:proofErr w:type="spellEnd"/>
      <w:r w:rsidRPr="00AC4912">
        <w:rPr>
          <w:i/>
          <w:iCs/>
          <w:lang w:val="en-GB"/>
        </w:rPr>
        <w:t xml:space="preserve"> Papyrological Studies</w:t>
      </w:r>
      <w:r w:rsidRPr="00AC4912">
        <w:rPr>
          <w:lang w:val="en-GB"/>
        </w:rPr>
        <w:t xml:space="preserve"> 3, 1–6.</w:t>
      </w:r>
    </w:p>
    <w:p w14:paraId="18E65704" w14:textId="761758A4" w:rsidR="00E176B5" w:rsidRPr="00E176B5" w:rsidRDefault="00E176B5" w:rsidP="003D0759">
      <w:pPr>
        <w:spacing w:after="120"/>
        <w:ind w:left="720" w:hanging="720"/>
        <w:rPr>
          <w:lang w:val="en-GB"/>
        </w:rPr>
      </w:pPr>
      <w:r w:rsidRPr="00E176B5">
        <w:rPr>
          <w:lang w:val="en-GB"/>
        </w:rPr>
        <w:t>Weber, Dieter. 2021a [2020]. “Living together in changing Iran. Pahlavi documents on Arabs and Christians in</w:t>
      </w:r>
      <w:r w:rsidR="00435D06">
        <w:rPr>
          <w:lang w:val="en-GB"/>
        </w:rPr>
        <w:t xml:space="preserve"> </w:t>
      </w:r>
      <w:r w:rsidRPr="00E176B5">
        <w:rPr>
          <w:lang w:val="en-GB"/>
        </w:rPr>
        <w:t xml:space="preserve">early Islamic times”, Annales </w:t>
      </w:r>
      <w:proofErr w:type="spellStart"/>
      <w:r w:rsidRPr="00E176B5">
        <w:rPr>
          <w:lang w:val="en-GB"/>
        </w:rPr>
        <w:t>islamologiques</w:t>
      </w:r>
      <w:proofErr w:type="spellEnd"/>
      <w:r w:rsidRPr="00E176B5">
        <w:rPr>
          <w:lang w:val="en-GB"/>
        </w:rPr>
        <w:t xml:space="preserve"> 54, 139–64.</w:t>
      </w:r>
    </w:p>
    <w:p w14:paraId="702B1B8C" w14:textId="5D536DBB" w:rsidR="00E176B5" w:rsidRPr="00E176B5" w:rsidRDefault="00E176B5" w:rsidP="003D0759">
      <w:pPr>
        <w:spacing w:after="120"/>
        <w:ind w:left="720" w:hanging="720"/>
        <w:rPr>
          <w:lang w:val="en-GB"/>
        </w:rPr>
      </w:pPr>
      <w:r w:rsidRPr="00E176B5">
        <w:rPr>
          <w:lang w:val="en-GB"/>
        </w:rPr>
        <w:t xml:space="preserve">Weber, Dieter. 2021b. [2020–21]. “Studies in some documents from the ‘Pahlavi Archive’ (3)”, </w:t>
      </w:r>
      <w:r w:rsidRPr="00E176B5">
        <w:rPr>
          <w:i/>
          <w:iCs/>
          <w:lang w:val="en-GB"/>
        </w:rPr>
        <w:t>Bulletin of the Asia</w:t>
      </w:r>
      <w:r w:rsidR="00383CE8" w:rsidRPr="00383CE8">
        <w:rPr>
          <w:i/>
          <w:iCs/>
          <w:lang w:val="en-GB"/>
        </w:rPr>
        <w:t xml:space="preserve"> </w:t>
      </w:r>
      <w:r w:rsidRPr="00E176B5">
        <w:rPr>
          <w:i/>
          <w:iCs/>
          <w:lang w:val="en-GB"/>
        </w:rPr>
        <w:t>Institute</w:t>
      </w:r>
      <w:r w:rsidRPr="00E176B5">
        <w:rPr>
          <w:lang w:val="en-GB"/>
        </w:rPr>
        <w:t xml:space="preserve"> 30, 29–65.</w:t>
      </w:r>
    </w:p>
    <w:p w14:paraId="0A3747BC" w14:textId="6ED101B4" w:rsidR="00E176B5" w:rsidRPr="00E176B5" w:rsidRDefault="00E176B5" w:rsidP="003D0759">
      <w:pPr>
        <w:spacing w:after="120"/>
        <w:ind w:left="720" w:hanging="720"/>
        <w:rPr>
          <w:lang w:val="en-GB"/>
        </w:rPr>
      </w:pPr>
      <w:r w:rsidRPr="00E176B5">
        <w:rPr>
          <w:lang w:val="en-GB"/>
        </w:rPr>
        <w:t xml:space="preserve">Weber, Dieter. 2022a. “Sasanian festivals in the documents from the ‘Pahlavi Archive’”, </w:t>
      </w:r>
      <w:r w:rsidRPr="00E176B5">
        <w:rPr>
          <w:i/>
          <w:iCs/>
          <w:lang w:val="en-GB"/>
        </w:rPr>
        <w:t>Sasanian Studies: Late</w:t>
      </w:r>
      <w:r w:rsidR="00161FA1" w:rsidRPr="00161FA1">
        <w:rPr>
          <w:i/>
          <w:iCs/>
          <w:lang w:val="en-GB"/>
        </w:rPr>
        <w:t xml:space="preserve"> </w:t>
      </w:r>
      <w:r w:rsidRPr="00E176B5">
        <w:rPr>
          <w:i/>
          <w:iCs/>
          <w:lang w:val="en-GB"/>
        </w:rPr>
        <w:t>Antique Iranian World/</w:t>
      </w:r>
      <w:proofErr w:type="spellStart"/>
      <w:r w:rsidRPr="00E176B5">
        <w:rPr>
          <w:i/>
          <w:iCs/>
          <w:lang w:val="en-GB"/>
        </w:rPr>
        <w:t>Sasanidische</w:t>
      </w:r>
      <w:proofErr w:type="spellEnd"/>
      <w:r w:rsidRPr="00E176B5">
        <w:rPr>
          <w:i/>
          <w:iCs/>
          <w:lang w:val="en-GB"/>
        </w:rPr>
        <w:t xml:space="preserve"> </w:t>
      </w:r>
      <w:proofErr w:type="spellStart"/>
      <w:r w:rsidRPr="00E176B5">
        <w:rPr>
          <w:i/>
          <w:iCs/>
          <w:lang w:val="en-GB"/>
        </w:rPr>
        <w:t>Studien</w:t>
      </w:r>
      <w:proofErr w:type="spellEnd"/>
      <w:r w:rsidRPr="00E176B5">
        <w:rPr>
          <w:i/>
          <w:iCs/>
          <w:lang w:val="en-GB"/>
        </w:rPr>
        <w:t xml:space="preserve">: </w:t>
      </w:r>
      <w:proofErr w:type="spellStart"/>
      <w:r w:rsidRPr="00E176B5">
        <w:rPr>
          <w:i/>
          <w:iCs/>
          <w:lang w:val="en-GB"/>
        </w:rPr>
        <w:t>Spätantike</w:t>
      </w:r>
      <w:proofErr w:type="spellEnd"/>
      <w:r w:rsidRPr="00E176B5">
        <w:rPr>
          <w:i/>
          <w:iCs/>
          <w:lang w:val="en-GB"/>
        </w:rPr>
        <w:t xml:space="preserve"> </w:t>
      </w:r>
      <w:proofErr w:type="spellStart"/>
      <w:r w:rsidRPr="00E176B5">
        <w:rPr>
          <w:i/>
          <w:iCs/>
          <w:lang w:val="en-GB"/>
        </w:rPr>
        <w:t>iranische</w:t>
      </w:r>
      <w:proofErr w:type="spellEnd"/>
      <w:r w:rsidRPr="00E176B5">
        <w:rPr>
          <w:i/>
          <w:iCs/>
          <w:lang w:val="en-GB"/>
        </w:rPr>
        <w:t xml:space="preserve"> Welt </w:t>
      </w:r>
      <w:r w:rsidRPr="00E176B5">
        <w:rPr>
          <w:lang w:val="en-GB"/>
        </w:rPr>
        <w:t>1, 323–46.</w:t>
      </w:r>
    </w:p>
    <w:p w14:paraId="51C159DB" w14:textId="6CC491F1" w:rsidR="00E176B5" w:rsidRDefault="00E176B5" w:rsidP="003D0759">
      <w:pPr>
        <w:spacing w:after="120"/>
        <w:ind w:left="720" w:hanging="720"/>
        <w:rPr>
          <w:lang w:val="en-GB"/>
        </w:rPr>
      </w:pPr>
      <w:r w:rsidRPr="00E176B5">
        <w:rPr>
          <w:lang w:val="en-GB"/>
        </w:rPr>
        <w:t>Weber, Dieter. 2022b. “On the formal structure of checks in Pahlavi documents”, in Alberto Cantera,</w:t>
      </w:r>
      <w:r w:rsidR="000877ED">
        <w:rPr>
          <w:lang w:val="en-GB"/>
        </w:rPr>
        <w:t xml:space="preserve"> </w:t>
      </w:r>
      <w:r w:rsidRPr="00E176B5">
        <w:rPr>
          <w:lang w:val="en-GB"/>
        </w:rPr>
        <w:t xml:space="preserve">Maria Macuch and Nicholas Sims-Williams (eds), </w:t>
      </w:r>
      <w:r w:rsidRPr="00E176B5">
        <w:rPr>
          <w:i/>
          <w:iCs/>
          <w:lang w:val="en-GB"/>
        </w:rPr>
        <w:t>The Reward of the Righteous: Festschrift in Honour of Almut</w:t>
      </w:r>
      <w:r w:rsidR="000877ED" w:rsidRPr="000877ED">
        <w:rPr>
          <w:i/>
          <w:iCs/>
          <w:lang w:val="en-GB"/>
        </w:rPr>
        <w:t xml:space="preserve"> </w:t>
      </w:r>
      <w:r w:rsidRPr="000877ED">
        <w:rPr>
          <w:i/>
          <w:iCs/>
          <w:lang w:val="en-GB"/>
        </w:rPr>
        <w:t>Hintze</w:t>
      </w:r>
      <w:r w:rsidRPr="00E176B5">
        <w:rPr>
          <w:lang w:val="en-GB"/>
        </w:rPr>
        <w:t xml:space="preserve">, 515–48. Wiesbaden: </w:t>
      </w:r>
      <w:proofErr w:type="spellStart"/>
      <w:r w:rsidRPr="00E176B5">
        <w:rPr>
          <w:lang w:val="en-GB"/>
        </w:rPr>
        <w:t>Harrassowitz</w:t>
      </w:r>
      <w:proofErr w:type="spellEnd"/>
      <w:r w:rsidRPr="00E176B5">
        <w:rPr>
          <w:lang w:val="en-GB"/>
        </w:rPr>
        <w:t>.</w:t>
      </w:r>
    </w:p>
    <w:p w14:paraId="644E54CD" w14:textId="77777777" w:rsidR="00B67C9A" w:rsidRPr="00B67C9A" w:rsidRDefault="00B67C9A" w:rsidP="003D0759">
      <w:pPr>
        <w:spacing w:after="120"/>
        <w:ind w:left="720" w:hanging="720"/>
        <w:rPr>
          <w:lang w:val="en-GB"/>
        </w:rPr>
      </w:pPr>
      <w:r w:rsidRPr="00B67C9A">
        <w:rPr>
          <w:lang w:val="en-GB"/>
        </w:rPr>
        <w:t>Weber, Dieter. 2022–23. “Studies in some documents from the ‘Pahlavi Archive’ (4): the meaning and use of &lt;</w:t>
      </w:r>
      <w:proofErr w:type="spellStart"/>
      <w:r w:rsidRPr="00B67C9A">
        <w:rPr>
          <w:lang w:val="en-GB"/>
        </w:rPr>
        <w:t>spʾlk</w:t>
      </w:r>
      <w:proofErr w:type="spellEnd"/>
      <w:r w:rsidRPr="00B67C9A">
        <w:rPr>
          <w:lang w:val="en-GB"/>
        </w:rPr>
        <w:t xml:space="preserve">'&gt; </w:t>
      </w:r>
      <w:proofErr w:type="spellStart"/>
      <w:r w:rsidRPr="00B67C9A">
        <w:rPr>
          <w:i/>
          <w:iCs/>
          <w:lang w:val="en-GB"/>
        </w:rPr>
        <w:t>spārag</w:t>
      </w:r>
      <w:proofErr w:type="spellEnd"/>
      <w:r w:rsidRPr="00B67C9A">
        <w:rPr>
          <w:i/>
          <w:iCs/>
          <w:lang w:val="en-GB"/>
        </w:rPr>
        <w:t xml:space="preserve"> </w:t>
      </w:r>
      <w:r w:rsidRPr="00B67C9A">
        <w:rPr>
          <w:lang w:val="en-GB"/>
        </w:rPr>
        <w:t xml:space="preserve">‘charging, committing’”, </w:t>
      </w:r>
      <w:r w:rsidRPr="00B67C9A">
        <w:rPr>
          <w:i/>
          <w:iCs/>
          <w:lang w:val="en-GB"/>
        </w:rPr>
        <w:t xml:space="preserve">Bulletin of the Asia Institute </w:t>
      </w:r>
      <w:r w:rsidRPr="00B67C9A">
        <w:rPr>
          <w:lang w:val="en-GB"/>
        </w:rPr>
        <w:t>31, 145–65.</w:t>
      </w:r>
    </w:p>
    <w:p w14:paraId="36D1620F" w14:textId="77777777" w:rsidR="00B67C9A" w:rsidRPr="00B67C9A" w:rsidRDefault="00B67C9A" w:rsidP="003D0759">
      <w:pPr>
        <w:spacing w:after="120"/>
        <w:ind w:left="720" w:hanging="720"/>
        <w:rPr>
          <w:lang w:val="en-GB"/>
        </w:rPr>
      </w:pPr>
      <w:r w:rsidRPr="00B67C9A">
        <w:rPr>
          <w:lang w:val="en-GB"/>
        </w:rPr>
        <w:t xml:space="preserve">Weber, Dieter. 2023. “Cooking in 7th century Iran”, </w:t>
      </w:r>
      <w:r w:rsidRPr="00B67C9A">
        <w:rPr>
          <w:i/>
          <w:iCs/>
          <w:lang w:val="en-GB"/>
        </w:rPr>
        <w:t>Sasanian Studies: Late Antique Iranian World</w:t>
      </w:r>
      <w:r w:rsidRPr="00B67C9A">
        <w:rPr>
          <w:lang w:val="en-GB"/>
        </w:rPr>
        <w:t>/</w:t>
      </w:r>
      <w:proofErr w:type="spellStart"/>
      <w:r w:rsidRPr="00B67C9A">
        <w:rPr>
          <w:i/>
          <w:iCs/>
          <w:lang w:val="en-GB"/>
        </w:rPr>
        <w:t>Sasanidische</w:t>
      </w:r>
      <w:proofErr w:type="spellEnd"/>
      <w:r w:rsidRPr="00B67C9A">
        <w:rPr>
          <w:i/>
          <w:iCs/>
          <w:lang w:val="en-GB"/>
        </w:rPr>
        <w:t xml:space="preserve"> </w:t>
      </w:r>
      <w:proofErr w:type="spellStart"/>
      <w:r w:rsidRPr="00B67C9A">
        <w:rPr>
          <w:i/>
          <w:iCs/>
          <w:lang w:val="en-GB"/>
        </w:rPr>
        <w:t>Studien</w:t>
      </w:r>
      <w:proofErr w:type="spellEnd"/>
      <w:r w:rsidRPr="00B67C9A">
        <w:rPr>
          <w:i/>
          <w:iCs/>
          <w:lang w:val="en-GB"/>
        </w:rPr>
        <w:t xml:space="preserve">: </w:t>
      </w:r>
      <w:proofErr w:type="spellStart"/>
      <w:r w:rsidRPr="00B67C9A">
        <w:rPr>
          <w:i/>
          <w:iCs/>
          <w:lang w:val="en-GB"/>
        </w:rPr>
        <w:t>Spätantike</w:t>
      </w:r>
      <w:proofErr w:type="spellEnd"/>
      <w:r w:rsidRPr="00B67C9A">
        <w:rPr>
          <w:i/>
          <w:iCs/>
          <w:lang w:val="en-GB"/>
        </w:rPr>
        <w:t xml:space="preserve"> </w:t>
      </w:r>
      <w:proofErr w:type="spellStart"/>
      <w:r w:rsidRPr="00B67C9A">
        <w:rPr>
          <w:i/>
          <w:iCs/>
          <w:lang w:val="en-GB"/>
        </w:rPr>
        <w:t>iranische</w:t>
      </w:r>
      <w:proofErr w:type="spellEnd"/>
      <w:r w:rsidRPr="00B67C9A">
        <w:rPr>
          <w:i/>
          <w:iCs/>
          <w:lang w:val="en-GB"/>
        </w:rPr>
        <w:t xml:space="preserve"> Welt</w:t>
      </w:r>
      <w:r w:rsidRPr="00B67C9A">
        <w:rPr>
          <w:lang w:val="en-GB"/>
        </w:rPr>
        <w:t xml:space="preserve"> 2, 279–313. </w:t>
      </w:r>
    </w:p>
    <w:p w14:paraId="4EBECC54" w14:textId="77777777" w:rsidR="00B67C9A" w:rsidRPr="00B67C9A" w:rsidRDefault="00B67C9A" w:rsidP="000877ED">
      <w:pPr>
        <w:rPr>
          <w:lang w:val="en-GB"/>
        </w:rPr>
      </w:pPr>
    </w:p>
    <w:sectPr w:rsidR="00B67C9A" w:rsidRPr="00B67C9A" w:rsidSect="00DC506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C5A60" w14:textId="77777777" w:rsidR="00B646A1" w:rsidRDefault="00B646A1" w:rsidP="005B0D65">
      <w:pPr>
        <w:spacing w:line="240" w:lineRule="auto"/>
      </w:pPr>
      <w:r>
        <w:separator/>
      </w:r>
    </w:p>
  </w:endnote>
  <w:endnote w:type="continuationSeparator" w:id="0">
    <w:p w14:paraId="75E67F29" w14:textId="77777777" w:rsidR="00B646A1" w:rsidRDefault="00B646A1" w:rsidP="005B0D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AE9F9" w14:textId="77777777" w:rsidR="00B646A1" w:rsidRDefault="00B646A1" w:rsidP="005B0D65">
      <w:pPr>
        <w:spacing w:line="240" w:lineRule="auto"/>
      </w:pPr>
      <w:r>
        <w:separator/>
      </w:r>
    </w:p>
  </w:footnote>
  <w:footnote w:type="continuationSeparator" w:id="0">
    <w:p w14:paraId="25DC4836" w14:textId="77777777" w:rsidR="00B646A1" w:rsidRDefault="00B646A1" w:rsidP="005B0D65">
      <w:pPr>
        <w:spacing w:line="240" w:lineRule="auto"/>
      </w:pPr>
      <w:r>
        <w:continuationSeparator/>
      </w:r>
    </w:p>
  </w:footnote>
  <w:footnote w:id="1">
    <w:p w14:paraId="4F5FA022" w14:textId="5DA96937" w:rsidR="005B0D65" w:rsidRDefault="005B0D65" w:rsidP="005B0D65">
      <w:pPr>
        <w:spacing w:line="240" w:lineRule="auto"/>
      </w:pPr>
      <w:r>
        <w:rPr>
          <w:vertAlign w:val="superscript"/>
        </w:rPr>
        <w:footnoteRef/>
      </w:r>
      <w:r>
        <w:t xml:space="preserve"> </w:t>
      </w:r>
      <w:r w:rsidR="00103199">
        <w:t>Weber (2008a</w:t>
      </w:r>
      <w:r>
        <w:t>: xiv)</w:t>
      </w:r>
    </w:p>
  </w:footnote>
  <w:footnote w:id="2">
    <w:p w14:paraId="228F1F4E" w14:textId="77777777" w:rsidR="005B0D65" w:rsidRDefault="005B0D65" w:rsidP="005B0D65">
      <w:pPr>
        <w:spacing w:line="240" w:lineRule="auto"/>
      </w:pPr>
      <w:r>
        <w:rPr>
          <w:vertAlign w:val="superscript"/>
        </w:rPr>
        <w:footnoteRef/>
      </w:r>
      <w:r>
        <w:t xml:space="preserve"> As discussed in Weber (2012: 215).</w:t>
      </w:r>
    </w:p>
  </w:footnote>
  <w:footnote w:id="3">
    <w:p w14:paraId="67B0BCD7" w14:textId="77777777" w:rsidR="005B0D65" w:rsidRDefault="005B0D65" w:rsidP="005B0D65">
      <w:pPr>
        <w:spacing w:line="240" w:lineRule="auto"/>
      </w:pPr>
      <w:r>
        <w:rPr>
          <w:vertAlign w:val="superscript"/>
        </w:rPr>
        <w:footnoteRef/>
      </w:r>
      <w:r>
        <w:t xml:space="preserve"> Weber (2012); for basic background on the </w:t>
      </w:r>
      <w:proofErr w:type="spellStart"/>
      <w:r>
        <w:rPr>
          <w:i/>
        </w:rPr>
        <w:t>Tarīkh</w:t>
      </w:r>
      <w:proofErr w:type="spellEnd"/>
      <w:r>
        <w:rPr>
          <w:i/>
        </w:rPr>
        <w:t>-e Qom</w:t>
      </w:r>
      <w:r>
        <w:t>, see Drechsler, “</w:t>
      </w:r>
      <w:proofErr w:type="spellStart"/>
      <w:r>
        <w:t>Tārī</w:t>
      </w:r>
      <w:r>
        <w:rPr>
          <w:u w:val="single"/>
        </w:rPr>
        <w:t>k</w:t>
      </w:r>
      <w:proofErr w:type="spellEnd"/>
      <w:r>
        <w:t xml:space="preserve">-e Qom,” </w:t>
      </w:r>
      <w:proofErr w:type="spellStart"/>
      <w:r>
        <w:rPr>
          <w:i/>
        </w:rPr>
        <w:t>EIr</w:t>
      </w:r>
      <w:proofErr w:type="spellEnd"/>
      <w:r>
        <w:rPr>
          <w:i/>
        </w:rPr>
        <w:t>.</w:t>
      </w:r>
    </w:p>
  </w:footnote>
  <w:footnote w:id="4">
    <w:p w14:paraId="02496537" w14:textId="77777777" w:rsidR="005B0D65" w:rsidRDefault="005B0D65" w:rsidP="005B0D65">
      <w:pPr>
        <w:spacing w:line="240" w:lineRule="auto"/>
      </w:pPr>
      <w:r>
        <w:rPr>
          <w:vertAlign w:val="superscript"/>
        </w:rPr>
        <w:footnoteRef/>
      </w:r>
      <w:r>
        <w:t xml:space="preserve"> Weber (2012: 218); </w:t>
      </w:r>
      <w:proofErr w:type="spellStart"/>
      <w:r>
        <w:t>Anṣārī</w:t>
      </w:r>
      <w:proofErr w:type="spellEnd"/>
      <w:r>
        <w:t xml:space="preserve"> </w:t>
      </w:r>
      <w:proofErr w:type="spellStart"/>
      <w:r>
        <w:t>Qomī</w:t>
      </w:r>
      <w:proofErr w:type="spellEnd"/>
      <w:r>
        <w:t xml:space="preserve"> (2006: 75).</w:t>
      </w:r>
    </w:p>
  </w:footnote>
  <w:footnote w:id="5">
    <w:p w14:paraId="54BCB20A" w14:textId="455514E9" w:rsidR="005B0D65" w:rsidRDefault="005B0D65" w:rsidP="005B0D65">
      <w:pPr>
        <w:spacing w:line="240" w:lineRule="auto"/>
      </w:pPr>
      <w:r>
        <w:rPr>
          <w:vertAlign w:val="superscript"/>
        </w:rPr>
        <w:footnoteRef/>
      </w:r>
      <w:r>
        <w:t xml:space="preserve"> Weber (2012: 218). Most of Weber’s (2012: 216</w:t>
      </w:r>
      <w:r w:rsidR="005B7129">
        <w:t>–</w:t>
      </w:r>
      <w:r>
        <w:t xml:space="preserve">19) case for the Qom documents’ era commencing in 652 and not 632 rests on the likely lifetime of a Zoroastrian named </w:t>
      </w:r>
      <w:proofErr w:type="spellStart"/>
      <w:r>
        <w:t>Yazdānpādār</w:t>
      </w:r>
      <w:proofErr w:type="spellEnd"/>
      <w:r>
        <w:t xml:space="preserve">, mentioned in the documents, and featuring prominently in the </w:t>
      </w:r>
      <w:proofErr w:type="spellStart"/>
      <w:r>
        <w:rPr>
          <w:i/>
        </w:rPr>
        <w:t>Tārīkh</w:t>
      </w:r>
      <w:proofErr w:type="spellEnd"/>
      <w:r>
        <w:rPr>
          <w:i/>
        </w:rPr>
        <w:t xml:space="preserve">-e Qom </w:t>
      </w:r>
      <w:r>
        <w:t>(where his name is rendered “</w:t>
      </w:r>
      <w:proofErr w:type="spellStart"/>
      <w:r>
        <w:t>Yazdānfādhār</w:t>
      </w:r>
      <w:proofErr w:type="spellEnd"/>
      <w:r>
        <w:t>”)</w:t>
      </w:r>
      <w:r>
        <w:rPr>
          <w:i/>
        </w:rPr>
        <w:t xml:space="preserve"> </w:t>
      </w:r>
      <w:r>
        <w:t xml:space="preserve">as well; judging from the relatively late date of this man’s death, as given in the </w:t>
      </w:r>
      <w:proofErr w:type="spellStart"/>
      <w:r>
        <w:rPr>
          <w:i/>
        </w:rPr>
        <w:t>Tārīkh</w:t>
      </w:r>
      <w:proofErr w:type="spellEnd"/>
      <w:r>
        <w:rPr>
          <w:i/>
        </w:rPr>
        <w:t>-e Qom</w:t>
      </w:r>
      <w:r>
        <w:t xml:space="preserve">, Weber concludes that the documents’ era must be on the later end as well. This case, while well-constructed, is not completely air-tight: while perhaps unlikely, a scenario in which this </w:t>
      </w:r>
      <w:proofErr w:type="spellStart"/>
      <w:r>
        <w:t>Yazdānpādār</w:t>
      </w:r>
      <w:proofErr w:type="spellEnd"/>
      <w:r>
        <w:t xml:space="preserve"> was first mentioned in the extant documents at a fairly young age (25, say, in the year 34 of </w:t>
      </w:r>
      <w:proofErr w:type="spellStart"/>
      <w:r>
        <w:t>Yazdgerd</w:t>
      </w:r>
      <w:proofErr w:type="spellEnd"/>
      <w:r>
        <w:t xml:space="preserve"> III’s regnal era: 666</w:t>
      </w:r>
      <w:r w:rsidR="005B7129">
        <w:t>–</w:t>
      </w:r>
      <w:r>
        <w:t xml:space="preserve">7 CE), and died at 91 in 114 AH (his death-date in the </w:t>
      </w:r>
      <w:proofErr w:type="spellStart"/>
      <w:r>
        <w:rPr>
          <w:i/>
        </w:rPr>
        <w:t>Tārīkh</w:t>
      </w:r>
      <w:proofErr w:type="spellEnd"/>
      <w:r>
        <w:rPr>
          <w:i/>
        </w:rPr>
        <w:t xml:space="preserve">-e Qom </w:t>
      </w:r>
      <w:r>
        <w:t>(</w:t>
      </w:r>
      <w:proofErr w:type="spellStart"/>
      <w:r>
        <w:t>Anṣārī</w:t>
      </w:r>
      <w:proofErr w:type="spellEnd"/>
      <w:r>
        <w:t xml:space="preserve"> </w:t>
      </w:r>
      <w:proofErr w:type="spellStart"/>
      <w:r>
        <w:t>Qomī</w:t>
      </w:r>
      <w:proofErr w:type="spellEnd"/>
      <w:r>
        <w:t xml:space="preserve"> (2006: 694</w:t>
      </w:r>
      <w:r w:rsidR="005B7129">
        <w:t>–</w:t>
      </w:r>
      <w:r>
        <w:t>5))), or 733 CE, is far from impossible.</w:t>
      </w:r>
    </w:p>
  </w:footnote>
  <w:footnote w:id="6">
    <w:p w14:paraId="66071947" w14:textId="77777777" w:rsidR="005B0D65" w:rsidRDefault="005B0D65" w:rsidP="005B0D65">
      <w:pPr>
        <w:spacing w:line="240" w:lineRule="auto"/>
      </w:pPr>
      <w:r>
        <w:rPr>
          <w:vertAlign w:val="superscript"/>
        </w:rPr>
        <w:footnoteRef/>
      </w:r>
      <w:r>
        <w:t xml:space="preserve"> </w:t>
      </w:r>
      <w:proofErr w:type="spellStart"/>
      <w:r>
        <w:t>Anṣārī</w:t>
      </w:r>
      <w:proofErr w:type="spellEnd"/>
      <w:r>
        <w:t xml:space="preserve"> </w:t>
      </w:r>
      <w:proofErr w:type="spellStart"/>
      <w:r>
        <w:t>Qomī</w:t>
      </w:r>
      <w:proofErr w:type="spellEnd"/>
      <w:r>
        <w:t xml:space="preserve"> (2006: 75).</w:t>
      </w:r>
    </w:p>
  </w:footnote>
  <w:footnote w:id="7">
    <w:p w14:paraId="39619C00" w14:textId="09B37457" w:rsidR="005B0D65" w:rsidRDefault="005B0D65" w:rsidP="005B0D65">
      <w:pPr>
        <w:spacing w:line="240" w:lineRule="auto"/>
      </w:pPr>
      <w:r>
        <w:rPr>
          <w:vertAlign w:val="superscript"/>
        </w:rPr>
        <w:footnoteRef/>
      </w:r>
      <w:r>
        <w:t xml:space="preserve"> For a representative sample, see, e.g., the forty-odd documents collected in </w:t>
      </w:r>
      <w:r w:rsidR="00103199">
        <w:t>Weber (2008a</w:t>
      </w:r>
      <w:r>
        <w:t>).</w:t>
      </w:r>
    </w:p>
  </w:footnote>
  <w:footnote w:id="8">
    <w:p w14:paraId="70AA725B" w14:textId="77777777" w:rsidR="005B0D65" w:rsidRDefault="005B0D65" w:rsidP="005B0D65">
      <w:pPr>
        <w:spacing w:line="240" w:lineRule="auto"/>
      </w:pPr>
      <w:r>
        <w:rPr>
          <w:vertAlign w:val="superscript"/>
        </w:rPr>
        <w:footnoteRef/>
      </w:r>
      <w:r>
        <w:t xml:space="preserve"> On these points see, e.g., Drechsler, “</w:t>
      </w:r>
      <w:proofErr w:type="spellStart"/>
      <w:r>
        <w:t>Tārī</w:t>
      </w:r>
      <w:r>
        <w:rPr>
          <w:u w:val="single"/>
        </w:rPr>
        <w:t>k</w:t>
      </w:r>
      <w:proofErr w:type="spellEnd"/>
      <w:r>
        <w:t xml:space="preserve">-e Qom,” </w:t>
      </w:r>
      <w:proofErr w:type="spellStart"/>
      <w:r>
        <w:rPr>
          <w:i/>
        </w:rPr>
        <w:t>EIr</w:t>
      </w:r>
      <w:proofErr w:type="spellEnd"/>
      <w:r>
        <w:rPr>
          <w:i/>
        </w:rPr>
        <w:t>.</w:t>
      </w:r>
    </w:p>
  </w:footnote>
  <w:footnote w:id="9">
    <w:p w14:paraId="55F1FC67" w14:textId="12620A1E" w:rsidR="005B0D65" w:rsidRDefault="005B0D65" w:rsidP="005B0D65">
      <w:pPr>
        <w:spacing w:line="240" w:lineRule="auto"/>
      </w:pPr>
      <w:r>
        <w:rPr>
          <w:vertAlign w:val="superscript"/>
        </w:rPr>
        <w:footnoteRef/>
      </w:r>
      <w:r>
        <w:t xml:space="preserve"> As touched on in Weber (2012: 218). In addition to the important al-</w:t>
      </w:r>
      <w:proofErr w:type="spellStart"/>
      <w:r>
        <w:t>Dīnawarī</w:t>
      </w:r>
      <w:proofErr w:type="spellEnd"/>
      <w:r>
        <w:t xml:space="preserve"> and al-</w:t>
      </w:r>
      <w:proofErr w:type="spellStart"/>
      <w:r>
        <w:t>Bīrūnī</w:t>
      </w:r>
      <w:proofErr w:type="spellEnd"/>
      <w:r>
        <w:t xml:space="preserve"> passages (the key passage from the latter’s </w:t>
      </w:r>
      <w:proofErr w:type="spellStart"/>
      <w:r>
        <w:rPr>
          <w:i/>
        </w:rPr>
        <w:t>Qānūn</w:t>
      </w:r>
      <w:proofErr w:type="spellEnd"/>
      <w:r>
        <w:rPr>
          <w:i/>
        </w:rPr>
        <w:t xml:space="preserve"> al-</w:t>
      </w:r>
      <w:proofErr w:type="spellStart"/>
      <w:r>
        <w:rPr>
          <w:i/>
        </w:rPr>
        <w:t>Masʿūdī</w:t>
      </w:r>
      <w:proofErr w:type="spellEnd"/>
      <w:r>
        <w:rPr>
          <w:i/>
        </w:rPr>
        <w:t xml:space="preserve"> </w:t>
      </w:r>
      <w:r>
        <w:t>is now available in Hyderabad (1954</w:t>
      </w:r>
      <w:r w:rsidR="005B7129">
        <w:t>–</w:t>
      </w:r>
      <w:r>
        <w:t xml:space="preserve">56: I, 136)), and numismatic evidence from </w:t>
      </w:r>
      <w:proofErr w:type="spellStart"/>
      <w:r>
        <w:t>Tabarestān</w:t>
      </w:r>
      <w:proofErr w:type="spellEnd"/>
      <w:r>
        <w:t xml:space="preserve">, discussed in </w:t>
      </w:r>
      <w:proofErr w:type="spellStart"/>
      <w:r>
        <w:t>Taqizadeh</w:t>
      </w:r>
      <w:proofErr w:type="spellEnd"/>
      <w:r>
        <w:t xml:space="preserve"> (1939: 918</w:t>
      </w:r>
      <w:r w:rsidR="005B7129">
        <w:t>–</w:t>
      </w:r>
      <w:r>
        <w:t>22), which suggest that in early Islamic Iran the post-</w:t>
      </w:r>
      <w:proofErr w:type="spellStart"/>
      <w:r>
        <w:t>Yazdgerd</w:t>
      </w:r>
      <w:proofErr w:type="spellEnd"/>
      <w:r>
        <w:t xml:space="preserve"> era “may have been more familiar to the people than any other era,” the Middle Persian documents from early Islamic </w:t>
      </w:r>
      <w:proofErr w:type="spellStart"/>
      <w:r>
        <w:t>Tabarestān</w:t>
      </w:r>
      <w:proofErr w:type="spellEnd"/>
      <w:r>
        <w:t>, we now know, used this era as well (</w:t>
      </w:r>
      <w:proofErr w:type="spellStart"/>
      <w:r>
        <w:t>Gignoux</w:t>
      </w:r>
      <w:proofErr w:type="spellEnd"/>
      <w:r>
        <w:t xml:space="preserve"> 2012: 30).</w:t>
      </w:r>
    </w:p>
  </w:footnote>
  <w:footnote w:id="10">
    <w:p w14:paraId="3F6CD243" w14:textId="77777777" w:rsidR="005B0D65" w:rsidRPr="005B7129" w:rsidRDefault="005B0D65" w:rsidP="005B0D65">
      <w:pPr>
        <w:spacing w:line="240" w:lineRule="auto"/>
        <w:rPr>
          <w:lang w:val="de-DE"/>
        </w:rPr>
      </w:pPr>
      <w:r>
        <w:rPr>
          <w:vertAlign w:val="superscript"/>
        </w:rPr>
        <w:footnoteRef/>
      </w:r>
      <w:r w:rsidRPr="005B7129">
        <w:rPr>
          <w:lang w:val="de-DE"/>
        </w:rPr>
        <w:t xml:space="preserve"> Weber (2012: 216).</w:t>
      </w:r>
    </w:p>
  </w:footnote>
  <w:footnote w:id="11">
    <w:p w14:paraId="4CCB1BD2" w14:textId="2718CD25" w:rsidR="005B0D65" w:rsidRPr="005B7129" w:rsidRDefault="005B0D65" w:rsidP="005B0D65">
      <w:pPr>
        <w:spacing w:line="240" w:lineRule="auto"/>
        <w:rPr>
          <w:lang w:val="de-DE"/>
        </w:rPr>
      </w:pPr>
      <w:r>
        <w:rPr>
          <w:vertAlign w:val="superscript"/>
        </w:rPr>
        <w:footnoteRef/>
      </w:r>
      <w:r w:rsidRPr="005B7129">
        <w:rPr>
          <w:lang w:val="de-DE"/>
        </w:rPr>
        <w:t xml:space="preserve"> Weber (2013a: 176</w:t>
      </w:r>
      <w:r w:rsidR="007B2204">
        <w:rPr>
          <w:lang w:val="de-DE"/>
        </w:rPr>
        <w:t>–</w:t>
      </w:r>
      <w:r w:rsidRPr="005B7129">
        <w:rPr>
          <w:lang w:val="de-DE"/>
        </w:rPr>
        <w:t xml:space="preserve">8). </w:t>
      </w:r>
    </w:p>
  </w:footnote>
  <w:footnote w:id="12">
    <w:p w14:paraId="26F72C12" w14:textId="77777777" w:rsidR="005B0D65" w:rsidRPr="005B7129" w:rsidRDefault="005B0D65" w:rsidP="005B0D65">
      <w:pPr>
        <w:spacing w:line="240" w:lineRule="auto"/>
        <w:rPr>
          <w:lang w:val="de-DE"/>
        </w:rPr>
      </w:pPr>
      <w:r>
        <w:rPr>
          <w:vertAlign w:val="superscript"/>
        </w:rPr>
        <w:footnoteRef/>
      </w:r>
      <w:r w:rsidRPr="005B7129">
        <w:rPr>
          <w:lang w:val="de-DE"/>
        </w:rPr>
        <w:t xml:space="preserve"> Weber (2013a: 177); Weber (2016: 63).</w:t>
      </w:r>
    </w:p>
  </w:footnote>
  <w:footnote w:id="13">
    <w:p w14:paraId="73626DC7" w14:textId="77777777" w:rsidR="005B0D65" w:rsidRDefault="005B0D65" w:rsidP="005B0D65">
      <w:pPr>
        <w:spacing w:line="240" w:lineRule="auto"/>
      </w:pPr>
      <w:r>
        <w:rPr>
          <w:vertAlign w:val="superscript"/>
        </w:rPr>
        <w:footnoteRef/>
      </w:r>
      <w:r w:rsidRPr="005B7129">
        <w:rPr>
          <w:lang w:val="de-DE"/>
        </w:rPr>
        <w:t xml:space="preserve"> E.g., MacKenzie (1968: 255); Lazard (1986); Paul (2003); Jügel (2013). </w:t>
      </w:r>
      <w:r>
        <w:t xml:space="preserve">For </w:t>
      </w:r>
      <w:r>
        <w:rPr>
          <w:i/>
        </w:rPr>
        <w:t>ō</w:t>
      </w:r>
      <w:r>
        <w:t xml:space="preserve"> marking a direct object in Middle Persian, see, e.g., </w:t>
      </w:r>
      <w:proofErr w:type="spellStart"/>
      <w:r>
        <w:t>Skjærvø</w:t>
      </w:r>
      <w:proofErr w:type="spellEnd"/>
      <w:r>
        <w:t xml:space="preserve"> (2009: 233).</w:t>
      </w:r>
    </w:p>
  </w:footnote>
  <w:footnote w:id="14">
    <w:p w14:paraId="221A50D3" w14:textId="470167FE" w:rsidR="005B0D65" w:rsidRDefault="005B0D65" w:rsidP="005B0D65">
      <w:pPr>
        <w:spacing w:line="240" w:lineRule="auto"/>
        <w:rPr>
          <w:sz w:val="16"/>
          <w:szCs w:val="16"/>
        </w:rPr>
      </w:pPr>
      <w:r>
        <w:rPr>
          <w:vertAlign w:val="superscript"/>
        </w:rPr>
        <w:footnoteRef/>
      </w:r>
      <w:r>
        <w:t xml:space="preserve"> Although this is does not quite constitute an unequivocal </w:t>
      </w:r>
      <w:r>
        <w:rPr>
          <w:i/>
        </w:rPr>
        <w:t xml:space="preserve">terminus ante </w:t>
      </w:r>
      <w:proofErr w:type="spellStart"/>
      <w:r>
        <w:rPr>
          <w:i/>
        </w:rPr>
        <w:t>quem</w:t>
      </w:r>
      <w:proofErr w:type="spellEnd"/>
      <w:r>
        <w:t xml:space="preserve"> for the emergence of this </w:t>
      </w:r>
      <w:proofErr w:type="spellStart"/>
      <w:r>
        <w:rPr>
          <w:i/>
        </w:rPr>
        <w:t>ba</w:t>
      </w:r>
      <w:proofErr w:type="spellEnd"/>
      <w:r>
        <w:rPr>
          <w:i/>
        </w:rPr>
        <w:t>-</w:t>
      </w:r>
      <w:r>
        <w:t xml:space="preserve">, owing to the only sporadic differentiation between &lt;b&gt; and &lt;p&gt; in early Arabo-Persian, the two earliest Persian manuscripts in Arabic script, both copied in the 11th century, do sometimes employ &lt;p&gt; in addition to &lt;b&gt;, and consistently spell this preposition, meaning “in, to, by,” with a &lt;b&gt; rather than a &lt;p&gt;; this suggests that this preposition </w:t>
      </w:r>
      <w:proofErr w:type="spellStart"/>
      <w:r>
        <w:rPr>
          <w:i/>
        </w:rPr>
        <w:t>ba</w:t>
      </w:r>
      <w:proofErr w:type="spellEnd"/>
      <w:r>
        <w:rPr>
          <w:i/>
        </w:rPr>
        <w:t>-</w:t>
      </w:r>
      <w:r>
        <w:t xml:space="preserve">, with meanings encompassing those of Middle Persian </w:t>
      </w:r>
      <w:r>
        <w:rPr>
          <w:i/>
        </w:rPr>
        <w:t xml:space="preserve">ō </w:t>
      </w:r>
      <w:r>
        <w:t xml:space="preserve">and </w:t>
      </w:r>
      <w:r>
        <w:rPr>
          <w:i/>
        </w:rPr>
        <w:t>pad</w:t>
      </w:r>
      <w:r>
        <w:t>,</w:t>
      </w:r>
      <w:r>
        <w:rPr>
          <w:i/>
        </w:rPr>
        <w:t xml:space="preserve"> </w:t>
      </w:r>
      <w:r>
        <w:t>had emerged by the 11th century (Orsatti (2019: 46</w:t>
      </w:r>
      <w:r w:rsidR="007B2204">
        <w:t>–</w:t>
      </w:r>
      <w:r>
        <w:t>7, 50</w:t>
      </w:r>
      <w:r w:rsidR="007B2204">
        <w:t>–</w:t>
      </w:r>
      <w:r w:rsidR="00073A6E">
        <w:t>5</w:t>
      </w:r>
      <w:r>
        <w:t>5)). It is worth noting that Lazard (1986: 250</w:t>
      </w:r>
      <w:r w:rsidR="007B2204">
        <w:t>–</w:t>
      </w:r>
      <w:r w:rsidR="00073A6E">
        <w:t>5</w:t>
      </w:r>
      <w:r>
        <w:t xml:space="preserve">1; 1990: 187) cast doubt on even such a late date as this for the emergence of this preposition in New Persian, given the inconsistency with which the Persian &lt;b&gt; and &lt;p&gt; are distinguished in medieval manuscripts in Arabic script; Paul (2003: 179), on the other hand, has accepted the idea that </w:t>
      </w:r>
      <w:proofErr w:type="spellStart"/>
      <w:r>
        <w:rPr>
          <w:i/>
        </w:rPr>
        <w:t>ba</w:t>
      </w:r>
      <w:proofErr w:type="spellEnd"/>
      <w:r>
        <w:t xml:space="preserve"> is attested in Early New Persian in Arabic script. At any rate, New Persian written in the Hebrew, Manichaean, and Syriac scripts, which do distinguish between &lt;b&gt; and &lt;p&gt;, has, up to at least the 11th century, a preposition </w:t>
      </w:r>
      <w:r>
        <w:rPr>
          <w:i/>
        </w:rPr>
        <w:t>pa</w:t>
      </w:r>
      <w:r>
        <w:t>(</w:t>
      </w:r>
      <w:r>
        <w:rPr>
          <w:i/>
        </w:rPr>
        <w:t>d</w:t>
      </w:r>
      <w:r>
        <w:t>)</w:t>
      </w:r>
      <w:r>
        <w:rPr>
          <w:i/>
        </w:rPr>
        <w:t xml:space="preserve"> </w:t>
      </w:r>
      <w:r>
        <w:t xml:space="preserve">with a meaning along the lines of Middle Persian </w:t>
      </w:r>
      <w:r>
        <w:rPr>
          <w:i/>
        </w:rPr>
        <w:t xml:space="preserve">pad </w:t>
      </w:r>
      <w:r>
        <w:t xml:space="preserve">(“in, by, with, at”), and, in some cases, a preposition &lt;by&gt; (probably </w:t>
      </w:r>
      <w:proofErr w:type="spellStart"/>
      <w:r>
        <w:rPr>
          <w:i/>
        </w:rPr>
        <w:t>bē</w:t>
      </w:r>
      <w:proofErr w:type="spellEnd"/>
      <w:r>
        <w:t>)</w:t>
      </w:r>
      <w:r>
        <w:rPr>
          <w:i/>
        </w:rPr>
        <w:t xml:space="preserve"> </w:t>
      </w:r>
      <w:r>
        <w:t xml:space="preserve">that marks direction and indirect object (along the lines of Middle Persian </w:t>
      </w:r>
      <w:r>
        <w:rPr>
          <w:i/>
        </w:rPr>
        <w:t>ō</w:t>
      </w:r>
      <w:r>
        <w:t>) (Orsatti (2019: 46</w:t>
      </w:r>
      <w:r w:rsidR="007B2204">
        <w:t>–</w:t>
      </w:r>
      <w:r>
        <w:t xml:space="preserve">7)) In Judeo-Persian, the only one of these scripts in which Persian texts are extant after the 11th century, it is only in 13th-century manuscripts the </w:t>
      </w:r>
      <w:proofErr w:type="spellStart"/>
      <w:r>
        <w:rPr>
          <w:i/>
        </w:rPr>
        <w:t>ba</w:t>
      </w:r>
      <w:proofErr w:type="spellEnd"/>
      <w:r>
        <w:rPr>
          <w:i/>
        </w:rPr>
        <w:t xml:space="preserve"> </w:t>
      </w:r>
      <w:r>
        <w:t xml:space="preserve">in which the various functions of Middle Persian </w:t>
      </w:r>
      <w:r>
        <w:rPr>
          <w:i/>
        </w:rPr>
        <w:t xml:space="preserve">pad </w:t>
      </w:r>
      <w:r>
        <w:t xml:space="preserve">and </w:t>
      </w:r>
      <w:r>
        <w:rPr>
          <w:i/>
        </w:rPr>
        <w:t xml:space="preserve">ō </w:t>
      </w:r>
      <w:r>
        <w:t xml:space="preserve">are all combined distinctly emerges (Lazard (1986: 251)). </w:t>
      </w:r>
    </w:p>
  </w:footnote>
  <w:footnote w:id="15">
    <w:p w14:paraId="669B66EC" w14:textId="5A14234D" w:rsidR="005B0D65" w:rsidRDefault="005B0D65" w:rsidP="005B0D65">
      <w:pPr>
        <w:spacing w:line="240" w:lineRule="auto"/>
      </w:pPr>
      <w:r>
        <w:rPr>
          <w:vertAlign w:val="superscript"/>
        </w:rPr>
        <w:footnoteRef/>
      </w:r>
      <w:r>
        <w:t xml:space="preserve"> In the earliest New Persian manuscripts in Arabic script, from the 11th century, the preposition spelled &lt;b&gt; and meaning “by, with, at” is also directly prefixed to the nouns it governs (Orsatti (2019: 50</w:t>
      </w:r>
      <w:r w:rsidR="007B2204">
        <w:t>–</w:t>
      </w:r>
      <w:r w:rsidR="00073A6E">
        <w:t>5</w:t>
      </w:r>
      <w:r>
        <w:t xml:space="preserve">5)). De Blois (2006: 108, n. 8) already suggested that within New Persian, the shift from the “older pronunciation” </w:t>
      </w:r>
      <w:r>
        <w:rPr>
          <w:i/>
        </w:rPr>
        <w:t xml:space="preserve">pa </w:t>
      </w:r>
      <w:r>
        <w:t xml:space="preserve">to </w:t>
      </w:r>
      <w:proofErr w:type="spellStart"/>
      <w:r>
        <w:rPr>
          <w:i/>
        </w:rPr>
        <w:t>ba</w:t>
      </w:r>
      <w:proofErr w:type="spellEnd"/>
      <w:r>
        <w:rPr>
          <w:i/>
        </w:rPr>
        <w:t xml:space="preserve"> </w:t>
      </w:r>
      <w:r>
        <w:t xml:space="preserve">is the result of “contamination with the synonymous [Arabic preposition] </w:t>
      </w:r>
      <w:r>
        <w:rPr>
          <w:i/>
        </w:rPr>
        <w:t>bi-</w:t>
      </w:r>
      <w:r>
        <w:t>” (cited in Orsatti (2019: 46</w:t>
      </w:r>
      <w:r w:rsidR="007B2204">
        <w:t>–</w:t>
      </w:r>
      <w:r>
        <w:t xml:space="preserve">7)). Paul (2003: 186, n. 32) also considered the possibility of Arabic </w:t>
      </w:r>
      <w:r>
        <w:rPr>
          <w:i/>
        </w:rPr>
        <w:t>bi-</w:t>
      </w:r>
      <w:r>
        <w:t>’s influence</w:t>
      </w:r>
      <w:r>
        <w:rPr>
          <w:i/>
        </w:rPr>
        <w:t xml:space="preserve"> </w:t>
      </w:r>
      <w:r>
        <w:t xml:space="preserve">on the “amalgamation of </w:t>
      </w:r>
      <w:r>
        <w:rPr>
          <w:i/>
        </w:rPr>
        <w:t>pa</w:t>
      </w:r>
      <w:r>
        <w:t>(</w:t>
      </w:r>
      <w:r>
        <w:rPr>
          <w:i/>
        </w:rPr>
        <w:t>d</w:t>
      </w:r>
      <w:r>
        <w:t xml:space="preserve">) and </w:t>
      </w:r>
      <w:r>
        <w:rPr>
          <w:i/>
        </w:rPr>
        <w:t>be</w:t>
      </w:r>
      <w:r>
        <w:t xml:space="preserve">” in New </w:t>
      </w:r>
      <w:proofErr w:type="gramStart"/>
      <w:r>
        <w:t>Persian, but</w:t>
      </w:r>
      <w:proofErr w:type="gramEnd"/>
      <w:r>
        <w:t xml:space="preserve"> set it aside as “unlikely.” It is true that there are many Middle Persian compounds including prepositional elements, which scholars typically transcribe with prepositions hyphenated to the noun that follows (such as, e.g., </w:t>
      </w:r>
      <w:r>
        <w:rPr>
          <w:i/>
        </w:rPr>
        <w:t>pad-</w:t>
      </w:r>
      <w:proofErr w:type="spellStart"/>
      <w:r>
        <w:rPr>
          <w:i/>
        </w:rPr>
        <w:t>gōhr</w:t>
      </w:r>
      <w:proofErr w:type="spellEnd"/>
      <w:r>
        <w:t xml:space="preserve">), but this hyphenation expresses syntax rather than orthography. See, e.g., the adjective </w:t>
      </w:r>
      <w:r>
        <w:rPr>
          <w:i/>
        </w:rPr>
        <w:t>pad-</w:t>
      </w:r>
      <w:proofErr w:type="spellStart"/>
      <w:r>
        <w:rPr>
          <w:i/>
        </w:rPr>
        <w:t>gōwišn</w:t>
      </w:r>
      <w:proofErr w:type="spellEnd"/>
      <w:r>
        <w:t xml:space="preserve">, “verbal, oral” written as two words in the Pahlavi </w:t>
      </w:r>
      <w:proofErr w:type="spellStart"/>
      <w:r>
        <w:rPr>
          <w:i/>
        </w:rPr>
        <w:t>Vidēvdād</w:t>
      </w:r>
      <w:proofErr w:type="spellEnd"/>
      <w:r>
        <w:rPr>
          <w:i/>
        </w:rPr>
        <w:t xml:space="preserve"> </w:t>
      </w:r>
      <w:r>
        <w:t xml:space="preserve">as preserved in one of the very earliest Book Pahlavi manuscripts, L 4 (f. 53v, l. 2; images accessed via the </w:t>
      </w:r>
      <w:proofErr w:type="spellStart"/>
      <w:r>
        <w:t>Avestan</w:t>
      </w:r>
      <w:proofErr w:type="spellEnd"/>
      <w:r>
        <w:t xml:space="preserve"> Digital Archive), copied in 1323 CE (on the age of this manuscript, see Asmussen, “Codices </w:t>
      </w:r>
      <w:proofErr w:type="spellStart"/>
      <w:r>
        <w:t>Hafnienses</w:t>
      </w:r>
      <w:proofErr w:type="spellEnd"/>
      <w:r>
        <w:t xml:space="preserve">,” </w:t>
      </w:r>
      <w:proofErr w:type="spellStart"/>
      <w:r>
        <w:rPr>
          <w:i/>
        </w:rPr>
        <w:t>EIr</w:t>
      </w:r>
      <w:proofErr w:type="spellEnd"/>
      <w:r>
        <w:t xml:space="preserve">.). Finally, it should be noted that at least two seals with Middle Persian inscriptions seem to have a preposition </w:t>
      </w:r>
      <w:r>
        <w:rPr>
          <w:i/>
        </w:rPr>
        <w:t>pa</w:t>
      </w:r>
      <w:r>
        <w:t xml:space="preserve">-, directly prefixed to the word it modifies, and by all indications synonymous with Middle Persian </w:t>
      </w:r>
      <w:r>
        <w:rPr>
          <w:i/>
        </w:rPr>
        <w:t>pad</w:t>
      </w:r>
      <w:r>
        <w:t xml:space="preserve">. Interestingly, one of these attestations occurs in the carnelian seal housed at the Hermitage of controversial authenticity discussed in the main text of this article (n. 29), which also happens to mention a </w:t>
      </w:r>
      <w:proofErr w:type="spellStart"/>
      <w:r>
        <w:rPr>
          <w:i/>
        </w:rPr>
        <w:t>dar-handarzbed</w:t>
      </w:r>
      <w:proofErr w:type="spellEnd"/>
      <w:r>
        <w:t xml:space="preserve">. Whatever the inscription’s authenticity, there are also wide-ranging opinions on how many </w:t>
      </w:r>
      <w:r>
        <w:rPr>
          <w:i/>
        </w:rPr>
        <w:t>pa-</w:t>
      </w:r>
      <w:r>
        <w:t xml:space="preserve">’s (if any) the inscription contains, as illustrated by </w:t>
      </w:r>
      <w:proofErr w:type="spellStart"/>
      <w:r>
        <w:t>Gignoux’s</w:t>
      </w:r>
      <w:proofErr w:type="spellEnd"/>
      <w:r>
        <w:t xml:space="preserve"> (1991: 18</w:t>
      </w:r>
      <w:r w:rsidR="007B2204">
        <w:t>–</w:t>
      </w:r>
      <w:r>
        <w:t>19) conspectus. The other inscription, also on a seal, is discussed in Shaked (1977: 20, n. 11).</w:t>
      </w:r>
    </w:p>
  </w:footnote>
  <w:footnote w:id="16">
    <w:p w14:paraId="72C85561" w14:textId="75909F85" w:rsidR="005B0D65" w:rsidRDefault="005B0D65" w:rsidP="005B0D65">
      <w:pPr>
        <w:spacing w:line="240" w:lineRule="auto"/>
      </w:pPr>
      <w:r>
        <w:rPr>
          <w:vertAlign w:val="superscript"/>
        </w:rPr>
        <w:footnoteRef/>
      </w:r>
      <w:r>
        <w:t xml:space="preserve"> On </w:t>
      </w:r>
      <w:proofErr w:type="spellStart"/>
      <w:r>
        <w:rPr>
          <w:i/>
        </w:rPr>
        <w:t>amīr</w:t>
      </w:r>
      <w:proofErr w:type="spellEnd"/>
      <w:r>
        <w:rPr>
          <w:i/>
        </w:rPr>
        <w:t xml:space="preserve"> </w:t>
      </w:r>
      <w:r>
        <w:t xml:space="preserve">and </w:t>
      </w:r>
      <w:proofErr w:type="spellStart"/>
      <w:r>
        <w:rPr>
          <w:i/>
        </w:rPr>
        <w:t>mazgīt</w:t>
      </w:r>
      <w:proofErr w:type="spellEnd"/>
      <w:r>
        <w:rPr>
          <w:i/>
        </w:rPr>
        <w:t xml:space="preserve"> </w:t>
      </w:r>
      <w:r>
        <w:t>in the documents, see Weber (2014b) and Weber (2021</w:t>
      </w:r>
      <w:r w:rsidR="00042B1B">
        <w:t>a</w:t>
      </w:r>
      <w:r>
        <w:t>).</w:t>
      </w:r>
    </w:p>
  </w:footnote>
  <w:footnote w:id="17">
    <w:p w14:paraId="0A806ECA" w14:textId="3AD425EA" w:rsidR="005B0D65" w:rsidRDefault="005B0D65" w:rsidP="005B0D65">
      <w:pPr>
        <w:spacing w:line="240" w:lineRule="auto"/>
      </w:pPr>
      <w:r>
        <w:rPr>
          <w:vertAlign w:val="superscript"/>
        </w:rPr>
        <w:footnoteRef/>
      </w:r>
      <w:r>
        <w:t xml:space="preserve"> Weber (2013a: 174</w:t>
      </w:r>
      <w:r w:rsidR="007B2204">
        <w:t>–</w:t>
      </w:r>
      <w:r>
        <w:t>5); Weber (2019a: 108).</w:t>
      </w:r>
    </w:p>
  </w:footnote>
  <w:footnote w:id="18">
    <w:p w14:paraId="7C26FB4B" w14:textId="00EBDFC3" w:rsidR="005B0D65" w:rsidRDefault="005B0D65" w:rsidP="005B0D65">
      <w:r>
        <w:rPr>
          <w:vertAlign w:val="superscript"/>
        </w:rPr>
        <w:footnoteRef/>
      </w:r>
      <w:r>
        <w:t xml:space="preserve"> Weber (2013a: 174</w:t>
      </w:r>
      <w:r w:rsidR="007B2204">
        <w:t>–</w:t>
      </w:r>
      <w:r>
        <w:t xml:space="preserve">5). Aside from a few cosmetic alterations, including changing the transliteration of </w:t>
      </w:r>
      <w:proofErr w:type="spellStart"/>
      <w:r>
        <w:t>Arameograms</w:t>
      </w:r>
      <w:proofErr w:type="spellEnd"/>
      <w:r>
        <w:t xml:space="preserve"> to match </w:t>
      </w:r>
      <w:proofErr w:type="spellStart"/>
      <w:r>
        <w:t>MacKenzie’s</w:t>
      </w:r>
      <w:proofErr w:type="spellEnd"/>
      <w:r>
        <w:t xml:space="preserve"> system, here and for the 2019 edition I have reproduced Weber’s text in full.</w:t>
      </w:r>
    </w:p>
  </w:footnote>
  <w:footnote w:id="19">
    <w:p w14:paraId="7E836A1F" w14:textId="6F05D58C" w:rsidR="005B0D65" w:rsidRDefault="005B0D65" w:rsidP="005B0D65">
      <w:pPr>
        <w:spacing w:line="240" w:lineRule="auto"/>
      </w:pPr>
      <w:r>
        <w:rPr>
          <w:vertAlign w:val="superscript"/>
        </w:rPr>
        <w:footnoteRef/>
      </w:r>
      <w:r>
        <w:t xml:space="preserve"> Weber (2019a: 107</w:t>
      </w:r>
      <w:r w:rsidR="007B2204">
        <w:t>–</w:t>
      </w:r>
      <w:r>
        <w:t>8).</w:t>
      </w:r>
    </w:p>
  </w:footnote>
  <w:footnote w:id="20">
    <w:p w14:paraId="128B2D76" w14:textId="63654740" w:rsidR="005B0D65" w:rsidRDefault="005B0D65" w:rsidP="005B0D65">
      <w:pPr>
        <w:spacing w:line="240" w:lineRule="auto"/>
      </w:pPr>
      <w:r>
        <w:rPr>
          <w:vertAlign w:val="superscript"/>
        </w:rPr>
        <w:footnoteRef/>
      </w:r>
      <w:r>
        <w:t xml:space="preserve"> Macuch (2008: 265</w:t>
      </w:r>
      <w:r w:rsidR="007B2204">
        <w:t>–</w:t>
      </w:r>
      <w:r>
        <w:t xml:space="preserve">6) discusses the term’s meaning in Zoroastrian Middle Persian legal texts and documents. Weber (2019a: 102) translates </w:t>
      </w:r>
      <w:r>
        <w:rPr>
          <w:i/>
        </w:rPr>
        <w:t xml:space="preserve">mar </w:t>
      </w:r>
      <w:r>
        <w:t>in Berk. 247, l. 1</w:t>
      </w:r>
      <w:r>
        <w:rPr>
          <w:i/>
        </w:rPr>
        <w:t xml:space="preserve"> </w:t>
      </w:r>
      <w:r>
        <w:t>as “account.”</w:t>
      </w:r>
    </w:p>
  </w:footnote>
  <w:footnote w:id="21">
    <w:p w14:paraId="005BC7A3" w14:textId="77777777" w:rsidR="005B0D65" w:rsidRDefault="005B0D65" w:rsidP="005B0D65">
      <w:pPr>
        <w:spacing w:line="240" w:lineRule="auto"/>
      </w:pPr>
      <w:r>
        <w:rPr>
          <w:vertAlign w:val="superscript"/>
        </w:rPr>
        <w:footnoteRef/>
      </w:r>
      <w:r>
        <w:t xml:space="preserve"> There are a few attestations of the expressions </w:t>
      </w:r>
      <w:proofErr w:type="spellStart"/>
      <w:r>
        <w:rPr>
          <w:i/>
        </w:rPr>
        <w:t>az</w:t>
      </w:r>
      <w:proofErr w:type="spellEnd"/>
      <w:r>
        <w:rPr>
          <w:i/>
        </w:rPr>
        <w:t xml:space="preserve"> </w:t>
      </w:r>
      <w:r>
        <w:t xml:space="preserve">… </w:t>
      </w:r>
      <w:r>
        <w:rPr>
          <w:i/>
        </w:rPr>
        <w:t xml:space="preserve">mar </w:t>
      </w:r>
      <w:r>
        <w:t xml:space="preserve">and </w:t>
      </w:r>
      <w:proofErr w:type="spellStart"/>
      <w:r>
        <w:rPr>
          <w:i/>
        </w:rPr>
        <w:t>az</w:t>
      </w:r>
      <w:proofErr w:type="spellEnd"/>
      <w:r>
        <w:rPr>
          <w:i/>
        </w:rPr>
        <w:t xml:space="preserve"> mar ī </w:t>
      </w:r>
      <w:r>
        <w:t xml:space="preserve">functioning as prepositional phrases to designate a cause in Book Pahlavi—as in, respectively, the </w:t>
      </w:r>
      <w:proofErr w:type="spellStart"/>
      <w:r>
        <w:rPr>
          <w:i/>
        </w:rPr>
        <w:t>Ardā</w:t>
      </w:r>
      <w:proofErr w:type="spellEnd"/>
      <w:r>
        <w:rPr>
          <w:i/>
        </w:rPr>
        <w:t xml:space="preserve"> </w:t>
      </w:r>
      <w:proofErr w:type="spellStart"/>
      <w:r>
        <w:rPr>
          <w:i/>
        </w:rPr>
        <w:t>Wīrāz</w:t>
      </w:r>
      <w:proofErr w:type="spellEnd"/>
      <w:r>
        <w:rPr>
          <w:i/>
        </w:rPr>
        <w:t xml:space="preserve"> </w:t>
      </w:r>
      <w:proofErr w:type="spellStart"/>
      <w:r>
        <w:rPr>
          <w:i/>
        </w:rPr>
        <w:t>Nāmag</w:t>
      </w:r>
      <w:proofErr w:type="spellEnd"/>
      <w:r>
        <w:rPr>
          <w:i/>
        </w:rPr>
        <w:t xml:space="preserve"> </w:t>
      </w:r>
      <w:r>
        <w:t>(</w:t>
      </w:r>
      <w:proofErr w:type="spellStart"/>
      <w:r>
        <w:t>Vahman</w:t>
      </w:r>
      <w:proofErr w:type="spellEnd"/>
      <w:r>
        <w:t xml:space="preserve"> (1986: 79, 191)) and </w:t>
      </w:r>
      <w:proofErr w:type="spellStart"/>
      <w:r>
        <w:rPr>
          <w:i/>
        </w:rPr>
        <w:t>Dēnkard</w:t>
      </w:r>
      <w:proofErr w:type="spellEnd"/>
      <w:r>
        <w:rPr>
          <w:i/>
        </w:rPr>
        <w:t xml:space="preserve"> </w:t>
      </w:r>
      <w:r>
        <w:t xml:space="preserve">(text in Dresden (1966: 516); translation in de </w:t>
      </w:r>
      <w:proofErr w:type="spellStart"/>
      <w:r>
        <w:t>Menasce</w:t>
      </w:r>
      <w:proofErr w:type="spellEnd"/>
      <w:r>
        <w:t xml:space="preserve"> (1973: 379)). A preposition </w:t>
      </w:r>
      <w:proofErr w:type="spellStart"/>
      <w:r>
        <w:rPr>
          <w:i/>
        </w:rPr>
        <w:t>azmar</w:t>
      </w:r>
      <w:proofErr w:type="spellEnd"/>
      <w:r>
        <w:rPr>
          <w:i/>
        </w:rPr>
        <w:t xml:space="preserve"> </w:t>
      </w:r>
      <w:r>
        <w:t xml:space="preserve">with the meaning “for,” and clearly closely related to these Middle Persian expressions, is also well-attested in early </w:t>
      </w:r>
      <w:proofErr w:type="spellStart"/>
      <w:r>
        <w:t>Judaeo</w:t>
      </w:r>
      <w:proofErr w:type="spellEnd"/>
      <w:r>
        <w:t xml:space="preserve">-Persian (Paul (2013: 99; 148, n. 1)). Citing this Judeo-Persian expression, </w:t>
      </w:r>
      <w:proofErr w:type="spellStart"/>
      <w:r>
        <w:t>Gignoux</w:t>
      </w:r>
      <w:proofErr w:type="spellEnd"/>
      <w:r>
        <w:t xml:space="preserve"> (2010: 24) has opted to translate several attestations of </w:t>
      </w:r>
      <w:proofErr w:type="spellStart"/>
      <w:r>
        <w:rPr>
          <w:i/>
        </w:rPr>
        <w:t>az</w:t>
      </w:r>
      <w:proofErr w:type="spellEnd"/>
      <w:r>
        <w:rPr>
          <w:i/>
        </w:rPr>
        <w:t xml:space="preserve"> mar ī </w:t>
      </w:r>
      <w:r>
        <w:t>among the Qom documents</w:t>
      </w:r>
      <w:r>
        <w:rPr>
          <w:i/>
        </w:rPr>
        <w:t xml:space="preserve"> </w:t>
      </w:r>
      <w:r>
        <w:t xml:space="preserve">as “for,” but presents no arguments or evidence as to why the idiomatic “for” (or “because of”) is to be preferred to the more literal “from the account of” in any of these instances. In many of these cases, </w:t>
      </w:r>
      <w:proofErr w:type="spellStart"/>
      <w:r>
        <w:t>Gignoux’s</w:t>
      </w:r>
      <w:proofErr w:type="spellEnd"/>
      <w:r>
        <w:t xml:space="preserve"> “for” is functionally equivalent to “from the account of,” as in the frequently encountered expression </w:t>
      </w:r>
      <w:proofErr w:type="spellStart"/>
      <w:r>
        <w:rPr>
          <w:i/>
        </w:rPr>
        <w:t>az</w:t>
      </w:r>
      <w:proofErr w:type="spellEnd"/>
      <w:r>
        <w:rPr>
          <w:i/>
        </w:rPr>
        <w:t xml:space="preserve"> </w:t>
      </w:r>
      <w:proofErr w:type="spellStart"/>
      <w:r>
        <w:rPr>
          <w:i/>
        </w:rPr>
        <w:t>ān</w:t>
      </w:r>
      <w:proofErr w:type="spellEnd"/>
      <w:r>
        <w:rPr>
          <w:i/>
        </w:rPr>
        <w:t xml:space="preserve"> ī </w:t>
      </w:r>
      <w:proofErr w:type="spellStart"/>
      <w:r>
        <w:rPr>
          <w:i/>
        </w:rPr>
        <w:t>az</w:t>
      </w:r>
      <w:proofErr w:type="spellEnd"/>
      <w:r>
        <w:rPr>
          <w:i/>
        </w:rPr>
        <w:t xml:space="preserve"> mar ī</w:t>
      </w:r>
      <w:r>
        <w:t xml:space="preserve"> [name]... </w:t>
      </w:r>
      <w:r>
        <w:rPr>
          <w:i/>
        </w:rPr>
        <w:t>ō bun</w:t>
      </w:r>
      <w:r>
        <w:t xml:space="preserve">; I am unsure how else to interpret </w:t>
      </w:r>
      <w:proofErr w:type="spellStart"/>
      <w:r>
        <w:t>Gignoux’s</w:t>
      </w:r>
      <w:proofErr w:type="spellEnd"/>
      <w:r>
        <w:t xml:space="preserve"> typical translation of the expression, “from that which is in the patrimony for [name]” (as in, e.g., </w:t>
      </w:r>
      <w:proofErr w:type="spellStart"/>
      <w:r>
        <w:t>Gignoux</w:t>
      </w:r>
      <w:proofErr w:type="spellEnd"/>
      <w:r>
        <w:t xml:space="preserve"> (2010: 62)), aside from a reference to a certain individual’s “account” within a larger store of resources.</w:t>
      </w:r>
    </w:p>
  </w:footnote>
  <w:footnote w:id="22">
    <w:p w14:paraId="5C065B6E" w14:textId="77777777" w:rsidR="005B0D65" w:rsidRDefault="005B0D65" w:rsidP="005B0D65">
      <w:pPr>
        <w:spacing w:line="240" w:lineRule="auto"/>
      </w:pPr>
      <w:r>
        <w:rPr>
          <w:vertAlign w:val="superscript"/>
        </w:rPr>
        <w:footnoteRef/>
      </w:r>
      <w:r>
        <w:t xml:space="preserve"> Weber (2019a: 108); Weber (2013a: 175).</w:t>
      </w:r>
    </w:p>
  </w:footnote>
  <w:footnote w:id="23">
    <w:p w14:paraId="7AEE7309" w14:textId="77777777" w:rsidR="005B0D65" w:rsidRDefault="005B0D65" w:rsidP="005B0D65">
      <w:pPr>
        <w:spacing w:line="240" w:lineRule="auto"/>
      </w:pPr>
      <w:r>
        <w:rPr>
          <w:vertAlign w:val="superscript"/>
        </w:rPr>
        <w:footnoteRef/>
      </w:r>
      <w:r>
        <w:t xml:space="preserve"> Weber (2019a: 108, 110).</w:t>
      </w:r>
    </w:p>
  </w:footnote>
  <w:footnote w:id="24">
    <w:p w14:paraId="28C013F6" w14:textId="583A2B2E" w:rsidR="005B0D65" w:rsidRDefault="005B0D65" w:rsidP="005B0D65">
      <w:pPr>
        <w:spacing w:line="240" w:lineRule="auto"/>
      </w:pPr>
      <w:r>
        <w:rPr>
          <w:vertAlign w:val="superscript"/>
        </w:rPr>
        <w:footnoteRef/>
      </w:r>
      <w:r>
        <w:t xml:space="preserve"> Weber (2019a: 107, 109</w:t>
      </w:r>
      <w:r w:rsidR="007B2204">
        <w:t>–</w:t>
      </w:r>
      <w:r>
        <w:t xml:space="preserve">10). </w:t>
      </w:r>
    </w:p>
  </w:footnote>
  <w:footnote w:id="25">
    <w:p w14:paraId="6BCA8939" w14:textId="77777777" w:rsidR="005B0D65" w:rsidRDefault="005B0D65" w:rsidP="005B0D65">
      <w:pPr>
        <w:spacing w:line="240" w:lineRule="auto"/>
      </w:pPr>
      <w:r>
        <w:rPr>
          <w:vertAlign w:val="superscript"/>
        </w:rPr>
        <w:footnoteRef/>
      </w:r>
      <w:r>
        <w:t xml:space="preserve"> Weber (2013a: 175).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A70AC" w14:textId="2950AF99" w:rsidR="002357E7" w:rsidRPr="002357E7" w:rsidRDefault="002357E7" w:rsidP="002357E7">
    <w:pPr>
      <w:pStyle w:val="Header"/>
      <w:rPr>
        <w:lang w:val="en-GB"/>
      </w:rPr>
    </w:pPr>
    <w:r>
      <w:rPr>
        <w:lang w:val="en-GB"/>
      </w:rPr>
      <w:t>Thomas</w:t>
    </w:r>
    <w:r w:rsidRPr="002357E7">
      <w:rPr>
        <w:lang w:val="en-GB"/>
      </w:rPr>
      <w:t xml:space="preserve"> </w:t>
    </w:r>
    <w:r>
      <w:rPr>
        <w:lang w:val="en-GB"/>
      </w:rPr>
      <w:t>Benfey                                                                                               Middle Persian Documents – Appendices</w:t>
    </w:r>
    <w:r>
      <w:rPr>
        <w:lang w:val="en-GB"/>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65"/>
    <w:rsid w:val="00042B1B"/>
    <w:rsid w:val="000438C3"/>
    <w:rsid w:val="00057F83"/>
    <w:rsid w:val="00065FF3"/>
    <w:rsid w:val="00073A6E"/>
    <w:rsid w:val="00073B8A"/>
    <w:rsid w:val="0008737D"/>
    <w:rsid w:val="000877ED"/>
    <w:rsid w:val="000D7167"/>
    <w:rsid w:val="00103199"/>
    <w:rsid w:val="00123D49"/>
    <w:rsid w:val="00161FA1"/>
    <w:rsid w:val="001E3A22"/>
    <w:rsid w:val="00217BCE"/>
    <w:rsid w:val="002357E7"/>
    <w:rsid w:val="00252C8D"/>
    <w:rsid w:val="00270585"/>
    <w:rsid w:val="002C21B7"/>
    <w:rsid w:val="0031389E"/>
    <w:rsid w:val="0033752F"/>
    <w:rsid w:val="00383CE8"/>
    <w:rsid w:val="00396A9A"/>
    <w:rsid w:val="003D0759"/>
    <w:rsid w:val="003F1D75"/>
    <w:rsid w:val="00407F70"/>
    <w:rsid w:val="004179F1"/>
    <w:rsid w:val="004258C6"/>
    <w:rsid w:val="00435D06"/>
    <w:rsid w:val="0045713E"/>
    <w:rsid w:val="004952F7"/>
    <w:rsid w:val="00504034"/>
    <w:rsid w:val="00531137"/>
    <w:rsid w:val="00537AE4"/>
    <w:rsid w:val="00582E6F"/>
    <w:rsid w:val="00590C8C"/>
    <w:rsid w:val="0059127D"/>
    <w:rsid w:val="005B0D65"/>
    <w:rsid w:val="005B7129"/>
    <w:rsid w:val="005E6CF3"/>
    <w:rsid w:val="00602BE7"/>
    <w:rsid w:val="00625B44"/>
    <w:rsid w:val="0063646D"/>
    <w:rsid w:val="0067370E"/>
    <w:rsid w:val="006A1293"/>
    <w:rsid w:val="006E052D"/>
    <w:rsid w:val="006F75D5"/>
    <w:rsid w:val="0072035F"/>
    <w:rsid w:val="0076470A"/>
    <w:rsid w:val="007B2204"/>
    <w:rsid w:val="00804030"/>
    <w:rsid w:val="0080498F"/>
    <w:rsid w:val="00825928"/>
    <w:rsid w:val="00841562"/>
    <w:rsid w:val="0089175C"/>
    <w:rsid w:val="008A4C90"/>
    <w:rsid w:val="00935525"/>
    <w:rsid w:val="0094166C"/>
    <w:rsid w:val="009B303B"/>
    <w:rsid w:val="009C6470"/>
    <w:rsid w:val="00A308D4"/>
    <w:rsid w:val="00A74FAF"/>
    <w:rsid w:val="00AC4912"/>
    <w:rsid w:val="00AE7F12"/>
    <w:rsid w:val="00AF5629"/>
    <w:rsid w:val="00B6212C"/>
    <w:rsid w:val="00B62176"/>
    <w:rsid w:val="00B646A1"/>
    <w:rsid w:val="00B67C9A"/>
    <w:rsid w:val="00C712AE"/>
    <w:rsid w:val="00CA4226"/>
    <w:rsid w:val="00D1579D"/>
    <w:rsid w:val="00D8280C"/>
    <w:rsid w:val="00DA0103"/>
    <w:rsid w:val="00DC5061"/>
    <w:rsid w:val="00DF70CD"/>
    <w:rsid w:val="00E176B5"/>
    <w:rsid w:val="00E313CB"/>
    <w:rsid w:val="00EE283B"/>
    <w:rsid w:val="00FA52DC"/>
    <w:rsid w:val="00FB132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13753"/>
  <w15:chartTrackingRefBased/>
  <w15:docId w15:val="{EEAD6A3F-6364-3F4F-ADD4-BCE7139D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B0D65"/>
    <w:pPr>
      <w:spacing w:line="276" w:lineRule="auto"/>
    </w:pPr>
    <w:rPr>
      <w:rFonts w:ascii="Times New Roman" w:eastAsia="Times New Roman" w:hAnsi="Times New Roman" w:cs="Times New Roman"/>
      <w:sz w:val="20"/>
      <w:szCs w:val="20"/>
      <w:lang w:val="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79F1"/>
    <w:pPr>
      <w:spacing w:line="240" w:lineRule="auto"/>
    </w:pPr>
  </w:style>
  <w:style w:type="character" w:customStyle="1" w:styleId="FootnoteTextChar">
    <w:name w:val="Footnote Text Char"/>
    <w:basedOn w:val="DefaultParagraphFont"/>
    <w:link w:val="FootnoteText"/>
    <w:uiPriority w:val="99"/>
    <w:semiHidden/>
    <w:rsid w:val="004179F1"/>
    <w:rPr>
      <w:rFonts w:ascii="Times New Roman" w:eastAsia="Times New Roman" w:hAnsi="Times New Roman" w:cs="Times New Roman"/>
      <w:sz w:val="20"/>
      <w:szCs w:val="20"/>
      <w:lang w:val="en"/>
    </w:rPr>
  </w:style>
  <w:style w:type="character" w:styleId="FootnoteReference">
    <w:name w:val="footnote reference"/>
    <w:basedOn w:val="DefaultParagraphFont"/>
    <w:uiPriority w:val="99"/>
    <w:semiHidden/>
    <w:unhideWhenUsed/>
    <w:rsid w:val="004179F1"/>
    <w:rPr>
      <w:vertAlign w:val="superscript"/>
    </w:rPr>
  </w:style>
  <w:style w:type="paragraph" w:styleId="Header">
    <w:name w:val="header"/>
    <w:basedOn w:val="Normal"/>
    <w:link w:val="HeaderChar"/>
    <w:uiPriority w:val="99"/>
    <w:unhideWhenUsed/>
    <w:rsid w:val="002357E7"/>
    <w:pPr>
      <w:tabs>
        <w:tab w:val="center" w:pos="4513"/>
        <w:tab w:val="right" w:pos="9026"/>
      </w:tabs>
      <w:spacing w:line="240" w:lineRule="auto"/>
    </w:pPr>
  </w:style>
  <w:style w:type="character" w:customStyle="1" w:styleId="HeaderChar">
    <w:name w:val="Header Char"/>
    <w:basedOn w:val="DefaultParagraphFont"/>
    <w:link w:val="Header"/>
    <w:uiPriority w:val="99"/>
    <w:rsid w:val="002357E7"/>
    <w:rPr>
      <w:rFonts w:ascii="Times New Roman" w:eastAsia="Times New Roman" w:hAnsi="Times New Roman" w:cs="Times New Roman"/>
      <w:sz w:val="20"/>
      <w:szCs w:val="20"/>
      <w:lang w:val="en"/>
    </w:rPr>
  </w:style>
  <w:style w:type="paragraph" w:styleId="Footer">
    <w:name w:val="footer"/>
    <w:basedOn w:val="Normal"/>
    <w:link w:val="FooterChar"/>
    <w:uiPriority w:val="99"/>
    <w:unhideWhenUsed/>
    <w:rsid w:val="002357E7"/>
    <w:pPr>
      <w:tabs>
        <w:tab w:val="center" w:pos="4513"/>
        <w:tab w:val="right" w:pos="9026"/>
      </w:tabs>
      <w:spacing w:line="240" w:lineRule="auto"/>
    </w:pPr>
  </w:style>
  <w:style w:type="character" w:customStyle="1" w:styleId="FooterChar">
    <w:name w:val="Footer Char"/>
    <w:basedOn w:val="DefaultParagraphFont"/>
    <w:link w:val="Footer"/>
    <w:uiPriority w:val="99"/>
    <w:rsid w:val="002357E7"/>
    <w:rPr>
      <w:rFonts w:ascii="Times New Roman" w:eastAsia="Times New Roman" w:hAnsi="Times New Roman" w:cs="Times New Roman"/>
      <w:sz w:val="20"/>
      <w:szCs w:val="20"/>
      <w:lang w:val="en"/>
    </w:rPr>
  </w:style>
  <w:style w:type="character" w:styleId="Hyperlink">
    <w:name w:val="Hyperlink"/>
    <w:basedOn w:val="DefaultParagraphFont"/>
    <w:uiPriority w:val="99"/>
    <w:unhideWhenUsed/>
    <w:rsid w:val="00042B1B"/>
    <w:rPr>
      <w:color w:val="0563C1" w:themeColor="hyperlink"/>
      <w:u w:val="single"/>
    </w:rPr>
  </w:style>
  <w:style w:type="character" w:styleId="UnresolvedMention">
    <w:name w:val="Unresolved Mention"/>
    <w:basedOn w:val="DefaultParagraphFont"/>
    <w:uiPriority w:val="99"/>
    <w:rsid w:val="00042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iranicaonline.org"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265df50-8535-4c41-9871-62393a5367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D10620D2F330449EA9D9CE3A4D8D68" ma:contentTypeVersion="17" ma:contentTypeDescription="Create a new document." ma:contentTypeScope="" ma:versionID="a2cd1d08f01348fbe25e7da19e34386b">
  <xsd:schema xmlns:xsd="http://www.w3.org/2001/XMLSchema" xmlns:xs="http://www.w3.org/2001/XMLSchema" xmlns:p="http://schemas.microsoft.com/office/2006/metadata/properties" xmlns:ns3="3265df50-8535-4c41-9871-62393a53679a" xmlns:ns4="4602a4d8-0be1-44b4-86f7-1a1d11f291e9" targetNamespace="http://schemas.microsoft.com/office/2006/metadata/properties" ma:root="true" ma:fieldsID="084e2333f34aa0af01cfc075b15bda5f" ns3:_="" ns4:_="">
    <xsd:import namespace="3265df50-8535-4c41-9871-62393a53679a"/>
    <xsd:import namespace="4602a4d8-0be1-44b4-86f7-1a1d11f291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SearchPropertie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5df50-8535-4c41-9871-62393a536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02a4d8-0be1-44b4-86f7-1a1d11f291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65876-DF83-4B51-9ED1-2AE077FEF7C0}">
  <ds:schemaRefs>
    <ds:schemaRef ds:uri="http://schemas.openxmlformats.org/officeDocument/2006/bibliography"/>
  </ds:schemaRefs>
</ds:datastoreItem>
</file>

<file path=customXml/itemProps2.xml><?xml version="1.0" encoding="utf-8"?>
<ds:datastoreItem xmlns:ds="http://schemas.openxmlformats.org/officeDocument/2006/customXml" ds:itemID="{BA841866-2BD0-4EC1-AB0F-DF3515B4BF28}">
  <ds:schemaRefs>
    <ds:schemaRef ds:uri="http://schemas.microsoft.com/office/2006/metadata/properties"/>
    <ds:schemaRef ds:uri="http://schemas.microsoft.com/office/infopath/2007/PartnerControls"/>
    <ds:schemaRef ds:uri="3265df50-8535-4c41-9871-62393a53679a"/>
  </ds:schemaRefs>
</ds:datastoreItem>
</file>

<file path=customXml/itemProps3.xml><?xml version="1.0" encoding="utf-8"?>
<ds:datastoreItem xmlns:ds="http://schemas.openxmlformats.org/officeDocument/2006/customXml" ds:itemID="{65B9C602-1B4A-4369-BB13-A1F6ACCAC569}">
  <ds:schemaRefs>
    <ds:schemaRef ds:uri="http://schemas.microsoft.com/sharepoint/v3/contenttype/forms"/>
  </ds:schemaRefs>
</ds:datastoreItem>
</file>

<file path=customXml/itemProps4.xml><?xml version="1.0" encoding="utf-8"?>
<ds:datastoreItem xmlns:ds="http://schemas.openxmlformats.org/officeDocument/2006/customXml" ds:itemID="{363B8D67-6D2D-483C-9AAD-221A21B0F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5df50-8535-4c41-9871-62393a53679a"/>
    <ds:schemaRef ds:uri="4602a4d8-0be1-44b4-86f7-1a1d11f29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4420</Words>
  <Characters>25196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Benfey</dc:creator>
  <cp:keywords/>
  <dc:description/>
  <cp:lastModifiedBy>Thomas Benfey</cp:lastModifiedBy>
  <cp:revision>2</cp:revision>
  <dcterms:created xsi:type="dcterms:W3CDTF">2024-11-12T09:47:00Z</dcterms:created>
  <dcterms:modified xsi:type="dcterms:W3CDTF">2024-11-12T09:47:00Z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0x01010052D10620D2F330449EA9D9CE3A4D8D68</vt:lpwstr>
  </property>
  <property fmtid="{D5CDD505-2E9C-101B-9397-08002B2CF9AE}" pid="3" name="MSIP_Label_b98fac97-8d33-4425-95a4-f76d2cce012e_Enabled">
    <vt:lpwstr>true</vt:lpwstr>
  </property>
  <property fmtid="{D5CDD505-2E9C-101B-9397-08002B2CF9AE}" pid="4" name="MSIP_Label_b98fac97-8d33-4425-95a4-f76d2cce012e_SetDate">
    <vt:lpwstr>2024-07-23T10:21:11Z</vt:lpwstr>
  </property>
  <property fmtid="{D5CDD505-2E9C-101B-9397-08002B2CF9AE}" pid="5" name="MSIP_Label_b98fac97-8d33-4425-95a4-f76d2cce012e_Method">
    <vt:lpwstr>Standard</vt:lpwstr>
  </property>
  <property fmtid="{D5CDD505-2E9C-101B-9397-08002B2CF9AE}" pid="6" name="MSIP_Label_b98fac97-8d33-4425-95a4-f76d2cce012e_Name">
    <vt:lpwstr>defa4170-0d19-0005-0004-bc88714345d2</vt:lpwstr>
  </property>
  <property fmtid="{D5CDD505-2E9C-101B-9397-08002B2CF9AE}" pid="7" name="MSIP_Label_b98fac97-8d33-4425-95a4-f76d2cce012e_SiteId">
    <vt:lpwstr>674dd0a1-ae62-42c7-a39f-69ee199537a8</vt:lpwstr>
  </property>
  <property fmtid="{D5CDD505-2E9C-101B-9397-08002B2CF9AE}" pid="8" name="MSIP_Label_b98fac97-8d33-4425-95a4-f76d2cce012e_ActionId">
    <vt:lpwstr>9e6ac45f-2c13-4230-96b4-aafaaa10152d</vt:lpwstr>
  </property>
  <property fmtid="{D5CDD505-2E9C-101B-9397-08002B2CF9AE}" pid="9" name="MSIP_Label_b98fac97-8d33-4425-95a4-f76d2cce012e_ContentBits">
    <vt:lpwstr>0</vt:lpwstr>
  </property>
</Properties>
</file>