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40" w:rsidRDefault="002F4440" w:rsidP="002F4440">
      <w:pPr>
        <w:spacing w:line="240" w:lineRule="auto"/>
        <w:ind w:firstLine="284"/>
        <w:jc w:val="both"/>
        <w:rPr>
          <w:b/>
        </w:rPr>
      </w:pPr>
      <w:r>
        <w:rPr>
          <w:b/>
        </w:rPr>
        <w:t>Table 1. List of thematic categories for the content analysis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5"/>
        <w:gridCol w:w="5220"/>
      </w:tblGrid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tabs>
                <w:tab w:val="center" w:pos="1639"/>
              </w:tabs>
              <w:spacing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ab/>
            </w:r>
            <w:r w:rsidRPr="00652D67">
              <w:rPr>
                <w:b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center"/>
              <w:rPr>
                <w:b/>
                <w:sz w:val="20"/>
                <w:szCs w:val="20"/>
                <w:lang w:val="en-US"/>
              </w:rPr>
            </w:pPr>
            <w:r w:rsidRPr="00652D67">
              <w:rPr>
                <w:b/>
                <w:sz w:val="20"/>
                <w:szCs w:val="20"/>
                <w:lang w:val="en-US"/>
              </w:rPr>
              <w:t>Theme specifications, if any</w:t>
            </w: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(1) Context –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Cont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Framing of the juncture; legitimation strategy; visions of the future</w:t>
            </w: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(2) Democracy &amp; Institutions</w:t>
            </w:r>
            <w:r w:rsidRPr="00652D67">
              <w:rPr>
                <w:i/>
                <w:sz w:val="20"/>
                <w:szCs w:val="20"/>
                <w:lang w:val="en-US"/>
              </w:rPr>
              <w:t> </w:t>
            </w:r>
            <w:r w:rsidRPr="00652D67">
              <w:rPr>
                <w:sz w:val="20"/>
                <w:szCs w:val="20"/>
                <w:lang w:val="en-US"/>
              </w:rPr>
              <w:t xml:space="preserve">- </w:t>
            </w:r>
            <w:r w:rsidRPr="00652D67">
              <w:rPr>
                <w:i/>
                <w:sz w:val="20"/>
                <w:szCs w:val="20"/>
                <w:lang w:val="en-US"/>
              </w:rPr>
              <w:t>D&amp;I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Electoral law and referendums; representative democracy and parties; parliament-government circuit</w:t>
            </w: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(3) State reform – </w:t>
            </w:r>
            <w:r w:rsidRPr="00652D67">
              <w:rPr>
                <w:i/>
                <w:sz w:val="20"/>
                <w:szCs w:val="20"/>
                <w:lang w:val="en-US"/>
              </w:rPr>
              <w:t>SR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Reform of the state, public administration</w:t>
            </w: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(4) Public finance and budget – </w:t>
            </w:r>
            <w:r w:rsidRPr="00652D67">
              <w:rPr>
                <w:i/>
                <w:sz w:val="20"/>
                <w:szCs w:val="20"/>
                <w:lang w:val="en-US"/>
              </w:rPr>
              <w:t>PFB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(5) Privatization and Liberalization – </w:t>
            </w:r>
            <w:r w:rsidRPr="00652D67">
              <w:rPr>
                <w:i/>
                <w:sz w:val="20"/>
                <w:szCs w:val="20"/>
                <w:lang w:val="en-US"/>
              </w:rPr>
              <w:t>PL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(6) Inflation and monetary policy – 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InfMon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(7) </w:t>
            </w:r>
            <w:proofErr w:type="spellStart"/>
            <w:r w:rsidRPr="00652D67">
              <w:rPr>
                <w:sz w:val="20"/>
                <w:szCs w:val="20"/>
                <w:lang w:val="en-US"/>
              </w:rPr>
              <w:t>Labour</w:t>
            </w:r>
            <w:proofErr w:type="spellEnd"/>
            <w:r w:rsidRPr="00652D67">
              <w:rPr>
                <w:sz w:val="20"/>
                <w:szCs w:val="20"/>
                <w:lang w:val="en-US"/>
              </w:rPr>
              <w:t xml:space="preserve"> policy – </w:t>
            </w:r>
            <w:r w:rsidRPr="00652D67">
              <w:rPr>
                <w:i/>
                <w:sz w:val="20"/>
                <w:szCs w:val="20"/>
                <w:lang w:val="en-US"/>
              </w:rPr>
              <w:t>Lab</w:t>
            </w:r>
            <w:r w:rsidRPr="00652D6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(8) Economic and Productive System -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EcPro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Structural reforms and macroeconomic policy; market and competition; infrastructures and investments; public-private partnership</w:t>
            </w: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(9) Tax policy – </w:t>
            </w:r>
            <w:r w:rsidRPr="00652D67">
              <w:rPr>
                <w:i/>
                <w:sz w:val="20"/>
                <w:szCs w:val="20"/>
                <w:lang w:val="en-US"/>
              </w:rPr>
              <w:t>Tax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(10) Pension system –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Pe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(11) Education –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Edu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(12) Cultural Heritage – </w:t>
            </w:r>
            <w:r w:rsidRPr="00652D67">
              <w:rPr>
                <w:i/>
                <w:sz w:val="20"/>
                <w:szCs w:val="20"/>
                <w:lang w:val="en-US"/>
              </w:rPr>
              <w:t>CH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(13) National Health System – </w:t>
            </w:r>
            <w:r w:rsidRPr="00652D67">
              <w:rPr>
                <w:i/>
                <w:sz w:val="20"/>
                <w:szCs w:val="20"/>
                <w:lang w:val="en-US"/>
              </w:rPr>
              <w:t>NHS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(14) </w:t>
            </w:r>
            <w:proofErr w:type="spellStart"/>
            <w:r w:rsidRPr="00652D67">
              <w:rPr>
                <w:sz w:val="20"/>
                <w:szCs w:val="20"/>
                <w:lang w:val="en-US"/>
              </w:rPr>
              <w:t>Mezzogiorno</w:t>
            </w:r>
            <w:proofErr w:type="spellEnd"/>
            <w:r w:rsidRPr="00652D67">
              <w:rPr>
                <w:sz w:val="20"/>
                <w:szCs w:val="20"/>
                <w:lang w:val="en-US"/>
              </w:rPr>
              <w:t xml:space="preserve">  –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Mezz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Southern Italy; North-South divide</w:t>
            </w: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(15) Agriculture –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Agri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(16) Environmental policy – </w:t>
            </w:r>
            <w:r w:rsidRPr="00652D67">
              <w:rPr>
                <w:i/>
                <w:sz w:val="20"/>
                <w:szCs w:val="20"/>
                <w:lang w:val="en-US"/>
              </w:rPr>
              <w:t>EP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(17) Tourism – </w:t>
            </w:r>
            <w:r w:rsidRPr="00652D67">
              <w:rPr>
                <w:i/>
                <w:sz w:val="20"/>
                <w:szCs w:val="20"/>
                <w:lang w:val="en-US"/>
              </w:rPr>
              <w:t>Tour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(18) Armed forces and Security – </w:t>
            </w:r>
            <w:r w:rsidRPr="00652D67">
              <w:rPr>
                <w:i/>
                <w:sz w:val="20"/>
                <w:szCs w:val="20"/>
                <w:lang w:val="en-US"/>
              </w:rPr>
              <w:t>AFS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(19) Civil Society–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CivSoc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652D67">
              <w:rPr>
                <w:sz w:val="20"/>
                <w:szCs w:val="20"/>
                <w:lang w:val="en-US"/>
              </w:rPr>
              <w:t>family</w:t>
            </w:r>
            <w:proofErr w:type="gramEnd"/>
            <w:r w:rsidRPr="00652D67">
              <w:rPr>
                <w:sz w:val="20"/>
                <w:szCs w:val="20"/>
                <w:lang w:val="en-US"/>
              </w:rPr>
              <w:t>; private organizations; linguistic minorities</w:t>
            </w: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(20) Migration </w:t>
            </w:r>
            <w:r w:rsidRPr="00652D67">
              <w:rPr>
                <w:i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Mig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(21</w:t>
            </w:r>
            <w:proofErr w:type="gramStart"/>
            <w:r w:rsidRPr="00652D67">
              <w:rPr>
                <w:sz w:val="20"/>
                <w:szCs w:val="20"/>
                <w:lang w:val="en-US"/>
              </w:rPr>
              <w:t>)  Legal</w:t>
            </w:r>
            <w:proofErr w:type="gramEnd"/>
            <w:r w:rsidRPr="00652D67">
              <w:rPr>
                <w:sz w:val="20"/>
                <w:szCs w:val="20"/>
                <w:lang w:val="en-US"/>
              </w:rPr>
              <w:t xml:space="preserve"> system – </w:t>
            </w:r>
            <w:proofErr w:type="spellStart"/>
            <w:r w:rsidRPr="00652D67">
              <w:rPr>
                <w:i/>
                <w:sz w:val="20"/>
                <w:szCs w:val="20"/>
                <w:lang w:val="en-US"/>
              </w:rPr>
              <w:t>LegSyst</w:t>
            </w:r>
            <w:proofErr w:type="spellEnd"/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(22) European Union  </w:t>
            </w:r>
            <w:r w:rsidRPr="00652D67">
              <w:rPr>
                <w:sz w:val="20"/>
                <w:szCs w:val="20"/>
                <w:lang w:val="en-US"/>
              </w:rPr>
              <w:softHyphen/>
              <w:t xml:space="preserve">– </w:t>
            </w:r>
            <w:r w:rsidRPr="00652D67">
              <w:rPr>
                <w:i/>
                <w:sz w:val="20"/>
                <w:szCs w:val="20"/>
                <w:lang w:val="en-US"/>
              </w:rPr>
              <w:t>EU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>EU institutions; integration; EU as external constraint</w:t>
            </w:r>
          </w:p>
        </w:tc>
      </w:tr>
      <w:tr w:rsidR="002F4440" w:rsidRPr="00652D67" w:rsidTr="002F4440">
        <w:tc>
          <w:tcPr>
            <w:tcW w:w="3495" w:type="dxa"/>
          </w:tcPr>
          <w:p w:rsidR="002F4440" w:rsidRPr="00652D67" w:rsidRDefault="002F4440" w:rsidP="002F4440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652D67">
              <w:rPr>
                <w:sz w:val="20"/>
                <w:szCs w:val="20"/>
                <w:lang w:val="en-US"/>
              </w:rPr>
              <w:t xml:space="preserve">(23) International Relations </w:t>
            </w:r>
            <w:r w:rsidRPr="00652D67">
              <w:rPr>
                <w:i/>
                <w:sz w:val="20"/>
                <w:szCs w:val="20"/>
                <w:lang w:val="en-US"/>
              </w:rPr>
              <w:t>– IR</w:t>
            </w:r>
          </w:p>
        </w:tc>
        <w:tc>
          <w:tcPr>
            <w:tcW w:w="5220" w:type="dxa"/>
          </w:tcPr>
          <w:p w:rsidR="002F4440" w:rsidRPr="00652D67" w:rsidRDefault="002F4440" w:rsidP="002F4440">
            <w:pPr>
              <w:spacing w:line="240" w:lineRule="auto"/>
              <w:ind w:firstLine="18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2F4440" w:rsidRDefault="002F4440" w:rsidP="002F4440">
      <w:pPr>
        <w:spacing w:line="240" w:lineRule="auto"/>
        <w:ind w:firstLine="284"/>
        <w:jc w:val="both"/>
        <w:rPr>
          <w:b/>
        </w:rPr>
      </w:pPr>
    </w:p>
    <w:p w:rsidR="002F4440" w:rsidRPr="00652D67" w:rsidRDefault="002F4440" w:rsidP="002F4440">
      <w:pPr>
        <w:spacing w:line="240" w:lineRule="auto"/>
        <w:ind w:firstLine="284"/>
        <w:jc w:val="both"/>
        <w:rPr>
          <w:b/>
        </w:rPr>
      </w:pPr>
      <w:r w:rsidRPr="00652D67">
        <w:rPr>
          <w:b/>
        </w:rPr>
        <w:t>Source: authors’ elaboration</w:t>
      </w:r>
    </w:p>
    <w:p w:rsidR="00782917" w:rsidRDefault="00782917"/>
    <w:sectPr w:rsidR="00782917" w:rsidSect="007829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40"/>
    <w:rsid w:val="002F4440"/>
    <w:rsid w:val="003211D5"/>
    <w:rsid w:val="00782917"/>
    <w:rsid w:val="007A1EA8"/>
    <w:rsid w:val="00982939"/>
    <w:rsid w:val="00A9304F"/>
    <w:rsid w:val="00DC6E12"/>
    <w:rsid w:val="00E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FEC5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vertAlign w:val="superscript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440"/>
    <w:pPr>
      <w:spacing w:line="480" w:lineRule="auto"/>
    </w:pPr>
    <w:rPr>
      <w:rFonts w:eastAsia="Times New Roman"/>
      <w:vertAlign w:val="baseline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Predefinito"/>
    <w:uiPriority w:val="1"/>
    <w:qFormat/>
    <w:rsid w:val="00EA47E2"/>
    <w:pPr>
      <w:contextualSpacing/>
      <w:jc w:val="both"/>
    </w:pPr>
    <w:rPr>
      <w:rFonts w:ascii="Palatino Linotype" w:hAnsi="Palatino Linotype"/>
      <w:lang w:val="en-GB"/>
    </w:rPr>
  </w:style>
  <w:style w:type="table" w:styleId="Grigliatabella">
    <w:name w:val="Table Grid"/>
    <w:basedOn w:val="Tabellanormale"/>
    <w:uiPriority w:val="59"/>
    <w:rsid w:val="002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vertAlign w:val="superscript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440"/>
    <w:pPr>
      <w:spacing w:line="480" w:lineRule="auto"/>
    </w:pPr>
    <w:rPr>
      <w:rFonts w:eastAsia="Times New Roman"/>
      <w:vertAlign w:val="baseline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Predefinito"/>
    <w:uiPriority w:val="1"/>
    <w:qFormat/>
    <w:rsid w:val="00EA47E2"/>
    <w:pPr>
      <w:contextualSpacing/>
      <w:jc w:val="both"/>
    </w:pPr>
    <w:rPr>
      <w:rFonts w:ascii="Palatino Linotype" w:hAnsi="Palatino Linotype"/>
      <w:lang w:val="en-GB"/>
    </w:rPr>
  </w:style>
  <w:style w:type="table" w:styleId="Grigliatabella">
    <w:name w:val="Table Grid"/>
    <w:basedOn w:val="Tabellanormale"/>
    <w:uiPriority w:val="59"/>
    <w:rsid w:val="002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1128</Characters>
  <Application>Microsoft Macintosh Word</Application>
  <DocSecurity>0</DocSecurity>
  <Lines>19</Lines>
  <Paragraphs>3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Adraino Cozzolino</dc:creator>
  <cp:keywords/>
  <dc:description/>
  <cp:lastModifiedBy>Adraino Cozzolino</cp:lastModifiedBy>
  <cp:revision>1</cp:revision>
  <dcterms:created xsi:type="dcterms:W3CDTF">2023-06-23T09:49:00Z</dcterms:created>
  <dcterms:modified xsi:type="dcterms:W3CDTF">2023-06-23T12:08:00Z</dcterms:modified>
</cp:coreProperties>
</file>