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8F30" w14:textId="4443B452" w:rsidR="00862637" w:rsidRPr="00862637" w:rsidRDefault="00862637" w:rsidP="003B2649">
      <w:pPr>
        <w:spacing w:line="276" w:lineRule="auto"/>
        <w:rPr>
          <w:rFonts w:ascii="Times New Roman" w:hAnsi="Times New Roman" w:cs="Times New Roman"/>
          <w:lang w:val="en-GB"/>
        </w:rPr>
      </w:pPr>
      <w:r w:rsidRPr="00862637">
        <w:rPr>
          <w:rFonts w:ascii="Times New Roman" w:hAnsi="Times New Roman" w:cs="Times New Roman"/>
          <w:lang w:val="en-GB"/>
        </w:rPr>
        <w:t>Appendix to the article: When (and how) ideas become arguments. The regulation of party donations in Germany</w:t>
      </w:r>
    </w:p>
    <w:p w14:paraId="0B1986EE" w14:textId="77777777" w:rsidR="00862637" w:rsidRPr="00862637" w:rsidRDefault="00862637" w:rsidP="003B2649">
      <w:pPr>
        <w:spacing w:line="276" w:lineRule="auto"/>
        <w:rPr>
          <w:rFonts w:ascii="Times New Roman" w:hAnsi="Times New Roman" w:cs="Times New Roman"/>
          <w:lang w:val="en-GB"/>
        </w:rPr>
      </w:pPr>
    </w:p>
    <w:p w14:paraId="2790F886" w14:textId="477E1B1B" w:rsidR="0013131D" w:rsidRDefault="00460B2F" w:rsidP="003B2649">
      <w:pPr>
        <w:spacing w:line="276" w:lineRule="auto"/>
        <w:rPr>
          <w:rFonts w:ascii="Times New Roman" w:hAnsi="Times New Roman" w:cs="Times New Roman"/>
          <w:b/>
          <w:bCs/>
          <w:lang w:val="en-GB"/>
        </w:rPr>
      </w:pPr>
      <w:r>
        <w:rPr>
          <w:rFonts w:ascii="Times New Roman" w:hAnsi="Times New Roman" w:cs="Times New Roman"/>
          <w:b/>
          <w:bCs/>
          <w:lang w:val="en-GB"/>
        </w:rPr>
        <w:t xml:space="preserve">Table A1: </w:t>
      </w:r>
      <w:r w:rsidR="0013131D" w:rsidRPr="00862637">
        <w:rPr>
          <w:rFonts w:ascii="Times New Roman" w:hAnsi="Times New Roman" w:cs="Times New Roman"/>
          <w:b/>
          <w:bCs/>
          <w:lang w:val="en-GB"/>
        </w:rPr>
        <w:t>Coding frame for Bundestag debates on the regulation of donations</w:t>
      </w:r>
      <w:r>
        <w:rPr>
          <w:rFonts w:ascii="Times New Roman" w:hAnsi="Times New Roman" w:cs="Times New Roman"/>
          <w:b/>
          <w:bCs/>
          <w:lang w:val="en-GB"/>
        </w:rPr>
        <w:t>, 1986 debate</w:t>
      </w:r>
    </w:p>
    <w:p w14:paraId="44617A10" w14:textId="77777777" w:rsidR="003B2649" w:rsidRPr="003B2649" w:rsidRDefault="003B2649" w:rsidP="003B2649">
      <w:pPr>
        <w:spacing w:line="276" w:lineRule="auto"/>
        <w:rPr>
          <w:rFonts w:ascii="Times New Roman" w:hAnsi="Times New Roman" w:cs="Times New Roman"/>
          <w:b/>
          <w:bCs/>
          <w:lang w:val="en-GB"/>
        </w:rPr>
      </w:pPr>
    </w:p>
    <w:tbl>
      <w:tblPr>
        <w:tblStyle w:val="Tabellenraster"/>
        <w:tblW w:w="0" w:type="auto"/>
        <w:tblLook w:val="04A0" w:firstRow="1" w:lastRow="0" w:firstColumn="1" w:lastColumn="0" w:noHBand="0" w:noVBand="1"/>
      </w:tblPr>
      <w:tblGrid>
        <w:gridCol w:w="1555"/>
        <w:gridCol w:w="3118"/>
        <w:gridCol w:w="4383"/>
      </w:tblGrid>
      <w:tr w:rsidR="00862637" w:rsidRPr="00B71466" w14:paraId="0DE9A458" w14:textId="77777777" w:rsidTr="00862637">
        <w:tc>
          <w:tcPr>
            <w:tcW w:w="1555" w:type="dxa"/>
            <w:tcBorders>
              <w:bottom w:val="single" w:sz="4" w:space="0" w:color="auto"/>
            </w:tcBorders>
          </w:tcPr>
          <w:p w14:paraId="5E87D153" w14:textId="6AEDE3F8" w:rsidR="00862637" w:rsidRPr="00B71466" w:rsidRDefault="00862637" w:rsidP="00794F5D">
            <w:pPr>
              <w:spacing w:before="60" w:after="60"/>
              <w:rPr>
                <w:rFonts w:ascii="Times New Roman" w:hAnsi="Times New Roman" w:cs="Times New Roman"/>
                <w:i/>
                <w:iCs/>
                <w:lang w:val="en-GB"/>
              </w:rPr>
            </w:pPr>
            <w:r w:rsidRPr="00B71466">
              <w:rPr>
                <w:rFonts w:ascii="Times New Roman" w:hAnsi="Times New Roman" w:cs="Times New Roman"/>
                <w:i/>
                <w:iCs/>
                <w:lang w:val="en-GB"/>
              </w:rPr>
              <w:t>Code</w:t>
            </w:r>
          </w:p>
        </w:tc>
        <w:tc>
          <w:tcPr>
            <w:tcW w:w="3118" w:type="dxa"/>
            <w:tcBorders>
              <w:bottom w:val="single" w:sz="4" w:space="0" w:color="auto"/>
            </w:tcBorders>
          </w:tcPr>
          <w:p w14:paraId="1B7641EF" w14:textId="082F5F24" w:rsidR="00862637" w:rsidRPr="00B71466" w:rsidRDefault="00794F5D" w:rsidP="00794F5D">
            <w:pPr>
              <w:spacing w:before="60" w:after="60"/>
              <w:rPr>
                <w:rFonts w:ascii="Times New Roman" w:hAnsi="Times New Roman" w:cs="Times New Roman"/>
                <w:i/>
                <w:iCs/>
                <w:lang w:val="en-GB"/>
              </w:rPr>
            </w:pPr>
            <w:r w:rsidRPr="00B71466">
              <w:rPr>
                <w:rFonts w:ascii="Times New Roman" w:hAnsi="Times New Roman" w:cs="Times New Roman"/>
                <w:i/>
                <w:iCs/>
                <w:lang w:val="en-GB"/>
              </w:rPr>
              <w:t>Definition</w:t>
            </w:r>
            <w:r w:rsidR="00862637" w:rsidRPr="00B71466">
              <w:rPr>
                <w:rFonts w:ascii="Times New Roman" w:hAnsi="Times New Roman" w:cs="Times New Roman"/>
                <w:i/>
                <w:iCs/>
                <w:lang w:val="en-GB"/>
              </w:rPr>
              <w:t xml:space="preserve"> </w:t>
            </w:r>
          </w:p>
        </w:tc>
        <w:tc>
          <w:tcPr>
            <w:tcW w:w="4383" w:type="dxa"/>
            <w:tcBorders>
              <w:bottom w:val="single" w:sz="4" w:space="0" w:color="auto"/>
            </w:tcBorders>
          </w:tcPr>
          <w:p w14:paraId="22CC2D11" w14:textId="363B8778" w:rsidR="00862637" w:rsidRPr="00B71466" w:rsidRDefault="00862637" w:rsidP="00794F5D">
            <w:pPr>
              <w:spacing w:before="60" w:after="60"/>
              <w:rPr>
                <w:rFonts w:ascii="Times New Roman" w:hAnsi="Times New Roman" w:cs="Times New Roman"/>
                <w:i/>
                <w:iCs/>
                <w:lang w:val="en-GB"/>
              </w:rPr>
            </w:pPr>
            <w:r w:rsidRPr="00B71466">
              <w:rPr>
                <w:rFonts w:ascii="Times New Roman" w:hAnsi="Times New Roman" w:cs="Times New Roman"/>
                <w:i/>
                <w:iCs/>
                <w:lang w:val="en-GB"/>
              </w:rPr>
              <w:t>Example</w:t>
            </w:r>
          </w:p>
        </w:tc>
      </w:tr>
      <w:tr w:rsidR="00862637" w:rsidRPr="00B71466" w14:paraId="12D85D9B" w14:textId="77777777" w:rsidTr="00862637">
        <w:tc>
          <w:tcPr>
            <w:tcW w:w="1555" w:type="dxa"/>
            <w:tcBorders>
              <w:bottom w:val="nil"/>
            </w:tcBorders>
          </w:tcPr>
          <w:p w14:paraId="57527C2A" w14:textId="49A15BB6" w:rsidR="00862637" w:rsidRPr="00B71466" w:rsidRDefault="00862637" w:rsidP="00794F5D">
            <w:pPr>
              <w:spacing w:before="60" w:after="60"/>
              <w:rPr>
                <w:rFonts w:ascii="Times New Roman" w:hAnsi="Times New Roman" w:cs="Times New Roman"/>
                <w:lang w:val="en-GB"/>
              </w:rPr>
            </w:pPr>
            <w:r w:rsidRPr="00B71466">
              <w:rPr>
                <w:rFonts w:ascii="Times New Roman" w:hAnsi="Times New Roman" w:cs="Times New Roman"/>
                <w:lang w:val="en-GB"/>
              </w:rPr>
              <w:t>Continuity to National socialism</w:t>
            </w:r>
          </w:p>
        </w:tc>
        <w:tc>
          <w:tcPr>
            <w:tcW w:w="3118" w:type="dxa"/>
            <w:tcBorders>
              <w:bottom w:val="nil"/>
            </w:tcBorders>
          </w:tcPr>
          <w:p w14:paraId="127239F1" w14:textId="15DC7C31" w:rsidR="00862637" w:rsidRPr="00B71466" w:rsidRDefault="00862637" w:rsidP="00794F5D">
            <w:pPr>
              <w:spacing w:before="60" w:after="60"/>
              <w:rPr>
                <w:rFonts w:ascii="Times New Roman" w:hAnsi="Times New Roman" w:cs="Times New Roman"/>
                <w:lang w:val="en-GB"/>
              </w:rPr>
            </w:pPr>
            <w:r w:rsidRPr="00B71466">
              <w:rPr>
                <w:rFonts w:ascii="Times New Roman" w:hAnsi="Times New Roman" w:cs="Times New Roman"/>
                <w:lang w:val="en-GB"/>
              </w:rPr>
              <w:t>Statements that relate private donations, especially large and/or corporate ones, to National Socialism, especially to business funding to the NSDAP by the “Friends of Heinrich Himmler” circle.</w:t>
            </w:r>
          </w:p>
        </w:tc>
        <w:tc>
          <w:tcPr>
            <w:tcW w:w="4383" w:type="dxa"/>
            <w:tcBorders>
              <w:bottom w:val="nil"/>
            </w:tcBorders>
          </w:tcPr>
          <w:p w14:paraId="43258E7E" w14:textId="2B440BF8" w:rsidR="00862637" w:rsidRPr="00B71466" w:rsidRDefault="00862637" w:rsidP="00794F5D">
            <w:pPr>
              <w:spacing w:before="60" w:after="60"/>
              <w:rPr>
                <w:rFonts w:ascii="Times New Roman" w:hAnsi="Times New Roman" w:cs="Times New Roman"/>
                <w:lang w:val="en-GB"/>
              </w:rPr>
            </w:pPr>
            <w:r w:rsidRPr="00B71466">
              <w:rPr>
                <w:rFonts w:ascii="Times New Roman" w:hAnsi="Times New Roman" w:cs="Times New Roman"/>
                <w:lang w:val="en-GB"/>
              </w:rPr>
              <w:t>“Given the dark and criminal history of the financial power of the Flick company, the lack of any break with the continuity of the Flick rule is the worst fact the committee [of inquiry] could find, even worse than any crime the Flick company was involved in.”</w:t>
            </w:r>
            <w:r w:rsidR="00794F5D" w:rsidRPr="00B71466">
              <w:rPr>
                <w:rFonts w:ascii="Times New Roman" w:hAnsi="Times New Roman" w:cs="Times New Roman"/>
                <w:lang w:val="en-GB"/>
              </w:rPr>
              <w:t xml:space="preserve"> </w:t>
            </w:r>
            <w:r w:rsidRPr="00B71466">
              <w:rPr>
                <w:rFonts w:ascii="Times New Roman" w:hAnsi="Times New Roman" w:cs="Times New Roman"/>
                <w:lang w:val="en-GB"/>
              </w:rPr>
              <w:t>(Green M</w:t>
            </w:r>
            <w:r w:rsidR="0097406F" w:rsidRPr="00B71466">
              <w:rPr>
                <w:rFonts w:ascii="Times New Roman" w:hAnsi="Times New Roman" w:cs="Times New Roman"/>
                <w:lang w:val="en-GB"/>
              </w:rPr>
              <w:t>P</w:t>
            </w:r>
            <w:r w:rsidRPr="00B71466">
              <w:rPr>
                <w:rFonts w:ascii="Times New Roman" w:hAnsi="Times New Roman" w:cs="Times New Roman"/>
                <w:lang w:val="en-GB"/>
              </w:rPr>
              <w:t xml:space="preserve"> Otto Schily, Bundestag 1986/3/13, 15646)</w:t>
            </w:r>
            <w:r w:rsidR="008835EE" w:rsidRPr="00B71466">
              <w:rPr>
                <w:rFonts w:ascii="Times New Roman" w:hAnsi="Times New Roman" w:cs="Times New Roman"/>
                <w:lang w:val="en-GB"/>
              </w:rPr>
              <w:t>.</w:t>
            </w:r>
          </w:p>
        </w:tc>
      </w:tr>
      <w:tr w:rsidR="00862637" w:rsidRPr="00B71466" w14:paraId="6A6BB5E9" w14:textId="77777777" w:rsidTr="00862637">
        <w:tc>
          <w:tcPr>
            <w:tcW w:w="1555" w:type="dxa"/>
            <w:tcBorders>
              <w:top w:val="nil"/>
              <w:bottom w:val="nil"/>
            </w:tcBorders>
          </w:tcPr>
          <w:p w14:paraId="118BB105" w14:textId="1D268707" w:rsidR="00862637" w:rsidRPr="00B71466" w:rsidRDefault="00862637" w:rsidP="00794F5D">
            <w:pPr>
              <w:spacing w:before="60" w:after="60"/>
              <w:rPr>
                <w:rFonts w:ascii="Times New Roman" w:hAnsi="Times New Roman" w:cs="Times New Roman"/>
                <w:lang w:val="en-GB"/>
              </w:rPr>
            </w:pPr>
            <w:r w:rsidRPr="00B71466">
              <w:rPr>
                <w:rFonts w:ascii="Times New Roman" w:hAnsi="Times New Roman" w:cs="Times New Roman"/>
                <w:lang w:val="en-GB"/>
              </w:rPr>
              <w:t>Danger of corruption</w:t>
            </w:r>
          </w:p>
        </w:tc>
        <w:tc>
          <w:tcPr>
            <w:tcW w:w="3118" w:type="dxa"/>
            <w:tcBorders>
              <w:top w:val="nil"/>
              <w:bottom w:val="nil"/>
            </w:tcBorders>
          </w:tcPr>
          <w:p w14:paraId="3712B8A6" w14:textId="05C8B983" w:rsidR="00862637" w:rsidRPr="00B71466" w:rsidRDefault="00794F5D" w:rsidP="00794F5D">
            <w:pPr>
              <w:spacing w:before="60" w:after="60"/>
              <w:rPr>
                <w:rFonts w:ascii="Times New Roman" w:hAnsi="Times New Roman" w:cs="Times New Roman"/>
                <w:lang w:val="en-GB"/>
              </w:rPr>
            </w:pPr>
            <w:r w:rsidRPr="00B71466">
              <w:rPr>
                <w:rFonts w:ascii="Times New Roman" w:hAnsi="Times New Roman" w:cs="Times New Roman"/>
                <w:lang w:val="en-GB"/>
              </w:rPr>
              <w:t xml:space="preserve">Statements that regard large and/or corporate donations as a threat to democracy irrespective of the German past, simply because they increase the dependency of political parties on wealthy donors. </w:t>
            </w:r>
          </w:p>
        </w:tc>
        <w:tc>
          <w:tcPr>
            <w:tcW w:w="4383" w:type="dxa"/>
            <w:tcBorders>
              <w:top w:val="nil"/>
              <w:bottom w:val="nil"/>
            </w:tcBorders>
          </w:tcPr>
          <w:p w14:paraId="64429C1B" w14:textId="325969FE" w:rsidR="00794F5D" w:rsidRPr="00B71466" w:rsidRDefault="00794F5D" w:rsidP="00794F5D">
            <w:pPr>
              <w:spacing w:before="60" w:after="60"/>
              <w:rPr>
                <w:rFonts w:ascii="Times New Roman" w:hAnsi="Times New Roman" w:cs="Times New Roman"/>
                <w:lang w:val="en-GB"/>
              </w:rPr>
            </w:pPr>
            <w:r w:rsidRPr="00B71466">
              <w:rPr>
                <w:rFonts w:ascii="Times New Roman" w:hAnsi="Times New Roman" w:cs="Times New Roman"/>
                <w:lang w:val="en-GB"/>
              </w:rPr>
              <w:t>“The apparent strong financial dependence of the FDP is similarly disreputable. The corporate attempt to save the FDP in 1975/76, in which the Flick company participated with EUR 1.5 million – it is a pity we do not know how much other companies gave –, illustrates that without corporate money, the FDP and its parliamentary branch would have ceased to exist</w:t>
            </w:r>
            <w:r w:rsidR="003B2649" w:rsidRPr="00B71466">
              <w:rPr>
                <w:rFonts w:ascii="Times New Roman" w:hAnsi="Times New Roman" w:cs="Times New Roman"/>
                <w:lang w:val="en-GB"/>
              </w:rPr>
              <w:t>.” (SPD M</w:t>
            </w:r>
            <w:r w:rsidR="0097406F" w:rsidRPr="00B71466">
              <w:rPr>
                <w:rFonts w:ascii="Times New Roman" w:hAnsi="Times New Roman" w:cs="Times New Roman"/>
                <w:lang w:val="en-GB"/>
              </w:rPr>
              <w:t>P</w:t>
            </w:r>
            <w:r w:rsidR="003B2649" w:rsidRPr="00B71466">
              <w:rPr>
                <w:rFonts w:ascii="Times New Roman" w:hAnsi="Times New Roman" w:cs="Times New Roman"/>
                <w:lang w:val="en-GB"/>
              </w:rPr>
              <w:t xml:space="preserve"> Peter Struck, Bundestag 1986/3/13, 15652)</w:t>
            </w:r>
            <w:r w:rsidR="008835EE" w:rsidRPr="00B71466">
              <w:rPr>
                <w:rFonts w:ascii="Times New Roman" w:hAnsi="Times New Roman" w:cs="Times New Roman"/>
                <w:lang w:val="en-GB"/>
              </w:rPr>
              <w:t>.</w:t>
            </w:r>
          </w:p>
        </w:tc>
      </w:tr>
      <w:tr w:rsidR="00862637" w:rsidRPr="00B71466" w14:paraId="574FA0BC" w14:textId="77777777" w:rsidTr="00B71466">
        <w:tc>
          <w:tcPr>
            <w:tcW w:w="1555" w:type="dxa"/>
            <w:tcBorders>
              <w:top w:val="nil"/>
              <w:bottom w:val="nil"/>
            </w:tcBorders>
          </w:tcPr>
          <w:p w14:paraId="75A24C34" w14:textId="6625C7D4" w:rsidR="00862637" w:rsidRPr="00B71466" w:rsidRDefault="00862637" w:rsidP="00794F5D">
            <w:pPr>
              <w:spacing w:before="60" w:after="60"/>
              <w:rPr>
                <w:rFonts w:ascii="Times New Roman" w:hAnsi="Times New Roman" w:cs="Times New Roman"/>
                <w:lang w:val="en-GB"/>
              </w:rPr>
            </w:pPr>
            <w:r w:rsidRPr="00B71466">
              <w:rPr>
                <w:rFonts w:ascii="Times New Roman" w:hAnsi="Times New Roman" w:cs="Times New Roman"/>
                <w:lang w:val="en-GB"/>
              </w:rPr>
              <w:t>Prevention of Communism</w:t>
            </w:r>
          </w:p>
        </w:tc>
        <w:tc>
          <w:tcPr>
            <w:tcW w:w="3118" w:type="dxa"/>
            <w:tcBorders>
              <w:top w:val="nil"/>
              <w:bottom w:val="nil"/>
            </w:tcBorders>
          </w:tcPr>
          <w:p w14:paraId="6E5256AE" w14:textId="18D998DB" w:rsidR="00862637" w:rsidRPr="00B71466" w:rsidRDefault="003B2649" w:rsidP="00794F5D">
            <w:pPr>
              <w:spacing w:before="60" w:after="60"/>
              <w:rPr>
                <w:rFonts w:ascii="Times New Roman" w:hAnsi="Times New Roman" w:cs="Times New Roman"/>
                <w:lang w:val="en-GB"/>
              </w:rPr>
            </w:pPr>
            <w:r w:rsidRPr="00B71466">
              <w:rPr>
                <w:rFonts w:ascii="Times New Roman" w:hAnsi="Times New Roman" w:cs="Times New Roman"/>
                <w:lang w:val="en-GB"/>
              </w:rPr>
              <w:t xml:space="preserve">Statements that regard any donation – corporate, large, or undisclosed – as preferable over no donation because donations ensure that Communist ideas cannot take root in Germany. </w:t>
            </w:r>
          </w:p>
        </w:tc>
        <w:tc>
          <w:tcPr>
            <w:tcW w:w="4383" w:type="dxa"/>
            <w:tcBorders>
              <w:top w:val="nil"/>
              <w:bottom w:val="nil"/>
            </w:tcBorders>
          </w:tcPr>
          <w:p w14:paraId="67D451B6" w14:textId="2C1AA7D8" w:rsidR="00862637" w:rsidRPr="00B71466" w:rsidRDefault="0097406F" w:rsidP="00794F5D">
            <w:pPr>
              <w:spacing w:before="60" w:after="60"/>
              <w:rPr>
                <w:rFonts w:ascii="Times New Roman" w:hAnsi="Times New Roman" w:cs="Times New Roman"/>
                <w:lang w:val="en-GB"/>
              </w:rPr>
            </w:pPr>
            <w:r w:rsidRPr="00B71466">
              <w:rPr>
                <w:rFonts w:ascii="Times New Roman" w:hAnsi="Times New Roman" w:cs="Times New Roman"/>
                <w:lang w:val="en-GB"/>
              </w:rPr>
              <w:t>“Only the German Communist Party receives a higher share of state funding than the Greens […], even though this funding is provided by another country [the Soviet Union].” (CDU MP Manfred Langner, Bundestag 1986/3/13, 15632).</w:t>
            </w:r>
          </w:p>
        </w:tc>
      </w:tr>
      <w:tr w:rsidR="00862637" w:rsidRPr="00B71466" w14:paraId="44E3DF98" w14:textId="77777777" w:rsidTr="00B71466">
        <w:tc>
          <w:tcPr>
            <w:tcW w:w="1555" w:type="dxa"/>
            <w:tcBorders>
              <w:top w:val="nil"/>
              <w:bottom w:val="single" w:sz="4" w:space="0" w:color="auto"/>
            </w:tcBorders>
          </w:tcPr>
          <w:p w14:paraId="6E392319" w14:textId="02A460EC" w:rsidR="00862637" w:rsidRPr="00B71466" w:rsidRDefault="00862637" w:rsidP="00794F5D">
            <w:pPr>
              <w:spacing w:before="60" w:after="60"/>
              <w:rPr>
                <w:rFonts w:ascii="Times New Roman" w:hAnsi="Times New Roman" w:cs="Times New Roman"/>
                <w:lang w:val="en-GB"/>
              </w:rPr>
            </w:pPr>
            <w:r w:rsidRPr="00B71466">
              <w:rPr>
                <w:rFonts w:ascii="Times New Roman" w:hAnsi="Times New Roman" w:cs="Times New Roman"/>
                <w:lang w:val="en-GB"/>
              </w:rPr>
              <w:t>Legal framework encourages donations</w:t>
            </w:r>
          </w:p>
        </w:tc>
        <w:tc>
          <w:tcPr>
            <w:tcW w:w="3118" w:type="dxa"/>
            <w:tcBorders>
              <w:top w:val="nil"/>
              <w:bottom w:val="single" w:sz="4" w:space="0" w:color="auto"/>
            </w:tcBorders>
          </w:tcPr>
          <w:p w14:paraId="21047A08" w14:textId="05CA6499" w:rsidR="00862637" w:rsidRPr="00B71466" w:rsidRDefault="00180A73" w:rsidP="00794F5D">
            <w:pPr>
              <w:spacing w:before="60" w:after="60"/>
              <w:rPr>
                <w:rFonts w:ascii="Times New Roman" w:hAnsi="Times New Roman" w:cs="Times New Roman"/>
                <w:lang w:val="en-GB"/>
              </w:rPr>
            </w:pPr>
            <w:r w:rsidRPr="00B71466">
              <w:rPr>
                <w:rFonts w:ascii="Times New Roman" w:hAnsi="Times New Roman" w:cs="Times New Roman"/>
                <w:lang w:val="en-GB"/>
              </w:rPr>
              <w:t>Statements that emphasise that t</w:t>
            </w:r>
            <w:r w:rsidR="0097406F" w:rsidRPr="00B71466">
              <w:rPr>
                <w:rFonts w:ascii="Times New Roman" w:hAnsi="Times New Roman" w:cs="Times New Roman"/>
                <w:lang w:val="en-GB"/>
              </w:rPr>
              <w:t xml:space="preserve">he German funding regime </w:t>
            </w:r>
            <w:r w:rsidRPr="00B71466">
              <w:rPr>
                <w:rFonts w:ascii="Times New Roman" w:hAnsi="Times New Roman" w:cs="Times New Roman"/>
                <w:lang w:val="en-GB"/>
              </w:rPr>
              <w:t>wa</w:t>
            </w:r>
            <w:r w:rsidR="0097406F" w:rsidRPr="00B71466">
              <w:rPr>
                <w:rFonts w:ascii="Times New Roman" w:hAnsi="Times New Roman" w:cs="Times New Roman"/>
                <w:lang w:val="en-GB"/>
              </w:rPr>
              <w:t xml:space="preserve">s designed to provide political parties with a mixed income from membership dues and state funding as well as donations for good reasons. </w:t>
            </w:r>
            <w:r w:rsidRPr="00B71466">
              <w:rPr>
                <w:rFonts w:ascii="Times New Roman" w:hAnsi="Times New Roman" w:cs="Times New Roman"/>
                <w:lang w:val="en-GB"/>
              </w:rPr>
              <w:t>If there were cases of i</w:t>
            </w:r>
            <w:r w:rsidR="0097406F" w:rsidRPr="00B71466">
              <w:rPr>
                <w:rFonts w:ascii="Times New Roman" w:hAnsi="Times New Roman" w:cs="Times New Roman"/>
                <w:lang w:val="en-GB"/>
              </w:rPr>
              <w:t>llicit funding</w:t>
            </w:r>
            <w:r w:rsidRPr="00B71466">
              <w:rPr>
                <w:rFonts w:ascii="Times New Roman" w:hAnsi="Times New Roman" w:cs="Times New Roman"/>
                <w:lang w:val="en-GB"/>
              </w:rPr>
              <w:t xml:space="preserve"> (which</w:t>
            </w:r>
            <w:r w:rsidR="0097406F" w:rsidRPr="00B71466">
              <w:rPr>
                <w:rFonts w:ascii="Times New Roman" w:hAnsi="Times New Roman" w:cs="Times New Roman"/>
                <w:lang w:val="en-GB"/>
              </w:rPr>
              <w:t xml:space="preserve"> </w:t>
            </w:r>
            <w:r w:rsidRPr="00B71466">
              <w:rPr>
                <w:rFonts w:ascii="Times New Roman" w:hAnsi="Times New Roman" w:cs="Times New Roman"/>
                <w:lang w:val="en-GB"/>
              </w:rPr>
              <w:t xml:space="preserve">these statements dispute), this </w:t>
            </w:r>
            <w:r w:rsidR="0097406F" w:rsidRPr="00B71466">
              <w:rPr>
                <w:rFonts w:ascii="Times New Roman" w:hAnsi="Times New Roman" w:cs="Times New Roman"/>
                <w:lang w:val="en-GB"/>
              </w:rPr>
              <w:t>call</w:t>
            </w:r>
            <w:r w:rsidRPr="00B71466">
              <w:rPr>
                <w:rFonts w:ascii="Times New Roman" w:hAnsi="Times New Roman" w:cs="Times New Roman"/>
                <w:lang w:val="en-GB"/>
              </w:rPr>
              <w:t>s</w:t>
            </w:r>
            <w:r w:rsidR="0097406F" w:rsidRPr="00B71466">
              <w:rPr>
                <w:rFonts w:ascii="Times New Roman" w:hAnsi="Times New Roman" w:cs="Times New Roman"/>
                <w:lang w:val="en-GB"/>
              </w:rPr>
              <w:t xml:space="preserve"> for incremental changes and not for structural reforms.</w:t>
            </w:r>
          </w:p>
        </w:tc>
        <w:tc>
          <w:tcPr>
            <w:tcW w:w="4383" w:type="dxa"/>
            <w:tcBorders>
              <w:top w:val="nil"/>
              <w:bottom w:val="single" w:sz="4" w:space="0" w:color="auto"/>
            </w:tcBorders>
          </w:tcPr>
          <w:p w14:paraId="43CA59CD" w14:textId="44ACC048" w:rsidR="00180A73" w:rsidRPr="00B71466" w:rsidRDefault="00180A73" w:rsidP="00B71466">
            <w:pPr>
              <w:spacing w:before="60" w:after="120"/>
              <w:rPr>
                <w:rFonts w:ascii="Times New Roman" w:hAnsi="Times New Roman" w:cs="Times New Roman"/>
                <w:lang w:val="en-GB"/>
              </w:rPr>
            </w:pPr>
            <w:r w:rsidRPr="00B71466">
              <w:rPr>
                <w:rFonts w:ascii="Times New Roman" w:hAnsi="Times New Roman" w:cs="Times New Roman"/>
                <w:lang w:val="en-GB"/>
              </w:rPr>
              <w:t xml:space="preserve">“I wish to ask you: </w:t>
            </w:r>
            <w:r w:rsidR="004F24DA" w:rsidRPr="00B71466">
              <w:rPr>
                <w:rFonts w:ascii="Times New Roman" w:hAnsi="Times New Roman" w:cs="Times New Roman"/>
                <w:lang w:val="en-GB"/>
              </w:rPr>
              <w:t xml:space="preserve">What is your charge against us? Do you charge us </w:t>
            </w:r>
            <w:r w:rsidR="00AE7C62" w:rsidRPr="00B71466">
              <w:rPr>
                <w:rFonts w:ascii="Times New Roman" w:hAnsi="Times New Roman" w:cs="Times New Roman"/>
                <w:lang w:val="en-GB"/>
              </w:rPr>
              <w:t>with</w:t>
            </w:r>
            <w:r w:rsidR="004F24DA" w:rsidRPr="00B71466">
              <w:rPr>
                <w:rFonts w:ascii="Times New Roman" w:hAnsi="Times New Roman" w:cs="Times New Roman"/>
                <w:lang w:val="en-GB"/>
              </w:rPr>
              <w:t xml:space="preserve"> receiving money from Flick?</w:t>
            </w:r>
            <w:r w:rsidR="00AE7C62" w:rsidRPr="00B71466">
              <w:rPr>
                <w:rFonts w:ascii="Times New Roman" w:hAnsi="Times New Roman" w:cs="Times New Roman"/>
                <w:lang w:val="en-GB"/>
              </w:rPr>
              <w:t xml:space="preserve"> Is it this was you charge us with, dear colleague Dr Struck? Obviously, this is the only remaining charge. Is this a problem? Is this unethical? </w:t>
            </w:r>
            <w:r w:rsidR="008835EE" w:rsidRPr="00B71466">
              <w:rPr>
                <w:rFonts w:ascii="Times New Roman" w:hAnsi="Times New Roman" w:cs="Times New Roman"/>
                <w:lang w:val="en-GB"/>
              </w:rPr>
              <w:t>Why criticize this, given that the Bundestag has – also with your votes – upheld, just like the Constitutional Court, that donations are also a politically necessary matter not to be criticized from a moral perspective?” (CDU MP Friedrich Bohl, Bundestag 1986/03/13, p. 15656).</w:t>
            </w:r>
          </w:p>
        </w:tc>
      </w:tr>
    </w:tbl>
    <w:p w14:paraId="748B41FE" w14:textId="77777777" w:rsidR="00B71466" w:rsidRDefault="00B71466"/>
    <w:p w14:paraId="295FEB90" w14:textId="3048E843" w:rsidR="00460B2F" w:rsidRDefault="00460B2F" w:rsidP="00460B2F">
      <w:pPr>
        <w:spacing w:line="276" w:lineRule="auto"/>
        <w:rPr>
          <w:rFonts w:ascii="Times New Roman" w:hAnsi="Times New Roman" w:cs="Times New Roman"/>
          <w:b/>
          <w:bCs/>
          <w:lang w:val="en-GB"/>
        </w:rPr>
      </w:pPr>
      <w:r>
        <w:rPr>
          <w:rFonts w:ascii="Times New Roman" w:hAnsi="Times New Roman" w:cs="Times New Roman"/>
          <w:b/>
          <w:bCs/>
          <w:lang w:val="en-GB"/>
        </w:rPr>
        <w:lastRenderedPageBreak/>
        <w:t xml:space="preserve">Table A2: </w:t>
      </w:r>
      <w:r w:rsidRPr="00862637">
        <w:rPr>
          <w:rFonts w:ascii="Times New Roman" w:hAnsi="Times New Roman" w:cs="Times New Roman"/>
          <w:b/>
          <w:bCs/>
          <w:lang w:val="en-GB"/>
        </w:rPr>
        <w:t>Coding frame for Bundestag debates on the regulation of donations</w:t>
      </w:r>
      <w:r>
        <w:rPr>
          <w:rFonts w:ascii="Times New Roman" w:hAnsi="Times New Roman" w:cs="Times New Roman"/>
          <w:b/>
          <w:bCs/>
          <w:lang w:val="en-GB"/>
        </w:rPr>
        <w:t>, 1993 debate</w:t>
      </w:r>
    </w:p>
    <w:p w14:paraId="07B48BD8" w14:textId="77777777" w:rsidR="00B71466" w:rsidRPr="00460B2F" w:rsidRDefault="00B71466">
      <w:pPr>
        <w:rPr>
          <w:lang w:val="en-US"/>
        </w:rPr>
      </w:pPr>
    </w:p>
    <w:tbl>
      <w:tblPr>
        <w:tblStyle w:val="Tabellenraster"/>
        <w:tblW w:w="0" w:type="auto"/>
        <w:tblLook w:val="04A0" w:firstRow="1" w:lastRow="0" w:firstColumn="1" w:lastColumn="0" w:noHBand="0" w:noVBand="1"/>
      </w:tblPr>
      <w:tblGrid>
        <w:gridCol w:w="1555"/>
        <w:gridCol w:w="3118"/>
        <w:gridCol w:w="4383"/>
      </w:tblGrid>
      <w:tr w:rsidR="00B71466" w:rsidRPr="00B71466" w14:paraId="1EDB24DF" w14:textId="77777777" w:rsidTr="00B71466">
        <w:tc>
          <w:tcPr>
            <w:tcW w:w="1555" w:type="dxa"/>
          </w:tcPr>
          <w:p w14:paraId="41FD9FDB" w14:textId="77777777" w:rsidR="00B71466" w:rsidRPr="00B71466" w:rsidRDefault="00B71466" w:rsidP="0055796C">
            <w:pPr>
              <w:spacing w:before="60" w:after="60"/>
              <w:rPr>
                <w:rFonts w:ascii="Times New Roman" w:hAnsi="Times New Roman" w:cs="Times New Roman"/>
                <w:i/>
                <w:iCs/>
                <w:lang w:val="en-GB"/>
              </w:rPr>
            </w:pPr>
            <w:r w:rsidRPr="00B71466">
              <w:rPr>
                <w:rFonts w:ascii="Times New Roman" w:hAnsi="Times New Roman" w:cs="Times New Roman"/>
                <w:i/>
                <w:iCs/>
                <w:lang w:val="en-GB"/>
              </w:rPr>
              <w:t>Code</w:t>
            </w:r>
          </w:p>
        </w:tc>
        <w:tc>
          <w:tcPr>
            <w:tcW w:w="3118" w:type="dxa"/>
          </w:tcPr>
          <w:p w14:paraId="39EA73F1" w14:textId="77777777" w:rsidR="00B71466" w:rsidRPr="00B71466" w:rsidRDefault="00B71466" w:rsidP="0055796C">
            <w:pPr>
              <w:spacing w:before="60" w:after="60"/>
              <w:rPr>
                <w:rFonts w:ascii="Times New Roman" w:hAnsi="Times New Roman" w:cs="Times New Roman"/>
                <w:i/>
                <w:iCs/>
                <w:lang w:val="en-GB"/>
              </w:rPr>
            </w:pPr>
            <w:r w:rsidRPr="00B71466">
              <w:rPr>
                <w:rFonts w:ascii="Times New Roman" w:hAnsi="Times New Roman" w:cs="Times New Roman"/>
                <w:i/>
                <w:iCs/>
                <w:lang w:val="en-GB"/>
              </w:rPr>
              <w:t xml:space="preserve">Definition </w:t>
            </w:r>
          </w:p>
        </w:tc>
        <w:tc>
          <w:tcPr>
            <w:tcW w:w="4383" w:type="dxa"/>
          </w:tcPr>
          <w:p w14:paraId="726EC727" w14:textId="77777777" w:rsidR="00B71466" w:rsidRPr="00B71466" w:rsidRDefault="00B71466" w:rsidP="0055796C">
            <w:pPr>
              <w:spacing w:before="60" w:after="60"/>
              <w:rPr>
                <w:rFonts w:ascii="Times New Roman" w:hAnsi="Times New Roman" w:cs="Times New Roman"/>
                <w:i/>
                <w:iCs/>
                <w:lang w:val="en-GB"/>
              </w:rPr>
            </w:pPr>
            <w:r w:rsidRPr="00B71466">
              <w:rPr>
                <w:rFonts w:ascii="Times New Roman" w:hAnsi="Times New Roman" w:cs="Times New Roman"/>
                <w:i/>
                <w:iCs/>
                <w:lang w:val="en-GB"/>
              </w:rPr>
              <w:t>Example</w:t>
            </w:r>
          </w:p>
        </w:tc>
      </w:tr>
      <w:tr w:rsidR="008835EE" w:rsidRPr="00B71466" w14:paraId="4AD599A5" w14:textId="77777777" w:rsidTr="008835EE">
        <w:tc>
          <w:tcPr>
            <w:tcW w:w="1555" w:type="dxa"/>
            <w:tcBorders>
              <w:top w:val="nil"/>
              <w:bottom w:val="nil"/>
            </w:tcBorders>
          </w:tcPr>
          <w:p w14:paraId="3088348E" w14:textId="3C74B74D" w:rsidR="008835EE" w:rsidRPr="00B71466" w:rsidRDefault="008835EE" w:rsidP="00794F5D">
            <w:pPr>
              <w:spacing w:before="60" w:after="60"/>
              <w:rPr>
                <w:rFonts w:ascii="Times New Roman" w:hAnsi="Times New Roman" w:cs="Times New Roman"/>
                <w:lang w:val="en-GB"/>
              </w:rPr>
            </w:pPr>
            <w:r w:rsidRPr="00B71466">
              <w:rPr>
                <w:rFonts w:ascii="Times New Roman" w:hAnsi="Times New Roman" w:cs="Times New Roman"/>
                <w:lang w:val="en-GB"/>
              </w:rPr>
              <w:t>Transparency &amp; matching strengthen democra</w:t>
            </w:r>
            <w:r w:rsidR="00491610">
              <w:rPr>
                <w:rFonts w:ascii="Times New Roman" w:hAnsi="Times New Roman" w:cs="Times New Roman"/>
                <w:lang w:val="en-GB"/>
              </w:rPr>
              <w:t>cy</w:t>
            </w:r>
          </w:p>
        </w:tc>
        <w:tc>
          <w:tcPr>
            <w:tcW w:w="3118" w:type="dxa"/>
            <w:tcBorders>
              <w:top w:val="nil"/>
              <w:bottom w:val="nil"/>
            </w:tcBorders>
          </w:tcPr>
          <w:p w14:paraId="7454F504" w14:textId="5071B28D" w:rsidR="008835EE" w:rsidRPr="00B71466" w:rsidRDefault="008835EE" w:rsidP="00794F5D">
            <w:pPr>
              <w:spacing w:before="60" w:after="60"/>
              <w:rPr>
                <w:rFonts w:ascii="Times New Roman" w:hAnsi="Times New Roman" w:cs="Times New Roman"/>
                <w:lang w:val="en-GB"/>
              </w:rPr>
            </w:pPr>
            <w:r w:rsidRPr="00B71466">
              <w:rPr>
                <w:rFonts w:ascii="Times New Roman" w:hAnsi="Times New Roman" w:cs="Times New Roman"/>
                <w:lang w:val="en-GB"/>
              </w:rPr>
              <w:t>Statements that endorse the reform envisaged in 1993</w:t>
            </w:r>
            <w:r w:rsidR="006F4972" w:rsidRPr="00B71466">
              <w:rPr>
                <w:rFonts w:ascii="Times New Roman" w:hAnsi="Times New Roman" w:cs="Times New Roman"/>
                <w:lang w:val="en-GB"/>
              </w:rPr>
              <w:t xml:space="preserve"> because its positive impact on a more balanced</w:t>
            </w:r>
            <w:r w:rsidR="00491610">
              <w:rPr>
                <w:rFonts w:ascii="Times New Roman" w:hAnsi="Times New Roman" w:cs="Times New Roman"/>
                <w:lang w:val="en-GB"/>
              </w:rPr>
              <w:t xml:space="preserve"> democratic</w:t>
            </w:r>
            <w:r w:rsidR="006F4972" w:rsidRPr="00B71466">
              <w:rPr>
                <w:rFonts w:ascii="Times New Roman" w:hAnsi="Times New Roman" w:cs="Times New Roman"/>
                <w:lang w:val="en-GB"/>
              </w:rPr>
              <w:t xml:space="preserve"> political competition, namely by creating a level playing field with respect to donations once unlimited tax deductibility is abolished.</w:t>
            </w:r>
          </w:p>
        </w:tc>
        <w:tc>
          <w:tcPr>
            <w:tcW w:w="4383" w:type="dxa"/>
            <w:tcBorders>
              <w:top w:val="nil"/>
              <w:bottom w:val="nil"/>
            </w:tcBorders>
          </w:tcPr>
          <w:p w14:paraId="7A4882FA" w14:textId="0DA5AB1D" w:rsidR="00B71466" w:rsidRPr="00B71466" w:rsidRDefault="00B71466" w:rsidP="00B71466">
            <w:pPr>
              <w:spacing w:before="60" w:after="60"/>
              <w:rPr>
                <w:rFonts w:ascii="Times New Roman" w:hAnsi="Times New Roman" w:cs="Times New Roman"/>
                <w:lang w:val="en-GB"/>
              </w:rPr>
            </w:pPr>
            <w:r w:rsidRPr="00B71466">
              <w:rPr>
                <w:rFonts w:ascii="Times New Roman" w:hAnsi="Times New Roman" w:cs="Times New Roman"/>
                <w:lang w:val="en-GB"/>
              </w:rPr>
              <w:t xml:space="preserve">“[…] the problem of large donations has all in all been solved. Until now, one of the largest problems was that donations up to 60,000 Euros were tax-deductible. </w:t>
            </w:r>
            <w:r>
              <w:rPr>
                <w:rFonts w:ascii="Times New Roman" w:hAnsi="Times New Roman" w:cs="Times New Roman"/>
                <w:lang w:val="en-GB"/>
              </w:rPr>
              <w:t xml:space="preserve">This amount has now been reduced to 12,000 Euros for couples and 6,000 Euros for individuals.” (SPD MP Gert </w:t>
            </w:r>
            <w:proofErr w:type="spellStart"/>
            <w:r>
              <w:rPr>
                <w:rFonts w:ascii="Times New Roman" w:hAnsi="Times New Roman" w:cs="Times New Roman"/>
                <w:lang w:val="en-GB"/>
              </w:rPr>
              <w:t>Wartenburg</w:t>
            </w:r>
            <w:proofErr w:type="spellEnd"/>
            <w:r>
              <w:rPr>
                <w:rFonts w:ascii="Times New Roman" w:hAnsi="Times New Roman" w:cs="Times New Roman"/>
                <w:lang w:val="en-GB"/>
              </w:rPr>
              <w:t xml:space="preserve">, Bundestag </w:t>
            </w:r>
            <w:r w:rsidRPr="00B71466">
              <w:rPr>
                <w:rFonts w:ascii="Times New Roman" w:hAnsi="Times New Roman" w:cs="Times New Roman"/>
                <w:lang w:val="en-GB"/>
              </w:rPr>
              <w:t>1993/11/12, 164</w:t>
            </w:r>
            <w:r>
              <w:rPr>
                <w:rFonts w:ascii="Times New Roman" w:hAnsi="Times New Roman" w:cs="Times New Roman"/>
                <w:lang w:val="en-GB"/>
              </w:rPr>
              <w:t>05).</w:t>
            </w:r>
          </w:p>
        </w:tc>
      </w:tr>
      <w:tr w:rsidR="008835EE" w:rsidRPr="00B71466" w14:paraId="32D4A8F0" w14:textId="77777777" w:rsidTr="008835EE">
        <w:tc>
          <w:tcPr>
            <w:tcW w:w="1555" w:type="dxa"/>
            <w:tcBorders>
              <w:top w:val="nil"/>
              <w:bottom w:val="nil"/>
            </w:tcBorders>
          </w:tcPr>
          <w:p w14:paraId="164FAF1C" w14:textId="22D07212" w:rsidR="008835EE" w:rsidRPr="00B71466" w:rsidRDefault="008835EE" w:rsidP="00794F5D">
            <w:pPr>
              <w:spacing w:before="60" w:after="60"/>
              <w:rPr>
                <w:rFonts w:ascii="Times New Roman" w:hAnsi="Times New Roman" w:cs="Times New Roman"/>
                <w:lang w:val="en-GB"/>
              </w:rPr>
            </w:pPr>
            <w:r w:rsidRPr="00B71466">
              <w:rPr>
                <w:rFonts w:ascii="Times New Roman" w:hAnsi="Times New Roman" w:cs="Times New Roman"/>
                <w:lang w:val="en-GB"/>
              </w:rPr>
              <w:t xml:space="preserve">Parties &amp; disclosed donations essential </w:t>
            </w:r>
          </w:p>
        </w:tc>
        <w:tc>
          <w:tcPr>
            <w:tcW w:w="3118" w:type="dxa"/>
            <w:tcBorders>
              <w:top w:val="nil"/>
              <w:bottom w:val="nil"/>
            </w:tcBorders>
          </w:tcPr>
          <w:p w14:paraId="09FD8949" w14:textId="1EBF8E97" w:rsidR="008835EE" w:rsidRPr="00B71466" w:rsidRDefault="00B71466" w:rsidP="00794F5D">
            <w:pPr>
              <w:spacing w:before="60" w:after="60"/>
              <w:rPr>
                <w:rFonts w:ascii="Times New Roman" w:hAnsi="Times New Roman" w:cs="Times New Roman"/>
                <w:lang w:val="en-GB"/>
              </w:rPr>
            </w:pPr>
            <w:r>
              <w:rPr>
                <w:rFonts w:ascii="Times New Roman" w:hAnsi="Times New Roman" w:cs="Times New Roman"/>
                <w:lang w:val="en-GB"/>
              </w:rPr>
              <w:t xml:space="preserve">Statements that endorse the reform envisaged in 1993 because </w:t>
            </w:r>
            <w:r w:rsidR="005B5A16">
              <w:rPr>
                <w:rFonts w:ascii="Times New Roman" w:hAnsi="Times New Roman" w:cs="Times New Roman"/>
                <w:lang w:val="en-GB"/>
              </w:rPr>
              <w:t xml:space="preserve">it strengthens political parties as the single most important actors in democracy, </w:t>
            </w:r>
            <w:proofErr w:type="gramStart"/>
            <w:r w:rsidR="005B5A16">
              <w:rPr>
                <w:rFonts w:ascii="Times New Roman" w:hAnsi="Times New Roman" w:cs="Times New Roman"/>
                <w:lang w:val="en-GB"/>
              </w:rPr>
              <w:t>in particular by</w:t>
            </w:r>
            <w:proofErr w:type="gramEnd"/>
            <w:r w:rsidR="005B5A16">
              <w:rPr>
                <w:rFonts w:ascii="Times New Roman" w:hAnsi="Times New Roman" w:cs="Times New Roman"/>
                <w:lang w:val="en-GB"/>
              </w:rPr>
              <w:t xml:space="preserve"> increasing transparency.</w:t>
            </w:r>
          </w:p>
        </w:tc>
        <w:tc>
          <w:tcPr>
            <w:tcW w:w="4383" w:type="dxa"/>
            <w:tcBorders>
              <w:top w:val="nil"/>
              <w:bottom w:val="nil"/>
            </w:tcBorders>
          </w:tcPr>
          <w:p w14:paraId="5E886D44" w14:textId="79706DE4" w:rsidR="008835EE" w:rsidRPr="00176FE8" w:rsidRDefault="00176FE8" w:rsidP="00180A73">
            <w:pPr>
              <w:spacing w:before="60" w:after="60"/>
              <w:rPr>
                <w:rFonts w:ascii="Times New Roman" w:hAnsi="Times New Roman" w:cs="Times New Roman"/>
                <w:lang w:val="en-US"/>
              </w:rPr>
            </w:pPr>
            <w:r w:rsidRPr="00176FE8">
              <w:rPr>
                <w:rFonts w:ascii="Times New Roman" w:hAnsi="Times New Roman" w:cs="Times New Roman"/>
                <w:lang w:val="en-US"/>
              </w:rPr>
              <w:t>“Considering this and the fac</w:t>
            </w:r>
            <w:r>
              <w:rPr>
                <w:rFonts w:ascii="Times New Roman" w:hAnsi="Times New Roman" w:cs="Times New Roman"/>
                <w:lang w:val="en-US"/>
              </w:rPr>
              <w:t>t that political parties are – according to one expert – ‘the vivid force which constitutes parliamentary democracy, rendering the strengthening and support of political parties a necessary condition of a functioning democracy’, I think that we can be content with it [the envisaged reform].” (</w:t>
            </w:r>
            <w:r>
              <w:rPr>
                <w:rFonts w:ascii="Times New Roman" w:hAnsi="Times New Roman" w:cs="Times New Roman"/>
                <w:lang w:val="en-GB"/>
              </w:rPr>
              <w:t xml:space="preserve">CSU MP Wolfgang </w:t>
            </w:r>
            <w:proofErr w:type="spellStart"/>
            <w:r>
              <w:rPr>
                <w:rFonts w:ascii="Times New Roman" w:hAnsi="Times New Roman" w:cs="Times New Roman"/>
                <w:lang w:val="en-GB"/>
              </w:rPr>
              <w:t>Zeitlmann</w:t>
            </w:r>
            <w:proofErr w:type="spellEnd"/>
            <w:r>
              <w:rPr>
                <w:rFonts w:ascii="Times New Roman" w:hAnsi="Times New Roman" w:cs="Times New Roman"/>
                <w:lang w:val="en-GB"/>
              </w:rPr>
              <w:t xml:space="preserve">, Bundestag </w:t>
            </w:r>
            <w:r w:rsidRPr="00B71466">
              <w:rPr>
                <w:rFonts w:ascii="Times New Roman" w:hAnsi="Times New Roman" w:cs="Times New Roman"/>
                <w:lang w:val="en-GB"/>
              </w:rPr>
              <w:t>1993/11/12, 164</w:t>
            </w:r>
            <w:r>
              <w:rPr>
                <w:rFonts w:ascii="Times New Roman" w:hAnsi="Times New Roman" w:cs="Times New Roman"/>
                <w:lang w:val="en-GB"/>
              </w:rPr>
              <w:t>06).</w:t>
            </w:r>
          </w:p>
        </w:tc>
      </w:tr>
      <w:tr w:rsidR="008835EE" w:rsidRPr="00491610" w14:paraId="51440D50" w14:textId="77777777" w:rsidTr="008835EE">
        <w:tc>
          <w:tcPr>
            <w:tcW w:w="1555" w:type="dxa"/>
            <w:tcBorders>
              <w:top w:val="nil"/>
              <w:bottom w:val="nil"/>
            </w:tcBorders>
          </w:tcPr>
          <w:p w14:paraId="685F64A1" w14:textId="0B1B339E" w:rsidR="008835EE" w:rsidRPr="00B71466" w:rsidRDefault="008835EE" w:rsidP="00794F5D">
            <w:pPr>
              <w:spacing w:before="60" w:after="60"/>
              <w:rPr>
                <w:rFonts w:ascii="Times New Roman" w:hAnsi="Times New Roman" w:cs="Times New Roman"/>
                <w:lang w:val="en-GB"/>
              </w:rPr>
            </w:pPr>
            <w:r w:rsidRPr="00B71466">
              <w:rPr>
                <w:rFonts w:ascii="Times New Roman" w:hAnsi="Times New Roman" w:cs="Times New Roman"/>
                <w:lang w:val="en-GB"/>
              </w:rPr>
              <w:t xml:space="preserve">Democracy requires more </w:t>
            </w:r>
            <w:r w:rsidR="00154238">
              <w:rPr>
                <w:rFonts w:ascii="Times New Roman" w:hAnsi="Times New Roman" w:cs="Times New Roman"/>
                <w:lang w:val="en-GB"/>
              </w:rPr>
              <w:t>regulation</w:t>
            </w:r>
          </w:p>
        </w:tc>
        <w:tc>
          <w:tcPr>
            <w:tcW w:w="3118" w:type="dxa"/>
            <w:tcBorders>
              <w:top w:val="nil"/>
              <w:bottom w:val="nil"/>
            </w:tcBorders>
          </w:tcPr>
          <w:p w14:paraId="2EA454D9" w14:textId="6ED510FA" w:rsidR="008835EE" w:rsidRPr="00B71466" w:rsidRDefault="00176FE8" w:rsidP="00794F5D">
            <w:pPr>
              <w:spacing w:before="60" w:after="60"/>
              <w:rPr>
                <w:rFonts w:ascii="Times New Roman" w:hAnsi="Times New Roman" w:cs="Times New Roman"/>
                <w:lang w:val="en-GB"/>
              </w:rPr>
            </w:pPr>
            <w:r>
              <w:rPr>
                <w:rFonts w:ascii="Times New Roman" w:hAnsi="Times New Roman" w:cs="Times New Roman"/>
                <w:lang w:val="en-GB"/>
              </w:rPr>
              <w:t>Statements that criticise the 1993 reform because it does not sufficiently regulate large donations</w:t>
            </w:r>
            <w:r w:rsidR="00154238">
              <w:rPr>
                <w:rFonts w:ascii="Times New Roman" w:hAnsi="Times New Roman" w:cs="Times New Roman"/>
                <w:lang w:val="en-GB"/>
              </w:rPr>
              <w:t xml:space="preserve">, </w:t>
            </w:r>
            <w:r w:rsidR="00154238" w:rsidRPr="00154238">
              <w:rPr>
                <w:rFonts w:ascii="Times New Roman" w:hAnsi="Times New Roman" w:cs="Times New Roman"/>
                <w:lang w:val="en-GB"/>
              </w:rPr>
              <w:t>both with respect to transparency and more limited tax-deductibility</w:t>
            </w:r>
            <w:r>
              <w:rPr>
                <w:rFonts w:ascii="Times New Roman" w:hAnsi="Times New Roman" w:cs="Times New Roman"/>
                <w:lang w:val="en-GB"/>
              </w:rPr>
              <w:t>.</w:t>
            </w:r>
          </w:p>
        </w:tc>
        <w:tc>
          <w:tcPr>
            <w:tcW w:w="4383" w:type="dxa"/>
            <w:tcBorders>
              <w:top w:val="nil"/>
              <w:bottom w:val="nil"/>
            </w:tcBorders>
          </w:tcPr>
          <w:p w14:paraId="7157D2EF" w14:textId="501CFA55" w:rsidR="003B561E" w:rsidRPr="00460B2F" w:rsidRDefault="00181A8B" w:rsidP="00460B2F">
            <w:pPr>
              <w:spacing w:before="60" w:after="60"/>
              <w:rPr>
                <w:rFonts w:ascii="Times New Roman" w:hAnsi="Times New Roman" w:cs="Times New Roman"/>
                <w:lang w:val="en-GB"/>
              </w:rPr>
            </w:pPr>
            <w:r>
              <w:rPr>
                <w:rFonts w:ascii="Times New Roman" w:hAnsi="Times New Roman" w:cs="Times New Roman"/>
                <w:lang w:val="en-GB"/>
              </w:rPr>
              <w:t>“</w:t>
            </w:r>
            <w:r w:rsidR="003B561E">
              <w:rPr>
                <w:rFonts w:ascii="Times New Roman" w:hAnsi="Times New Roman" w:cs="Times New Roman"/>
                <w:lang w:val="en-GB"/>
              </w:rPr>
              <w:t>The threshold for tax-deductibility of donations in the proposed reform tripled [compared to what the Constitutional Court and an expert committee had previously suggested]. This threshold now has no relation anymore to the average income. With respect to the average income in the East, i</w:t>
            </w:r>
            <w:r w:rsidR="00333886">
              <w:rPr>
                <w:rFonts w:ascii="Times New Roman" w:hAnsi="Times New Roman" w:cs="Times New Roman"/>
                <w:lang w:val="en-GB"/>
              </w:rPr>
              <w:t>t</w:t>
            </w:r>
            <w:r w:rsidR="003B561E">
              <w:rPr>
                <w:rFonts w:ascii="Times New Roman" w:hAnsi="Times New Roman" w:cs="Times New Roman"/>
                <w:lang w:val="en-GB"/>
              </w:rPr>
              <w:t xml:space="preserve"> is simply </w:t>
            </w:r>
            <w:r w:rsidR="00460B2F">
              <w:rPr>
                <w:rFonts w:ascii="Times New Roman" w:hAnsi="Times New Roman" w:cs="Times New Roman"/>
                <w:lang w:val="en-GB"/>
              </w:rPr>
              <w:t>crazy</w:t>
            </w:r>
            <w:r w:rsidR="00333886">
              <w:rPr>
                <w:rFonts w:ascii="Times New Roman" w:hAnsi="Times New Roman" w:cs="Times New Roman"/>
                <w:lang w:val="en-GB"/>
              </w:rPr>
              <w:t>.</w:t>
            </w:r>
            <w:r w:rsidR="00460B2F">
              <w:rPr>
                <w:rFonts w:ascii="Times New Roman" w:hAnsi="Times New Roman" w:cs="Times New Roman"/>
                <w:lang w:val="en-GB"/>
              </w:rPr>
              <w:t xml:space="preserve"> This has nothing to do with real life anymore.” (Green MP Werner Schulz, Bundestag </w:t>
            </w:r>
            <w:r w:rsidR="00460B2F" w:rsidRPr="00B71466">
              <w:rPr>
                <w:rFonts w:ascii="Times New Roman" w:hAnsi="Times New Roman" w:cs="Times New Roman"/>
                <w:lang w:val="en-GB"/>
              </w:rPr>
              <w:t>1993/11/12, 164</w:t>
            </w:r>
            <w:r w:rsidR="00460B2F">
              <w:rPr>
                <w:rFonts w:ascii="Times New Roman" w:hAnsi="Times New Roman" w:cs="Times New Roman"/>
                <w:lang w:val="en-GB"/>
              </w:rPr>
              <w:t>08).</w:t>
            </w:r>
          </w:p>
        </w:tc>
      </w:tr>
      <w:tr w:rsidR="008835EE" w:rsidRPr="00DA5FD4" w14:paraId="4FB3BAA0" w14:textId="77777777" w:rsidTr="00862637">
        <w:tc>
          <w:tcPr>
            <w:tcW w:w="1555" w:type="dxa"/>
            <w:tcBorders>
              <w:top w:val="nil"/>
            </w:tcBorders>
          </w:tcPr>
          <w:p w14:paraId="6507D3C6" w14:textId="629E0138" w:rsidR="008835EE" w:rsidRPr="00B71466" w:rsidRDefault="008835EE" w:rsidP="00794F5D">
            <w:pPr>
              <w:spacing w:before="60" w:after="60"/>
              <w:rPr>
                <w:rFonts w:ascii="Times New Roman" w:hAnsi="Times New Roman" w:cs="Times New Roman"/>
                <w:lang w:val="en-GB"/>
              </w:rPr>
            </w:pPr>
            <w:r w:rsidRPr="00B71466">
              <w:rPr>
                <w:rFonts w:ascii="Times New Roman" w:hAnsi="Times New Roman" w:cs="Times New Roman"/>
                <w:lang w:val="en-GB"/>
              </w:rPr>
              <w:t>Court overstretched separation of powers</w:t>
            </w:r>
          </w:p>
        </w:tc>
        <w:tc>
          <w:tcPr>
            <w:tcW w:w="3118" w:type="dxa"/>
            <w:tcBorders>
              <w:top w:val="nil"/>
            </w:tcBorders>
          </w:tcPr>
          <w:p w14:paraId="78544DA9" w14:textId="25A4ABD8" w:rsidR="008835EE" w:rsidRPr="00B71466" w:rsidRDefault="00460B2F" w:rsidP="00794F5D">
            <w:pPr>
              <w:spacing w:before="60" w:after="60"/>
              <w:rPr>
                <w:rFonts w:ascii="Times New Roman" w:hAnsi="Times New Roman" w:cs="Times New Roman"/>
                <w:lang w:val="en-GB"/>
              </w:rPr>
            </w:pPr>
            <w:r>
              <w:rPr>
                <w:rFonts w:ascii="Times New Roman" w:hAnsi="Times New Roman" w:cs="Times New Roman"/>
                <w:lang w:val="en-GB"/>
              </w:rPr>
              <w:t>Statements that criticise the 1993 reform because</w:t>
            </w:r>
            <w:r w:rsidR="00DA5FD4">
              <w:rPr>
                <w:rFonts w:ascii="Times New Roman" w:hAnsi="Times New Roman" w:cs="Times New Roman"/>
                <w:lang w:val="en-GB"/>
              </w:rPr>
              <w:t xml:space="preserve"> too much of it was decided in a legal rather than in a political fashion by the Constitutional Court.</w:t>
            </w:r>
          </w:p>
        </w:tc>
        <w:tc>
          <w:tcPr>
            <w:tcW w:w="4383" w:type="dxa"/>
            <w:tcBorders>
              <w:top w:val="nil"/>
            </w:tcBorders>
          </w:tcPr>
          <w:p w14:paraId="55343A77" w14:textId="6490B173" w:rsidR="00DA5FD4" w:rsidRPr="00E76534" w:rsidRDefault="00DA5FD4" w:rsidP="00E76534">
            <w:pPr>
              <w:spacing w:before="60" w:after="60"/>
              <w:rPr>
                <w:rFonts w:ascii="Times New Roman" w:hAnsi="Times New Roman" w:cs="Times New Roman"/>
                <w:lang w:val="en-GB"/>
              </w:rPr>
            </w:pPr>
            <w:r>
              <w:rPr>
                <w:rFonts w:ascii="Times New Roman" w:hAnsi="Times New Roman" w:cs="Times New Roman"/>
                <w:lang w:val="en-GB"/>
              </w:rPr>
              <w:t xml:space="preserve">“I regard it as unfair that </w:t>
            </w:r>
            <w:r w:rsidR="00E76534">
              <w:rPr>
                <w:rFonts w:ascii="Times New Roman" w:hAnsi="Times New Roman" w:cs="Times New Roman"/>
                <w:lang w:val="en-GB"/>
              </w:rPr>
              <w:t xml:space="preserve">corporate donations to associations remain tax-deductible while corporate donations to political parties are not deductible </w:t>
            </w:r>
            <w:proofErr w:type="gramStart"/>
            <w:r w:rsidR="00E76534">
              <w:rPr>
                <w:rFonts w:ascii="Times New Roman" w:hAnsi="Times New Roman" w:cs="Times New Roman"/>
                <w:lang w:val="en-GB"/>
              </w:rPr>
              <w:t>any more</w:t>
            </w:r>
            <w:proofErr w:type="gramEnd"/>
            <w:r w:rsidR="00E76534">
              <w:rPr>
                <w:rFonts w:ascii="Times New Roman" w:hAnsi="Times New Roman" w:cs="Times New Roman"/>
                <w:lang w:val="en-GB"/>
              </w:rPr>
              <w:t xml:space="preserve">. I do not believe this is a solution that will last for long. I am fully aware that the Constitutional Court has decided this way. However, even the Constitutional Court can come to different conclusions in future judgements.” (CSU MP Kurt </w:t>
            </w:r>
            <w:proofErr w:type="spellStart"/>
            <w:r w:rsidR="00E76534">
              <w:rPr>
                <w:rFonts w:ascii="Times New Roman" w:hAnsi="Times New Roman" w:cs="Times New Roman"/>
                <w:lang w:val="en-GB"/>
              </w:rPr>
              <w:t>Faltlhauser</w:t>
            </w:r>
            <w:proofErr w:type="spellEnd"/>
            <w:r w:rsidR="00E76534">
              <w:rPr>
                <w:rFonts w:ascii="Times New Roman" w:hAnsi="Times New Roman" w:cs="Times New Roman"/>
                <w:lang w:val="en-GB"/>
              </w:rPr>
              <w:t xml:space="preserve">, Bundestag </w:t>
            </w:r>
            <w:r w:rsidR="00E76534" w:rsidRPr="00B71466">
              <w:rPr>
                <w:rFonts w:ascii="Times New Roman" w:hAnsi="Times New Roman" w:cs="Times New Roman"/>
                <w:lang w:val="en-GB"/>
              </w:rPr>
              <w:t>1993/11/12, 164</w:t>
            </w:r>
            <w:r w:rsidR="00E76534">
              <w:rPr>
                <w:rFonts w:ascii="Times New Roman" w:hAnsi="Times New Roman" w:cs="Times New Roman"/>
                <w:lang w:val="en-GB"/>
              </w:rPr>
              <w:t>12).</w:t>
            </w:r>
          </w:p>
        </w:tc>
      </w:tr>
    </w:tbl>
    <w:p w14:paraId="73F7EBCE" w14:textId="77777777" w:rsidR="0013131D" w:rsidRPr="00DA5FD4" w:rsidRDefault="0013131D" w:rsidP="0013131D">
      <w:pPr>
        <w:spacing w:line="360" w:lineRule="auto"/>
        <w:rPr>
          <w:rFonts w:ascii="Times New Roman" w:hAnsi="Times New Roman" w:cs="Times New Roman"/>
        </w:rPr>
      </w:pPr>
    </w:p>
    <w:sectPr w:rsidR="0013131D" w:rsidRPr="00DA5FD4" w:rsidSect="00F95776">
      <w:footerReference w:type="even" r:id="rId6"/>
      <w:footerReference w:type="default" r:id="rId7"/>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FC84" w14:textId="77777777" w:rsidR="00F95776" w:rsidRDefault="00F95776" w:rsidP="00B71466">
      <w:r>
        <w:separator/>
      </w:r>
    </w:p>
  </w:endnote>
  <w:endnote w:type="continuationSeparator" w:id="0">
    <w:p w14:paraId="66228906" w14:textId="77777777" w:rsidR="00F95776" w:rsidRDefault="00F95776" w:rsidP="00B7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20756845"/>
      <w:docPartObj>
        <w:docPartGallery w:val="Page Numbers (Bottom of Page)"/>
        <w:docPartUnique/>
      </w:docPartObj>
    </w:sdtPr>
    <w:sdtContent>
      <w:p w14:paraId="40153785" w14:textId="572B047C" w:rsidR="00B71466" w:rsidRDefault="00B71466" w:rsidP="000E506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51B36E1" w14:textId="77777777" w:rsidR="00B71466" w:rsidRDefault="00B71466" w:rsidP="00B7146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27182659"/>
      <w:docPartObj>
        <w:docPartGallery w:val="Page Numbers (Bottom of Page)"/>
        <w:docPartUnique/>
      </w:docPartObj>
    </w:sdtPr>
    <w:sdtEndPr>
      <w:rPr>
        <w:rStyle w:val="Seitenzahl"/>
        <w:rFonts w:ascii="Times New Roman" w:hAnsi="Times New Roman" w:cs="Times New Roman"/>
      </w:rPr>
    </w:sdtEndPr>
    <w:sdtContent>
      <w:p w14:paraId="57435D07" w14:textId="5EF386C6" w:rsidR="00B71466" w:rsidRPr="00B71466" w:rsidRDefault="00B71466" w:rsidP="000E506C">
        <w:pPr>
          <w:pStyle w:val="Fuzeile"/>
          <w:framePr w:wrap="none" w:vAnchor="text" w:hAnchor="margin" w:xAlign="right" w:y="1"/>
          <w:rPr>
            <w:rStyle w:val="Seitenzahl"/>
            <w:rFonts w:ascii="Times New Roman" w:hAnsi="Times New Roman" w:cs="Times New Roman"/>
          </w:rPr>
        </w:pPr>
        <w:r w:rsidRPr="00B71466">
          <w:rPr>
            <w:rStyle w:val="Seitenzahl"/>
            <w:rFonts w:ascii="Times New Roman" w:hAnsi="Times New Roman" w:cs="Times New Roman"/>
          </w:rPr>
          <w:fldChar w:fldCharType="begin"/>
        </w:r>
        <w:r w:rsidRPr="00B71466">
          <w:rPr>
            <w:rStyle w:val="Seitenzahl"/>
            <w:rFonts w:ascii="Times New Roman" w:hAnsi="Times New Roman" w:cs="Times New Roman"/>
          </w:rPr>
          <w:instrText xml:space="preserve"> PAGE </w:instrText>
        </w:r>
        <w:r w:rsidRPr="00B71466">
          <w:rPr>
            <w:rStyle w:val="Seitenzahl"/>
            <w:rFonts w:ascii="Times New Roman" w:hAnsi="Times New Roman" w:cs="Times New Roman"/>
          </w:rPr>
          <w:fldChar w:fldCharType="separate"/>
        </w:r>
        <w:r w:rsidRPr="00B71466">
          <w:rPr>
            <w:rStyle w:val="Seitenzahl"/>
            <w:rFonts w:ascii="Times New Roman" w:hAnsi="Times New Roman" w:cs="Times New Roman"/>
            <w:noProof/>
          </w:rPr>
          <w:t>2</w:t>
        </w:r>
        <w:r w:rsidRPr="00B71466">
          <w:rPr>
            <w:rStyle w:val="Seitenzahl"/>
            <w:rFonts w:ascii="Times New Roman" w:hAnsi="Times New Roman" w:cs="Times New Roman"/>
          </w:rPr>
          <w:fldChar w:fldCharType="end"/>
        </w:r>
      </w:p>
    </w:sdtContent>
  </w:sdt>
  <w:p w14:paraId="472E536D" w14:textId="77777777" w:rsidR="00B71466" w:rsidRPr="00B71466" w:rsidRDefault="00B71466" w:rsidP="00B71466">
    <w:pPr>
      <w:pStyle w:val="Fuzeile"/>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DF01" w14:textId="77777777" w:rsidR="00F95776" w:rsidRDefault="00F95776" w:rsidP="00B71466">
      <w:r>
        <w:separator/>
      </w:r>
    </w:p>
  </w:footnote>
  <w:footnote w:type="continuationSeparator" w:id="0">
    <w:p w14:paraId="7C8D9037" w14:textId="77777777" w:rsidR="00F95776" w:rsidRDefault="00F95776" w:rsidP="00B71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1D"/>
    <w:rsid w:val="0013131D"/>
    <w:rsid w:val="00154238"/>
    <w:rsid w:val="00176FE8"/>
    <w:rsid w:val="00180A73"/>
    <w:rsid w:val="00181A8B"/>
    <w:rsid w:val="00333886"/>
    <w:rsid w:val="003B2649"/>
    <w:rsid w:val="003B561E"/>
    <w:rsid w:val="00460B2F"/>
    <w:rsid w:val="00491610"/>
    <w:rsid w:val="004F24DA"/>
    <w:rsid w:val="005B5A16"/>
    <w:rsid w:val="00640AC4"/>
    <w:rsid w:val="006F4972"/>
    <w:rsid w:val="00794F5D"/>
    <w:rsid w:val="00862637"/>
    <w:rsid w:val="008835EE"/>
    <w:rsid w:val="0097406F"/>
    <w:rsid w:val="00982F80"/>
    <w:rsid w:val="00AA32DD"/>
    <w:rsid w:val="00AE7C62"/>
    <w:rsid w:val="00B26D66"/>
    <w:rsid w:val="00B4168F"/>
    <w:rsid w:val="00B62C6B"/>
    <w:rsid w:val="00B71466"/>
    <w:rsid w:val="00D364ED"/>
    <w:rsid w:val="00DA5FD4"/>
    <w:rsid w:val="00E76534"/>
    <w:rsid w:val="00E91691"/>
    <w:rsid w:val="00F95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2A5A03D"/>
  <w15:chartTrackingRefBased/>
  <w15:docId w15:val="{408E520F-AE43-C745-AED0-8197BA92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1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31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3131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3131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3131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3131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3131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3131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3131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rsid w:val="00D364ED"/>
    <w:rPr>
      <w:rFonts w:ascii="Times New Roman" w:hAnsi="Times New Roman"/>
      <w:vertAlign w:val="superscript"/>
    </w:rPr>
  </w:style>
  <w:style w:type="paragraph" w:styleId="Funotentext">
    <w:name w:val="footnote text"/>
    <w:basedOn w:val="Standard"/>
    <w:link w:val="FunotentextZchn"/>
    <w:uiPriority w:val="99"/>
    <w:unhideWhenUsed/>
    <w:qFormat/>
    <w:rsid w:val="00982F80"/>
    <w:rPr>
      <w:rFonts w:ascii="Times New Roman" w:hAnsi="Times New Roman"/>
      <w:sz w:val="20"/>
      <w:szCs w:val="20"/>
    </w:rPr>
  </w:style>
  <w:style w:type="character" w:customStyle="1" w:styleId="FunotentextZchn">
    <w:name w:val="Fußnotentext Zchn"/>
    <w:basedOn w:val="Absatz-Standardschriftart"/>
    <w:link w:val="Funotentext"/>
    <w:uiPriority w:val="99"/>
    <w:rsid w:val="00982F80"/>
    <w:rPr>
      <w:rFonts w:ascii="Times New Roman" w:hAnsi="Times New Roman"/>
      <w:sz w:val="20"/>
      <w:szCs w:val="20"/>
    </w:rPr>
  </w:style>
  <w:style w:type="character" w:customStyle="1" w:styleId="berschrift1Zchn">
    <w:name w:val="Überschrift 1 Zchn"/>
    <w:basedOn w:val="Absatz-Standardschriftart"/>
    <w:link w:val="berschrift1"/>
    <w:uiPriority w:val="9"/>
    <w:rsid w:val="0013131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3131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3131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131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131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3131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131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131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131D"/>
    <w:rPr>
      <w:rFonts w:eastAsiaTheme="majorEastAsia" w:cstheme="majorBidi"/>
      <w:color w:val="272727" w:themeColor="text1" w:themeTint="D8"/>
    </w:rPr>
  </w:style>
  <w:style w:type="paragraph" w:styleId="Titel">
    <w:name w:val="Title"/>
    <w:basedOn w:val="Standard"/>
    <w:next w:val="Standard"/>
    <w:link w:val="TitelZchn"/>
    <w:uiPriority w:val="10"/>
    <w:qFormat/>
    <w:rsid w:val="0013131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131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3131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3131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3131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3131D"/>
    <w:rPr>
      <w:i/>
      <w:iCs/>
      <w:color w:val="404040" w:themeColor="text1" w:themeTint="BF"/>
    </w:rPr>
  </w:style>
  <w:style w:type="paragraph" w:styleId="Listenabsatz">
    <w:name w:val="List Paragraph"/>
    <w:basedOn w:val="Standard"/>
    <w:uiPriority w:val="34"/>
    <w:qFormat/>
    <w:rsid w:val="0013131D"/>
    <w:pPr>
      <w:ind w:left="720"/>
      <w:contextualSpacing/>
    </w:pPr>
  </w:style>
  <w:style w:type="character" w:styleId="IntensiveHervorhebung">
    <w:name w:val="Intense Emphasis"/>
    <w:basedOn w:val="Absatz-Standardschriftart"/>
    <w:uiPriority w:val="21"/>
    <w:qFormat/>
    <w:rsid w:val="0013131D"/>
    <w:rPr>
      <w:i/>
      <w:iCs/>
      <w:color w:val="0F4761" w:themeColor="accent1" w:themeShade="BF"/>
    </w:rPr>
  </w:style>
  <w:style w:type="paragraph" w:styleId="IntensivesZitat">
    <w:name w:val="Intense Quote"/>
    <w:basedOn w:val="Standard"/>
    <w:next w:val="Standard"/>
    <w:link w:val="IntensivesZitatZchn"/>
    <w:uiPriority w:val="30"/>
    <w:qFormat/>
    <w:rsid w:val="00131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3131D"/>
    <w:rPr>
      <w:i/>
      <w:iCs/>
      <w:color w:val="0F4761" w:themeColor="accent1" w:themeShade="BF"/>
    </w:rPr>
  </w:style>
  <w:style w:type="character" w:styleId="IntensiverVerweis">
    <w:name w:val="Intense Reference"/>
    <w:basedOn w:val="Absatz-Standardschriftart"/>
    <w:uiPriority w:val="32"/>
    <w:qFormat/>
    <w:rsid w:val="0013131D"/>
    <w:rPr>
      <w:b/>
      <w:bCs/>
      <w:smallCaps/>
      <w:color w:val="0F4761" w:themeColor="accent1" w:themeShade="BF"/>
      <w:spacing w:val="5"/>
    </w:rPr>
  </w:style>
  <w:style w:type="table" w:styleId="Tabellenraster">
    <w:name w:val="Table Grid"/>
    <w:basedOn w:val="NormaleTabelle"/>
    <w:uiPriority w:val="39"/>
    <w:rsid w:val="00862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71466"/>
    <w:pPr>
      <w:spacing w:before="100" w:beforeAutospacing="1" w:after="100" w:afterAutospacing="1"/>
    </w:pPr>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B71466"/>
    <w:pPr>
      <w:tabs>
        <w:tab w:val="center" w:pos="4536"/>
        <w:tab w:val="right" w:pos="9072"/>
      </w:tabs>
    </w:pPr>
  </w:style>
  <w:style w:type="character" w:customStyle="1" w:styleId="FuzeileZchn">
    <w:name w:val="Fußzeile Zchn"/>
    <w:basedOn w:val="Absatz-Standardschriftart"/>
    <w:link w:val="Fuzeile"/>
    <w:uiPriority w:val="99"/>
    <w:rsid w:val="00B71466"/>
  </w:style>
  <w:style w:type="character" w:styleId="Seitenzahl">
    <w:name w:val="page number"/>
    <w:basedOn w:val="Absatz-Standardschriftart"/>
    <w:uiPriority w:val="99"/>
    <w:semiHidden/>
    <w:unhideWhenUsed/>
    <w:rsid w:val="00B71466"/>
  </w:style>
  <w:style w:type="paragraph" w:styleId="Kopfzeile">
    <w:name w:val="header"/>
    <w:basedOn w:val="Standard"/>
    <w:link w:val="KopfzeileZchn"/>
    <w:uiPriority w:val="99"/>
    <w:unhideWhenUsed/>
    <w:rsid w:val="00B71466"/>
    <w:pPr>
      <w:tabs>
        <w:tab w:val="center" w:pos="4536"/>
        <w:tab w:val="right" w:pos="9072"/>
      </w:tabs>
    </w:pPr>
  </w:style>
  <w:style w:type="character" w:customStyle="1" w:styleId="KopfzeileZchn">
    <w:name w:val="Kopfzeile Zchn"/>
    <w:basedOn w:val="Absatz-Standardschriftart"/>
    <w:link w:val="Kopfzeile"/>
    <w:uiPriority w:val="99"/>
    <w:rsid w:val="00B7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9290">
      <w:bodyDiv w:val="1"/>
      <w:marLeft w:val="0"/>
      <w:marRight w:val="0"/>
      <w:marTop w:val="0"/>
      <w:marBottom w:val="0"/>
      <w:divBdr>
        <w:top w:val="none" w:sz="0" w:space="0" w:color="auto"/>
        <w:left w:val="none" w:sz="0" w:space="0" w:color="auto"/>
        <w:bottom w:val="none" w:sz="0" w:space="0" w:color="auto"/>
        <w:right w:val="none" w:sz="0" w:space="0" w:color="auto"/>
      </w:divBdr>
      <w:divsChild>
        <w:div w:id="1061708233">
          <w:marLeft w:val="0"/>
          <w:marRight w:val="0"/>
          <w:marTop w:val="0"/>
          <w:marBottom w:val="0"/>
          <w:divBdr>
            <w:top w:val="none" w:sz="0" w:space="0" w:color="auto"/>
            <w:left w:val="none" w:sz="0" w:space="0" w:color="auto"/>
            <w:bottom w:val="none" w:sz="0" w:space="0" w:color="auto"/>
            <w:right w:val="none" w:sz="0" w:space="0" w:color="auto"/>
          </w:divBdr>
          <w:divsChild>
            <w:div w:id="1644653467">
              <w:marLeft w:val="0"/>
              <w:marRight w:val="0"/>
              <w:marTop w:val="0"/>
              <w:marBottom w:val="0"/>
              <w:divBdr>
                <w:top w:val="none" w:sz="0" w:space="0" w:color="auto"/>
                <w:left w:val="none" w:sz="0" w:space="0" w:color="auto"/>
                <w:bottom w:val="none" w:sz="0" w:space="0" w:color="auto"/>
                <w:right w:val="none" w:sz="0" w:space="0" w:color="auto"/>
              </w:divBdr>
              <w:divsChild>
                <w:div w:id="11499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5588">
      <w:bodyDiv w:val="1"/>
      <w:marLeft w:val="0"/>
      <w:marRight w:val="0"/>
      <w:marTop w:val="0"/>
      <w:marBottom w:val="0"/>
      <w:divBdr>
        <w:top w:val="none" w:sz="0" w:space="0" w:color="auto"/>
        <w:left w:val="none" w:sz="0" w:space="0" w:color="auto"/>
        <w:bottom w:val="none" w:sz="0" w:space="0" w:color="auto"/>
        <w:right w:val="none" w:sz="0" w:space="0" w:color="auto"/>
      </w:divBdr>
      <w:divsChild>
        <w:div w:id="360252527">
          <w:marLeft w:val="0"/>
          <w:marRight w:val="0"/>
          <w:marTop w:val="0"/>
          <w:marBottom w:val="0"/>
          <w:divBdr>
            <w:top w:val="none" w:sz="0" w:space="0" w:color="auto"/>
            <w:left w:val="none" w:sz="0" w:space="0" w:color="auto"/>
            <w:bottom w:val="none" w:sz="0" w:space="0" w:color="auto"/>
            <w:right w:val="none" w:sz="0" w:space="0" w:color="auto"/>
          </w:divBdr>
          <w:divsChild>
            <w:div w:id="335113154">
              <w:marLeft w:val="0"/>
              <w:marRight w:val="0"/>
              <w:marTop w:val="0"/>
              <w:marBottom w:val="0"/>
              <w:divBdr>
                <w:top w:val="none" w:sz="0" w:space="0" w:color="auto"/>
                <w:left w:val="none" w:sz="0" w:space="0" w:color="auto"/>
                <w:bottom w:val="none" w:sz="0" w:space="0" w:color="auto"/>
                <w:right w:val="none" w:sz="0" w:space="0" w:color="auto"/>
              </w:divBdr>
              <w:divsChild>
                <w:div w:id="8168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3863">
      <w:bodyDiv w:val="1"/>
      <w:marLeft w:val="0"/>
      <w:marRight w:val="0"/>
      <w:marTop w:val="0"/>
      <w:marBottom w:val="0"/>
      <w:divBdr>
        <w:top w:val="none" w:sz="0" w:space="0" w:color="auto"/>
        <w:left w:val="none" w:sz="0" w:space="0" w:color="auto"/>
        <w:bottom w:val="none" w:sz="0" w:space="0" w:color="auto"/>
        <w:right w:val="none" w:sz="0" w:space="0" w:color="auto"/>
      </w:divBdr>
      <w:divsChild>
        <w:div w:id="1805199734">
          <w:marLeft w:val="0"/>
          <w:marRight w:val="0"/>
          <w:marTop w:val="0"/>
          <w:marBottom w:val="0"/>
          <w:divBdr>
            <w:top w:val="none" w:sz="0" w:space="0" w:color="auto"/>
            <w:left w:val="none" w:sz="0" w:space="0" w:color="auto"/>
            <w:bottom w:val="none" w:sz="0" w:space="0" w:color="auto"/>
            <w:right w:val="none" w:sz="0" w:space="0" w:color="auto"/>
          </w:divBdr>
          <w:divsChild>
            <w:div w:id="625350947">
              <w:marLeft w:val="0"/>
              <w:marRight w:val="0"/>
              <w:marTop w:val="0"/>
              <w:marBottom w:val="0"/>
              <w:divBdr>
                <w:top w:val="none" w:sz="0" w:space="0" w:color="auto"/>
                <w:left w:val="none" w:sz="0" w:space="0" w:color="auto"/>
                <w:bottom w:val="none" w:sz="0" w:space="0" w:color="auto"/>
                <w:right w:val="none" w:sz="0" w:space="0" w:color="auto"/>
              </w:divBdr>
              <w:divsChild>
                <w:div w:id="10580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5057">
      <w:bodyDiv w:val="1"/>
      <w:marLeft w:val="0"/>
      <w:marRight w:val="0"/>
      <w:marTop w:val="0"/>
      <w:marBottom w:val="0"/>
      <w:divBdr>
        <w:top w:val="none" w:sz="0" w:space="0" w:color="auto"/>
        <w:left w:val="none" w:sz="0" w:space="0" w:color="auto"/>
        <w:bottom w:val="none" w:sz="0" w:space="0" w:color="auto"/>
        <w:right w:val="none" w:sz="0" w:space="0" w:color="auto"/>
      </w:divBdr>
      <w:divsChild>
        <w:div w:id="329060151">
          <w:marLeft w:val="0"/>
          <w:marRight w:val="0"/>
          <w:marTop w:val="0"/>
          <w:marBottom w:val="0"/>
          <w:divBdr>
            <w:top w:val="none" w:sz="0" w:space="0" w:color="auto"/>
            <w:left w:val="none" w:sz="0" w:space="0" w:color="auto"/>
            <w:bottom w:val="none" w:sz="0" w:space="0" w:color="auto"/>
            <w:right w:val="none" w:sz="0" w:space="0" w:color="auto"/>
          </w:divBdr>
          <w:divsChild>
            <w:div w:id="328103001">
              <w:marLeft w:val="0"/>
              <w:marRight w:val="0"/>
              <w:marTop w:val="0"/>
              <w:marBottom w:val="0"/>
              <w:divBdr>
                <w:top w:val="none" w:sz="0" w:space="0" w:color="auto"/>
                <w:left w:val="none" w:sz="0" w:space="0" w:color="auto"/>
                <w:bottom w:val="none" w:sz="0" w:space="0" w:color="auto"/>
                <w:right w:val="none" w:sz="0" w:space="0" w:color="auto"/>
              </w:divBdr>
              <w:divsChild>
                <w:div w:id="11406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05317">
      <w:bodyDiv w:val="1"/>
      <w:marLeft w:val="0"/>
      <w:marRight w:val="0"/>
      <w:marTop w:val="0"/>
      <w:marBottom w:val="0"/>
      <w:divBdr>
        <w:top w:val="none" w:sz="0" w:space="0" w:color="auto"/>
        <w:left w:val="none" w:sz="0" w:space="0" w:color="auto"/>
        <w:bottom w:val="none" w:sz="0" w:space="0" w:color="auto"/>
        <w:right w:val="none" w:sz="0" w:space="0" w:color="auto"/>
      </w:divBdr>
      <w:divsChild>
        <w:div w:id="1595674737">
          <w:marLeft w:val="0"/>
          <w:marRight w:val="0"/>
          <w:marTop w:val="0"/>
          <w:marBottom w:val="0"/>
          <w:divBdr>
            <w:top w:val="none" w:sz="0" w:space="0" w:color="auto"/>
            <w:left w:val="none" w:sz="0" w:space="0" w:color="auto"/>
            <w:bottom w:val="none" w:sz="0" w:space="0" w:color="auto"/>
            <w:right w:val="none" w:sz="0" w:space="0" w:color="auto"/>
          </w:divBdr>
          <w:divsChild>
            <w:div w:id="2121100451">
              <w:marLeft w:val="0"/>
              <w:marRight w:val="0"/>
              <w:marTop w:val="0"/>
              <w:marBottom w:val="0"/>
              <w:divBdr>
                <w:top w:val="none" w:sz="0" w:space="0" w:color="auto"/>
                <w:left w:val="none" w:sz="0" w:space="0" w:color="auto"/>
                <w:bottom w:val="none" w:sz="0" w:space="0" w:color="auto"/>
                <w:right w:val="none" w:sz="0" w:space="0" w:color="auto"/>
              </w:divBdr>
              <w:divsChild>
                <w:div w:id="14238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4917">
      <w:bodyDiv w:val="1"/>
      <w:marLeft w:val="0"/>
      <w:marRight w:val="0"/>
      <w:marTop w:val="0"/>
      <w:marBottom w:val="0"/>
      <w:divBdr>
        <w:top w:val="none" w:sz="0" w:space="0" w:color="auto"/>
        <w:left w:val="none" w:sz="0" w:space="0" w:color="auto"/>
        <w:bottom w:val="none" w:sz="0" w:space="0" w:color="auto"/>
        <w:right w:val="none" w:sz="0" w:space="0" w:color="auto"/>
      </w:divBdr>
      <w:divsChild>
        <w:div w:id="1957323355">
          <w:marLeft w:val="0"/>
          <w:marRight w:val="0"/>
          <w:marTop w:val="0"/>
          <w:marBottom w:val="0"/>
          <w:divBdr>
            <w:top w:val="none" w:sz="0" w:space="0" w:color="auto"/>
            <w:left w:val="none" w:sz="0" w:space="0" w:color="auto"/>
            <w:bottom w:val="none" w:sz="0" w:space="0" w:color="auto"/>
            <w:right w:val="none" w:sz="0" w:space="0" w:color="auto"/>
          </w:divBdr>
          <w:divsChild>
            <w:div w:id="1672751997">
              <w:marLeft w:val="0"/>
              <w:marRight w:val="0"/>
              <w:marTop w:val="0"/>
              <w:marBottom w:val="0"/>
              <w:divBdr>
                <w:top w:val="none" w:sz="0" w:space="0" w:color="auto"/>
                <w:left w:val="none" w:sz="0" w:space="0" w:color="auto"/>
                <w:bottom w:val="none" w:sz="0" w:space="0" w:color="auto"/>
                <w:right w:val="none" w:sz="0" w:space="0" w:color="auto"/>
              </w:divBdr>
              <w:divsChild>
                <w:div w:id="5583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5103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087188217">
          <w:marLeft w:val="0"/>
          <w:marRight w:val="0"/>
          <w:marTop w:val="0"/>
          <w:marBottom w:val="0"/>
          <w:divBdr>
            <w:top w:val="none" w:sz="0" w:space="0" w:color="auto"/>
            <w:left w:val="none" w:sz="0" w:space="0" w:color="auto"/>
            <w:bottom w:val="none" w:sz="0" w:space="0" w:color="auto"/>
            <w:right w:val="none" w:sz="0" w:space="0" w:color="auto"/>
          </w:divBdr>
          <w:divsChild>
            <w:div w:id="1682003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6852020">
      <w:bodyDiv w:val="1"/>
      <w:marLeft w:val="0"/>
      <w:marRight w:val="0"/>
      <w:marTop w:val="0"/>
      <w:marBottom w:val="0"/>
      <w:divBdr>
        <w:top w:val="none" w:sz="0" w:space="0" w:color="auto"/>
        <w:left w:val="none" w:sz="0" w:space="0" w:color="auto"/>
        <w:bottom w:val="none" w:sz="0" w:space="0" w:color="auto"/>
        <w:right w:val="none" w:sz="0" w:space="0" w:color="auto"/>
      </w:divBdr>
      <w:divsChild>
        <w:div w:id="2067416649">
          <w:marLeft w:val="0"/>
          <w:marRight w:val="0"/>
          <w:marTop w:val="0"/>
          <w:marBottom w:val="0"/>
          <w:divBdr>
            <w:top w:val="none" w:sz="0" w:space="0" w:color="auto"/>
            <w:left w:val="none" w:sz="0" w:space="0" w:color="auto"/>
            <w:bottom w:val="none" w:sz="0" w:space="0" w:color="auto"/>
            <w:right w:val="none" w:sz="0" w:space="0" w:color="auto"/>
          </w:divBdr>
          <w:divsChild>
            <w:div w:id="515922550">
              <w:marLeft w:val="0"/>
              <w:marRight w:val="0"/>
              <w:marTop w:val="0"/>
              <w:marBottom w:val="0"/>
              <w:divBdr>
                <w:top w:val="none" w:sz="0" w:space="0" w:color="auto"/>
                <w:left w:val="none" w:sz="0" w:space="0" w:color="auto"/>
                <w:bottom w:val="none" w:sz="0" w:space="0" w:color="auto"/>
                <w:right w:val="none" w:sz="0" w:space="0" w:color="auto"/>
              </w:divBdr>
              <w:divsChild>
                <w:div w:id="14387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Michael Koß</dc:creator>
  <cp:keywords/>
  <dc:description/>
  <cp:lastModifiedBy>Prof. Dr. Michael Koß</cp:lastModifiedBy>
  <cp:revision>9</cp:revision>
  <dcterms:created xsi:type="dcterms:W3CDTF">2023-12-07T11:54:00Z</dcterms:created>
  <dcterms:modified xsi:type="dcterms:W3CDTF">2023-12-07T20:32:00Z</dcterms:modified>
</cp:coreProperties>
</file>