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3381" w14:textId="77777777" w:rsidR="002C4187" w:rsidRPr="008B4A5E" w:rsidRDefault="002C4187" w:rsidP="002C4187">
      <w:pPr>
        <w:pStyle w:val="a3"/>
        <w:rPr>
          <w:rFonts w:ascii="Aptos" w:hAnsi="Aptos" w:cs="Times New Roman"/>
          <w:b/>
          <w:bCs/>
          <w:sz w:val="28"/>
          <w:szCs w:val="28"/>
        </w:rPr>
      </w:pPr>
      <w:r w:rsidRPr="008B4A5E">
        <w:rPr>
          <w:rFonts w:ascii="Aptos" w:hAnsi="Aptos" w:cs="Times New Roman"/>
          <w:b/>
          <w:bCs/>
          <w:sz w:val="28"/>
          <w:szCs w:val="28"/>
        </w:rPr>
        <w:t>Appendix</w:t>
      </w:r>
    </w:p>
    <w:p w14:paraId="4728A478" w14:textId="77777777" w:rsidR="002C4187" w:rsidRPr="008B4A5E" w:rsidRDefault="002C4187" w:rsidP="002C4187">
      <w:pPr>
        <w:pStyle w:val="a3"/>
        <w:rPr>
          <w:rFonts w:ascii="Times New Roman" w:hAnsi="Times New Roman" w:cs="Times New Roman"/>
          <w:b/>
          <w:bCs/>
        </w:rPr>
      </w:pPr>
      <w:r w:rsidRPr="008B4A5E">
        <w:rPr>
          <w:rFonts w:ascii="Times New Roman" w:hAnsi="Times New Roman" w:cs="Times New Roman"/>
          <w:b/>
          <w:bCs/>
        </w:rPr>
        <w:t>Table A1. College education expansion with (de)commodification in OECD countries</w:t>
      </w:r>
    </w:p>
    <w:p w14:paraId="7D3A69CE" w14:textId="77777777" w:rsidR="002C4187" w:rsidRPr="008B4A5E" w:rsidRDefault="002C4187" w:rsidP="002C4187">
      <w:pPr>
        <w:pStyle w:val="a3"/>
        <w:jc w:val="both"/>
        <w:rPr>
          <w:rFonts w:ascii="Times New Roman" w:hAnsi="Times New Roman" w:cs="Times New Roman"/>
        </w:rPr>
      </w:pPr>
      <w:r w:rsidRPr="008B4A5E">
        <w:rPr>
          <w:rFonts w:ascii="Times New Roman" w:hAnsi="Times New Roman" w:cs="Times New Roman"/>
        </w:rPr>
        <w:t xml:space="preserve">Note: popu refers to the population with higher education (%); pubexp indicates the proportion of public spending of total spending on higher education (%). </w:t>
      </w:r>
    </w:p>
    <w:p w14:paraId="44F9F859" w14:textId="77777777" w:rsidR="002C4187" w:rsidRPr="008B4A5E" w:rsidRDefault="002C4187" w:rsidP="002C4187">
      <w:pPr>
        <w:pStyle w:val="a3"/>
        <w:rPr>
          <w:rFonts w:ascii="Times New Roman" w:hAnsi="Times New Roman" w:cs="Times New Roman"/>
        </w:rPr>
      </w:pPr>
      <w:r w:rsidRPr="008B4A5E">
        <w:rPr>
          <w:rFonts w:ascii="Times New Roman" w:hAnsi="Times New Roman" w:cs="Times New Roman"/>
        </w:rPr>
        <w:t>Source: OECD statistics</w:t>
      </w:r>
    </w:p>
    <w:p w14:paraId="44B9598E" w14:textId="77777777" w:rsidR="002C4187" w:rsidRPr="008B4A5E" w:rsidRDefault="002C4187" w:rsidP="002C4187">
      <w:pPr>
        <w:pStyle w:val="a3"/>
        <w:rPr>
          <w:rFonts w:ascii="Times New Roman" w:hAnsi="Times New Roman" w:cs="Times New Roman"/>
        </w:rPr>
      </w:pPr>
    </w:p>
    <w:p w14:paraId="15AD73A8" w14:textId="77777777" w:rsidR="002C4187" w:rsidRPr="008B4A5E" w:rsidRDefault="002C4187" w:rsidP="002C4187">
      <w:pPr>
        <w:pStyle w:val="a3"/>
        <w:rPr>
          <w:rFonts w:ascii="Times New Roman" w:hAnsi="Times New Roman" w:cs="Times New Roman"/>
          <w:b/>
          <w:bCs/>
        </w:rPr>
      </w:pPr>
      <w:r w:rsidRPr="008B4A5E">
        <w:rPr>
          <w:rFonts w:ascii="Times New Roman" w:hAnsi="Times New Roman" w:cs="Times New Roman"/>
          <w:b/>
          <w:bCs/>
        </w:rPr>
        <w:t>Table A2. Analysis of variance in college education expansion and commodification between liberal and non-liberal groups</w:t>
      </w:r>
    </w:p>
    <w:p w14:paraId="3A3AAA0E" w14:textId="77777777" w:rsidR="002C4187" w:rsidRPr="008B4A5E" w:rsidRDefault="002C4187" w:rsidP="002C4187">
      <w:pPr>
        <w:pStyle w:val="a3"/>
        <w:jc w:val="both"/>
        <w:rPr>
          <w:rFonts w:ascii="Times New Roman" w:hAnsi="Times New Roman" w:cs="Times New Roman"/>
        </w:rPr>
      </w:pPr>
      <w:r w:rsidRPr="008B4A5E">
        <w:rPr>
          <w:rFonts w:ascii="Times New Roman" w:hAnsi="Times New Roman" w:cs="Times New Roman"/>
        </w:rPr>
        <w:t xml:space="preserve">Note: popu00, popu15, and popu20 refer to the population with higher education in 2000, 2015 and 2020 in respect; pubexp00, pubexp15, and pubexp20 refer to the proportion of public spending in total spending on higher education in 2000, 2015 and 2020. </w:t>
      </w:r>
    </w:p>
    <w:p w14:paraId="779AB380" w14:textId="77777777" w:rsidR="002C4187" w:rsidRPr="008B4A5E" w:rsidRDefault="002C4187" w:rsidP="002C4187">
      <w:pPr>
        <w:pStyle w:val="a3"/>
        <w:rPr>
          <w:rFonts w:ascii="Times New Roman" w:hAnsi="Times New Roman" w:cs="Times New Roman"/>
        </w:rPr>
      </w:pPr>
      <w:r w:rsidRPr="008B4A5E">
        <w:rPr>
          <w:rFonts w:ascii="Times New Roman" w:hAnsi="Times New Roman" w:cs="Times New Roman"/>
        </w:rPr>
        <w:t>Source: OECD statistics</w:t>
      </w:r>
    </w:p>
    <w:p w14:paraId="04E51C3B" w14:textId="77777777" w:rsidR="002C4187" w:rsidRPr="008B4A5E" w:rsidRDefault="002C4187" w:rsidP="002C4187">
      <w:pPr>
        <w:pStyle w:val="a3"/>
        <w:rPr>
          <w:rFonts w:ascii="Times New Roman" w:hAnsi="Times New Roman" w:cs="Times New Roman"/>
        </w:rPr>
      </w:pPr>
      <w:r w:rsidRPr="008B4A5E">
        <w:rPr>
          <w:rFonts w:ascii="Times New Roman" w:hAnsi="Times New Roman" w:cs="Times New Roman"/>
        </w:rPr>
        <w:tab/>
      </w:r>
    </w:p>
    <w:p w14:paraId="6478B81B" w14:textId="77777777" w:rsidR="002C4187" w:rsidRPr="008B4A5E" w:rsidRDefault="002C4187" w:rsidP="002C4187">
      <w:pPr>
        <w:pStyle w:val="a3"/>
        <w:rPr>
          <w:rFonts w:ascii="Times New Roman" w:hAnsi="Times New Roman" w:cs="Times New Roman"/>
          <w:b/>
          <w:bCs/>
        </w:rPr>
      </w:pPr>
      <w:r w:rsidRPr="008B4A5E">
        <w:rPr>
          <w:rFonts w:ascii="Times New Roman" w:hAnsi="Times New Roman" w:cs="Times New Roman"/>
          <w:b/>
          <w:bCs/>
        </w:rPr>
        <w:t xml:space="preserve">Table A3. Social protections as the causal conditions for college education expansion </w:t>
      </w:r>
    </w:p>
    <w:p w14:paraId="063BD840" w14:textId="77777777" w:rsidR="002C4187" w:rsidRPr="008B4A5E" w:rsidRDefault="002C4187" w:rsidP="002C4187">
      <w:pPr>
        <w:pStyle w:val="a3"/>
        <w:jc w:val="both"/>
        <w:rPr>
          <w:rFonts w:ascii="Times New Roman" w:hAnsi="Times New Roman" w:cs="Times New Roman"/>
        </w:rPr>
      </w:pPr>
      <w:r w:rsidRPr="008B4A5E">
        <w:rPr>
          <w:rFonts w:ascii="Times New Roman" w:hAnsi="Times New Roman" w:cs="Times New Roman"/>
        </w:rPr>
        <w:t>Note: uemp: unemployment protection</w:t>
      </w:r>
      <w:r>
        <w:rPr>
          <w:rFonts w:ascii="Times New Roman" w:hAnsi="Times New Roman" w:cs="Times New Roman"/>
        </w:rPr>
        <w:t xml:space="preserve"> </w:t>
      </w:r>
      <w:r w:rsidRPr="008B4A5E">
        <w:rPr>
          <w:rFonts w:ascii="Times New Roman" w:hAnsi="Times New Roman" w:cs="Times New Roman"/>
        </w:rPr>
        <w:t>(income replacement rates, %); emp: employment protection</w:t>
      </w:r>
      <w:r>
        <w:rPr>
          <w:rFonts w:ascii="Times New Roman" w:hAnsi="Times New Roman" w:cs="Times New Roman"/>
        </w:rPr>
        <w:t xml:space="preserve"> </w:t>
      </w:r>
      <w:r w:rsidRPr="008B4A5E">
        <w:rPr>
          <w:rFonts w:ascii="Times New Roman" w:hAnsi="Times New Roman" w:cs="Times New Roman"/>
        </w:rPr>
        <w:t>(the difficulties in layoff according to OECD index); collbar: collective bargaining</w:t>
      </w:r>
      <w:r>
        <w:rPr>
          <w:rFonts w:ascii="Times New Roman" w:hAnsi="Times New Roman" w:cs="Times New Roman"/>
        </w:rPr>
        <w:t xml:space="preserve"> </w:t>
      </w:r>
      <w:r w:rsidRPr="008B4A5E">
        <w:rPr>
          <w:rFonts w:ascii="Times New Roman" w:hAnsi="Times New Roman" w:cs="Times New Roman"/>
        </w:rPr>
        <w:t xml:space="preserve">(the coverage of collective bargaining, %); the figure is the raw data on causal factors and 1 or 0 is the result of calibration. We calibrated 1 and 0 when the value is above and below the average, respectively; we used data on collective bargaining in 2018 because data for 2020 is unavailable. The shaded cell refers to the liberal </w:t>
      </w:r>
      <w:r>
        <w:rPr>
          <w:rFonts w:ascii="Times New Roman" w:hAnsi="Times New Roman" w:cs="Times New Roman"/>
        </w:rPr>
        <w:t>countries</w:t>
      </w:r>
      <w:r w:rsidRPr="008B4A5E">
        <w:rPr>
          <w:rFonts w:ascii="Times New Roman" w:hAnsi="Times New Roman" w:cs="Times New Roman"/>
        </w:rPr>
        <w:t xml:space="preserve"> in our sample. </w:t>
      </w:r>
    </w:p>
    <w:p w14:paraId="40E3CD11" w14:textId="77777777" w:rsidR="002C4187" w:rsidRPr="008B4A5E" w:rsidRDefault="002C4187" w:rsidP="002C4187">
      <w:pPr>
        <w:pStyle w:val="a3"/>
        <w:rPr>
          <w:rFonts w:ascii="Times New Roman" w:hAnsi="Times New Roman" w:cs="Times New Roman"/>
        </w:rPr>
      </w:pPr>
      <w:r w:rsidRPr="008B4A5E">
        <w:rPr>
          <w:rFonts w:ascii="Times New Roman" w:hAnsi="Times New Roman" w:cs="Times New Roman"/>
        </w:rPr>
        <w:t>Source: OECD statistics</w:t>
      </w:r>
    </w:p>
    <w:p w14:paraId="007B2144" w14:textId="77777777" w:rsidR="00BF43CF" w:rsidRDefault="00BF43CF"/>
    <w:p w14:paraId="6659BFA9" w14:textId="77777777" w:rsidR="002C4187" w:rsidRDefault="002C4187" w:rsidP="002C4187">
      <w:pPr>
        <w:wordWrap/>
        <w:spacing w:after="0" w:line="480" w:lineRule="auto"/>
        <w:ind w:left="1100" w:hangingChars="500" w:hanging="1100"/>
        <w:rPr>
          <w:rFonts w:ascii="Times New Roman" w:hAnsi="Times New Roman" w:cs="Times New Roman"/>
          <w:kern w:val="0"/>
          <w:sz w:val="22"/>
          <w:lang w:val="en-US"/>
        </w:rPr>
      </w:pPr>
      <w:r>
        <w:rPr>
          <w:rFonts w:ascii="Times New Roman" w:hAnsi="Times New Roman" w:cs="Times New Roman" w:hint="eastAsia"/>
          <w:kern w:val="0"/>
          <w:sz w:val="22"/>
          <w:lang w:val="en-US"/>
        </w:rPr>
        <w:t>Table A1</w:t>
      </w:r>
    </w:p>
    <w:p w14:paraId="1C1AA1EB" w14:textId="77777777" w:rsidR="002C4187" w:rsidRDefault="002C4187" w:rsidP="002C4187">
      <w:pPr>
        <w:wordWrap/>
        <w:spacing w:after="0" w:line="480" w:lineRule="auto"/>
        <w:ind w:left="1100" w:hangingChars="500" w:hanging="1100"/>
        <w:rPr>
          <w:rFonts w:ascii="Times New Roman" w:hAnsi="Times New Roman" w:cs="Times New Roman"/>
          <w:kern w:val="0"/>
          <w:sz w:val="22"/>
          <w:lang w:val="en-US"/>
        </w:rPr>
      </w:pPr>
      <w:r>
        <w:rPr>
          <w:rFonts w:ascii="Times New Roman" w:hAnsi="Times New Roman" w:cs="Times New Roman" w:hint="eastAsia"/>
          <w:noProof/>
          <w:kern w:val="0"/>
          <w:sz w:val="22"/>
          <w:lang w:val="en-US"/>
        </w:rPr>
        <w:drawing>
          <wp:inline distT="0" distB="0" distL="0" distR="0" wp14:anchorId="62F1F272" wp14:editId="76EEE22B">
            <wp:extent cx="5731510" cy="3223895"/>
            <wp:effectExtent l="0" t="0" r="2540" b="0"/>
            <wp:docPr id="1420264816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64816" name="그림 14202648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280F3" w14:textId="77777777" w:rsidR="002C4187" w:rsidRDefault="002C4187" w:rsidP="002C4187">
      <w:pPr>
        <w:wordWrap/>
        <w:spacing w:after="0" w:line="480" w:lineRule="auto"/>
        <w:ind w:left="1100" w:hangingChars="500" w:hanging="1100"/>
        <w:rPr>
          <w:rFonts w:ascii="Times New Roman" w:hAnsi="Times New Roman" w:cs="Times New Roman"/>
          <w:kern w:val="0"/>
          <w:sz w:val="22"/>
          <w:lang w:val="en-US"/>
        </w:rPr>
      </w:pPr>
    </w:p>
    <w:p w14:paraId="74D9B62D" w14:textId="77777777" w:rsidR="002C4187" w:rsidRDefault="002C4187" w:rsidP="002C4187">
      <w:pPr>
        <w:wordWrap/>
        <w:spacing w:after="0" w:line="480" w:lineRule="auto"/>
        <w:ind w:left="1100" w:hangingChars="500" w:hanging="1100"/>
        <w:rPr>
          <w:rFonts w:ascii="Times New Roman" w:hAnsi="Times New Roman" w:cs="Times New Roman"/>
          <w:kern w:val="0"/>
          <w:sz w:val="22"/>
          <w:lang w:val="en-US"/>
        </w:rPr>
      </w:pPr>
    </w:p>
    <w:p w14:paraId="5F2EDCA0" w14:textId="77777777" w:rsidR="002C4187" w:rsidRDefault="002C4187" w:rsidP="002C4187">
      <w:pPr>
        <w:wordWrap/>
        <w:spacing w:after="0" w:line="480" w:lineRule="auto"/>
        <w:ind w:left="1100" w:hangingChars="500" w:hanging="1100"/>
        <w:rPr>
          <w:rFonts w:ascii="Times New Roman" w:hAnsi="Times New Roman" w:cs="Times New Roman"/>
          <w:kern w:val="0"/>
          <w:sz w:val="22"/>
          <w:lang w:val="en-US"/>
        </w:rPr>
      </w:pPr>
    </w:p>
    <w:p w14:paraId="23D2BEC4" w14:textId="77777777" w:rsidR="002C4187" w:rsidRDefault="002C4187" w:rsidP="002C4187">
      <w:pPr>
        <w:wordWrap/>
        <w:spacing w:after="0" w:line="480" w:lineRule="auto"/>
        <w:ind w:left="1100" w:hangingChars="500" w:hanging="1100"/>
        <w:rPr>
          <w:rFonts w:ascii="Times New Roman" w:hAnsi="Times New Roman" w:cs="Times New Roman" w:hint="eastAsia"/>
          <w:kern w:val="0"/>
          <w:sz w:val="22"/>
          <w:lang w:val="en-US"/>
        </w:rPr>
      </w:pPr>
      <w:r>
        <w:rPr>
          <w:rFonts w:ascii="Times New Roman" w:hAnsi="Times New Roman" w:cs="Times New Roman" w:hint="eastAsia"/>
          <w:kern w:val="0"/>
          <w:sz w:val="22"/>
          <w:lang w:val="en-US"/>
        </w:rPr>
        <w:t>Table A2</w:t>
      </w:r>
    </w:p>
    <w:p w14:paraId="66ED3A78" w14:textId="77777777" w:rsidR="002C4187" w:rsidRDefault="002C4187" w:rsidP="002C4187">
      <w:pPr>
        <w:wordWrap/>
        <w:spacing w:after="0" w:line="480" w:lineRule="auto"/>
        <w:rPr>
          <w:rFonts w:ascii="Times New Roman" w:hAnsi="Times New Roman" w:cs="Times New Roman"/>
          <w:kern w:val="0"/>
          <w:sz w:val="22"/>
          <w:lang w:val="en-US"/>
        </w:rPr>
      </w:pPr>
      <w:r>
        <w:rPr>
          <w:rFonts w:ascii="Times New Roman" w:hAnsi="Times New Roman" w:cs="Times New Roman" w:hint="eastAsia"/>
          <w:noProof/>
          <w:kern w:val="0"/>
          <w:sz w:val="22"/>
          <w:lang w:val="en-US"/>
        </w:rPr>
        <w:drawing>
          <wp:inline distT="0" distB="0" distL="0" distR="0" wp14:anchorId="456774E5" wp14:editId="2CFC56F9">
            <wp:extent cx="5731510" cy="3223895"/>
            <wp:effectExtent l="0" t="0" r="2540" b="0"/>
            <wp:docPr id="431376065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76065" name="그림 4313760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9028F" w14:textId="77777777" w:rsidR="002C4187" w:rsidRDefault="002C4187" w:rsidP="002C4187">
      <w:pPr>
        <w:wordWrap/>
        <w:spacing w:after="0" w:line="480" w:lineRule="auto"/>
        <w:ind w:left="220" w:hangingChars="100" w:hanging="220"/>
        <w:rPr>
          <w:rFonts w:ascii="Times New Roman" w:hAnsi="Times New Roman" w:cs="Times New Roman"/>
          <w:kern w:val="0"/>
          <w:sz w:val="22"/>
          <w:lang w:val="en-US"/>
        </w:rPr>
      </w:pPr>
      <w:r>
        <w:rPr>
          <w:rFonts w:ascii="Times New Roman" w:hAnsi="Times New Roman" w:cs="Times New Roman" w:hint="eastAsia"/>
          <w:kern w:val="0"/>
          <w:sz w:val="22"/>
          <w:lang w:val="en-US"/>
        </w:rPr>
        <w:t>Table A3</w:t>
      </w:r>
    </w:p>
    <w:p w14:paraId="4713F02E" w14:textId="77777777" w:rsidR="002C4187" w:rsidRPr="00B3470F" w:rsidRDefault="002C4187" w:rsidP="002C4187">
      <w:pPr>
        <w:wordWrap/>
        <w:spacing w:after="0" w:line="480" w:lineRule="auto"/>
        <w:ind w:left="220" w:hangingChars="100" w:hanging="220"/>
        <w:rPr>
          <w:rFonts w:ascii="Times New Roman" w:hAnsi="Times New Roman" w:cs="Times New Roman" w:hint="eastAsia"/>
          <w:kern w:val="0"/>
          <w:sz w:val="22"/>
          <w:lang w:val="en-US"/>
        </w:rPr>
      </w:pPr>
      <w:r>
        <w:rPr>
          <w:rFonts w:ascii="Times New Roman" w:hAnsi="Times New Roman" w:cs="Times New Roman" w:hint="eastAsia"/>
          <w:noProof/>
          <w:kern w:val="0"/>
          <w:sz w:val="22"/>
          <w:lang w:val="en-US"/>
        </w:rPr>
        <w:drawing>
          <wp:inline distT="0" distB="0" distL="0" distR="0" wp14:anchorId="67A169DE" wp14:editId="36675A91">
            <wp:extent cx="5731510" cy="3223895"/>
            <wp:effectExtent l="0" t="0" r="2540" b="0"/>
            <wp:docPr id="249741316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41316" name="그림 2497413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5EE09" w14:textId="77777777" w:rsidR="002C4187" w:rsidRDefault="002C4187">
      <w:pPr>
        <w:rPr>
          <w:rFonts w:hint="eastAsia"/>
        </w:rPr>
      </w:pPr>
    </w:p>
    <w:sectPr w:rsidR="002C41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87"/>
    <w:rsid w:val="002C4187"/>
    <w:rsid w:val="00A20654"/>
    <w:rsid w:val="00B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816E8"/>
  <w15:chartTrackingRefBased/>
  <w15:docId w15:val="{4BE67628-6DEB-4B57-A586-38B2F720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2C4187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rsid w:val="002C418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1139</Characters>
  <Application>Microsoft Office Word</Application>
  <DocSecurity>0</DocSecurity>
  <Lines>30</Lines>
  <Paragraphs>13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은정 장</dc:creator>
  <cp:keywords/>
  <dc:description/>
  <cp:lastModifiedBy>은정 장</cp:lastModifiedBy>
  <cp:revision>1</cp:revision>
  <dcterms:created xsi:type="dcterms:W3CDTF">2024-03-12T18:05:00Z</dcterms:created>
  <dcterms:modified xsi:type="dcterms:W3CDTF">2024-03-12T18:07:00Z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45eb7d49-5e4a-4d68-8a67-1edba8842af4</vt:lpwstr>
  </property>
</Properties>
</file>