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AE4" w14:textId="2408DAE9" w:rsidR="00924851" w:rsidRDefault="00924851" w:rsidP="00924851">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r>
        <w:rPr>
          <w:rFonts w:ascii="inherit" w:hAnsi="inherit" w:cs="Calibri"/>
          <w:b/>
          <w:color w:val="000000"/>
          <w:bdr w:val="none" w:sz="0" w:space="0" w:color="auto" w:frame="1"/>
        </w:rPr>
        <w:t xml:space="preserve">Online </w:t>
      </w:r>
      <w:r w:rsidR="00946434">
        <w:rPr>
          <w:rFonts w:ascii="inherit" w:hAnsi="inherit" w:cs="Calibri"/>
          <w:b/>
          <w:color w:val="000000"/>
          <w:bdr w:val="none" w:sz="0" w:space="0" w:color="auto" w:frame="1"/>
        </w:rPr>
        <w:t>Appendix 1</w:t>
      </w:r>
      <w:r>
        <w:rPr>
          <w:rFonts w:ascii="inherit" w:hAnsi="inherit" w:cs="Calibri"/>
          <w:b/>
          <w:color w:val="000000"/>
          <w:bdr w:val="none" w:sz="0" w:space="0" w:color="auto" w:frame="1"/>
        </w:rPr>
        <w:t>: Foreign-born population aged over 65, 2011-2020</w:t>
      </w:r>
    </w:p>
    <w:p w14:paraId="3FF2F83F" w14:textId="77777777" w:rsidR="00924851" w:rsidRDefault="00924851"/>
    <w:tbl>
      <w:tblPr>
        <w:tblW w:w="8443" w:type="dxa"/>
        <w:tblLook w:val="04A0" w:firstRow="1" w:lastRow="0" w:firstColumn="1" w:lastColumn="0" w:noHBand="0" w:noVBand="1"/>
      </w:tblPr>
      <w:tblGrid>
        <w:gridCol w:w="1666"/>
        <w:gridCol w:w="1214"/>
        <w:gridCol w:w="1238"/>
        <w:gridCol w:w="2226"/>
        <w:gridCol w:w="2099"/>
      </w:tblGrid>
      <w:tr w:rsidR="00924851" w:rsidRPr="00924851" w14:paraId="2F371B9B" w14:textId="77777777" w:rsidTr="003D3B8A">
        <w:trPr>
          <w:trHeight w:val="51"/>
        </w:trPr>
        <w:tc>
          <w:tcPr>
            <w:tcW w:w="8443" w:type="dxa"/>
            <w:gridSpan w:val="5"/>
            <w:tcBorders>
              <w:bottom w:val="single" w:sz="4" w:space="0" w:color="auto"/>
            </w:tcBorders>
            <w:tcMar>
              <w:top w:w="15" w:type="dxa"/>
              <w:left w:w="15" w:type="dxa"/>
              <w:bottom w:w="15" w:type="dxa"/>
              <w:right w:w="15" w:type="dxa"/>
            </w:tcMar>
            <w:vAlign w:val="bottom"/>
            <w:hideMark/>
          </w:tcPr>
          <w:p w14:paraId="7261DBB8" w14:textId="36B55ECA" w:rsidR="00924851" w:rsidRPr="00924851" w:rsidRDefault="00924851" w:rsidP="00924851">
            <w:pPr>
              <w:pStyle w:val="NormalWeb"/>
              <w:shd w:val="clear" w:color="auto" w:fill="FFFFFF"/>
              <w:spacing w:before="0" w:beforeAutospacing="0" w:after="0" w:afterAutospacing="0"/>
              <w:textAlignment w:val="baseline"/>
              <w:rPr>
                <w:i/>
                <w:color w:val="000000"/>
                <w:sz w:val="20"/>
                <w:szCs w:val="20"/>
                <w:bdr w:val="none" w:sz="0" w:space="0" w:color="auto" w:frame="1"/>
              </w:rPr>
            </w:pPr>
            <w:r w:rsidRPr="00924851">
              <w:rPr>
                <w:i/>
                <w:color w:val="000000"/>
                <w:sz w:val="20"/>
                <w:szCs w:val="20"/>
                <w:bdr w:val="none" w:sz="0" w:space="0" w:color="auto" w:frame="1"/>
              </w:rPr>
              <w:t>Foreign-born population over 65 in EU15, Norway and Switzerland, 2011-2020</w:t>
            </w:r>
          </w:p>
        </w:tc>
      </w:tr>
      <w:tr w:rsidR="00924851" w:rsidRPr="00924851" w14:paraId="4388D10A" w14:textId="77777777" w:rsidTr="003D3B8A">
        <w:trPr>
          <w:trHeight w:val="46"/>
        </w:trPr>
        <w:tc>
          <w:tcPr>
            <w:tcW w:w="1666" w:type="dxa"/>
            <w:tcBorders>
              <w:top w:val="single" w:sz="4" w:space="0" w:color="auto"/>
              <w:bottom w:val="single" w:sz="4" w:space="0" w:color="auto"/>
            </w:tcBorders>
            <w:tcMar>
              <w:top w:w="15" w:type="dxa"/>
              <w:left w:w="15" w:type="dxa"/>
              <w:bottom w:w="15" w:type="dxa"/>
              <w:right w:w="15" w:type="dxa"/>
            </w:tcMar>
            <w:vAlign w:val="bottom"/>
            <w:hideMark/>
          </w:tcPr>
          <w:p w14:paraId="702AC33A" w14:textId="77777777" w:rsidR="00924851" w:rsidRPr="00924851" w:rsidRDefault="00924851" w:rsidP="00924851">
            <w:pPr>
              <w:spacing w:after="0"/>
              <w:rPr>
                <w:rFonts w:ascii="Times New Roman" w:eastAsia="Times New Roman" w:hAnsi="Times New Roman" w:cs="Times New Roman"/>
                <w:color w:val="000000"/>
                <w:sz w:val="20"/>
                <w:szCs w:val="20"/>
              </w:rPr>
            </w:pPr>
          </w:p>
        </w:tc>
        <w:tc>
          <w:tcPr>
            <w:tcW w:w="1214" w:type="dxa"/>
            <w:tcBorders>
              <w:top w:val="single" w:sz="4" w:space="0" w:color="auto"/>
              <w:bottom w:val="single" w:sz="4" w:space="0" w:color="auto"/>
            </w:tcBorders>
            <w:tcMar>
              <w:top w:w="15" w:type="dxa"/>
              <w:left w:w="15" w:type="dxa"/>
              <w:bottom w:w="15" w:type="dxa"/>
              <w:right w:w="15" w:type="dxa"/>
            </w:tcMar>
            <w:hideMark/>
          </w:tcPr>
          <w:p w14:paraId="33907192" w14:textId="66B0B279" w:rsidR="00924851" w:rsidRPr="00924851" w:rsidRDefault="00924851" w:rsidP="00924851">
            <w:pPr>
              <w:spacing w:after="0"/>
              <w:jc w:val="center"/>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2011</w:t>
            </w:r>
          </w:p>
        </w:tc>
        <w:tc>
          <w:tcPr>
            <w:tcW w:w="1238" w:type="dxa"/>
            <w:tcBorders>
              <w:top w:val="single" w:sz="4" w:space="0" w:color="auto"/>
              <w:bottom w:val="single" w:sz="4" w:space="0" w:color="auto"/>
            </w:tcBorders>
            <w:tcMar>
              <w:top w:w="15" w:type="dxa"/>
              <w:left w:w="15" w:type="dxa"/>
              <w:bottom w:w="15" w:type="dxa"/>
              <w:right w:w="15" w:type="dxa"/>
            </w:tcMar>
            <w:hideMark/>
          </w:tcPr>
          <w:p w14:paraId="4761BE4A" w14:textId="73A5BE36" w:rsidR="00924851" w:rsidRPr="00924851" w:rsidRDefault="00924851" w:rsidP="00924851">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924851">
              <w:rPr>
                <w:rFonts w:ascii="Times New Roman" w:eastAsia="Times New Roman" w:hAnsi="Times New Roman" w:cs="Times New Roman"/>
                <w:color w:val="000000"/>
                <w:sz w:val="20"/>
                <w:szCs w:val="20"/>
              </w:rPr>
              <w:t>20</w:t>
            </w:r>
          </w:p>
        </w:tc>
        <w:tc>
          <w:tcPr>
            <w:tcW w:w="2226" w:type="dxa"/>
            <w:tcBorders>
              <w:top w:val="single" w:sz="4" w:space="0" w:color="auto"/>
              <w:bottom w:val="single" w:sz="4" w:space="0" w:color="auto"/>
            </w:tcBorders>
            <w:tcMar>
              <w:top w:w="15" w:type="dxa"/>
              <w:left w:w="15" w:type="dxa"/>
              <w:bottom w:w="15" w:type="dxa"/>
              <w:right w:w="15" w:type="dxa"/>
            </w:tcMar>
            <w:hideMark/>
          </w:tcPr>
          <w:p w14:paraId="0BCDE4F8" w14:textId="117064D9" w:rsidR="00924851" w:rsidRPr="00924851" w:rsidRDefault="00924851" w:rsidP="00924851">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2011-2020 (</w:t>
            </w:r>
            <w:r w:rsidRPr="0092485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p>
        </w:tc>
        <w:tc>
          <w:tcPr>
            <w:tcW w:w="2098" w:type="dxa"/>
            <w:tcBorders>
              <w:top w:val="single" w:sz="4" w:space="0" w:color="auto"/>
              <w:bottom w:val="single" w:sz="4" w:space="0" w:color="auto"/>
            </w:tcBorders>
            <w:tcMar>
              <w:top w:w="15" w:type="dxa"/>
              <w:left w:w="15" w:type="dxa"/>
              <w:bottom w:w="15" w:type="dxa"/>
              <w:right w:w="15" w:type="dxa"/>
            </w:tcMar>
            <w:hideMark/>
          </w:tcPr>
          <w:p w14:paraId="74D5A787" w14:textId="4664AEFF" w:rsidR="00924851" w:rsidRPr="00924851" w:rsidRDefault="00924851" w:rsidP="00924851">
            <w:pPr>
              <w:spacing w:after="0"/>
              <w:jc w:val="center"/>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Average 2011-</w:t>
            </w:r>
            <w:r>
              <w:rPr>
                <w:rFonts w:ascii="Times New Roman" w:eastAsia="Times New Roman" w:hAnsi="Times New Roman" w:cs="Times New Roman"/>
                <w:color w:val="000000"/>
                <w:sz w:val="20"/>
                <w:szCs w:val="20"/>
              </w:rPr>
              <w:t>20</w:t>
            </w:r>
            <w:r w:rsidRPr="00924851">
              <w:rPr>
                <w:rFonts w:ascii="Times New Roman" w:eastAsia="Times New Roman" w:hAnsi="Times New Roman" w:cs="Times New Roman"/>
                <w:color w:val="000000"/>
                <w:sz w:val="20"/>
                <w:szCs w:val="20"/>
              </w:rPr>
              <w:t>20</w:t>
            </w:r>
          </w:p>
        </w:tc>
      </w:tr>
      <w:tr w:rsidR="00924851" w:rsidRPr="00924851" w14:paraId="48A7E918" w14:textId="77777777" w:rsidTr="003D3B8A">
        <w:trPr>
          <w:trHeight w:val="310"/>
        </w:trPr>
        <w:tc>
          <w:tcPr>
            <w:tcW w:w="1666" w:type="dxa"/>
            <w:tcBorders>
              <w:top w:val="single" w:sz="4" w:space="0" w:color="auto"/>
            </w:tcBorders>
            <w:tcMar>
              <w:top w:w="15" w:type="dxa"/>
              <w:left w:w="15" w:type="dxa"/>
              <w:bottom w:w="15" w:type="dxa"/>
              <w:right w:w="15" w:type="dxa"/>
            </w:tcMar>
            <w:vAlign w:val="bottom"/>
            <w:hideMark/>
          </w:tcPr>
          <w:p w14:paraId="72C85528"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Austria</w:t>
            </w:r>
          </w:p>
        </w:tc>
        <w:tc>
          <w:tcPr>
            <w:tcW w:w="0" w:type="auto"/>
            <w:tcBorders>
              <w:top w:val="single" w:sz="4" w:space="0" w:color="auto"/>
            </w:tcBorders>
            <w:tcMar>
              <w:top w:w="15" w:type="dxa"/>
              <w:left w:w="15" w:type="dxa"/>
              <w:bottom w:w="15" w:type="dxa"/>
              <w:right w:w="15" w:type="dxa"/>
            </w:tcMar>
            <w:vAlign w:val="bottom"/>
            <w:hideMark/>
          </w:tcPr>
          <w:p w14:paraId="0A77C849"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181828</w:t>
            </w:r>
          </w:p>
        </w:tc>
        <w:tc>
          <w:tcPr>
            <w:tcW w:w="0" w:type="auto"/>
            <w:tcBorders>
              <w:top w:val="single" w:sz="4" w:space="0" w:color="auto"/>
            </w:tcBorders>
            <w:tcMar>
              <w:top w:w="15" w:type="dxa"/>
              <w:left w:w="15" w:type="dxa"/>
              <w:bottom w:w="15" w:type="dxa"/>
              <w:right w:w="15" w:type="dxa"/>
            </w:tcMar>
            <w:vAlign w:val="bottom"/>
            <w:hideMark/>
          </w:tcPr>
          <w:p w14:paraId="304B4999"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237506</w:t>
            </w:r>
          </w:p>
        </w:tc>
        <w:tc>
          <w:tcPr>
            <w:tcW w:w="0" w:type="auto"/>
            <w:tcBorders>
              <w:top w:val="single" w:sz="4" w:space="0" w:color="auto"/>
            </w:tcBorders>
            <w:tcMar>
              <w:top w:w="15" w:type="dxa"/>
              <w:left w:w="15" w:type="dxa"/>
              <w:bottom w:w="15" w:type="dxa"/>
              <w:right w:w="15" w:type="dxa"/>
            </w:tcMar>
            <w:vAlign w:val="bottom"/>
            <w:hideMark/>
          </w:tcPr>
          <w:p w14:paraId="53534B72"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31</w:t>
            </w:r>
          </w:p>
        </w:tc>
        <w:tc>
          <w:tcPr>
            <w:tcW w:w="0" w:type="auto"/>
            <w:tcBorders>
              <w:top w:val="single" w:sz="4" w:space="0" w:color="auto"/>
            </w:tcBorders>
            <w:tcMar>
              <w:top w:w="15" w:type="dxa"/>
              <w:left w:w="15" w:type="dxa"/>
              <w:bottom w:w="15" w:type="dxa"/>
              <w:right w:w="15" w:type="dxa"/>
            </w:tcMar>
            <w:vAlign w:val="bottom"/>
            <w:hideMark/>
          </w:tcPr>
          <w:p w14:paraId="3D823E97"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206241</w:t>
            </w:r>
          </w:p>
        </w:tc>
      </w:tr>
      <w:tr w:rsidR="00924851" w:rsidRPr="00924851" w14:paraId="0D55E962" w14:textId="77777777" w:rsidTr="003D3B8A">
        <w:trPr>
          <w:trHeight w:val="310"/>
        </w:trPr>
        <w:tc>
          <w:tcPr>
            <w:tcW w:w="1666" w:type="dxa"/>
            <w:tcMar>
              <w:top w:w="15" w:type="dxa"/>
              <w:left w:w="15" w:type="dxa"/>
              <w:bottom w:w="15" w:type="dxa"/>
              <w:right w:w="15" w:type="dxa"/>
            </w:tcMar>
            <w:vAlign w:val="bottom"/>
            <w:hideMark/>
          </w:tcPr>
          <w:p w14:paraId="6CA60712"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Belgium</w:t>
            </w:r>
          </w:p>
        </w:tc>
        <w:tc>
          <w:tcPr>
            <w:tcW w:w="0" w:type="auto"/>
            <w:tcMar>
              <w:top w:w="15" w:type="dxa"/>
              <w:left w:w="15" w:type="dxa"/>
              <w:bottom w:w="15" w:type="dxa"/>
              <w:right w:w="15" w:type="dxa"/>
            </w:tcMar>
            <w:vAlign w:val="bottom"/>
            <w:hideMark/>
          </w:tcPr>
          <w:p w14:paraId="386A3713"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208461</w:t>
            </w:r>
          </w:p>
        </w:tc>
        <w:tc>
          <w:tcPr>
            <w:tcW w:w="0" w:type="auto"/>
            <w:tcMar>
              <w:top w:w="15" w:type="dxa"/>
              <w:left w:w="15" w:type="dxa"/>
              <w:bottom w:w="15" w:type="dxa"/>
              <w:right w:w="15" w:type="dxa"/>
            </w:tcMar>
            <w:vAlign w:val="bottom"/>
            <w:hideMark/>
          </w:tcPr>
          <w:p w14:paraId="5DCF9F5B"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278449</w:t>
            </w:r>
          </w:p>
        </w:tc>
        <w:tc>
          <w:tcPr>
            <w:tcW w:w="0" w:type="auto"/>
            <w:tcMar>
              <w:top w:w="15" w:type="dxa"/>
              <w:left w:w="15" w:type="dxa"/>
              <w:bottom w:w="15" w:type="dxa"/>
              <w:right w:w="15" w:type="dxa"/>
            </w:tcMar>
            <w:vAlign w:val="bottom"/>
            <w:hideMark/>
          </w:tcPr>
          <w:p w14:paraId="01213C88"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34</w:t>
            </w:r>
          </w:p>
        </w:tc>
        <w:tc>
          <w:tcPr>
            <w:tcW w:w="0" w:type="auto"/>
            <w:tcMar>
              <w:top w:w="15" w:type="dxa"/>
              <w:left w:w="15" w:type="dxa"/>
              <w:bottom w:w="15" w:type="dxa"/>
              <w:right w:w="15" w:type="dxa"/>
            </w:tcMar>
            <w:vAlign w:val="bottom"/>
            <w:hideMark/>
          </w:tcPr>
          <w:p w14:paraId="731BD20B"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241119</w:t>
            </w:r>
          </w:p>
        </w:tc>
      </w:tr>
      <w:tr w:rsidR="00924851" w:rsidRPr="00924851" w14:paraId="0803DEC4" w14:textId="77777777" w:rsidTr="003D3B8A">
        <w:trPr>
          <w:trHeight w:val="310"/>
        </w:trPr>
        <w:tc>
          <w:tcPr>
            <w:tcW w:w="1666" w:type="dxa"/>
            <w:tcMar>
              <w:top w:w="15" w:type="dxa"/>
              <w:left w:w="15" w:type="dxa"/>
              <w:bottom w:w="15" w:type="dxa"/>
              <w:right w:w="15" w:type="dxa"/>
            </w:tcMar>
            <w:vAlign w:val="bottom"/>
            <w:hideMark/>
          </w:tcPr>
          <w:p w14:paraId="33E71D82"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Denmark</w:t>
            </w:r>
          </w:p>
        </w:tc>
        <w:tc>
          <w:tcPr>
            <w:tcW w:w="0" w:type="auto"/>
            <w:tcMar>
              <w:top w:w="15" w:type="dxa"/>
              <w:left w:w="15" w:type="dxa"/>
              <w:bottom w:w="15" w:type="dxa"/>
              <w:right w:w="15" w:type="dxa"/>
            </w:tcMar>
            <w:vAlign w:val="bottom"/>
            <w:hideMark/>
          </w:tcPr>
          <w:p w14:paraId="4463D3F3"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41143</w:t>
            </w:r>
          </w:p>
        </w:tc>
        <w:tc>
          <w:tcPr>
            <w:tcW w:w="0" w:type="auto"/>
            <w:tcMar>
              <w:top w:w="15" w:type="dxa"/>
              <w:left w:w="15" w:type="dxa"/>
              <w:bottom w:w="15" w:type="dxa"/>
              <w:right w:w="15" w:type="dxa"/>
            </w:tcMar>
            <w:vAlign w:val="bottom"/>
            <w:hideMark/>
          </w:tcPr>
          <w:p w14:paraId="44C6F54F"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64181</w:t>
            </w:r>
          </w:p>
        </w:tc>
        <w:tc>
          <w:tcPr>
            <w:tcW w:w="0" w:type="auto"/>
            <w:tcMar>
              <w:top w:w="15" w:type="dxa"/>
              <w:left w:w="15" w:type="dxa"/>
              <w:bottom w:w="15" w:type="dxa"/>
              <w:right w:w="15" w:type="dxa"/>
            </w:tcMar>
            <w:vAlign w:val="bottom"/>
            <w:hideMark/>
          </w:tcPr>
          <w:p w14:paraId="1FBD9DFC"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56</w:t>
            </w:r>
          </w:p>
        </w:tc>
        <w:tc>
          <w:tcPr>
            <w:tcW w:w="0" w:type="auto"/>
            <w:tcMar>
              <w:top w:w="15" w:type="dxa"/>
              <w:left w:w="15" w:type="dxa"/>
              <w:bottom w:w="15" w:type="dxa"/>
              <w:right w:w="15" w:type="dxa"/>
            </w:tcMar>
            <w:vAlign w:val="bottom"/>
            <w:hideMark/>
          </w:tcPr>
          <w:p w14:paraId="48628E8F"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51713</w:t>
            </w:r>
          </w:p>
        </w:tc>
      </w:tr>
      <w:tr w:rsidR="00924851" w:rsidRPr="00924851" w14:paraId="0C223F11" w14:textId="77777777" w:rsidTr="003D3B8A">
        <w:trPr>
          <w:trHeight w:val="310"/>
        </w:trPr>
        <w:tc>
          <w:tcPr>
            <w:tcW w:w="1666" w:type="dxa"/>
            <w:tcMar>
              <w:top w:w="15" w:type="dxa"/>
              <w:left w:w="15" w:type="dxa"/>
              <w:bottom w:w="15" w:type="dxa"/>
              <w:right w:w="15" w:type="dxa"/>
            </w:tcMar>
            <w:vAlign w:val="bottom"/>
            <w:hideMark/>
          </w:tcPr>
          <w:p w14:paraId="1785BE60"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Finland</w:t>
            </w:r>
          </w:p>
        </w:tc>
        <w:tc>
          <w:tcPr>
            <w:tcW w:w="0" w:type="auto"/>
            <w:tcMar>
              <w:top w:w="15" w:type="dxa"/>
              <w:left w:w="15" w:type="dxa"/>
              <w:bottom w:w="15" w:type="dxa"/>
              <w:right w:w="15" w:type="dxa"/>
            </w:tcMar>
            <w:vAlign w:val="bottom"/>
            <w:hideMark/>
          </w:tcPr>
          <w:p w14:paraId="00E5330F"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12092</w:t>
            </w:r>
          </w:p>
        </w:tc>
        <w:tc>
          <w:tcPr>
            <w:tcW w:w="0" w:type="auto"/>
            <w:tcMar>
              <w:top w:w="15" w:type="dxa"/>
              <w:left w:w="15" w:type="dxa"/>
              <w:bottom w:w="15" w:type="dxa"/>
              <w:right w:w="15" w:type="dxa"/>
            </w:tcMar>
            <w:vAlign w:val="bottom"/>
            <w:hideMark/>
          </w:tcPr>
          <w:p w14:paraId="73E4732E"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22334</w:t>
            </w:r>
          </w:p>
        </w:tc>
        <w:tc>
          <w:tcPr>
            <w:tcW w:w="0" w:type="auto"/>
            <w:tcMar>
              <w:top w:w="15" w:type="dxa"/>
              <w:left w:w="15" w:type="dxa"/>
              <w:bottom w:w="15" w:type="dxa"/>
              <w:right w:w="15" w:type="dxa"/>
            </w:tcMar>
            <w:vAlign w:val="bottom"/>
            <w:hideMark/>
          </w:tcPr>
          <w:p w14:paraId="1E23966A"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85</w:t>
            </w:r>
          </w:p>
        </w:tc>
        <w:tc>
          <w:tcPr>
            <w:tcW w:w="0" w:type="auto"/>
            <w:tcMar>
              <w:top w:w="15" w:type="dxa"/>
              <w:left w:w="15" w:type="dxa"/>
              <w:bottom w:w="15" w:type="dxa"/>
              <w:right w:w="15" w:type="dxa"/>
            </w:tcMar>
            <w:vAlign w:val="bottom"/>
            <w:hideMark/>
          </w:tcPr>
          <w:p w14:paraId="564E1256"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16584</w:t>
            </w:r>
          </w:p>
        </w:tc>
      </w:tr>
      <w:tr w:rsidR="00924851" w:rsidRPr="00924851" w14:paraId="6D29B8D8" w14:textId="77777777" w:rsidTr="003D3B8A">
        <w:trPr>
          <w:trHeight w:val="310"/>
        </w:trPr>
        <w:tc>
          <w:tcPr>
            <w:tcW w:w="1666" w:type="dxa"/>
            <w:tcMar>
              <w:top w:w="15" w:type="dxa"/>
              <w:left w:w="15" w:type="dxa"/>
              <w:bottom w:w="15" w:type="dxa"/>
              <w:right w:w="15" w:type="dxa"/>
            </w:tcMar>
            <w:vAlign w:val="bottom"/>
            <w:hideMark/>
          </w:tcPr>
          <w:p w14:paraId="18DA3024"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France</w:t>
            </w:r>
          </w:p>
        </w:tc>
        <w:tc>
          <w:tcPr>
            <w:tcW w:w="0" w:type="auto"/>
            <w:tcMar>
              <w:top w:w="15" w:type="dxa"/>
              <w:left w:w="15" w:type="dxa"/>
              <w:bottom w:w="15" w:type="dxa"/>
              <w:right w:w="15" w:type="dxa"/>
            </w:tcMar>
            <w:vAlign w:val="bottom"/>
            <w:hideMark/>
          </w:tcPr>
          <w:p w14:paraId="05759B11"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1490313</w:t>
            </w:r>
          </w:p>
        </w:tc>
        <w:tc>
          <w:tcPr>
            <w:tcW w:w="0" w:type="auto"/>
            <w:tcMar>
              <w:top w:w="15" w:type="dxa"/>
              <w:left w:w="15" w:type="dxa"/>
              <w:bottom w:w="15" w:type="dxa"/>
              <w:right w:w="15" w:type="dxa"/>
            </w:tcMar>
            <w:vAlign w:val="bottom"/>
            <w:hideMark/>
          </w:tcPr>
          <w:p w14:paraId="0BCA8151"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1935409</w:t>
            </w:r>
          </w:p>
        </w:tc>
        <w:tc>
          <w:tcPr>
            <w:tcW w:w="0" w:type="auto"/>
            <w:tcMar>
              <w:top w:w="15" w:type="dxa"/>
              <w:left w:w="15" w:type="dxa"/>
              <w:bottom w:w="15" w:type="dxa"/>
              <w:right w:w="15" w:type="dxa"/>
            </w:tcMar>
            <w:vAlign w:val="bottom"/>
            <w:hideMark/>
          </w:tcPr>
          <w:p w14:paraId="72CFC55B"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30</w:t>
            </w:r>
          </w:p>
        </w:tc>
        <w:tc>
          <w:tcPr>
            <w:tcW w:w="0" w:type="auto"/>
            <w:tcMar>
              <w:top w:w="15" w:type="dxa"/>
              <w:left w:w="15" w:type="dxa"/>
              <w:bottom w:w="15" w:type="dxa"/>
              <w:right w:w="15" w:type="dxa"/>
            </w:tcMar>
            <w:vAlign w:val="bottom"/>
            <w:hideMark/>
          </w:tcPr>
          <w:p w14:paraId="27D33875"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1706701</w:t>
            </w:r>
          </w:p>
        </w:tc>
      </w:tr>
      <w:tr w:rsidR="00924851" w:rsidRPr="00924851" w14:paraId="0D3B2096" w14:textId="77777777" w:rsidTr="003D3B8A">
        <w:trPr>
          <w:trHeight w:val="310"/>
        </w:trPr>
        <w:tc>
          <w:tcPr>
            <w:tcW w:w="1666" w:type="dxa"/>
            <w:tcMar>
              <w:top w:w="15" w:type="dxa"/>
              <w:left w:w="15" w:type="dxa"/>
              <w:bottom w:w="15" w:type="dxa"/>
              <w:right w:w="15" w:type="dxa"/>
            </w:tcMar>
            <w:vAlign w:val="bottom"/>
            <w:hideMark/>
          </w:tcPr>
          <w:p w14:paraId="74A51639"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 xml:space="preserve">Germany </w:t>
            </w:r>
          </w:p>
        </w:tc>
        <w:tc>
          <w:tcPr>
            <w:tcW w:w="0" w:type="auto"/>
            <w:tcMar>
              <w:top w:w="15" w:type="dxa"/>
              <w:left w:w="15" w:type="dxa"/>
              <w:bottom w:w="15" w:type="dxa"/>
              <w:right w:w="15" w:type="dxa"/>
            </w:tcMar>
            <w:vAlign w:val="bottom"/>
            <w:hideMark/>
          </w:tcPr>
          <w:p w14:paraId="7C528E4D"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1112977</w:t>
            </w:r>
          </w:p>
        </w:tc>
        <w:tc>
          <w:tcPr>
            <w:tcW w:w="0" w:type="auto"/>
            <w:tcMar>
              <w:top w:w="15" w:type="dxa"/>
              <w:left w:w="15" w:type="dxa"/>
              <w:bottom w:w="15" w:type="dxa"/>
              <w:right w:w="15" w:type="dxa"/>
            </w:tcMar>
            <w:vAlign w:val="bottom"/>
            <w:hideMark/>
          </w:tcPr>
          <w:p w14:paraId="062A1B15"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3249546</w:t>
            </w:r>
          </w:p>
        </w:tc>
        <w:tc>
          <w:tcPr>
            <w:tcW w:w="0" w:type="auto"/>
            <w:tcMar>
              <w:top w:w="15" w:type="dxa"/>
              <w:left w:w="15" w:type="dxa"/>
              <w:bottom w:w="15" w:type="dxa"/>
              <w:right w:w="15" w:type="dxa"/>
            </w:tcMar>
            <w:vAlign w:val="bottom"/>
            <w:hideMark/>
          </w:tcPr>
          <w:p w14:paraId="185DB8E4"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192</w:t>
            </w:r>
          </w:p>
        </w:tc>
        <w:tc>
          <w:tcPr>
            <w:tcW w:w="0" w:type="auto"/>
            <w:tcMar>
              <w:top w:w="15" w:type="dxa"/>
              <w:left w:w="15" w:type="dxa"/>
              <w:bottom w:w="15" w:type="dxa"/>
              <w:right w:w="15" w:type="dxa"/>
            </w:tcMar>
            <w:vAlign w:val="bottom"/>
            <w:hideMark/>
          </w:tcPr>
          <w:p w14:paraId="5E8AC883"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1888879</w:t>
            </w:r>
          </w:p>
        </w:tc>
      </w:tr>
      <w:tr w:rsidR="00924851" w:rsidRPr="00924851" w14:paraId="4E74581E" w14:textId="77777777" w:rsidTr="003D3B8A">
        <w:trPr>
          <w:trHeight w:val="310"/>
        </w:trPr>
        <w:tc>
          <w:tcPr>
            <w:tcW w:w="1666" w:type="dxa"/>
            <w:tcMar>
              <w:top w:w="15" w:type="dxa"/>
              <w:left w:w="15" w:type="dxa"/>
              <w:bottom w:w="15" w:type="dxa"/>
              <w:right w:w="15" w:type="dxa"/>
            </w:tcMar>
            <w:vAlign w:val="bottom"/>
            <w:hideMark/>
          </w:tcPr>
          <w:p w14:paraId="305DC98C"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Greece</w:t>
            </w:r>
          </w:p>
        </w:tc>
        <w:tc>
          <w:tcPr>
            <w:tcW w:w="0" w:type="auto"/>
            <w:tcMar>
              <w:top w:w="15" w:type="dxa"/>
              <w:left w:w="15" w:type="dxa"/>
              <w:bottom w:w="15" w:type="dxa"/>
              <w:right w:w="15" w:type="dxa"/>
            </w:tcMar>
            <w:vAlign w:val="bottom"/>
            <w:hideMark/>
          </w:tcPr>
          <w:p w14:paraId="1909DC66"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99391</w:t>
            </w:r>
          </w:p>
        </w:tc>
        <w:tc>
          <w:tcPr>
            <w:tcW w:w="0" w:type="auto"/>
            <w:tcMar>
              <w:top w:w="15" w:type="dxa"/>
              <w:left w:w="15" w:type="dxa"/>
              <w:bottom w:w="15" w:type="dxa"/>
              <w:right w:w="15" w:type="dxa"/>
            </w:tcMar>
            <w:vAlign w:val="bottom"/>
            <w:hideMark/>
          </w:tcPr>
          <w:p w14:paraId="2A58F50C"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150271</w:t>
            </w:r>
          </w:p>
        </w:tc>
        <w:tc>
          <w:tcPr>
            <w:tcW w:w="0" w:type="auto"/>
            <w:tcMar>
              <w:top w:w="15" w:type="dxa"/>
              <w:left w:w="15" w:type="dxa"/>
              <w:bottom w:w="15" w:type="dxa"/>
              <w:right w:w="15" w:type="dxa"/>
            </w:tcMar>
            <w:vAlign w:val="bottom"/>
            <w:hideMark/>
          </w:tcPr>
          <w:p w14:paraId="31BD857B"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51</w:t>
            </w:r>
          </w:p>
        </w:tc>
        <w:tc>
          <w:tcPr>
            <w:tcW w:w="0" w:type="auto"/>
            <w:tcMar>
              <w:top w:w="15" w:type="dxa"/>
              <w:left w:w="15" w:type="dxa"/>
              <w:bottom w:w="15" w:type="dxa"/>
              <w:right w:w="15" w:type="dxa"/>
            </w:tcMar>
            <w:vAlign w:val="bottom"/>
            <w:hideMark/>
          </w:tcPr>
          <w:p w14:paraId="4EB69B65"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123257</w:t>
            </w:r>
          </w:p>
        </w:tc>
      </w:tr>
      <w:tr w:rsidR="00924851" w:rsidRPr="00924851" w14:paraId="35D3027A" w14:textId="77777777" w:rsidTr="003D3B8A">
        <w:trPr>
          <w:trHeight w:val="310"/>
        </w:trPr>
        <w:tc>
          <w:tcPr>
            <w:tcW w:w="1666" w:type="dxa"/>
            <w:tcMar>
              <w:top w:w="15" w:type="dxa"/>
              <w:left w:w="15" w:type="dxa"/>
              <w:bottom w:w="15" w:type="dxa"/>
              <w:right w:w="15" w:type="dxa"/>
            </w:tcMar>
            <w:vAlign w:val="bottom"/>
            <w:hideMark/>
          </w:tcPr>
          <w:p w14:paraId="60655C5A"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Ireland</w:t>
            </w:r>
          </w:p>
        </w:tc>
        <w:tc>
          <w:tcPr>
            <w:tcW w:w="0" w:type="auto"/>
            <w:tcMar>
              <w:top w:w="15" w:type="dxa"/>
              <w:left w:w="15" w:type="dxa"/>
              <w:bottom w:w="15" w:type="dxa"/>
              <w:right w:w="15" w:type="dxa"/>
            </w:tcMar>
            <w:vAlign w:val="bottom"/>
            <w:hideMark/>
          </w:tcPr>
          <w:p w14:paraId="2B94C04A"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30898</w:t>
            </w:r>
          </w:p>
        </w:tc>
        <w:tc>
          <w:tcPr>
            <w:tcW w:w="0" w:type="auto"/>
            <w:tcMar>
              <w:top w:w="15" w:type="dxa"/>
              <w:left w:w="15" w:type="dxa"/>
              <w:bottom w:w="15" w:type="dxa"/>
              <w:right w:w="15" w:type="dxa"/>
            </w:tcMar>
            <w:vAlign w:val="bottom"/>
            <w:hideMark/>
          </w:tcPr>
          <w:p w14:paraId="04A19753"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77451</w:t>
            </w:r>
          </w:p>
        </w:tc>
        <w:tc>
          <w:tcPr>
            <w:tcW w:w="0" w:type="auto"/>
            <w:tcMar>
              <w:top w:w="15" w:type="dxa"/>
              <w:left w:w="15" w:type="dxa"/>
              <w:bottom w:w="15" w:type="dxa"/>
              <w:right w:w="15" w:type="dxa"/>
            </w:tcMar>
            <w:vAlign w:val="bottom"/>
            <w:hideMark/>
          </w:tcPr>
          <w:p w14:paraId="463706B8"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151</w:t>
            </w:r>
          </w:p>
        </w:tc>
        <w:tc>
          <w:tcPr>
            <w:tcW w:w="0" w:type="auto"/>
            <w:tcMar>
              <w:top w:w="15" w:type="dxa"/>
              <w:left w:w="15" w:type="dxa"/>
              <w:bottom w:w="15" w:type="dxa"/>
              <w:right w:w="15" w:type="dxa"/>
            </w:tcMar>
            <w:vAlign w:val="bottom"/>
            <w:hideMark/>
          </w:tcPr>
          <w:p w14:paraId="4809AA31"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61536</w:t>
            </w:r>
          </w:p>
        </w:tc>
      </w:tr>
      <w:tr w:rsidR="00924851" w:rsidRPr="00924851" w14:paraId="4CEF020C" w14:textId="77777777" w:rsidTr="003D3B8A">
        <w:trPr>
          <w:trHeight w:val="310"/>
        </w:trPr>
        <w:tc>
          <w:tcPr>
            <w:tcW w:w="1666" w:type="dxa"/>
            <w:tcMar>
              <w:top w:w="15" w:type="dxa"/>
              <w:left w:w="15" w:type="dxa"/>
              <w:bottom w:w="15" w:type="dxa"/>
              <w:right w:w="15" w:type="dxa"/>
            </w:tcMar>
            <w:vAlign w:val="bottom"/>
            <w:hideMark/>
          </w:tcPr>
          <w:p w14:paraId="7B12D2A4"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Italy</w:t>
            </w:r>
          </w:p>
        </w:tc>
        <w:tc>
          <w:tcPr>
            <w:tcW w:w="0" w:type="auto"/>
            <w:tcMar>
              <w:top w:w="15" w:type="dxa"/>
              <w:left w:w="15" w:type="dxa"/>
              <w:bottom w:w="15" w:type="dxa"/>
              <w:right w:w="15" w:type="dxa"/>
            </w:tcMar>
            <w:vAlign w:val="bottom"/>
            <w:hideMark/>
          </w:tcPr>
          <w:p w14:paraId="1C27D2FE"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290328</w:t>
            </w:r>
          </w:p>
        </w:tc>
        <w:tc>
          <w:tcPr>
            <w:tcW w:w="0" w:type="auto"/>
            <w:tcMar>
              <w:top w:w="15" w:type="dxa"/>
              <w:left w:w="15" w:type="dxa"/>
              <w:bottom w:w="15" w:type="dxa"/>
              <w:right w:w="15" w:type="dxa"/>
            </w:tcMar>
            <w:vAlign w:val="bottom"/>
            <w:hideMark/>
          </w:tcPr>
          <w:p w14:paraId="3ED62607"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477582</w:t>
            </w:r>
          </w:p>
        </w:tc>
        <w:tc>
          <w:tcPr>
            <w:tcW w:w="0" w:type="auto"/>
            <w:tcMar>
              <w:top w:w="15" w:type="dxa"/>
              <w:left w:w="15" w:type="dxa"/>
              <w:bottom w:w="15" w:type="dxa"/>
              <w:right w:w="15" w:type="dxa"/>
            </w:tcMar>
            <w:vAlign w:val="bottom"/>
            <w:hideMark/>
          </w:tcPr>
          <w:p w14:paraId="387DA685"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64</w:t>
            </w:r>
          </w:p>
        </w:tc>
        <w:tc>
          <w:tcPr>
            <w:tcW w:w="0" w:type="auto"/>
            <w:tcMar>
              <w:top w:w="15" w:type="dxa"/>
              <w:left w:w="15" w:type="dxa"/>
              <w:bottom w:w="15" w:type="dxa"/>
              <w:right w:w="15" w:type="dxa"/>
            </w:tcMar>
            <w:vAlign w:val="bottom"/>
            <w:hideMark/>
          </w:tcPr>
          <w:p w14:paraId="476A1D33"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360370</w:t>
            </w:r>
          </w:p>
        </w:tc>
      </w:tr>
      <w:tr w:rsidR="00924851" w:rsidRPr="00924851" w14:paraId="6C823F59" w14:textId="77777777" w:rsidTr="003D3B8A">
        <w:trPr>
          <w:trHeight w:val="310"/>
        </w:trPr>
        <w:tc>
          <w:tcPr>
            <w:tcW w:w="1666" w:type="dxa"/>
            <w:tcMar>
              <w:top w:w="15" w:type="dxa"/>
              <w:left w:w="15" w:type="dxa"/>
              <w:bottom w:w="15" w:type="dxa"/>
              <w:right w:w="15" w:type="dxa"/>
            </w:tcMar>
            <w:vAlign w:val="bottom"/>
            <w:hideMark/>
          </w:tcPr>
          <w:p w14:paraId="082E5C02"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Luxembourg</w:t>
            </w:r>
          </w:p>
        </w:tc>
        <w:tc>
          <w:tcPr>
            <w:tcW w:w="0" w:type="auto"/>
            <w:tcMar>
              <w:top w:w="15" w:type="dxa"/>
              <w:left w:w="15" w:type="dxa"/>
              <w:bottom w:w="15" w:type="dxa"/>
              <w:right w:w="15" w:type="dxa"/>
            </w:tcMar>
            <w:vAlign w:val="bottom"/>
            <w:hideMark/>
          </w:tcPr>
          <w:p w14:paraId="758C5D70"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14825</w:t>
            </w:r>
          </w:p>
        </w:tc>
        <w:tc>
          <w:tcPr>
            <w:tcW w:w="0" w:type="auto"/>
            <w:tcMar>
              <w:top w:w="15" w:type="dxa"/>
              <w:left w:w="15" w:type="dxa"/>
              <w:bottom w:w="15" w:type="dxa"/>
              <w:right w:w="15" w:type="dxa"/>
            </w:tcMar>
            <w:vAlign w:val="bottom"/>
            <w:hideMark/>
          </w:tcPr>
          <w:p w14:paraId="24E9920B"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35260</w:t>
            </w:r>
          </w:p>
        </w:tc>
        <w:tc>
          <w:tcPr>
            <w:tcW w:w="0" w:type="auto"/>
            <w:tcMar>
              <w:top w:w="15" w:type="dxa"/>
              <w:left w:w="15" w:type="dxa"/>
              <w:bottom w:w="15" w:type="dxa"/>
              <w:right w:w="15" w:type="dxa"/>
            </w:tcMar>
            <w:vAlign w:val="bottom"/>
            <w:hideMark/>
          </w:tcPr>
          <w:p w14:paraId="2F946951"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138</w:t>
            </w:r>
          </w:p>
        </w:tc>
        <w:tc>
          <w:tcPr>
            <w:tcW w:w="0" w:type="auto"/>
            <w:tcMar>
              <w:top w:w="15" w:type="dxa"/>
              <w:left w:w="15" w:type="dxa"/>
              <w:bottom w:w="15" w:type="dxa"/>
              <w:right w:w="15" w:type="dxa"/>
            </w:tcMar>
            <w:vAlign w:val="bottom"/>
            <w:hideMark/>
          </w:tcPr>
          <w:p w14:paraId="6B99208A"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27105</w:t>
            </w:r>
          </w:p>
        </w:tc>
      </w:tr>
      <w:tr w:rsidR="00924851" w:rsidRPr="00924851" w14:paraId="05B18A08" w14:textId="77777777" w:rsidTr="003D3B8A">
        <w:trPr>
          <w:trHeight w:val="310"/>
        </w:trPr>
        <w:tc>
          <w:tcPr>
            <w:tcW w:w="1666" w:type="dxa"/>
            <w:tcMar>
              <w:top w:w="15" w:type="dxa"/>
              <w:left w:w="15" w:type="dxa"/>
              <w:bottom w:w="15" w:type="dxa"/>
              <w:right w:w="15" w:type="dxa"/>
            </w:tcMar>
            <w:vAlign w:val="bottom"/>
            <w:hideMark/>
          </w:tcPr>
          <w:p w14:paraId="5BC524DA"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Netherlands</w:t>
            </w:r>
          </w:p>
        </w:tc>
        <w:tc>
          <w:tcPr>
            <w:tcW w:w="0" w:type="auto"/>
            <w:tcMar>
              <w:top w:w="15" w:type="dxa"/>
              <w:left w:w="15" w:type="dxa"/>
              <w:bottom w:w="15" w:type="dxa"/>
              <w:right w:w="15" w:type="dxa"/>
            </w:tcMar>
            <w:vAlign w:val="bottom"/>
            <w:hideMark/>
          </w:tcPr>
          <w:p w14:paraId="3523B236"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204212</w:t>
            </w:r>
          </w:p>
        </w:tc>
        <w:tc>
          <w:tcPr>
            <w:tcW w:w="0" w:type="auto"/>
            <w:tcMar>
              <w:top w:w="15" w:type="dxa"/>
              <w:left w:w="15" w:type="dxa"/>
              <w:bottom w:w="15" w:type="dxa"/>
              <w:right w:w="15" w:type="dxa"/>
            </w:tcMar>
            <w:vAlign w:val="bottom"/>
            <w:hideMark/>
          </w:tcPr>
          <w:p w14:paraId="3578947D"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308758</w:t>
            </w:r>
          </w:p>
        </w:tc>
        <w:tc>
          <w:tcPr>
            <w:tcW w:w="0" w:type="auto"/>
            <w:tcMar>
              <w:top w:w="15" w:type="dxa"/>
              <w:left w:w="15" w:type="dxa"/>
              <w:bottom w:w="15" w:type="dxa"/>
              <w:right w:w="15" w:type="dxa"/>
            </w:tcMar>
            <w:vAlign w:val="bottom"/>
            <w:hideMark/>
          </w:tcPr>
          <w:p w14:paraId="6DE55533"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51</w:t>
            </w:r>
          </w:p>
        </w:tc>
        <w:tc>
          <w:tcPr>
            <w:tcW w:w="0" w:type="auto"/>
            <w:tcMar>
              <w:top w:w="15" w:type="dxa"/>
              <w:left w:w="15" w:type="dxa"/>
              <w:bottom w:w="15" w:type="dxa"/>
              <w:right w:w="15" w:type="dxa"/>
            </w:tcMar>
            <w:vAlign w:val="bottom"/>
            <w:hideMark/>
          </w:tcPr>
          <w:p w14:paraId="120284E9"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252973</w:t>
            </w:r>
          </w:p>
        </w:tc>
      </w:tr>
      <w:tr w:rsidR="00924851" w:rsidRPr="00924851" w14:paraId="33F6A8BE" w14:textId="77777777" w:rsidTr="003D3B8A">
        <w:trPr>
          <w:trHeight w:val="310"/>
        </w:trPr>
        <w:tc>
          <w:tcPr>
            <w:tcW w:w="1666" w:type="dxa"/>
            <w:tcMar>
              <w:top w:w="15" w:type="dxa"/>
              <w:left w:w="15" w:type="dxa"/>
              <w:bottom w:w="15" w:type="dxa"/>
              <w:right w:w="15" w:type="dxa"/>
            </w:tcMar>
            <w:vAlign w:val="bottom"/>
            <w:hideMark/>
          </w:tcPr>
          <w:p w14:paraId="07090EE8"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Norway</w:t>
            </w:r>
          </w:p>
        </w:tc>
        <w:tc>
          <w:tcPr>
            <w:tcW w:w="0" w:type="auto"/>
            <w:tcMar>
              <w:top w:w="15" w:type="dxa"/>
              <w:left w:w="15" w:type="dxa"/>
              <w:bottom w:w="15" w:type="dxa"/>
              <w:right w:w="15" w:type="dxa"/>
            </w:tcMar>
            <w:vAlign w:val="bottom"/>
            <w:hideMark/>
          </w:tcPr>
          <w:p w14:paraId="018D7E07"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32063</w:t>
            </w:r>
          </w:p>
        </w:tc>
        <w:tc>
          <w:tcPr>
            <w:tcW w:w="0" w:type="auto"/>
            <w:tcMar>
              <w:top w:w="15" w:type="dxa"/>
              <w:left w:w="15" w:type="dxa"/>
              <w:bottom w:w="15" w:type="dxa"/>
              <w:right w:w="15" w:type="dxa"/>
            </w:tcMar>
            <w:vAlign w:val="bottom"/>
            <w:hideMark/>
          </w:tcPr>
          <w:p w14:paraId="2C28784F"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57172</w:t>
            </w:r>
          </w:p>
        </w:tc>
        <w:tc>
          <w:tcPr>
            <w:tcW w:w="0" w:type="auto"/>
            <w:tcMar>
              <w:top w:w="15" w:type="dxa"/>
              <w:left w:w="15" w:type="dxa"/>
              <w:bottom w:w="15" w:type="dxa"/>
              <w:right w:w="15" w:type="dxa"/>
            </w:tcMar>
            <w:vAlign w:val="bottom"/>
            <w:hideMark/>
          </w:tcPr>
          <w:p w14:paraId="279C3728"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78</w:t>
            </w:r>
          </w:p>
        </w:tc>
        <w:tc>
          <w:tcPr>
            <w:tcW w:w="0" w:type="auto"/>
            <w:tcMar>
              <w:top w:w="15" w:type="dxa"/>
              <w:left w:w="15" w:type="dxa"/>
              <w:bottom w:w="15" w:type="dxa"/>
              <w:right w:w="15" w:type="dxa"/>
            </w:tcMar>
            <w:vAlign w:val="bottom"/>
            <w:hideMark/>
          </w:tcPr>
          <w:p w14:paraId="2EFCD150"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43786</w:t>
            </w:r>
          </w:p>
        </w:tc>
      </w:tr>
      <w:tr w:rsidR="00924851" w:rsidRPr="00924851" w14:paraId="1915A3DD" w14:textId="77777777" w:rsidTr="003D3B8A">
        <w:trPr>
          <w:trHeight w:val="310"/>
        </w:trPr>
        <w:tc>
          <w:tcPr>
            <w:tcW w:w="1666" w:type="dxa"/>
            <w:tcMar>
              <w:top w:w="15" w:type="dxa"/>
              <w:left w:w="15" w:type="dxa"/>
              <w:bottom w:w="15" w:type="dxa"/>
              <w:right w:w="15" w:type="dxa"/>
            </w:tcMar>
            <w:vAlign w:val="bottom"/>
            <w:hideMark/>
          </w:tcPr>
          <w:p w14:paraId="18B44579"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Portugal</w:t>
            </w:r>
          </w:p>
        </w:tc>
        <w:tc>
          <w:tcPr>
            <w:tcW w:w="0" w:type="auto"/>
            <w:tcMar>
              <w:top w:w="15" w:type="dxa"/>
              <w:left w:w="15" w:type="dxa"/>
              <w:bottom w:w="15" w:type="dxa"/>
              <w:right w:w="15" w:type="dxa"/>
            </w:tcMar>
            <w:vAlign w:val="bottom"/>
            <w:hideMark/>
          </w:tcPr>
          <w:p w14:paraId="56D9F6E1"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42944</w:t>
            </w:r>
          </w:p>
        </w:tc>
        <w:tc>
          <w:tcPr>
            <w:tcW w:w="0" w:type="auto"/>
            <w:tcMar>
              <w:top w:w="15" w:type="dxa"/>
              <w:left w:w="15" w:type="dxa"/>
              <w:bottom w:w="15" w:type="dxa"/>
              <w:right w:w="15" w:type="dxa"/>
            </w:tcMar>
            <w:vAlign w:val="bottom"/>
            <w:hideMark/>
          </w:tcPr>
          <w:p w14:paraId="02E0F59D"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112242</w:t>
            </w:r>
          </w:p>
        </w:tc>
        <w:tc>
          <w:tcPr>
            <w:tcW w:w="0" w:type="auto"/>
            <w:tcMar>
              <w:top w:w="15" w:type="dxa"/>
              <w:left w:w="15" w:type="dxa"/>
              <w:bottom w:w="15" w:type="dxa"/>
              <w:right w:w="15" w:type="dxa"/>
            </w:tcMar>
            <w:vAlign w:val="bottom"/>
            <w:hideMark/>
          </w:tcPr>
          <w:p w14:paraId="0B3B37FE"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161</w:t>
            </w:r>
          </w:p>
        </w:tc>
        <w:tc>
          <w:tcPr>
            <w:tcW w:w="0" w:type="auto"/>
            <w:tcMar>
              <w:top w:w="15" w:type="dxa"/>
              <w:left w:w="15" w:type="dxa"/>
              <w:bottom w:w="15" w:type="dxa"/>
              <w:right w:w="15" w:type="dxa"/>
            </w:tcMar>
            <w:vAlign w:val="bottom"/>
            <w:hideMark/>
          </w:tcPr>
          <w:p w14:paraId="79DFC857"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73798</w:t>
            </w:r>
          </w:p>
        </w:tc>
      </w:tr>
      <w:tr w:rsidR="00924851" w:rsidRPr="00924851" w14:paraId="24BE4A88" w14:textId="77777777" w:rsidTr="003D3B8A">
        <w:trPr>
          <w:trHeight w:val="310"/>
        </w:trPr>
        <w:tc>
          <w:tcPr>
            <w:tcW w:w="1666" w:type="dxa"/>
            <w:tcMar>
              <w:top w:w="15" w:type="dxa"/>
              <w:left w:w="15" w:type="dxa"/>
              <w:bottom w:w="15" w:type="dxa"/>
              <w:right w:w="15" w:type="dxa"/>
            </w:tcMar>
            <w:vAlign w:val="bottom"/>
            <w:hideMark/>
          </w:tcPr>
          <w:p w14:paraId="6E3C1FFC"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Spain</w:t>
            </w:r>
          </w:p>
        </w:tc>
        <w:tc>
          <w:tcPr>
            <w:tcW w:w="0" w:type="auto"/>
            <w:tcMar>
              <w:top w:w="15" w:type="dxa"/>
              <w:left w:w="15" w:type="dxa"/>
              <w:bottom w:w="15" w:type="dxa"/>
              <w:right w:w="15" w:type="dxa"/>
            </w:tcMar>
            <w:vAlign w:val="bottom"/>
            <w:hideMark/>
          </w:tcPr>
          <w:p w14:paraId="13A40A6C"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368045</w:t>
            </w:r>
          </w:p>
        </w:tc>
        <w:tc>
          <w:tcPr>
            <w:tcW w:w="0" w:type="auto"/>
            <w:tcMar>
              <w:top w:w="15" w:type="dxa"/>
              <w:left w:w="15" w:type="dxa"/>
              <w:bottom w:w="15" w:type="dxa"/>
              <w:right w:w="15" w:type="dxa"/>
            </w:tcMar>
            <w:vAlign w:val="bottom"/>
            <w:hideMark/>
          </w:tcPr>
          <w:p w14:paraId="17309F16"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638209</w:t>
            </w:r>
          </w:p>
        </w:tc>
        <w:tc>
          <w:tcPr>
            <w:tcW w:w="0" w:type="auto"/>
            <w:tcMar>
              <w:top w:w="15" w:type="dxa"/>
              <w:left w:w="15" w:type="dxa"/>
              <w:bottom w:w="15" w:type="dxa"/>
              <w:right w:w="15" w:type="dxa"/>
            </w:tcMar>
            <w:vAlign w:val="bottom"/>
            <w:hideMark/>
          </w:tcPr>
          <w:p w14:paraId="3F53DE44"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73</w:t>
            </w:r>
          </w:p>
        </w:tc>
        <w:tc>
          <w:tcPr>
            <w:tcW w:w="0" w:type="auto"/>
            <w:tcMar>
              <w:top w:w="15" w:type="dxa"/>
              <w:left w:w="15" w:type="dxa"/>
              <w:bottom w:w="15" w:type="dxa"/>
              <w:right w:w="15" w:type="dxa"/>
            </w:tcMar>
            <w:vAlign w:val="bottom"/>
            <w:hideMark/>
          </w:tcPr>
          <w:p w14:paraId="0F82B74A"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489424</w:t>
            </w:r>
          </w:p>
        </w:tc>
      </w:tr>
      <w:tr w:rsidR="00924851" w:rsidRPr="00924851" w14:paraId="4E6CC2C7" w14:textId="77777777" w:rsidTr="003D3B8A">
        <w:trPr>
          <w:trHeight w:val="310"/>
        </w:trPr>
        <w:tc>
          <w:tcPr>
            <w:tcW w:w="1666" w:type="dxa"/>
            <w:tcMar>
              <w:top w:w="15" w:type="dxa"/>
              <w:left w:w="15" w:type="dxa"/>
              <w:bottom w:w="15" w:type="dxa"/>
              <w:right w:w="15" w:type="dxa"/>
            </w:tcMar>
            <w:vAlign w:val="bottom"/>
            <w:hideMark/>
          </w:tcPr>
          <w:p w14:paraId="333E032C"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Sweden</w:t>
            </w:r>
          </w:p>
        </w:tc>
        <w:tc>
          <w:tcPr>
            <w:tcW w:w="0" w:type="auto"/>
            <w:tcMar>
              <w:top w:w="15" w:type="dxa"/>
              <w:left w:w="15" w:type="dxa"/>
              <w:bottom w:w="15" w:type="dxa"/>
              <w:right w:w="15" w:type="dxa"/>
            </w:tcMar>
            <w:vAlign w:val="bottom"/>
            <w:hideMark/>
          </w:tcPr>
          <w:p w14:paraId="6D0C7890"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201273</w:t>
            </w:r>
          </w:p>
        </w:tc>
        <w:tc>
          <w:tcPr>
            <w:tcW w:w="0" w:type="auto"/>
            <w:tcMar>
              <w:top w:w="15" w:type="dxa"/>
              <w:left w:w="15" w:type="dxa"/>
              <w:bottom w:w="15" w:type="dxa"/>
              <w:right w:w="15" w:type="dxa"/>
            </w:tcMar>
            <w:vAlign w:val="bottom"/>
            <w:hideMark/>
          </w:tcPr>
          <w:p w14:paraId="127A1464"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277531</w:t>
            </w:r>
          </w:p>
        </w:tc>
        <w:tc>
          <w:tcPr>
            <w:tcW w:w="0" w:type="auto"/>
            <w:tcMar>
              <w:top w:w="15" w:type="dxa"/>
              <w:left w:w="15" w:type="dxa"/>
              <w:bottom w:w="15" w:type="dxa"/>
              <w:right w:w="15" w:type="dxa"/>
            </w:tcMar>
            <w:vAlign w:val="bottom"/>
            <w:hideMark/>
          </w:tcPr>
          <w:p w14:paraId="706CFF57"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38</w:t>
            </w:r>
          </w:p>
        </w:tc>
        <w:tc>
          <w:tcPr>
            <w:tcW w:w="0" w:type="auto"/>
            <w:tcMar>
              <w:top w:w="15" w:type="dxa"/>
              <w:left w:w="15" w:type="dxa"/>
              <w:bottom w:w="15" w:type="dxa"/>
              <w:right w:w="15" w:type="dxa"/>
            </w:tcMar>
            <w:vAlign w:val="bottom"/>
            <w:hideMark/>
          </w:tcPr>
          <w:p w14:paraId="208CA398"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238992</w:t>
            </w:r>
          </w:p>
        </w:tc>
      </w:tr>
      <w:tr w:rsidR="00924851" w:rsidRPr="00924851" w14:paraId="6CC625D8" w14:textId="77777777" w:rsidTr="003D3B8A">
        <w:trPr>
          <w:trHeight w:val="310"/>
        </w:trPr>
        <w:tc>
          <w:tcPr>
            <w:tcW w:w="1666" w:type="dxa"/>
            <w:tcMar>
              <w:top w:w="15" w:type="dxa"/>
              <w:left w:w="15" w:type="dxa"/>
              <w:bottom w:w="15" w:type="dxa"/>
              <w:right w:w="15" w:type="dxa"/>
            </w:tcMar>
            <w:vAlign w:val="bottom"/>
            <w:hideMark/>
          </w:tcPr>
          <w:p w14:paraId="3D792DDA"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Switzerland</w:t>
            </w:r>
          </w:p>
        </w:tc>
        <w:tc>
          <w:tcPr>
            <w:tcW w:w="0" w:type="auto"/>
            <w:tcMar>
              <w:top w:w="15" w:type="dxa"/>
              <w:left w:w="15" w:type="dxa"/>
              <w:bottom w:w="15" w:type="dxa"/>
              <w:right w:w="15" w:type="dxa"/>
            </w:tcMar>
            <w:vAlign w:val="bottom"/>
            <w:hideMark/>
          </w:tcPr>
          <w:p w14:paraId="6CE0CAB3"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279731</w:t>
            </w:r>
          </w:p>
        </w:tc>
        <w:tc>
          <w:tcPr>
            <w:tcW w:w="0" w:type="auto"/>
            <w:tcMar>
              <w:top w:w="15" w:type="dxa"/>
              <w:left w:w="15" w:type="dxa"/>
              <w:bottom w:w="15" w:type="dxa"/>
              <w:right w:w="15" w:type="dxa"/>
            </w:tcMar>
            <w:vAlign w:val="bottom"/>
            <w:hideMark/>
          </w:tcPr>
          <w:p w14:paraId="06CD3250"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362873</w:t>
            </w:r>
          </w:p>
        </w:tc>
        <w:tc>
          <w:tcPr>
            <w:tcW w:w="0" w:type="auto"/>
            <w:tcMar>
              <w:top w:w="15" w:type="dxa"/>
              <w:left w:w="15" w:type="dxa"/>
              <w:bottom w:w="15" w:type="dxa"/>
              <w:right w:w="15" w:type="dxa"/>
            </w:tcMar>
            <w:vAlign w:val="bottom"/>
            <w:hideMark/>
          </w:tcPr>
          <w:p w14:paraId="090FCF27"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30</w:t>
            </w:r>
          </w:p>
        </w:tc>
        <w:tc>
          <w:tcPr>
            <w:tcW w:w="0" w:type="auto"/>
            <w:tcMar>
              <w:top w:w="15" w:type="dxa"/>
              <w:left w:w="15" w:type="dxa"/>
              <w:bottom w:w="15" w:type="dxa"/>
              <w:right w:w="15" w:type="dxa"/>
            </w:tcMar>
            <w:vAlign w:val="bottom"/>
            <w:hideMark/>
          </w:tcPr>
          <w:p w14:paraId="3E8AC576"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324298</w:t>
            </w:r>
          </w:p>
        </w:tc>
      </w:tr>
      <w:tr w:rsidR="00924851" w:rsidRPr="00924851" w14:paraId="16C8E799" w14:textId="77777777" w:rsidTr="003D3B8A">
        <w:trPr>
          <w:trHeight w:val="310"/>
        </w:trPr>
        <w:tc>
          <w:tcPr>
            <w:tcW w:w="1666" w:type="dxa"/>
            <w:tcMar>
              <w:top w:w="15" w:type="dxa"/>
              <w:left w:w="15" w:type="dxa"/>
              <w:bottom w:w="15" w:type="dxa"/>
              <w:right w:w="15" w:type="dxa"/>
            </w:tcMar>
            <w:vAlign w:val="bottom"/>
            <w:hideMark/>
          </w:tcPr>
          <w:p w14:paraId="08A6B17B" w14:textId="77777777" w:rsidR="00924851" w:rsidRPr="00924851" w:rsidRDefault="00924851" w:rsidP="00924851">
            <w:pPr>
              <w:spacing w:after="0"/>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United Kingdom</w:t>
            </w:r>
          </w:p>
        </w:tc>
        <w:tc>
          <w:tcPr>
            <w:tcW w:w="0" w:type="auto"/>
            <w:tcMar>
              <w:top w:w="15" w:type="dxa"/>
              <w:left w:w="15" w:type="dxa"/>
              <w:bottom w:w="15" w:type="dxa"/>
              <w:right w:w="15" w:type="dxa"/>
            </w:tcMar>
            <w:vAlign w:val="bottom"/>
            <w:hideMark/>
          </w:tcPr>
          <w:p w14:paraId="7DF35F45"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836357</w:t>
            </w:r>
          </w:p>
        </w:tc>
        <w:tc>
          <w:tcPr>
            <w:tcW w:w="0" w:type="auto"/>
            <w:tcMar>
              <w:top w:w="15" w:type="dxa"/>
              <w:left w:w="15" w:type="dxa"/>
              <w:bottom w:w="15" w:type="dxa"/>
              <w:right w:w="15" w:type="dxa"/>
            </w:tcMar>
            <w:vAlign w:val="bottom"/>
            <w:hideMark/>
          </w:tcPr>
          <w:p w14:paraId="7C9AE4FB"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1044345¹</w:t>
            </w:r>
          </w:p>
        </w:tc>
        <w:tc>
          <w:tcPr>
            <w:tcW w:w="0" w:type="auto"/>
            <w:tcMar>
              <w:top w:w="15" w:type="dxa"/>
              <w:left w:w="15" w:type="dxa"/>
              <w:bottom w:w="15" w:type="dxa"/>
              <w:right w:w="15" w:type="dxa"/>
            </w:tcMar>
            <w:vAlign w:val="bottom"/>
            <w:hideMark/>
          </w:tcPr>
          <w:p w14:paraId="5D4F6865"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25</w:t>
            </w:r>
          </w:p>
        </w:tc>
        <w:tc>
          <w:tcPr>
            <w:tcW w:w="0" w:type="auto"/>
            <w:tcMar>
              <w:top w:w="15" w:type="dxa"/>
              <w:left w:w="15" w:type="dxa"/>
              <w:bottom w:w="15" w:type="dxa"/>
              <w:right w:w="15" w:type="dxa"/>
            </w:tcMar>
            <w:vAlign w:val="bottom"/>
            <w:hideMark/>
          </w:tcPr>
          <w:p w14:paraId="4A64C43B" w14:textId="77777777" w:rsidR="00924851" w:rsidRPr="00924851" w:rsidRDefault="00924851" w:rsidP="00924851">
            <w:pPr>
              <w:spacing w:after="0"/>
              <w:jc w:val="right"/>
              <w:rPr>
                <w:rFonts w:ascii="Times New Roman" w:eastAsia="Times New Roman" w:hAnsi="Times New Roman" w:cs="Times New Roman"/>
                <w:color w:val="000000"/>
                <w:sz w:val="20"/>
                <w:szCs w:val="20"/>
              </w:rPr>
            </w:pPr>
            <w:r w:rsidRPr="00924851">
              <w:rPr>
                <w:rFonts w:ascii="Times New Roman" w:eastAsia="Times New Roman" w:hAnsi="Times New Roman" w:cs="Times New Roman"/>
                <w:color w:val="000000"/>
                <w:sz w:val="20"/>
                <w:szCs w:val="20"/>
              </w:rPr>
              <w:t>955976</w:t>
            </w:r>
          </w:p>
        </w:tc>
      </w:tr>
      <w:tr w:rsidR="00924851" w:rsidRPr="00924851" w14:paraId="79245E99" w14:textId="77777777" w:rsidTr="003D3B8A">
        <w:trPr>
          <w:trHeight w:val="310"/>
        </w:trPr>
        <w:tc>
          <w:tcPr>
            <w:tcW w:w="1666" w:type="dxa"/>
            <w:tcBorders>
              <w:bottom w:val="single" w:sz="4" w:space="0" w:color="auto"/>
            </w:tcBorders>
            <w:tcMar>
              <w:top w:w="15" w:type="dxa"/>
              <w:left w:w="15" w:type="dxa"/>
              <w:bottom w:w="15" w:type="dxa"/>
              <w:right w:w="15" w:type="dxa"/>
            </w:tcMar>
            <w:vAlign w:val="bottom"/>
          </w:tcPr>
          <w:p w14:paraId="6558504E" w14:textId="0255F13A" w:rsidR="00924851" w:rsidRPr="00924851" w:rsidRDefault="00924851" w:rsidP="00924851">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0" w:type="auto"/>
            <w:tcBorders>
              <w:bottom w:val="single" w:sz="4" w:space="0" w:color="auto"/>
            </w:tcBorders>
            <w:tcMar>
              <w:top w:w="15" w:type="dxa"/>
              <w:left w:w="15" w:type="dxa"/>
              <w:bottom w:w="15" w:type="dxa"/>
              <w:right w:w="15" w:type="dxa"/>
            </w:tcMar>
            <w:vAlign w:val="bottom"/>
          </w:tcPr>
          <w:p w14:paraId="080DBD8B" w14:textId="00F9F722" w:rsidR="00924851" w:rsidRPr="00924851" w:rsidRDefault="003D3B8A" w:rsidP="00924851">
            <w:pP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5446881</w:t>
            </w:r>
          </w:p>
        </w:tc>
        <w:tc>
          <w:tcPr>
            <w:tcW w:w="0" w:type="auto"/>
            <w:tcBorders>
              <w:bottom w:val="single" w:sz="4" w:space="0" w:color="auto"/>
            </w:tcBorders>
            <w:tcMar>
              <w:top w:w="15" w:type="dxa"/>
              <w:left w:w="15" w:type="dxa"/>
              <w:bottom w:w="15" w:type="dxa"/>
              <w:right w:w="15" w:type="dxa"/>
            </w:tcMar>
            <w:vAlign w:val="bottom"/>
          </w:tcPr>
          <w:p w14:paraId="122D44FB" w14:textId="75822F0E" w:rsidR="00924851" w:rsidRPr="00924851" w:rsidRDefault="003D3B8A" w:rsidP="00924851">
            <w:pP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8284774</w:t>
            </w:r>
          </w:p>
        </w:tc>
        <w:tc>
          <w:tcPr>
            <w:tcW w:w="0" w:type="auto"/>
            <w:tcBorders>
              <w:bottom w:val="single" w:sz="4" w:space="0" w:color="auto"/>
            </w:tcBorders>
            <w:tcMar>
              <w:top w:w="15" w:type="dxa"/>
              <w:left w:w="15" w:type="dxa"/>
              <w:bottom w:w="15" w:type="dxa"/>
              <w:right w:w="15" w:type="dxa"/>
            </w:tcMar>
            <w:vAlign w:val="bottom"/>
          </w:tcPr>
          <w:p w14:paraId="6DBC0F99" w14:textId="1CAA166D" w:rsidR="00924851" w:rsidRPr="00924851" w:rsidRDefault="003D3B8A" w:rsidP="00924851">
            <w:pP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0" w:type="auto"/>
            <w:tcBorders>
              <w:bottom w:val="single" w:sz="4" w:space="0" w:color="auto"/>
            </w:tcBorders>
            <w:tcMar>
              <w:top w:w="15" w:type="dxa"/>
              <w:left w:w="15" w:type="dxa"/>
              <w:bottom w:w="15" w:type="dxa"/>
              <w:right w:w="15" w:type="dxa"/>
            </w:tcMar>
            <w:vAlign w:val="bottom"/>
          </w:tcPr>
          <w:p w14:paraId="62AF462F" w14:textId="6E812E3F" w:rsidR="00924851" w:rsidRPr="00924851" w:rsidRDefault="003D3B8A" w:rsidP="00924851">
            <w:pP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7062750</w:t>
            </w:r>
          </w:p>
        </w:tc>
      </w:tr>
      <w:tr w:rsidR="00924851" w:rsidRPr="00924851" w14:paraId="6C9B90DE" w14:textId="77777777" w:rsidTr="003D3B8A">
        <w:trPr>
          <w:trHeight w:val="290"/>
        </w:trPr>
        <w:tc>
          <w:tcPr>
            <w:tcW w:w="8443" w:type="dxa"/>
            <w:gridSpan w:val="5"/>
            <w:tcBorders>
              <w:top w:val="single" w:sz="4" w:space="0" w:color="auto"/>
            </w:tcBorders>
            <w:tcMar>
              <w:top w:w="15" w:type="dxa"/>
              <w:left w:w="15" w:type="dxa"/>
              <w:bottom w:w="15" w:type="dxa"/>
              <w:right w:w="15" w:type="dxa"/>
            </w:tcMar>
            <w:vAlign w:val="bottom"/>
            <w:hideMark/>
          </w:tcPr>
          <w:p w14:paraId="5DADB8E8" w14:textId="77B9BF1E" w:rsidR="00924851" w:rsidRPr="00924851" w:rsidRDefault="00924851" w:rsidP="00924851">
            <w:pPr>
              <w:spacing w:after="0"/>
              <w:rPr>
                <w:rFonts w:ascii="Times New Roman" w:eastAsia="Times New Roman" w:hAnsi="Times New Roman" w:cs="Times New Roman"/>
                <w:sz w:val="20"/>
                <w:szCs w:val="20"/>
              </w:rPr>
            </w:pPr>
            <w:r w:rsidRPr="00924851">
              <w:rPr>
                <w:rFonts w:ascii="Times New Roman" w:eastAsia="Times New Roman" w:hAnsi="Times New Roman" w:cs="Times New Roman"/>
                <w:sz w:val="20"/>
                <w:szCs w:val="20"/>
              </w:rPr>
              <w:t>Source: Eurostat</w:t>
            </w:r>
            <w:r w:rsidR="003D3B8A">
              <w:rPr>
                <w:rFonts w:ascii="Times New Roman" w:eastAsia="Times New Roman" w:hAnsi="Times New Roman" w:cs="Times New Roman"/>
                <w:sz w:val="20"/>
                <w:szCs w:val="20"/>
              </w:rPr>
              <w:t xml:space="preserve"> (2021)</w:t>
            </w:r>
            <w:r w:rsidRPr="00924851">
              <w:rPr>
                <w:rFonts w:ascii="Times New Roman" w:eastAsia="Times New Roman" w:hAnsi="Times New Roman" w:cs="Times New Roman"/>
                <w:sz w:val="20"/>
                <w:szCs w:val="20"/>
              </w:rPr>
              <w:t>, Population on 1 January by age group, sex and country of birth [migr_pop3ctb]</w:t>
            </w:r>
          </w:p>
        </w:tc>
      </w:tr>
      <w:tr w:rsidR="00924851" w:rsidRPr="00924851" w14:paraId="53A68FC8" w14:textId="77777777" w:rsidTr="003D3B8A">
        <w:trPr>
          <w:trHeight w:val="290"/>
        </w:trPr>
        <w:tc>
          <w:tcPr>
            <w:tcW w:w="8443" w:type="dxa"/>
            <w:gridSpan w:val="5"/>
            <w:tcMar>
              <w:top w:w="15" w:type="dxa"/>
              <w:left w:w="15" w:type="dxa"/>
              <w:bottom w:w="15" w:type="dxa"/>
              <w:right w:w="15" w:type="dxa"/>
            </w:tcMar>
            <w:vAlign w:val="bottom"/>
            <w:hideMark/>
          </w:tcPr>
          <w:p w14:paraId="3600B182" w14:textId="674E8688" w:rsidR="00924851" w:rsidRPr="00924851" w:rsidRDefault="00924851" w:rsidP="00924851">
            <w:pPr>
              <w:spacing w:after="0"/>
              <w:rPr>
                <w:rFonts w:ascii="Times New Roman" w:eastAsia="Times New Roman" w:hAnsi="Times New Roman" w:cs="Times New Roman"/>
                <w:sz w:val="20"/>
                <w:szCs w:val="20"/>
              </w:rPr>
            </w:pPr>
            <w:r w:rsidRPr="00924851">
              <w:rPr>
                <w:rFonts w:ascii="Times New Roman" w:eastAsia="Times New Roman" w:hAnsi="Times New Roman" w:cs="Times New Roman"/>
                <w:color w:val="000000"/>
                <w:sz w:val="20"/>
                <w:szCs w:val="20"/>
              </w:rPr>
              <w:t>¹ Figure for 2019</w:t>
            </w:r>
          </w:p>
        </w:tc>
      </w:tr>
    </w:tbl>
    <w:p w14:paraId="7BC1A00D" w14:textId="20A6DE3D" w:rsidR="004C5C1C" w:rsidRDefault="004C5C1C">
      <w:pPr>
        <w:rPr>
          <w:rFonts w:ascii="inherit" w:eastAsia="Times New Roman" w:hAnsi="inherit" w:cs="Calibri"/>
          <w:color w:val="000000"/>
          <w:sz w:val="24"/>
          <w:szCs w:val="24"/>
          <w:bdr w:val="none" w:sz="0" w:space="0" w:color="auto" w:frame="1"/>
          <w:lang w:eastAsia="en-GB"/>
        </w:rPr>
      </w:pPr>
      <w:r>
        <w:rPr>
          <w:rFonts w:ascii="inherit" w:hAnsi="inherit" w:cs="Calibri"/>
          <w:color w:val="000000"/>
          <w:bdr w:val="none" w:sz="0" w:space="0" w:color="auto" w:frame="1"/>
        </w:rPr>
        <w:br w:type="page"/>
      </w:r>
    </w:p>
    <w:p w14:paraId="669AF6ED" w14:textId="1097E333" w:rsidR="005D1242" w:rsidRPr="005616EF" w:rsidRDefault="005616EF" w:rsidP="005D1242">
      <w:pPr>
        <w:pStyle w:val="NormalWeb"/>
        <w:shd w:val="clear" w:color="auto" w:fill="FFFFFF"/>
        <w:spacing w:before="0" w:beforeAutospacing="0" w:after="0" w:afterAutospacing="0"/>
        <w:textAlignment w:val="baseline"/>
        <w:rPr>
          <w:rFonts w:ascii="inherit" w:hAnsi="inherit" w:cs="Calibri"/>
          <w:b/>
          <w:color w:val="000000"/>
          <w:bdr w:val="none" w:sz="0" w:space="0" w:color="auto" w:frame="1"/>
        </w:rPr>
      </w:pPr>
      <w:r>
        <w:rPr>
          <w:rFonts w:ascii="inherit" w:hAnsi="inherit" w:cs="Calibri"/>
          <w:b/>
          <w:color w:val="000000"/>
          <w:bdr w:val="none" w:sz="0" w:space="0" w:color="auto" w:frame="1"/>
        </w:rPr>
        <w:lastRenderedPageBreak/>
        <w:t xml:space="preserve">Online </w:t>
      </w:r>
      <w:r w:rsidR="00946434">
        <w:rPr>
          <w:rFonts w:ascii="inherit" w:hAnsi="inherit" w:cs="Calibri"/>
          <w:b/>
          <w:color w:val="000000"/>
          <w:bdr w:val="none" w:sz="0" w:space="0" w:color="auto" w:frame="1"/>
        </w:rPr>
        <w:t>Appendix 2</w:t>
      </w:r>
      <w:r w:rsidR="004C5C1C" w:rsidRPr="005616EF">
        <w:rPr>
          <w:rFonts w:ascii="inherit" w:hAnsi="inherit" w:cs="Calibri"/>
          <w:b/>
          <w:color w:val="000000"/>
          <w:bdr w:val="none" w:sz="0" w:space="0" w:color="auto" w:frame="1"/>
        </w:rPr>
        <w:t xml:space="preserve">: </w:t>
      </w:r>
      <w:r w:rsidR="00674986" w:rsidRPr="005616EF">
        <w:rPr>
          <w:rFonts w:ascii="inherit" w:hAnsi="inherit" w:cs="Calibri"/>
          <w:b/>
          <w:color w:val="000000"/>
          <w:bdr w:val="none" w:sz="0" w:space="0" w:color="auto" w:frame="1"/>
        </w:rPr>
        <w:t xml:space="preserve">Pension generosity </w:t>
      </w:r>
      <w:r w:rsidR="00D560CB" w:rsidRPr="005616EF">
        <w:rPr>
          <w:rFonts w:ascii="inherit" w:hAnsi="inherit" w:cs="Calibri"/>
          <w:b/>
          <w:color w:val="000000"/>
          <w:bdr w:val="none" w:sz="0" w:space="0" w:color="auto" w:frame="1"/>
        </w:rPr>
        <w:t>variable</w:t>
      </w:r>
    </w:p>
    <w:p w14:paraId="61FFDF00" w14:textId="77777777" w:rsidR="005D1242" w:rsidRDefault="005D1242" w:rsidP="005D1242">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p>
    <w:p w14:paraId="5DBF8084" w14:textId="0B1CE84F" w:rsidR="003D3B8A" w:rsidRDefault="003D3B8A" w:rsidP="003D3B8A">
      <w:pPr>
        <w:pStyle w:val="NormalWeb"/>
        <w:shd w:val="clear" w:color="auto" w:fill="FFFFFF"/>
        <w:spacing w:before="0" w:beforeAutospacing="0" w:after="240" w:afterAutospacing="0" w:line="360"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 xml:space="preserve">In constructing this variable, the aim was to control in regressions for the generosity of host country pension systems, allowing for the particular entitlement issues migrants might confront, for example, shorter periods of accrual in the main public pension system after entry into the host country. For reasons explained in the main paper, this involved the use of replacement rate data from the Comparative Welfare Entitlement Dataset (CWED) (Scruggs </w:t>
      </w:r>
      <w:r w:rsidRPr="00E966CF">
        <w:rPr>
          <w:rFonts w:ascii="inherit" w:hAnsi="inherit" w:cs="Calibri"/>
          <w:i/>
          <w:color w:val="000000"/>
          <w:bdr w:val="none" w:sz="0" w:space="0" w:color="auto" w:frame="1"/>
        </w:rPr>
        <w:t>et al</w:t>
      </w:r>
      <w:r>
        <w:rPr>
          <w:rFonts w:ascii="inherit" w:hAnsi="inherit" w:cs="Calibri"/>
          <w:i/>
          <w:color w:val="000000"/>
          <w:bdr w:val="none" w:sz="0" w:space="0" w:color="auto" w:frame="1"/>
        </w:rPr>
        <w:t>.</w:t>
      </w:r>
      <w:r>
        <w:rPr>
          <w:rFonts w:ascii="inherit" w:hAnsi="inherit" w:cs="Calibri"/>
          <w:color w:val="000000"/>
          <w:bdr w:val="none" w:sz="0" w:space="0" w:color="auto" w:frame="1"/>
        </w:rPr>
        <w:t>, 2017a; 2017b) and Social Insurance Entitlement Dataset (SIED) (Korpi and Palme, 2008) datasets. The CWED provides the projected replacement rates for an average waged worker retiring in any given year since 1970. The SIED provides such rates for equivalent individuals retiring every five years from 1950. They also provide information about replacement rates from the minimum pension received by workers who would not have developed an entitlement to the main public pension.  For each country, for which there was data,</w:t>
      </w:r>
      <w:r>
        <w:rPr>
          <w:rStyle w:val="EndnoteReference"/>
          <w:rFonts w:ascii="inherit" w:hAnsi="inherit" w:cs="Calibri"/>
          <w:color w:val="000000"/>
          <w:bdr w:val="none" w:sz="0" w:space="0" w:color="auto" w:frame="1"/>
        </w:rPr>
        <w:endnoteReference w:id="1"/>
      </w:r>
      <w:r>
        <w:rPr>
          <w:rFonts w:ascii="inherit" w:hAnsi="inherit" w:cs="Calibri"/>
          <w:color w:val="000000"/>
          <w:bdr w:val="none" w:sz="0" w:space="0" w:color="auto" w:frame="1"/>
        </w:rPr>
        <w:t xml:space="preserve"> we collected the CWED replacement rates</w:t>
      </w:r>
      <w:r w:rsidRPr="00D560CB">
        <w:rPr>
          <w:rFonts w:ascii="inherit" w:hAnsi="inherit" w:cs="Calibri"/>
          <w:color w:val="000000"/>
          <w:bdr w:val="none" w:sz="0" w:space="0" w:color="auto" w:frame="1"/>
        </w:rPr>
        <w:t xml:space="preserve"> </w:t>
      </w:r>
      <w:r>
        <w:rPr>
          <w:rFonts w:ascii="inherit" w:hAnsi="inherit" w:cs="Calibri"/>
          <w:color w:val="000000"/>
          <w:bdr w:val="none" w:sz="0" w:space="0" w:color="auto" w:frame="1"/>
        </w:rPr>
        <w:t xml:space="preserve">for minimum pensions and standard pensions for the years 1970 to 2015 and the SIED replacement rates for every five years since 1960. </w:t>
      </w:r>
    </w:p>
    <w:p w14:paraId="16B22039" w14:textId="77777777" w:rsidR="003D3B8A" w:rsidRDefault="003D3B8A" w:rsidP="003D3B8A">
      <w:pPr>
        <w:pStyle w:val="NormalWeb"/>
        <w:shd w:val="clear" w:color="auto" w:fill="FFFFFF"/>
        <w:spacing w:before="0" w:beforeAutospacing="0" w:after="240" w:afterAutospacing="0" w:line="360"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To separate the countries into less and more protective groups, using this data, the mean replacement rate for the period was found for minimum and for standard pensions separately from each dataset for all countries. For each pension type and dataset, countries were ranked. This means there were four rankings, for CWED standard, CWED minimum (Table 1 below) SIED standard and SIED minimum (Table 2)</w:t>
      </w:r>
      <w:r>
        <w:rPr>
          <w:rStyle w:val="CommentReference"/>
          <w:rFonts w:asciiTheme="minorHAnsi" w:eastAsiaTheme="minorHAnsi" w:hAnsiTheme="minorHAnsi" w:cstheme="minorBidi"/>
          <w:lang w:eastAsia="en-US"/>
        </w:rPr>
        <w:t>.</w:t>
      </w:r>
      <w:r>
        <w:rPr>
          <w:rFonts w:ascii="inherit" w:hAnsi="inherit" w:cs="Calibri"/>
          <w:color w:val="000000"/>
          <w:bdr w:val="none" w:sz="0" w:space="0" w:color="auto" w:frame="1"/>
        </w:rPr>
        <w:t xml:space="preserve"> The median position in each ranking was determined. In addition, country pensions of each type from both datasets were compared with the overall mean for that type to determine whether they were above or below it.</w:t>
      </w:r>
    </w:p>
    <w:p w14:paraId="301AFB56" w14:textId="4644473C" w:rsidR="005D1242" w:rsidRDefault="005D1242" w:rsidP="00622346">
      <w:pPr>
        <w:pStyle w:val="NormalWeb"/>
        <w:shd w:val="clear" w:color="auto" w:fill="FFFFFF"/>
        <w:spacing w:before="0" w:beforeAutospacing="0" w:after="240" w:afterAutospacing="0" w:line="360" w:lineRule="auto"/>
        <w:jc w:val="both"/>
        <w:textAlignment w:val="baseline"/>
        <w:rPr>
          <w:rFonts w:ascii="inherit" w:hAnsi="inherit" w:cs="Calibri"/>
          <w:color w:val="000000"/>
          <w:bdr w:val="none" w:sz="0" w:space="0" w:color="auto" w:frame="1"/>
        </w:rPr>
      </w:pPr>
    </w:p>
    <w:p w14:paraId="320605B7" w14:textId="77777777" w:rsidR="005616EF" w:rsidRDefault="005616EF" w:rsidP="00622346">
      <w:pPr>
        <w:pStyle w:val="NormalWeb"/>
        <w:shd w:val="clear" w:color="auto" w:fill="FFFFFF"/>
        <w:spacing w:before="0" w:beforeAutospacing="0" w:after="240" w:afterAutospacing="0" w:line="360" w:lineRule="auto"/>
        <w:jc w:val="both"/>
        <w:textAlignment w:val="baseline"/>
        <w:rPr>
          <w:rFonts w:ascii="inherit" w:hAnsi="inherit" w:cs="Calibri"/>
          <w:i/>
          <w:color w:val="000000"/>
          <w:bdr w:val="none" w:sz="0" w:space="0" w:color="auto" w:frame="1"/>
        </w:rPr>
        <w:sectPr w:rsidR="005616EF" w:rsidSect="00901B77">
          <w:endnotePr>
            <w:numFmt w:val="decimal"/>
          </w:endnotePr>
          <w:type w:val="continuous"/>
          <w:pgSz w:w="11906" w:h="16838"/>
          <w:pgMar w:top="1440" w:right="1440" w:bottom="1440" w:left="1440" w:header="708" w:footer="708" w:gutter="0"/>
          <w:cols w:space="708"/>
          <w:docGrid w:linePitch="360"/>
        </w:sectPr>
      </w:pPr>
    </w:p>
    <w:p w14:paraId="40C763DA" w14:textId="2242F4FB" w:rsidR="005616EF" w:rsidRDefault="005616EF" w:rsidP="00726EF3">
      <w:pPr>
        <w:pStyle w:val="NormalWeb"/>
        <w:shd w:val="clear" w:color="auto" w:fill="FFFFFF"/>
        <w:spacing w:before="0" w:beforeAutospacing="0" w:after="0" w:afterAutospacing="0" w:line="360" w:lineRule="auto"/>
        <w:jc w:val="both"/>
        <w:textAlignment w:val="baseline"/>
        <w:rPr>
          <w:rFonts w:ascii="inherit" w:hAnsi="inherit" w:cs="Calibri"/>
          <w:i/>
          <w:color w:val="000000"/>
          <w:bdr w:val="none" w:sz="0" w:space="0" w:color="auto" w:frame="1"/>
        </w:rPr>
      </w:pPr>
      <w:r>
        <w:rPr>
          <w:rFonts w:ascii="inherit" w:hAnsi="inherit" w:cs="Calibri"/>
          <w:i/>
          <w:color w:val="000000"/>
          <w:bdr w:val="none" w:sz="0" w:space="0" w:color="auto" w:frame="1"/>
        </w:rPr>
        <w:lastRenderedPageBreak/>
        <w:t>Appendix Table 1: Comparative welfare entitlements, average replacement rates 1970-2011</w:t>
      </w:r>
    </w:p>
    <w:tbl>
      <w:tblPr>
        <w:tblStyle w:val="TableGrid"/>
        <w:tblW w:w="46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660"/>
        <w:gridCol w:w="1860"/>
        <w:gridCol w:w="1860"/>
        <w:gridCol w:w="1150"/>
        <w:gridCol w:w="1623"/>
        <w:gridCol w:w="1860"/>
        <w:gridCol w:w="1857"/>
      </w:tblGrid>
      <w:tr w:rsidR="00726EF3" w:rsidRPr="007550DB" w14:paraId="117C7C11" w14:textId="77777777" w:rsidTr="00682632">
        <w:tc>
          <w:tcPr>
            <w:tcW w:w="2505" w:type="pct"/>
            <w:gridSpan w:val="4"/>
            <w:tcBorders>
              <w:top w:val="single" w:sz="4" w:space="0" w:color="auto"/>
            </w:tcBorders>
            <w:vAlign w:val="center"/>
          </w:tcPr>
          <w:p w14:paraId="3F25D357" w14:textId="7294A94F" w:rsidR="007550DB" w:rsidRPr="007550DB" w:rsidRDefault="00726EF3"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Minimum pension</w:t>
            </w:r>
            <w:r w:rsidR="00E938A8">
              <w:rPr>
                <w:rFonts w:ascii="inherit" w:hAnsi="inherit" w:cs="Calibri"/>
                <w:color w:val="000000"/>
                <w:bdr w:val="none" w:sz="0" w:space="0" w:color="auto" w:frame="1"/>
              </w:rPr>
              <w:t xml:space="preserve"> (median)</w:t>
            </w:r>
          </w:p>
        </w:tc>
        <w:tc>
          <w:tcPr>
            <w:tcW w:w="2495" w:type="pct"/>
            <w:gridSpan w:val="4"/>
            <w:tcBorders>
              <w:top w:val="single" w:sz="4" w:space="0" w:color="auto"/>
            </w:tcBorders>
            <w:vAlign w:val="center"/>
          </w:tcPr>
          <w:p w14:paraId="43B85407" w14:textId="29D8510D" w:rsidR="00726EF3" w:rsidRPr="007550DB" w:rsidRDefault="00726EF3"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Standard pension</w:t>
            </w:r>
            <w:r w:rsidR="00E938A8">
              <w:rPr>
                <w:rFonts w:ascii="inherit" w:hAnsi="inherit" w:cs="Calibri"/>
                <w:color w:val="000000"/>
                <w:bdr w:val="none" w:sz="0" w:space="0" w:color="auto" w:frame="1"/>
              </w:rPr>
              <w:t xml:space="preserve"> (median)</w:t>
            </w:r>
          </w:p>
        </w:tc>
      </w:tr>
      <w:tr w:rsidR="00726EF3" w:rsidRPr="007550DB" w14:paraId="1CA5B355" w14:textId="77777777" w:rsidTr="00682632">
        <w:tc>
          <w:tcPr>
            <w:tcW w:w="437" w:type="pct"/>
            <w:tcBorders>
              <w:bottom w:val="single" w:sz="4" w:space="0" w:color="auto"/>
            </w:tcBorders>
            <w:vAlign w:val="center"/>
          </w:tcPr>
          <w:p w14:paraId="7FA47D7B" w14:textId="78843C18" w:rsidR="00726EF3" w:rsidRPr="007550DB" w:rsidRDefault="00726EF3"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Ranking</w:t>
            </w:r>
          </w:p>
        </w:tc>
        <w:tc>
          <w:tcPr>
            <w:tcW w:w="638" w:type="pct"/>
            <w:tcBorders>
              <w:bottom w:val="single" w:sz="4" w:space="0" w:color="auto"/>
            </w:tcBorders>
            <w:vAlign w:val="center"/>
          </w:tcPr>
          <w:p w14:paraId="646EC347" w14:textId="1D2204D1" w:rsidR="00726EF3" w:rsidRPr="007550DB" w:rsidRDefault="00726EF3"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Countries</w:t>
            </w:r>
          </w:p>
        </w:tc>
        <w:tc>
          <w:tcPr>
            <w:tcW w:w="715" w:type="pct"/>
            <w:tcBorders>
              <w:bottom w:val="single" w:sz="4" w:space="0" w:color="auto"/>
            </w:tcBorders>
            <w:vAlign w:val="center"/>
          </w:tcPr>
          <w:p w14:paraId="084674B4" w14:textId="32C284DA" w:rsidR="00726EF3" w:rsidRPr="007550DB" w:rsidRDefault="001B6707"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R</w:t>
            </w:r>
            <w:r w:rsidR="00726EF3" w:rsidRPr="007550DB">
              <w:rPr>
                <w:rFonts w:ascii="inherit" w:hAnsi="inherit" w:cs="Calibri"/>
                <w:color w:val="000000"/>
                <w:bdr w:val="none" w:sz="0" w:space="0" w:color="auto" w:frame="1"/>
              </w:rPr>
              <w:t>eplacement rate</w:t>
            </w:r>
            <w:r>
              <w:rPr>
                <w:rFonts w:ascii="inherit" w:hAnsi="inherit" w:cs="Calibri"/>
                <w:color w:val="000000"/>
                <w:bdr w:val="none" w:sz="0" w:space="0" w:color="auto" w:frame="1"/>
              </w:rPr>
              <w:t xml:space="preserve"> for average waged worker</w:t>
            </w:r>
          </w:p>
        </w:tc>
        <w:tc>
          <w:tcPr>
            <w:tcW w:w="715" w:type="pct"/>
            <w:tcBorders>
              <w:bottom w:val="single" w:sz="4" w:space="0" w:color="auto"/>
            </w:tcBorders>
            <w:vAlign w:val="center"/>
          </w:tcPr>
          <w:p w14:paraId="11F7E52D" w14:textId="5DC79450" w:rsidR="00726EF3" w:rsidRPr="007550DB" w:rsidRDefault="001B6707"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R</w:t>
            </w:r>
            <w:r w:rsidR="00726EF3" w:rsidRPr="007550DB">
              <w:rPr>
                <w:rFonts w:ascii="inherit" w:hAnsi="inherit" w:cs="Calibri"/>
                <w:color w:val="000000"/>
                <w:bdr w:val="none" w:sz="0" w:space="0" w:color="auto" w:frame="1"/>
              </w:rPr>
              <w:t>eplacement rate minus country minimum</w:t>
            </w:r>
          </w:p>
        </w:tc>
        <w:tc>
          <w:tcPr>
            <w:tcW w:w="442" w:type="pct"/>
            <w:tcBorders>
              <w:bottom w:val="single" w:sz="4" w:space="0" w:color="auto"/>
            </w:tcBorders>
            <w:vAlign w:val="center"/>
          </w:tcPr>
          <w:p w14:paraId="6E1FA345" w14:textId="4998754F" w:rsidR="00726EF3" w:rsidRPr="007550DB" w:rsidRDefault="00726EF3"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Ranking</w:t>
            </w:r>
          </w:p>
        </w:tc>
        <w:tc>
          <w:tcPr>
            <w:tcW w:w="624" w:type="pct"/>
            <w:tcBorders>
              <w:bottom w:val="single" w:sz="4" w:space="0" w:color="auto"/>
            </w:tcBorders>
            <w:vAlign w:val="center"/>
          </w:tcPr>
          <w:p w14:paraId="4EC7898C" w14:textId="78D93C2D" w:rsidR="00726EF3" w:rsidRPr="007550DB" w:rsidRDefault="00726EF3"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Countries</w:t>
            </w:r>
          </w:p>
        </w:tc>
        <w:tc>
          <w:tcPr>
            <w:tcW w:w="715" w:type="pct"/>
            <w:tcBorders>
              <w:bottom w:val="single" w:sz="4" w:space="0" w:color="auto"/>
            </w:tcBorders>
            <w:vAlign w:val="center"/>
          </w:tcPr>
          <w:p w14:paraId="57F4A6E2" w14:textId="6A5B37B4" w:rsidR="00726EF3" w:rsidRPr="007550DB" w:rsidRDefault="001B6707"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R</w:t>
            </w:r>
            <w:r w:rsidRPr="007550DB">
              <w:rPr>
                <w:rFonts w:ascii="inherit" w:hAnsi="inherit" w:cs="Calibri"/>
                <w:color w:val="000000"/>
                <w:bdr w:val="none" w:sz="0" w:space="0" w:color="auto" w:frame="1"/>
              </w:rPr>
              <w:t>eplacement rate</w:t>
            </w:r>
            <w:r>
              <w:rPr>
                <w:rFonts w:ascii="inherit" w:hAnsi="inherit" w:cs="Calibri"/>
                <w:color w:val="000000"/>
                <w:bdr w:val="none" w:sz="0" w:space="0" w:color="auto" w:frame="1"/>
              </w:rPr>
              <w:t xml:space="preserve"> for average waged worker</w:t>
            </w:r>
          </w:p>
        </w:tc>
        <w:tc>
          <w:tcPr>
            <w:tcW w:w="714" w:type="pct"/>
            <w:tcBorders>
              <w:bottom w:val="single" w:sz="4" w:space="0" w:color="auto"/>
            </w:tcBorders>
            <w:vAlign w:val="center"/>
          </w:tcPr>
          <w:p w14:paraId="5FB322F0" w14:textId="34F7C814" w:rsidR="00726EF3" w:rsidRPr="007550DB" w:rsidRDefault="001B6707"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R</w:t>
            </w:r>
            <w:r w:rsidR="00726EF3" w:rsidRPr="007550DB">
              <w:rPr>
                <w:rFonts w:ascii="inherit" w:hAnsi="inherit" w:cs="Calibri"/>
                <w:color w:val="000000"/>
                <w:bdr w:val="none" w:sz="0" w:space="0" w:color="auto" w:frame="1"/>
              </w:rPr>
              <w:t>eplacement rate minus country minimum</w:t>
            </w:r>
          </w:p>
        </w:tc>
      </w:tr>
      <w:tr w:rsidR="00726EF3" w:rsidRPr="007550DB" w14:paraId="0B0BE5C4" w14:textId="77777777" w:rsidTr="00E938A8">
        <w:tc>
          <w:tcPr>
            <w:tcW w:w="437" w:type="pct"/>
            <w:tcBorders>
              <w:top w:val="single" w:sz="4" w:space="0" w:color="auto"/>
            </w:tcBorders>
          </w:tcPr>
          <w:p w14:paraId="1BDD75C9" w14:textId="63958BC6"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13</w:t>
            </w:r>
          </w:p>
        </w:tc>
        <w:tc>
          <w:tcPr>
            <w:tcW w:w="638" w:type="pct"/>
            <w:tcBorders>
              <w:top w:val="single" w:sz="4" w:space="0" w:color="auto"/>
            </w:tcBorders>
          </w:tcPr>
          <w:p w14:paraId="19FC5273" w14:textId="6B82DCFF"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Germany</w:t>
            </w:r>
          </w:p>
        </w:tc>
        <w:tc>
          <w:tcPr>
            <w:tcW w:w="715" w:type="pct"/>
            <w:tcBorders>
              <w:top w:val="single" w:sz="4" w:space="0" w:color="auto"/>
            </w:tcBorders>
          </w:tcPr>
          <w:p w14:paraId="7FF3C29E" w14:textId="17838EDD"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0.18</w:t>
            </w:r>
          </w:p>
        </w:tc>
        <w:tc>
          <w:tcPr>
            <w:tcW w:w="715" w:type="pct"/>
            <w:tcBorders>
              <w:top w:val="single" w:sz="4" w:space="0" w:color="auto"/>
            </w:tcBorders>
          </w:tcPr>
          <w:p w14:paraId="457E141F" w14:textId="526DC7BE"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-0.17</w:t>
            </w:r>
          </w:p>
        </w:tc>
        <w:tc>
          <w:tcPr>
            <w:tcW w:w="442" w:type="pct"/>
            <w:tcBorders>
              <w:top w:val="single" w:sz="4" w:space="0" w:color="auto"/>
            </w:tcBorders>
          </w:tcPr>
          <w:p w14:paraId="10D6B252" w14:textId="360DFEA8"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13</w:t>
            </w:r>
          </w:p>
        </w:tc>
        <w:tc>
          <w:tcPr>
            <w:tcW w:w="624" w:type="pct"/>
            <w:tcBorders>
              <w:top w:val="single" w:sz="4" w:space="0" w:color="auto"/>
            </w:tcBorders>
          </w:tcPr>
          <w:p w14:paraId="1783AB17" w14:textId="30944299"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Ireland</w:t>
            </w:r>
          </w:p>
        </w:tc>
        <w:tc>
          <w:tcPr>
            <w:tcW w:w="715" w:type="pct"/>
            <w:tcBorders>
              <w:top w:val="single" w:sz="4" w:space="0" w:color="auto"/>
            </w:tcBorders>
          </w:tcPr>
          <w:p w14:paraId="314746C8" w14:textId="4B80ACCD"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0.39</w:t>
            </w:r>
          </w:p>
        </w:tc>
        <w:tc>
          <w:tcPr>
            <w:tcW w:w="714" w:type="pct"/>
            <w:tcBorders>
              <w:top w:val="single" w:sz="4" w:space="0" w:color="auto"/>
            </w:tcBorders>
          </w:tcPr>
          <w:p w14:paraId="16732DB1" w14:textId="381B908A"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-0.25</w:t>
            </w:r>
          </w:p>
        </w:tc>
      </w:tr>
      <w:tr w:rsidR="00726EF3" w:rsidRPr="007550DB" w14:paraId="35B9571B" w14:textId="77777777" w:rsidTr="00E938A8">
        <w:tc>
          <w:tcPr>
            <w:tcW w:w="437" w:type="pct"/>
          </w:tcPr>
          <w:p w14:paraId="627A550F" w14:textId="1A7FDBE8"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12</w:t>
            </w:r>
          </w:p>
        </w:tc>
        <w:tc>
          <w:tcPr>
            <w:tcW w:w="638" w:type="pct"/>
          </w:tcPr>
          <w:p w14:paraId="0A1E1DE2" w14:textId="4E8B553C"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Italy</w:t>
            </w:r>
          </w:p>
        </w:tc>
        <w:tc>
          <w:tcPr>
            <w:tcW w:w="715" w:type="pct"/>
          </w:tcPr>
          <w:p w14:paraId="406D1D20" w14:textId="60263414"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0.25</w:t>
            </w:r>
          </w:p>
        </w:tc>
        <w:tc>
          <w:tcPr>
            <w:tcW w:w="715" w:type="pct"/>
          </w:tcPr>
          <w:p w14:paraId="35032D0B" w14:textId="214D07EE"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-0.11</w:t>
            </w:r>
          </w:p>
        </w:tc>
        <w:tc>
          <w:tcPr>
            <w:tcW w:w="442" w:type="pct"/>
          </w:tcPr>
          <w:p w14:paraId="55E3BF5C" w14:textId="63EC1E1D"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12</w:t>
            </w:r>
          </w:p>
        </w:tc>
        <w:tc>
          <w:tcPr>
            <w:tcW w:w="624" w:type="pct"/>
          </w:tcPr>
          <w:p w14:paraId="1D310763" w14:textId="56DD6B65"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Switzerland</w:t>
            </w:r>
          </w:p>
        </w:tc>
        <w:tc>
          <w:tcPr>
            <w:tcW w:w="715" w:type="pct"/>
          </w:tcPr>
          <w:p w14:paraId="7CF52812" w14:textId="124ADA32"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0.40</w:t>
            </w:r>
          </w:p>
        </w:tc>
        <w:tc>
          <w:tcPr>
            <w:tcW w:w="714" w:type="pct"/>
          </w:tcPr>
          <w:p w14:paraId="640F22D6" w14:textId="08338F27"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-0.24</w:t>
            </w:r>
          </w:p>
        </w:tc>
      </w:tr>
      <w:tr w:rsidR="00726EF3" w:rsidRPr="007550DB" w14:paraId="20838D9D" w14:textId="77777777" w:rsidTr="00E938A8">
        <w:tc>
          <w:tcPr>
            <w:tcW w:w="437" w:type="pct"/>
          </w:tcPr>
          <w:p w14:paraId="224F7FC0" w14:textId="2300E5AA"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11</w:t>
            </w:r>
          </w:p>
        </w:tc>
        <w:tc>
          <w:tcPr>
            <w:tcW w:w="638" w:type="pct"/>
          </w:tcPr>
          <w:p w14:paraId="5EE4B387" w14:textId="40ABCD51"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Portugal</w:t>
            </w:r>
          </w:p>
        </w:tc>
        <w:tc>
          <w:tcPr>
            <w:tcW w:w="715" w:type="pct"/>
          </w:tcPr>
          <w:p w14:paraId="06C82687" w14:textId="375B8D37"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0.27</w:t>
            </w:r>
          </w:p>
        </w:tc>
        <w:tc>
          <w:tcPr>
            <w:tcW w:w="715" w:type="pct"/>
          </w:tcPr>
          <w:p w14:paraId="477AAC69" w14:textId="704BADF9"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-0.09</w:t>
            </w:r>
          </w:p>
        </w:tc>
        <w:tc>
          <w:tcPr>
            <w:tcW w:w="442" w:type="pct"/>
          </w:tcPr>
          <w:p w14:paraId="483507CB" w14:textId="292FCB71"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11</w:t>
            </w:r>
          </w:p>
        </w:tc>
        <w:tc>
          <w:tcPr>
            <w:tcW w:w="624" w:type="pct"/>
          </w:tcPr>
          <w:p w14:paraId="3578D3CF" w14:textId="4B041DFF"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Netherlands</w:t>
            </w:r>
          </w:p>
        </w:tc>
        <w:tc>
          <w:tcPr>
            <w:tcW w:w="715" w:type="pct"/>
          </w:tcPr>
          <w:p w14:paraId="7762769A" w14:textId="6860FAD5"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0.50</w:t>
            </w:r>
          </w:p>
        </w:tc>
        <w:tc>
          <w:tcPr>
            <w:tcW w:w="714" w:type="pct"/>
          </w:tcPr>
          <w:p w14:paraId="176CD9F3" w14:textId="173B500E"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-0.14</w:t>
            </w:r>
          </w:p>
        </w:tc>
      </w:tr>
      <w:tr w:rsidR="00726EF3" w:rsidRPr="007550DB" w14:paraId="2485F993" w14:textId="77777777" w:rsidTr="00E938A8">
        <w:tc>
          <w:tcPr>
            <w:tcW w:w="437" w:type="pct"/>
          </w:tcPr>
          <w:p w14:paraId="71DC7F46" w14:textId="229AB325"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10</w:t>
            </w:r>
          </w:p>
        </w:tc>
        <w:tc>
          <w:tcPr>
            <w:tcW w:w="638" w:type="pct"/>
          </w:tcPr>
          <w:p w14:paraId="330B85F5" w14:textId="0D31BE92"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Spain</w:t>
            </w:r>
          </w:p>
        </w:tc>
        <w:tc>
          <w:tcPr>
            <w:tcW w:w="715" w:type="pct"/>
          </w:tcPr>
          <w:p w14:paraId="5C1EE6A3" w14:textId="3BDB0F10"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0.27</w:t>
            </w:r>
          </w:p>
        </w:tc>
        <w:tc>
          <w:tcPr>
            <w:tcW w:w="715" w:type="pct"/>
          </w:tcPr>
          <w:p w14:paraId="2882E4DE" w14:textId="3A4C98B9"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-0.08</w:t>
            </w:r>
          </w:p>
        </w:tc>
        <w:tc>
          <w:tcPr>
            <w:tcW w:w="442" w:type="pct"/>
          </w:tcPr>
          <w:p w14:paraId="4092D078" w14:textId="722AA91F"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10</w:t>
            </w:r>
          </w:p>
        </w:tc>
        <w:tc>
          <w:tcPr>
            <w:tcW w:w="624" w:type="pct"/>
          </w:tcPr>
          <w:p w14:paraId="5B5471CB" w14:textId="4E1D070F"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Denmark</w:t>
            </w:r>
          </w:p>
        </w:tc>
        <w:tc>
          <w:tcPr>
            <w:tcW w:w="715" w:type="pct"/>
          </w:tcPr>
          <w:p w14:paraId="519E6FA8" w14:textId="2CBB2A1A"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0.50</w:t>
            </w:r>
          </w:p>
        </w:tc>
        <w:tc>
          <w:tcPr>
            <w:tcW w:w="714" w:type="pct"/>
          </w:tcPr>
          <w:p w14:paraId="462E63FC" w14:textId="69B6990D"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-0.13</w:t>
            </w:r>
          </w:p>
        </w:tc>
      </w:tr>
      <w:tr w:rsidR="00726EF3" w:rsidRPr="007550DB" w14:paraId="2AC4BB0B" w14:textId="77777777" w:rsidTr="00E938A8">
        <w:tc>
          <w:tcPr>
            <w:tcW w:w="437" w:type="pct"/>
          </w:tcPr>
          <w:p w14:paraId="42C434D3" w14:textId="23D74804"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9</w:t>
            </w:r>
          </w:p>
        </w:tc>
        <w:tc>
          <w:tcPr>
            <w:tcW w:w="638" w:type="pct"/>
          </w:tcPr>
          <w:p w14:paraId="7C2B53DF" w14:textId="33D8190E"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Switzerland</w:t>
            </w:r>
          </w:p>
        </w:tc>
        <w:tc>
          <w:tcPr>
            <w:tcW w:w="715" w:type="pct"/>
          </w:tcPr>
          <w:p w14:paraId="253D8E52" w14:textId="6C4C9DF1"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0.34</w:t>
            </w:r>
          </w:p>
        </w:tc>
        <w:tc>
          <w:tcPr>
            <w:tcW w:w="715" w:type="pct"/>
          </w:tcPr>
          <w:p w14:paraId="4589A074" w14:textId="7C918A5E"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-0.01</w:t>
            </w:r>
          </w:p>
        </w:tc>
        <w:tc>
          <w:tcPr>
            <w:tcW w:w="442" w:type="pct"/>
          </w:tcPr>
          <w:p w14:paraId="4BDD529D" w14:textId="69A70751"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9</w:t>
            </w:r>
          </w:p>
        </w:tc>
        <w:tc>
          <w:tcPr>
            <w:tcW w:w="624" w:type="pct"/>
          </w:tcPr>
          <w:p w14:paraId="04B72E06" w14:textId="6F7E0251"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France</w:t>
            </w:r>
          </w:p>
        </w:tc>
        <w:tc>
          <w:tcPr>
            <w:tcW w:w="715" w:type="pct"/>
          </w:tcPr>
          <w:p w14:paraId="026D5F9F" w14:textId="3DEBFBC3"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0.56</w:t>
            </w:r>
          </w:p>
        </w:tc>
        <w:tc>
          <w:tcPr>
            <w:tcW w:w="714" w:type="pct"/>
          </w:tcPr>
          <w:p w14:paraId="38F9F628" w14:textId="4FDB1920"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-0.08</w:t>
            </w:r>
          </w:p>
        </w:tc>
      </w:tr>
      <w:tr w:rsidR="00726EF3" w:rsidRPr="007550DB" w14:paraId="6733A60D" w14:textId="77777777" w:rsidTr="00E938A8">
        <w:tc>
          <w:tcPr>
            <w:tcW w:w="437" w:type="pct"/>
          </w:tcPr>
          <w:p w14:paraId="58485ECD" w14:textId="14F2966D"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8</w:t>
            </w:r>
          </w:p>
        </w:tc>
        <w:tc>
          <w:tcPr>
            <w:tcW w:w="638" w:type="pct"/>
          </w:tcPr>
          <w:p w14:paraId="6B69B516" w14:textId="635756F9"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Ireland</w:t>
            </w:r>
          </w:p>
        </w:tc>
        <w:tc>
          <w:tcPr>
            <w:tcW w:w="715" w:type="pct"/>
          </w:tcPr>
          <w:p w14:paraId="51550C4B" w14:textId="4B080538"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0.35</w:t>
            </w:r>
          </w:p>
        </w:tc>
        <w:tc>
          <w:tcPr>
            <w:tcW w:w="715" w:type="pct"/>
          </w:tcPr>
          <w:p w14:paraId="46C58A76" w14:textId="43F8402A"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-0.01</w:t>
            </w:r>
          </w:p>
        </w:tc>
        <w:tc>
          <w:tcPr>
            <w:tcW w:w="442" w:type="pct"/>
          </w:tcPr>
          <w:p w14:paraId="235DBC51" w14:textId="47D08E69"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8</w:t>
            </w:r>
          </w:p>
        </w:tc>
        <w:tc>
          <w:tcPr>
            <w:tcW w:w="624" w:type="pct"/>
          </w:tcPr>
          <w:p w14:paraId="5E0E3508" w14:textId="312C75BA"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Finland</w:t>
            </w:r>
          </w:p>
        </w:tc>
        <w:tc>
          <w:tcPr>
            <w:tcW w:w="715" w:type="pct"/>
          </w:tcPr>
          <w:p w14:paraId="62156A4B" w14:textId="5A3BA4D8"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0.60</w:t>
            </w:r>
          </w:p>
        </w:tc>
        <w:tc>
          <w:tcPr>
            <w:tcW w:w="714" w:type="pct"/>
          </w:tcPr>
          <w:p w14:paraId="6A9B98C8" w14:textId="382B2651"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-0.03</w:t>
            </w:r>
          </w:p>
        </w:tc>
      </w:tr>
      <w:tr w:rsidR="00726EF3" w:rsidRPr="007550DB" w14:paraId="372DE493" w14:textId="77777777" w:rsidTr="00E938A8">
        <w:tc>
          <w:tcPr>
            <w:tcW w:w="437" w:type="pct"/>
          </w:tcPr>
          <w:p w14:paraId="437634A3" w14:textId="39818653"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7</w:t>
            </w:r>
          </w:p>
        </w:tc>
        <w:tc>
          <w:tcPr>
            <w:tcW w:w="638" w:type="pct"/>
          </w:tcPr>
          <w:p w14:paraId="28CE2AFB" w14:textId="1319E7C6"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Finland</w:t>
            </w:r>
          </w:p>
        </w:tc>
        <w:tc>
          <w:tcPr>
            <w:tcW w:w="715" w:type="pct"/>
          </w:tcPr>
          <w:p w14:paraId="0853A9E4" w14:textId="49DA2C0D"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0.37</w:t>
            </w:r>
          </w:p>
        </w:tc>
        <w:tc>
          <w:tcPr>
            <w:tcW w:w="715" w:type="pct"/>
          </w:tcPr>
          <w:p w14:paraId="0CA946FB" w14:textId="2B895756"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0.01</w:t>
            </w:r>
          </w:p>
        </w:tc>
        <w:tc>
          <w:tcPr>
            <w:tcW w:w="442" w:type="pct"/>
          </w:tcPr>
          <w:p w14:paraId="5514B2AB" w14:textId="26F41FC6"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7</w:t>
            </w:r>
          </w:p>
        </w:tc>
        <w:tc>
          <w:tcPr>
            <w:tcW w:w="624" w:type="pct"/>
          </w:tcPr>
          <w:p w14:paraId="16173FC3" w14:textId="44C5CFC0"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Sweden</w:t>
            </w:r>
          </w:p>
        </w:tc>
        <w:tc>
          <w:tcPr>
            <w:tcW w:w="715" w:type="pct"/>
          </w:tcPr>
          <w:p w14:paraId="14F5D610" w14:textId="6404D64E"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0.64</w:t>
            </w:r>
          </w:p>
        </w:tc>
        <w:tc>
          <w:tcPr>
            <w:tcW w:w="714" w:type="pct"/>
          </w:tcPr>
          <w:p w14:paraId="3621DC76" w14:textId="4790DA49"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0.00</w:t>
            </w:r>
          </w:p>
        </w:tc>
      </w:tr>
      <w:tr w:rsidR="00726EF3" w:rsidRPr="007550DB" w14:paraId="3DB9FBD7" w14:textId="77777777" w:rsidTr="00E938A8">
        <w:tc>
          <w:tcPr>
            <w:tcW w:w="437" w:type="pct"/>
          </w:tcPr>
          <w:p w14:paraId="76A6A50E" w14:textId="390AF6DE"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6</w:t>
            </w:r>
          </w:p>
        </w:tc>
        <w:tc>
          <w:tcPr>
            <w:tcW w:w="638" w:type="pct"/>
          </w:tcPr>
          <w:p w14:paraId="7216F920" w14:textId="132E1EB5"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Belgium</w:t>
            </w:r>
          </w:p>
        </w:tc>
        <w:tc>
          <w:tcPr>
            <w:tcW w:w="715" w:type="pct"/>
          </w:tcPr>
          <w:p w14:paraId="76604851" w14:textId="4AC114A5"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0.39</w:t>
            </w:r>
          </w:p>
        </w:tc>
        <w:tc>
          <w:tcPr>
            <w:tcW w:w="715" w:type="pct"/>
          </w:tcPr>
          <w:p w14:paraId="66C349D4" w14:textId="07243A7E"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0.03</w:t>
            </w:r>
          </w:p>
        </w:tc>
        <w:tc>
          <w:tcPr>
            <w:tcW w:w="442" w:type="pct"/>
          </w:tcPr>
          <w:p w14:paraId="6CF43456" w14:textId="7E73A94C"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6</w:t>
            </w:r>
          </w:p>
        </w:tc>
        <w:tc>
          <w:tcPr>
            <w:tcW w:w="624" w:type="pct"/>
          </w:tcPr>
          <w:p w14:paraId="6F88BDC7" w14:textId="30555F97"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Belgium</w:t>
            </w:r>
          </w:p>
        </w:tc>
        <w:tc>
          <w:tcPr>
            <w:tcW w:w="715" w:type="pct"/>
          </w:tcPr>
          <w:p w14:paraId="6BE562EB" w14:textId="6CB247CB"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0.66</w:t>
            </w:r>
          </w:p>
        </w:tc>
        <w:tc>
          <w:tcPr>
            <w:tcW w:w="714" w:type="pct"/>
          </w:tcPr>
          <w:p w14:paraId="5A10B34D" w14:textId="06450E47"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0.02</w:t>
            </w:r>
          </w:p>
        </w:tc>
      </w:tr>
      <w:tr w:rsidR="00726EF3" w:rsidRPr="007550DB" w14:paraId="04241575" w14:textId="77777777" w:rsidTr="00E938A8">
        <w:tc>
          <w:tcPr>
            <w:tcW w:w="437" w:type="pct"/>
          </w:tcPr>
          <w:p w14:paraId="22FF2F43" w14:textId="74AD7EE2"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5</w:t>
            </w:r>
          </w:p>
        </w:tc>
        <w:tc>
          <w:tcPr>
            <w:tcW w:w="638" w:type="pct"/>
          </w:tcPr>
          <w:p w14:paraId="32C4F41C" w14:textId="1C224754"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Sweden</w:t>
            </w:r>
          </w:p>
        </w:tc>
        <w:tc>
          <w:tcPr>
            <w:tcW w:w="715" w:type="pct"/>
          </w:tcPr>
          <w:p w14:paraId="48D596AF" w14:textId="2898D36E"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0.40</w:t>
            </w:r>
          </w:p>
        </w:tc>
        <w:tc>
          <w:tcPr>
            <w:tcW w:w="715" w:type="pct"/>
          </w:tcPr>
          <w:p w14:paraId="4502A079" w14:textId="361ED64C"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0.04</w:t>
            </w:r>
          </w:p>
        </w:tc>
        <w:tc>
          <w:tcPr>
            <w:tcW w:w="442" w:type="pct"/>
          </w:tcPr>
          <w:p w14:paraId="10D32730" w14:textId="3632B58E"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5</w:t>
            </w:r>
          </w:p>
        </w:tc>
        <w:tc>
          <w:tcPr>
            <w:tcW w:w="624" w:type="pct"/>
          </w:tcPr>
          <w:p w14:paraId="0F931F21" w14:textId="460CD0AA"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Germany</w:t>
            </w:r>
          </w:p>
        </w:tc>
        <w:tc>
          <w:tcPr>
            <w:tcW w:w="715" w:type="pct"/>
          </w:tcPr>
          <w:p w14:paraId="1A1DDB6E" w14:textId="79C32E7B"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0.73</w:t>
            </w:r>
          </w:p>
        </w:tc>
        <w:tc>
          <w:tcPr>
            <w:tcW w:w="714" w:type="pct"/>
          </w:tcPr>
          <w:p w14:paraId="0677C569" w14:textId="03EF2AC4"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0.09</w:t>
            </w:r>
          </w:p>
        </w:tc>
      </w:tr>
      <w:tr w:rsidR="00726EF3" w:rsidRPr="007550DB" w14:paraId="39688EDD" w14:textId="77777777" w:rsidTr="00E938A8">
        <w:tc>
          <w:tcPr>
            <w:tcW w:w="437" w:type="pct"/>
          </w:tcPr>
          <w:p w14:paraId="7757D0FD" w14:textId="3EE994F2"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4</w:t>
            </w:r>
          </w:p>
        </w:tc>
        <w:tc>
          <w:tcPr>
            <w:tcW w:w="638" w:type="pct"/>
          </w:tcPr>
          <w:p w14:paraId="7EF96F8B" w14:textId="45BD1BEF"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France</w:t>
            </w:r>
          </w:p>
        </w:tc>
        <w:tc>
          <w:tcPr>
            <w:tcW w:w="715" w:type="pct"/>
          </w:tcPr>
          <w:p w14:paraId="42392E98" w14:textId="786B7263"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0.42</w:t>
            </w:r>
          </w:p>
        </w:tc>
        <w:tc>
          <w:tcPr>
            <w:tcW w:w="715" w:type="pct"/>
          </w:tcPr>
          <w:p w14:paraId="26BD43E1" w14:textId="2AEA6EC2"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0.06</w:t>
            </w:r>
          </w:p>
        </w:tc>
        <w:tc>
          <w:tcPr>
            <w:tcW w:w="442" w:type="pct"/>
          </w:tcPr>
          <w:p w14:paraId="45E1CD3A" w14:textId="526BE69F"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4</w:t>
            </w:r>
          </w:p>
        </w:tc>
        <w:tc>
          <w:tcPr>
            <w:tcW w:w="624" w:type="pct"/>
          </w:tcPr>
          <w:p w14:paraId="028B16A5" w14:textId="5F79D802"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Portugal</w:t>
            </w:r>
          </w:p>
        </w:tc>
        <w:tc>
          <w:tcPr>
            <w:tcW w:w="715" w:type="pct"/>
          </w:tcPr>
          <w:p w14:paraId="2CF072FD" w14:textId="6D4204DB"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0.75</w:t>
            </w:r>
          </w:p>
        </w:tc>
        <w:tc>
          <w:tcPr>
            <w:tcW w:w="714" w:type="pct"/>
          </w:tcPr>
          <w:p w14:paraId="1F780C7C" w14:textId="459463C4"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0.12</w:t>
            </w:r>
          </w:p>
        </w:tc>
      </w:tr>
      <w:tr w:rsidR="00726EF3" w:rsidRPr="007550DB" w14:paraId="17A8B3E5" w14:textId="77777777" w:rsidTr="00E938A8">
        <w:tc>
          <w:tcPr>
            <w:tcW w:w="437" w:type="pct"/>
          </w:tcPr>
          <w:p w14:paraId="7B3D8B93" w14:textId="2203D0AC"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3</w:t>
            </w:r>
          </w:p>
        </w:tc>
        <w:tc>
          <w:tcPr>
            <w:tcW w:w="638" w:type="pct"/>
          </w:tcPr>
          <w:p w14:paraId="032077B3" w14:textId="1DAC5FB7"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Austria</w:t>
            </w:r>
          </w:p>
        </w:tc>
        <w:tc>
          <w:tcPr>
            <w:tcW w:w="715" w:type="pct"/>
          </w:tcPr>
          <w:p w14:paraId="0F9CB3B8" w14:textId="2AED5749"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0.44</w:t>
            </w:r>
          </w:p>
        </w:tc>
        <w:tc>
          <w:tcPr>
            <w:tcW w:w="715" w:type="pct"/>
          </w:tcPr>
          <w:p w14:paraId="09A75B56" w14:textId="748A280D"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0.09</w:t>
            </w:r>
          </w:p>
        </w:tc>
        <w:tc>
          <w:tcPr>
            <w:tcW w:w="442" w:type="pct"/>
          </w:tcPr>
          <w:p w14:paraId="7467B347" w14:textId="107B3A08"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3</w:t>
            </w:r>
          </w:p>
        </w:tc>
        <w:tc>
          <w:tcPr>
            <w:tcW w:w="624" w:type="pct"/>
          </w:tcPr>
          <w:p w14:paraId="49559E1B" w14:textId="17936874"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Austria</w:t>
            </w:r>
          </w:p>
        </w:tc>
        <w:tc>
          <w:tcPr>
            <w:tcW w:w="715" w:type="pct"/>
          </w:tcPr>
          <w:p w14:paraId="749F60A0" w14:textId="5C522D24"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0.80</w:t>
            </w:r>
          </w:p>
        </w:tc>
        <w:tc>
          <w:tcPr>
            <w:tcW w:w="714" w:type="pct"/>
          </w:tcPr>
          <w:p w14:paraId="214ACCC4" w14:textId="422C95C5"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0.16</w:t>
            </w:r>
          </w:p>
        </w:tc>
      </w:tr>
      <w:tr w:rsidR="00726EF3" w:rsidRPr="007550DB" w14:paraId="18CA694F" w14:textId="77777777" w:rsidTr="00E938A8">
        <w:tc>
          <w:tcPr>
            <w:tcW w:w="437" w:type="pct"/>
          </w:tcPr>
          <w:p w14:paraId="3E0A2571" w14:textId="07691846"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2</w:t>
            </w:r>
          </w:p>
        </w:tc>
        <w:tc>
          <w:tcPr>
            <w:tcW w:w="638" w:type="pct"/>
          </w:tcPr>
          <w:p w14:paraId="264B444F" w14:textId="5C12B61D"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Denmark</w:t>
            </w:r>
          </w:p>
        </w:tc>
        <w:tc>
          <w:tcPr>
            <w:tcW w:w="715" w:type="pct"/>
          </w:tcPr>
          <w:p w14:paraId="30883F86" w14:textId="0D58F08A"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0.45</w:t>
            </w:r>
          </w:p>
        </w:tc>
        <w:tc>
          <w:tcPr>
            <w:tcW w:w="715" w:type="pct"/>
          </w:tcPr>
          <w:p w14:paraId="75F9D3B0" w14:textId="78D3B711"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0.10</w:t>
            </w:r>
          </w:p>
        </w:tc>
        <w:tc>
          <w:tcPr>
            <w:tcW w:w="442" w:type="pct"/>
          </w:tcPr>
          <w:p w14:paraId="0C3B093E" w14:textId="626DF755"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2</w:t>
            </w:r>
          </w:p>
        </w:tc>
        <w:tc>
          <w:tcPr>
            <w:tcW w:w="624" w:type="pct"/>
          </w:tcPr>
          <w:p w14:paraId="4FDE3E34" w14:textId="261481AA"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Italy</w:t>
            </w:r>
          </w:p>
        </w:tc>
        <w:tc>
          <w:tcPr>
            <w:tcW w:w="715" w:type="pct"/>
          </w:tcPr>
          <w:p w14:paraId="1C0530F4" w14:textId="69DC0288"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0.83</w:t>
            </w:r>
          </w:p>
        </w:tc>
        <w:tc>
          <w:tcPr>
            <w:tcW w:w="714" w:type="pct"/>
          </w:tcPr>
          <w:p w14:paraId="0E33AEE0" w14:textId="705A5E6B"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0.19</w:t>
            </w:r>
          </w:p>
        </w:tc>
      </w:tr>
      <w:tr w:rsidR="00726EF3" w:rsidRPr="007550DB" w14:paraId="3FD835DC" w14:textId="77777777" w:rsidTr="00E938A8">
        <w:tc>
          <w:tcPr>
            <w:tcW w:w="437" w:type="pct"/>
          </w:tcPr>
          <w:p w14:paraId="2836BB2A" w14:textId="65D4FB56"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w:t>
            </w:r>
          </w:p>
        </w:tc>
        <w:tc>
          <w:tcPr>
            <w:tcW w:w="638" w:type="pct"/>
          </w:tcPr>
          <w:p w14:paraId="56B70E54" w14:textId="45774452"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Netherlands</w:t>
            </w:r>
          </w:p>
        </w:tc>
        <w:tc>
          <w:tcPr>
            <w:tcW w:w="715" w:type="pct"/>
          </w:tcPr>
          <w:p w14:paraId="47AD7EB6" w14:textId="692E243C"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0.50</w:t>
            </w:r>
          </w:p>
        </w:tc>
        <w:tc>
          <w:tcPr>
            <w:tcW w:w="715" w:type="pct"/>
          </w:tcPr>
          <w:p w14:paraId="65E2EFEB" w14:textId="2AB6744F"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0.14</w:t>
            </w:r>
          </w:p>
        </w:tc>
        <w:tc>
          <w:tcPr>
            <w:tcW w:w="442" w:type="pct"/>
          </w:tcPr>
          <w:p w14:paraId="4E1B087A" w14:textId="2FB65B16"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w:t>
            </w:r>
          </w:p>
        </w:tc>
        <w:tc>
          <w:tcPr>
            <w:tcW w:w="624" w:type="pct"/>
          </w:tcPr>
          <w:p w14:paraId="7E20FEB1" w14:textId="51E46274" w:rsidR="00726EF3"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Spain</w:t>
            </w:r>
          </w:p>
        </w:tc>
        <w:tc>
          <w:tcPr>
            <w:tcW w:w="715" w:type="pct"/>
          </w:tcPr>
          <w:p w14:paraId="52D7CC5A" w14:textId="0A461B58"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0.92</w:t>
            </w:r>
          </w:p>
        </w:tc>
        <w:tc>
          <w:tcPr>
            <w:tcW w:w="714" w:type="pct"/>
          </w:tcPr>
          <w:p w14:paraId="3BC782DF" w14:textId="16801B47"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0.28</w:t>
            </w:r>
          </w:p>
        </w:tc>
      </w:tr>
      <w:tr w:rsidR="00726EF3" w:rsidRPr="007550DB" w14:paraId="61210166" w14:textId="77777777" w:rsidTr="00E938A8">
        <w:tc>
          <w:tcPr>
            <w:tcW w:w="1074" w:type="pct"/>
            <w:gridSpan w:val="2"/>
            <w:tcBorders>
              <w:bottom w:val="single" w:sz="4" w:space="0" w:color="auto"/>
            </w:tcBorders>
            <w:vAlign w:val="center"/>
          </w:tcPr>
          <w:p w14:paraId="6B25AD65" w14:textId="1B4F4C0C"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Overall average</w:t>
            </w:r>
          </w:p>
        </w:tc>
        <w:tc>
          <w:tcPr>
            <w:tcW w:w="715" w:type="pct"/>
            <w:tcBorders>
              <w:bottom w:val="single" w:sz="4" w:space="0" w:color="auto"/>
            </w:tcBorders>
          </w:tcPr>
          <w:p w14:paraId="1F79ECC3" w14:textId="4193ED0C"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0.36</w:t>
            </w:r>
          </w:p>
        </w:tc>
        <w:tc>
          <w:tcPr>
            <w:tcW w:w="715" w:type="pct"/>
            <w:tcBorders>
              <w:bottom w:val="single" w:sz="4" w:space="0" w:color="auto"/>
            </w:tcBorders>
          </w:tcPr>
          <w:p w14:paraId="237CAC10" w14:textId="77777777"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p>
        </w:tc>
        <w:tc>
          <w:tcPr>
            <w:tcW w:w="1066" w:type="pct"/>
            <w:gridSpan w:val="2"/>
            <w:tcBorders>
              <w:bottom w:val="single" w:sz="4" w:space="0" w:color="auto"/>
            </w:tcBorders>
            <w:vAlign w:val="center"/>
          </w:tcPr>
          <w:p w14:paraId="6E283001" w14:textId="34FAB263"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Overall average</w:t>
            </w:r>
          </w:p>
        </w:tc>
        <w:tc>
          <w:tcPr>
            <w:tcW w:w="715" w:type="pct"/>
            <w:tcBorders>
              <w:bottom w:val="single" w:sz="4" w:space="0" w:color="auto"/>
            </w:tcBorders>
          </w:tcPr>
          <w:p w14:paraId="16C67753" w14:textId="07297A74" w:rsidR="00726EF3"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0.64</w:t>
            </w:r>
          </w:p>
        </w:tc>
        <w:tc>
          <w:tcPr>
            <w:tcW w:w="714" w:type="pct"/>
            <w:tcBorders>
              <w:bottom w:val="single" w:sz="4" w:space="0" w:color="auto"/>
            </w:tcBorders>
          </w:tcPr>
          <w:p w14:paraId="56DC6BD0" w14:textId="77777777" w:rsidR="00726EF3" w:rsidRPr="007550DB" w:rsidRDefault="00726EF3"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p>
        </w:tc>
      </w:tr>
      <w:tr w:rsidR="00726EF3" w:rsidRPr="007550DB" w14:paraId="06519C70" w14:textId="77777777" w:rsidTr="00E938A8">
        <w:tc>
          <w:tcPr>
            <w:tcW w:w="5000" w:type="pct"/>
            <w:gridSpan w:val="8"/>
            <w:tcBorders>
              <w:top w:val="single" w:sz="4" w:space="0" w:color="auto"/>
              <w:bottom w:val="single" w:sz="4" w:space="0" w:color="auto"/>
            </w:tcBorders>
          </w:tcPr>
          <w:p w14:paraId="103B0E3E" w14:textId="77BCBE60" w:rsidR="00726EF3" w:rsidRPr="007550DB" w:rsidRDefault="00726EF3"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 xml:space="preserve">Source: Comparative Welfare Entitlement Dataset (CWED) (Scruggs </w:t>
            </w:r>
            <w:r w:rsidRPr="007550DB">
              <w:rPr>
                <w:rFonts w:ascii="inherit" w:hAnsi="inherit" w:cs="Calibri"/>
                <w:i/>
                <w:color w:val="000000"/>
                <w:bdr w:val="none" w:sz="0" w:space="0" w:color="auto" w:frame="1"/>
              </w:rPr>
              <w:t xml:space="preserve">et al., </w:t>
            </w:r>
            <w:r w:rsidRPr="007550DB">
              <w:rPr>
                <w:rFonts w:ascii="inherit" w:hAnsi="inherit" w:cs="Calibri"/>
                <w:color w:val="000000"/>
                <w:bdr w:val="none" w:sz="0" w:space="0" w:color="auto" w:frame="1"/>
              </w:rPr>
              <w:t>2017a; 2017b)</w:t>
            </w:r>
          </w:p>
        </w:tc>
      </w:tr>
    </w:tbl>
    <w:p w14:paraId="23ABA9B7" w14:textId="0B8D9DDF" w:rsidR="00726EF3" w:rsidRDefault="00726EF3" w:rsidP="00622346">
      <w:pPr>
        <w:pStyle w:val="NormalWeb"/>
        <w:shd w:val="clear" w:color="auto" w:fill="FFFFFF"/>
        <w:spacing w:before="0" w:beforeAutospacing="0" w:after="240" w:afterAutospacing="0" w:line="360" w:lineRule="auto"/>
        <w:jc w:val="both"/>
        <w:textAlignment w:val="baseline"/>
        <w:rPr>
          <w:rFonts w:ascii="inherit" w:hAnsi="inherit" w:cs="Calibri"/>
          <w:i/>
          <w:color w:val="000000"/>
          <w:bdr w:val="none" w:sz="0" w:space="0" w:color="auto" w:frame="1"/>
        </w:rPr>
      </w:pPr>
    </w:p>
    <w:p w14:paraId="52EE1F65" w14:textId="1437460D" w:rsidR="007550DB" w:rsidRDefault="007550DB" w:rsidP="00622346">
      <w:pPr>
        <w:pStyle w:val="NormalWeb"/>
        <w:shd w:val="clear" w:color="auto" w:fill="FFFFFF"/>
        <w:spacing w:before="0" w:beforeAutospacing="0" w:after="240" w:afterAutospacing="0" w:line="360" w:lineRule="auto"/>
        <w:jc w:val="both"/>
        <w:textAlignment w:val="baseline"/>
        <w:rPr>
          <w:rFonts w:ascii="inherit" w:hAnsi="inherit" w:cs="Calibri"/>
          <w:i/>
          <w:color w:val="000000"/>
          <w:bdr w:val="none" w:sz="0" w:space="0" w:color="auto" w:frame="1"/>
        </w:rPr>
      </w:pPr>
    </w:p>
    <w:p w14:paraId="416E1553" w14:textId="77777777" w:rsidR="007550DB" w:rsidRDefault="007550DB" w:rsidP="00622346">
      <w:pPr>
        <w:pStyle w:val="NormalWeb"/>
        <w:shd w:val="clear" w:color="auto" w:fill="FFFFFF"/>
        <w:spacing w:before="0" w:beforeAutospacing="0" w:after="240" w:afterAutospacing="0" w:line="360" w:lineRule="auto"/>
        <w:jc w:val="both"/>
        <w:textAlignment w:val="baseline"/>
        <w:rPr>
          <w:rFonts w:ascii="inherit" w:hAnsi="inherit" w:cs="Calibri"/>
          <w:i/>
          <w:color w:val="000000"/>
          <w:bdr w:val="none" w:sz="0" w:space="0" w:color="auto" w:frame="1"/>
        </w:rPr>
        <w:sectPr w:rsidR="007550DB" w:rsidSect="005616EF">
          <w:endnotePr>
            <w:numFmt w:val="decimal"/>
          </w:endnotePr>
          <w:pgSz w:w="16838" w:h="11906" w:orient="landscape"/>
          <w:pgMar w:top="1440" w:right="1440" w:bottom="1440" w:left="1440" w:header="709" w:footer="709" w:gutter="0"/>
          <w:cols w:space="708"/>
          <w:docGrid w:linePitch="360"/>
        </w:sectPr>
      </w:pPr>
    </w:p>
    <w:p w14:paraId="40EAFAE6" w14:textId="5703F7FA" w:rsidR="007550DB" w:rsidRDefault="007550DB" w:rsidP="007550DB">
      <w:pPr>
        <w:pStyle w:val="NormalWeb"/>
        <w:shd w:val="clear" w:color="auto" w:fill="FFFFFF"/>
        <w:spacing w:before="0" w:beforeAutospacing="0" w:after="0" w:afterAutospacing="0" w:line="360" w:lineRule="auto"/>
        <w:jc w:val="both"/>
        <w:textAlignment w:val="baseline"/>
        <w:rPr>
          <w:rFonts w:ascii="inherit" w:hAnsi="inherit" w:cs="Calibri"/>
          <w:i/>
          <w:color w:val="000000"/>
          <w:bdr w:val="none" w:sz="0" w:space="0" w:color="auto" w:frame="1"/>
        </w:rPr>
      </w:pPr>
      <w:r>
        <w:rPr>
          <w:rFonts w:ascii="inherit" w:hAnsi="inherit" w:cs="Calibri"/>
          <w:i/>
          <w:color w:val="000000"/>
          <w:bdr w:val="none" w:sz="0" w:space="0" w:color="auto" w:frame="1"/>
        </w:rPr>
        <w:lastRenderedPageBreak/>
        <w:t>Appendix Table 2: Social insurance entitlements, average replacement rates 1960-2015</w:t>
      </w:r>
    </w:p>
    <w:tbl>
      <w:tblPr>
        <w:tblStyle w:val="TableGrid"/>
        <w:tblW w:w="46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660"/>
        <w:gridCol w:w="1860"/>
        <w:gridCol w:w="1860"/>
        <w:gridCol w:w="1150"/>
        <w:gridCol w:w="1623"/>
        <w:gridCol w:w="1860"/>
        <w:gridCol w:w="1857"/>
      </w:tblGrid>
      <w:tr w:rsidR="007550DB" w:rsidRPr="007550DB" w14:paraId="3E8C09F7" w14:textId="77777777" w:rsidTr="00682632">
        <w:tc>
          <w:tcPr>
            <w:tcW w:w="2505" w:type="pct"/>
            <w:gridSpan w:val="4"/>
            <w:tcBorders>
              <w:top w:val="single" w:sz="4" w:space="0" w:color="auto"/>
            </w:tcBorders>
            <w:vAlign w:val="center"/>
          </w:tcPr>
          <w:p w14:paraId="11A815D6" w14:textId="6600AC64" w:rsidR="007550DB" w:rsidRPr="007550DB" w:rsidRDefault="007550DB"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Minimum pension</w:t>
            </w:r>
            <w:r w:rsidR="00E938A8">
              <w:rPr>
                <w:rFonts w:ascii="inherit" w:hAnsi="inherit" w:cs="Calibri"/>
                <w:color w:val="000000"/>
                <w:bdr w:val="none" w:sz="0" w:space="0" w:color="auto" w:frame="1"/>
              </w:rPr>
              <w:t xml:space="preserve"> (median)</w:t>
            </w:r>
          </w:p>
        </w:tc>
        <w:tc>
          <w:tcPr>
            <w:tcW w:w="2495" w:type="pct"/>
            <w:gridSpan w:val="4"/>
            <w:tcBorders>
              <w:top w:val="single" w:sz="4" w:space="0" w:color="auto"/>
            </w:tcBorders>
            <w:vAlign w:val="center"/>
          </w:tcPr>
          <w:p w14:paraId="785A62C5" w14:textId="3BC8FDCE" w:rsidR="007550DB" w:rsidRPr="007550DB" w:rsidRDefault="007550DB"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Standard pension</w:t>
            </w:r>
            <w:r w:rsidR="00E938A8">
              <w:rPr>
                <w:rFonts w:ascii="inherit" w:hAnsi="inherit" w:cs="Calibri"/>
                <w:color w:val="000000"/>
                <w:bdr w:val="none" w:sz="0" w:space="0" w:color="auto" w:frame="1"/>
              </w:rPr>
              <w:t xml:space="preserve"> (median)</w:t>
            </w:r>
          </w:p>
        </w:tc>
      </w:tr>
      <w:tr w:rsidR="007550DB" w:rsidRPr="007550DB" w14:paraId="1351354F" w14:textId="77777777" w:rsidTr="00682632">
        <w:trPr>
          <w:trHeight w:val="1134"/>
        </w:trPr>
        <w:tc>
          <w:tcPr>
            <w:tcW w:w="437" w:type="pct"/>
            <w:tcBorders>
              <w:bottom w:val="single" w:sz="4" w:space="0" w:color="auto"/>
            </w:tcBorders>
            <w:vAlign w:val="center"/>
          </w:tcPr>
          <w:p w14:paraId="1D671FE0" w14:textId="77777777" w:rsidR="007550DB" w:rsidRPr="007550DB" w:rsidRDefault="007550DB"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Ranking</w:t>
            </w:r>
          </w:p>
        </w:tc>
        <w:tc>
          <w:tcPr>
            <w:tcW w:w="638" w:type="pct"/>
            <w:tcBorders>
              <w:bottom w:val="single" w:sz="4" w:space="0" w:color="auto"/>
            </w:tcBorders>
            <w:vAlign w:val="center"/>
          </w:tcPr>
          <w:p w14:paraId="183E915F" w14:textId="77777777" w:rsidR="007550DB" w:rsidRPr="007550DB" w:rsidRDefault="007550DB"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Countries</w:t>
            </w:r>
          </w:p>
        </w:tc>
        <w:tc>
          <w:tcPr>
            <w:tcW w:w="715" w:type="pct"/>
            <w:tcBorders>
              <w:bottom w:val="single" w:sz="4" w:space="0" w:color="auto"/>
            </w:tcBorders>
            <w:vAlign w:val="center"/>
          </w:tcPr>
          <w:p w14:paraId="335B9772" w14:textId="0AF8AA2F" w:rsidR="007550DB" w:rsidRPr="007550DB" w:rsidRDefault="001B6707"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R</w:t>
            </w:r>
            <w:r w:rsidRPr="007550DB">
              <w:rPr>
                <w:rFonts w:ascii="inherit" w:hAnsi="inherit" w:cs="Calibri"/>
                <w:color w:val="000000"/>
                <w:bdr w:val="none" w:sz="0" w:space="0" w:color="auto" w:frame="1"/>
              </w:rPr>
              <w:t>eplacement rate</w:t>
            </w:r>
            <w:r>
              <w:rPr>
                <w:rFonts w:ascii="inherit" w:hAnsi="inherit" w:cs="Calibri"/>
                <w:color w:val="000000"/>
                <w:bdr w:val="none" w:sz="0" w:space="0" w:color="auto" w:frame="1"/>
              </w:rPr>
              <w:t xml:space="preserve"> for average waged worker</w:t>
            </w:r>
          </w:p>
        </w:tc>
        <w:tc>
          <w:tcPr>
            <w:tcW w:w="715" w:type="pct"/>
            <w:tcBorders>
              <w:bottom w:val="single" w:sz="4" w:space="0" w:color="auto"/>
            </w:tcBorders>
            <w:vAlign w:val="center"/>
          </w:tcPr>
          <w:p w14:paraId="5BCDB127" w14:textId="7935D055" w:rsidR="007550DB" w:rsidRPr="007550DB" w:rsidRDefault="001B6707" w:rsidP="001B6707">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R</w:t>
            </w:r>
            <w:r w:rsidR="007550DB" w:rsidRPr="007550DB">
              <w:rPr>
                <w:rFonts w:ascii="inherit" w:hAnsi="inherit" w:cs="Calibri"/>
                <w:color w:val="000000"/>
                <w:bdr w:val="none" w:sz="0" w:space="0" w:color="auto" w:frame="1"/>
              </w:rPr>
              <w:t>eplacement rate minus country minimum</w:t>
            </w:r>
          </w:p>
        </w:tc>
        <w:tc>
          <w:tcPr>
            <w:tcW w:w="442" w:type="pct"/>
            <w:tcBorders>
              <w:bottom w:val="single" w:sz="4" w:space="0" w:color="auto"/>
            </w:tcBorders>
            <w:vAlign w:val="center"/>
          </w:tcPr>
          <w:p w14:paraId="7D11FC9B" w14:textId="77777777" w:rsidR="007550DB" w:rsidRPr="007550DB" w:rsidRDefault="007550DB"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Ranking</w:t>
            </w:r>
          </w:p>
        </w:tc>
        <w:tc>
          <w:tcPr>
            <w:tcW w:w="624" w:type="pct"/>
            <w:tcBorders>
              <w:bottom w:val="single" w:sz="4" w:space="0" w:color="auto"/>
            </w:tcBorders>
            <w:vAlign w:val="center"/>
          </w:tcPr>
          <w:p w14:paraId="3614C58A" w14:textId="77777777" w:rsidR="007550DB" w:rsidRPr="007550DB" w:rsidRDefault="007550DB"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Countries</w:t>
            </w:r>
          </w:p>
        </w:tc>
        <w:tc>
          <w:tcPr>
            <w:tcW w:w="715" w:type="pct"/>
            <w:tcBorders>
              <w:bottom w:val="single" w:sz="4" w:space="0" w:color="auto"/>
            </w:tcBorders>
            <w:vAlign w:val="center"/>
          </w:tcPr>
          <w:p w14:paraId="55EB0317" w14:textId="6B636ECF" w:rsidR="007550DB" w:rsidRPr="007550DB" w:rsidRDefault="001B6707"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R</w:t>
            </w:r>
            <w:r w:rsidRPr="007550DB">
              <w:rPr>
                <w:rFonts w:ascii="inherit" w:hAnsi="inherit" w:cs="Calibri"/>
                <w:color w:val="000000"/>
                <w:bdr w:val="none" w:sz="0" w:space="0" w:color="auto" w:frame="1"/>
              </w:rPr>
              <w:t>eplacement rate</w:t>
            </w:r>
            <w:r>
              <w:rPr>
                <w:rFonts w:ascii="inherit" w:hAnsi="inherit" w:cs="Calibri"/>
                <w:color w:val="000000"/>
                <w:bdr w:val="none" w:sz="0" w:space="0" w:color="auto" w:frame="1"/>
              </w:rPr>
              <w:t xml:space="preserve"> for average waged worker</w:t>
            </w:r>
          </w:p>
        </w:tc>
        <w:tc>
          <w:tcPr>
            <w:tcW w:w="714" w:type="pct"/>
            <w:tcBorders>
              <w:bottom w:val="single" w:sz="4" w:space="0" w:color="auto"/>
            </w:tcBorders>
            <w:vAlign w:val="center"/>
          </w:tcPr>
          <w:p w14:paraId="33E27FE5" w14:textId="13A7F59B" w:rsidR="007550DB" w:rsidRPr="007550DB" w:rsidRDefault="001B6707"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R</w:t>
            </w:r>
            <w:r w:rsidR="007550DB" w:rsidRPr="007550DB">
              <w:rPr>
                <w:rFonts w:ascii="inherit" w:hAnsi="inherit" w:cs="Calibri"/>
                <w:color w:val="000000"/>
                <w:bdr w:val="none" w:sz="0" w:space="0" w:color="auto" w:frame="1"/>
              </w:rPr>
              <w:t>eplacement rate minus country minimum</w:t>
            </w:r>
          </w:p>
        </w:tc>
      </w:tr>
      <w:tr w:rsidR="007550DB" w:rsidRPr="007550DB" w14:paraId="6DD2D620" w14:textId="77777777" w:rsidTr="00E938A8">
        <w:tc>
          <w:tcPr>
            <w:tcW w:w="437" w:type="pct"/>
            <w:tcBorders>
              <w:top w:val="single" w:sz="4" w:space="0" w:color="auto"/>
            </w:tcBorders>
          </w:tcPr>
          <w:p w14:paraId="739FFC65"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11</w:t>
            </w:r>
          </w:p>
        </w:tc>
        <w:tc>
          <w:tcPr>
            <w:tcW w:w="638" w:type="pct"/>
            <w:tcBorders>
              <w:top w:val="single" w:sz="4" w:space="0" w:color="auto"/>
            </w:tcBorders>
          </w:tcPr>
          <w:p w14:paraId="5BA292B8" w14:textId="4F13EA7A"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Switzerland</w:t>
            </w:r>
          </w:p>
        </w:tc>
        <w:tc>
          <w:tcPr>
            <w:tcW w:w="715" w:type="pct"/>
            <w:tcBorders>
              <w:top w:val="single" w:sz="4" w:space="0" w:color="auto"/>
            </w:tcBorders>
          </w:tcPr>
          <w:p w14:paraId="06E38992" w14:textId="638C3F47"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0.31</w:t>
            </w:r>
          </w:p>
        </w:tc>
        <w:tc>
          <w:tcPr>
            <w:tcW w:w="715" w:type="pct"/>
            <w:tcBorders>
              <w:top w:val="single" w:sz="4" w:space="0" w:color="auto"/>
            </w:tcBorders>
          </w:tcPr>
          <w:p w14:paraId="622148A7" w14:textId="7B6B024C"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-0.09</w:t>
            </w:r>
          </w:p>
        </w:tc>
        <w:tc>
          <w:tcPr>
            <w:tcW w:w="442" w:type="pct"/>
            <w:tcBorders>
              <w:top w:val="single" w:sz="4" w:space="0" w:color="auto"/>
            </w:tcBorders>
          </w:tcPr>
          <w:p w14:paraId="31ED2BB9" w14:textId="3A37125A"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11</w:t>
            </w:r>
          </w:p>
        </w:tc>
        <w:tc>
          <w:tcPr>
            <w:tcW w:w="624" w:type="pct"/>
            <w:tcBorders>
              <w:top w:val="single" w:sz="4" w:space="0" w:color="auto"/>
            </w:tcBorders>
          </w:tcPr>
          <w:p w14:paraId="72B3381D" w14:textId="2C416F18"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Switzerland</w:t>
            </w:r>
          </w:p>
        </w:tc>
        <w:tc>
          <w:tcPr>
            <w:tcW w:w="715" w:type="pct"/>
            <w:tcBorders>
              <w:top w:val="single" w:sz="4" w:space="0" w:color="auto"/>
            </w:tcBorders>
          </w:tcPr>
          <w:p w14:paraId="607C9D8E" w14:textId="1C547F26"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0.35</w:t>
            </w:r>
          </w:p>
        </w:tc>
        <w:tc>
          <w:tcPr>
            <w:tcW w:w="714" w:type="pct"/>
            <w:tcBorders>
              <w:top w:val="single" w:sz="4" w:space="0" w:color="auto"/>
            </w:tcBorders>
          </w:tcPr>
          <w:p w14:paraId="27B53584" w14:textId="4D66FE10"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-0.19</w:t>
            </w:r>
          </w:p>
        </w:tc>
      </w:tr>
      <w:tr w:rsidR="007550DB" w:rsidRPr="007550DB" w14:paraId="2996899A" w14:textId="77777777" w:rsidTr="00E938A8">
        <w:tc>
          <w:tcPr>
            <w:tcW w:w="437" w:type="pct"/>
          </w:tcPr>
          <w:p w14:paraId="4C6D8D46"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10</w:t>
            </w:r>
          </w:p>
        </w:tc>
        <w:tc>
          <w:tcPr>
            <w:tcW w:w="638" w:type="pct"/>
          </w:tcPr>
          <w:p w14:paraId="21D195D1" w14:textId="20D1B1E2"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Italy</w:t>
            </w:r>
          </w:p>
        </w:tc>
        <w:tc>
          <w:tcPr>
            <w:tcW w:w="715" w:type="pct"/>
          </w:tcPr>
          <w:p w14:paraId="006D2F2C" w14:textId="6ED13D6F"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0.33</w:t>
            </w:r>
          </w:p>
        </w:tc>
        <w:tc>
          <w:tcPr>
            <w:tcW w:w="715" w:type="pct"/>
          </w:tcPr>
          <w:p w14:paraId="77B75FF5" w14:textId="3244A305"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-0.07</w:t>
            </w:r>
          </w:p>
        </w:tc>
        <w:tc>
          <w:tcPr>
            <w:tcW w:w="442" w:type="pct"/>
          </w:tcPr>
          <w:p w14:paraId="50E923F4" w14:textId="275CC0AF"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10</w:t>
            </w:r>
          </w:p>
        </w:tc>
        <w:tc>
          <w:tcPr>
            <w:tcW w:w="624" w:type="pct"/>
          </w:tcPr>
          <w:p w14:paraId="1B1526E1" w14:textId="4130D398"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Ireland</w:t>
            </w:r>
          </w:p>
        </w:tc>
        <w:tc>
          <w:tcPr>
            <w:tcW w:w="715" w:type="pct"/>
          </w:tcPr>
          <w:p w14:paraId="1581340C" w14:textId="4688B767"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0.36</w:t>
            </w:r>
          </w:p>
        </w:tc>
        <w:tc>
          <w:tcPr>
            <w:tcW w:w="714" w:type="pct"/>
          </w:tcPr>
          <w:p w14:paraId="18B66D94" w14:textId="06E1913A"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-0.18</w:t>
            </w:r>
          </w:p>
        </w:tc>
      </w:tr>
      <w:tr w:rsidR="007550DB" w:rsidRPr="007550DB" w14:paraId="3DDDC0A8" w14:textId="77777777" w:rsidTr="00E938A8">
        <w:tc>
          <w:tcPr>
            <w:tcW w:w="437" w:type="pct"/>
          </w:tcPr>
          <w:p w14:paraId="0F29B3B0"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9</w:t>
            </w:r>
          </w:p>
        </w:tc>
        <w:tc>
          <w:tcPr>
            <w:tcW w:w="638" w:type="pct"/>
          </w:tcPr>
          <w:p w14:paraId="4DDF1924" w14:textId="2CDC7C5B"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Ireland</w:t>
            </w:r>
          </w:p>
        </w:tc>
        <w:tc>
          <w:tcPr>
            <w:tcW w:w="715" w:type="pct"/>
          </w:tcPr>
          <w:p w14:paraId="02D44862" w14:textId="1F09789F"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0.33</w:t>
            </w:r>
          </w:p>
        </w:tc>
        <w:tc>
          <w:tcPr>
            <w:tcW w:w="715" w:type="pct"/>
          </w:tcPr>
          <w:p w14:paraId="24E983F6" w14:textId="213CF256"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-0.06</w:t>
            </w:r>
          </w:p>
        </w:tc>
        <w:tc>
          <w:tcPr>
            <w:tcW w:w="442" w:type="pct"/>
          </w:tcPr>
          <w:p w14:paraId="2D783C3A" w14:textId="2C58D3B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9</w:t>
            </w:r>
          </w:p>
        </w:tc>
        <w:tc>
          <w:tcPr>
            <w:tcW w:w="624" w:type="pct"/>
          </w:tcPr>
          <w:p w14:paraId="78AB4EF7" w14:textId="1156D454"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Denmark</w:t>
            </w:r>
          </w:p>
        </w:tc>
        <w:tc>
          <w:tcPr>
            <w:tcW w:w="715" w:type="pct"/>
          </w:tcPr>
          <w:p w14:paraId="5F014806" w14:textId="396E3E0D"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0.49</w:t>
            </w:r>
          </w:p>
        </w:tc>
        <w:tc>
          <w:tcPr>
            <w:tcW w:w="714" w:type="pct"/>
          </w:tcPr>
          <w:p w14:paraId="4F34F668" w14:textId="2AB93F4C"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-0.05</w:t>
            </w:r>
          </w:p>
        </w:tc>
      </w:tr>
      <w:tr w:rsidR="007550DB" w:rsidRPr="007550DB" w14:paraId="4E0DF537" w14:textId="77777777" w:rsidTr="00E938A8">
        <w:tc>
          <w:tcPr>
            <w:tcW w:w="437" w:type="pct"/>
          </w:tcPr>
          <w:p w14:paraId="7F34D4CE"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8</w:t>
            </w:r>
          </w:p>
        </w:tc>
        <w:tc>
          <w:tcPr>
            <w:tcW w:w="638" w:type="pct"/>
          </w:tcPr>
          <w:p w14:paraId="28D4D2A1" w14:textId="09A74C45"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Germany</w:t>
            </w:r>
          </w:p>
        </w:tc>
        <w:tc>
          <w:tcPr>
            <w:tcW w:w="715" w:type="pct"/>
          </w:tcPr>
          <w:p w14:paraId="07A144A1" w14:textId="290DF2ED"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0.36</w:t>
            </w:r>
          </w:p>
        </w:tc>
        <w:tc>
          <w:tcPr>
            <w:tcW w:w="715" w:type="pct"/>
          </w:tcPr>
          <w:p w14:paraId="50D29BAB" w14:textId="03EA3EED"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-0.03</w:t>
            </w:r>
          </w:p>
        </w:tc>
        <w:tc>
          <w:tcPr>
            <w:tcW w:w="442" w:type="pct"/>
          </w:tcPr>
          <w:p w14:paraId="3AAADE64" w14:textId="66BEDAA9"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8</w:t>
            </w:r>
          </w:p>
        </w:tc>
        <w:tc>
          <w:tcPr>
            <w:tcW w:w="624" w:type="pct"/>
          </w:tcPr>
          <w:p w14:paraId="4822720D" w14:textId="26EAAE4A"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Netherlands</w:t>
            </w:r>
          </w:p>
        </w:tc>
        <w:tc>
          <w:tcPr>
            <w:tcW w:w="715" w:type="pct"/>
          </w:tcPr>
          <w:p w14:paraId="6C7E40C0" w14:textId="374D6F20"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0.50</w:t>
            </w:r>
          </w:p>
        </w:tc>
        <w:tc>
          <w:tcPr>
            <w:tcW w:w="714" w:type="pct"/>
          </w:tcPr>
          <w:p w14:paraId="4286F265" w14:textId="562D1C12"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-0.04</w:t>
            </w:r>
          </w:p>
        </w:tc>
      </w:tr>
      <w:tr w:rsidR="007550DB" w:rsidRPr="007550DB" w14:paraId="04327C07" w14:textId="77777777" w:rsidTr="00E938A8">
        <w:tc>
          <w:tcPr>
            <w:tcW w:w="437" w:type="pct"/>
          </w:tcPr>
          <w:p w14:paraId="088527BC"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7</w:t>
            </w:r>
          </w:p>
        </w:tc>
        <w:tc>
          <w:tcPr>
            <w:tcW w:w="638" w:type="pct"/>
          </w:tcPr>
          <w:p w14:paraId="77520839" w14:textId="1E66BEC8"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Sweden</w:t>
            </w:r>
          </w:p>
        </w:tc>
        <w:tc>
          <w:tcPr>
            <w:tcW w:w="715" w:type="pct"/>
          </w:tcPr>
          <w:p w14:paraId="21126400" w14:textId="2E7A82E2"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0.37</w:t>
            </w:r>
          </w:p>
        </w:tc>
        <w:tc>
          <w:tcPr>
            <w:tcW w:w="715" w:type="pct"/>
          </w:tcPr>
          <w:p w14:paraId="5993200D" w14:textId="0A2A2A0D"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-0.03</w:t>
            </w:r>
          </w:p>
        </w:tc>
        <w:tc>
          <w:tcPr>
            <w:tcW w:w="442" w:type="pct"/>
          </w:tcPr>
          <w:p w14:paraId="7C417A92" w14:textId="42D774AA"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7</w:t>
            </w:r>
          </w:p>
        </w:tc>
        <w:tc>
          <w:tcPr>
            <w:tcW w:w="624" w:type="pct"/>
          </w:tcPr>
          <w:p w14:paraId="770829CC" w14:textId="7501AB68"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Germany</w:t>
            </w:r>
          </w:p>
        </w:tc>
        <w:tc>
          <w:tcPr>
            <w:tcW w:w="715" w:type="pct"/>
          </w:tcPr>
          <w:p w14:paraId="0F387392" w14:textId="02C80AAF"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0.52</w:t>
            </w:r>
          </w:p>
        </w:tc>
        <w:tc>
          <w:tcPr>
            <w:tcW w:w="714" w:type="pct"/>
          </w:tcPr>
          <w:p w14:paraId="03B65048" w14:textId="78ED0205"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-0.02</w:t>
            </w:r>
          </w:p>
        </w:tc>
      </w:tr>
      <w:tr w:rsidR="007550DB" w:rsidRPr="007550DB" w14:paraId="3596F90F" w14:textId="77777777" w:rsidTr="00E938A8">
        <w:tc>
          <w:tcPr>
            <w:tcW w:w="437" w:type="pct"/>
          </w:tcPr>
          <w:p w14:paraId="1FCCCFEB"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6</w:t>
            </w:r>
          </w:p>
        </w:tc>
        <w:tc>
          <w:tcPr>
            <w:tcW w:w="638" w:type="pct"/>
          </w:tcPr>
          <w:p w14:paraId="0F5126C4" w14:textId="1B90C6B8"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Finland</w:t>
            </w:r>
          </w:p>
        </w:tc>
        <w:tc>
          <w:tcPr>
            <w:tcW w:w="715" w:type="pct"/>
          </w:tcPr>
          <w:p w14:paraId="3748F01D" w14:textId="12536AA8"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0.38</w:t>
            </w:r>
          </w:p>
        </w:tc>
        <w:tc>
          <w:tcPr>
            <w:tcW w:w="715" w:type="pct"/>
          </w:tcPr>
          <w:p w14:paraId="04306A3F" w14:textId="37917AB4"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-0.02</w:t>
            </w:r>
          </w:p>
        </w:tc>
        <w:tc>
          <w:tcPr>
            <w:tcW w:w="442" w:type="pct"/>
          </w:tcPr>
          <w:p w14:paraId="5068A0F8" w14:textId="5EA36D7B"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6</w:t>
            </w:r>
          </w:p>
        </w:tc>
        <w:tc>
          <w:tcPr>
            <w:tcW w:w="624" w:type="pct"/>
          </w:tcPr>
          <w:p w14:paraId="58F418C4" w14:textId="1B847A51"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France</w:t>
            </w:r>
          </w:p>
        </w:tc>
        <w:tc>
          <w:tcPr>
            <w:tcW w:w="715" w:type="pct"/>
          </w:tcPr>
          <w:p w14:paraId="27670CC4" w14:textId="3858A591"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0.52</w:t>
            </w:r>
          </w:p>
        </w:tc>
        <w:tc>
          <w:tcPr>
            <w:tcW w:w="714" w:type="pct"/>
          </w:tcPr>
          <w:p w14:paraId="376194D1" w14:textId="064A98E8"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-0.02</w:t>
            </w:r>
          </w:p>
        </w:tc>
      </w:tr>
      <w:tr w:rsidR="007550DB" w:rsidRPr="007550DB" w14:paraId="5D8BD577" w14:textId="77777777" w:rsidTr="00E938A8">
        <w:tc>
          <w:tcPr>
            <w:tcW w:w="437" w:type="pct"/>
          </w:tcPr>
          <w:p w14:paraId="7BDD73D6"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5</w:t>
            </w:r>
          </w:p>
        </w:tc>
        <w:tc>
          <w:tcPr>
            <w:tcW w:w="638" w:type="pct"/>
          </w:tcPr>
          <w:p w14:paraId="79B1CC34" w14:textId="42A27403"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France</w:t>
            </w:r>
          </w:p>
        </w:tc>
        <w:tc>
          <w:tcPr>
            <w:tcW w:w="715" w:type="pct"/>
          </w:tcPr>
          <w:p w14:paraId="34F3E3A6" w14:textId="62224040"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0.38</w:t>
            </w:r>
          </w:p>
        </w:tc>
        <w:tc>
          <w:tcPr>
            <w:tcW w:w="715" w:type="pct"/>
          </w:tcPr>
          <w:p w14:paraId="0B711B6B" w14:textId="03693FCC"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-0.01</w:t>
            </w:r>
          </w:p>
        </w:tc>
        <w:tc>
          <w:tcPr>
            <w:tcW w:w="442" w:type="pct"/>
          </w:tcPr>
          <w:p w14:paraId="0D358F9F" w14:textId="3EABEBB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5</w:t>
            </w:r>
          </w:p>
        </w:tc>
        <w:tc>
          <w:tcPr>
            <w:tcW w:w="624" w:type="pct"/>
          </w:tcPr>
          <w:p w14:paraId="5AD37FA2" w14:textId="66309981"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Sweden</w:t>
            </w:r>
          </w:p>
        </w:tc>
        <w:tc>
          <w:tcPr>
            <w:tcW w:w="715" w:type="pct"/>
          </w:tcPr>
          <w:p w14:paraId="7ED43E84" w14:textId="02D87B38"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0.55</w:t>
            </w:r>
          </w:p>
        </w:tc>
        <w:tc>
          <w:tcPr>
            <w:tcW w:w="714" w:type="pct"/>
          </w:tcPr>
          <w:p w14:paraId="2F6F57E6" w14:textId="384C5EB4"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0.00</w:t>
            </w:r>
          </w:p>
        </w:tc>
      </w:tr>
      <w:tr w:rsidR="007550DB" w:rsidRPr="007550DB" w14:paraId="05E28CB5" w14:textId="77777777" w:rsidTr="00E938A8">
        <w:tc>
          <w:tcPr>
            <w:tcW w:w="437" w:type="pct"/>
          </w:tcPr>
          <w:p w14:paraId="588917F0"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4</w:t>
            </w:r>
          </w:p>
        </w:tc>
        <w:tc>
          <w:tcPr>
            <w:tcW w:w="638" w:type="pct"/>
          </w:tcPr>
          <w:p w14:paraId="1E6826A2" w14:textId="4D8FEFCC"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Austria</w:t>
            </w:r>
          </w:p>
        </w:tc>
        <w:tc>
          <w:tcPr>
            <w:tcW w:w="715" w:type="pct"/>
          </w:tcPr>
          <w:p w14:paraId="1C9EE387" w14:textId="53AC64FE"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0.42</w:t>
            </w:r>
          </w:p>
        </w:tc>
        <w:tc>
          <w:tcPr>
            <w:tcW w:w="715" w:type="pct"/>
          </w:tcPr>
          <w:p w14:paraId="168B813F" w14:textId="79D9FCC2"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0.02</w:t>
            </w:r>
          </w:p>
        </w:tc>
        <w:tc>
          <w:tcPr>
            <w:tcW w:w="442" w:type="pct"/>
          </w:tcPr>
          <w:p w14:paraId="00EA0124" w14:textId="647E91C3"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4</w:t>
            </w:r>
          </w:p>
        </w:tc>
        <w:tc>
          <w:tcPr>
            <w:tcW w:w="624" w:type="pct"/>
          </w:tcPr>
          <w:p w14:paraId="2C3A7ED9" w14:textId="50E37965"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Finland</w:t>
            </w:r>
          </w:p>
        </w:tc>
        <w:tc>
          <w:tcPr>
            <w:tcW w:w="715" w:type="pct"/>
          </w:tcPr>
          <w:p w14:paraId="5B210A39" w14:textId="77B4CB44"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0.61</w:t>
            </w:r>
          </w:p>
        </w:tc>
        <w:tc>
          <w:tcPr>
            <w:tcW w:w="714" w:type="pct"/>
          </w:tcPr>
          <w:p w14:paraId="1D920550" w14:textId="496669A9"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0.06</w:t>
            </w:r>
          </w:p>
        </w:tc>
      </w:tr>
      <w:tr w:rsidR="007550DB" w:rsidRPr="007550DB" w14:paraId="5BFD87E5" w14:textId="77777777" w:rsidTr="00E938A8">
        <w:tc>
          <w:tcPr>
            <w:tcW w:w="437" w:type="pct"/>
          </w:tcPr>
          <w:p w14:paraId="5F3CA989"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3</w:t>
            </w:r>
          </w:p>
        </w:tc>
        <w:tc>
          <w:tcPr>
            <w:tcW w:w="638" w:type="pct"/>
          </w:tcPr>
          <w:p w14:paraId="3540C5EF" w14:textId="18814364"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Denmark</w:t>
            </w:r>
          </w:p>
        </w:tc>
        <w:tc>
          <w:tcPr>
            <w:tcW w:w="715" w:type="pct"/>
          </w:tcPr>
          <w:p w14:paraId="10F64183" w14:textId="3A7E4AD5"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0.46</w:t>
            </w:r>
          </w:p>
        </w:tc>
        <w:tc>
          <w:tcPr>
            <w:tcW w:w="715" w:type="pct"/>
          </w:tcPr>
          <w:p w14:paraId="523BF057" w14:textId="00EFF95D"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0.06</w:t>
            </w:r>
          </w:p>
        </w:tc>
        <w:tc>
          <w:tcPr>
            <w:tcW w:w="442" w:type="pct"/>
          </w:tcPr>
          <w:p w14:paraId="60802AD2" w14:textId="66AACE3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3</w:t>
            </w:r>
          </w:p>
        </w:tc>
        <w:tc>
          <w:tcPr>
            <w:tcW w:w="624" w:type="pct"/>
          </w:tcPr>
          <w:p w14:paraId="2FF7A5BD" w14:textId="550987C4"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Belgium</w:t>
            </w:r>
          </w:p>
        </w:tc>
        <w:tc>
          <w:tcPr>
            <w:tcW w:w="715" w:type="pct"/>
          </w:tcPr>
          <w:p w14:paraId="4A9E0945" w14:textId="472EF6C8"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0.67</w:t>
            </w:r>
          </w:p>
        </w:tc>
        <w:tc>
          <w:tcPr>
            <w:tcW w:w="714" w:type="pct"/>
          </w:tcPr>
          <w:p w14:paraId="2BD66C17" w14:textId="63A10C1E"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0.13</w:t>
            </w:r>
          </w:p>
        </w:tc>
      </w:tr>
      <w:tr w:rsidR="007550DB" w:rsidRPr="007550DB" w14:paraId="3A96F398" w14:textId="77777777" w:rsidTr="00E938A8">
        <w:tc>
          <w:tcPr>
            <w:tcW w:w="437" w:type="pct"/>
          </w:tcPr>
          <w:p w14:paraId="2853385B"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2</w:t>
            </w:r>
          </w:p>
        </w:tc>
        <w:tc>
          <w:tcPr>
            <w:tcW w:w="638" w:type="pct"/>
          </w:tcPr>
          <w:p w14:paraId="1BA5BE92" w14:textId="15AF4555"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Netherlands</w:t>
            </w:r>
          </w:p>
        </w:tc>
        <w:tc>
          <w:tcPr>
            <w:tcW w:w="715" w:type="pct"/>
          </w:tcPr>
          <w:p w14:paraId="408CB3C4" w14:textId="35595668"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0.50</w:t>
            </w:r>
          </w:p>
        </w:tc>
        <w:tc>
          <w:tcPr>
            <w:tcW w:w="715" w:type="pct"/>
          </w:tcPr>
          <w:p w14:paraId="70D9400A" w14:textId="04828C49"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0.11</w:t>
            </w:r>
          </w:p>
        </w:tc>
        <w:tc>
          <w:tcPr>
            <w:tcW w:w="442" w:type="pct"/>
          </w:tcPr>
          <w:p w14:paraId="597AB7AB" w14:textId="41B5EECB"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2</w:t>
            </w:r>
          </w:p>
        </w:tc>
        <w:tc>
          <w:tcPr>
            <w:tcW w:w="624" w:type="pct"/>
          </w:tcPr>
          <w:p w14:paraId="53E4F4A9" w14:textId="1A2A3B78"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Italy</w:t>
            </w:r>
          </w:p>
        </w:tc>
        <w:tc>
          <w:tcPr>
            <w:tcW w:w="715" w:type="pct"/>
          </w:tcPr>
          <w:p w14:paraId="118AD38F" w14:textId="31B440E3"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0.69</w:t>
            </w:r>
          </w:p>
        </w:tc>
        <w:tc>
          <w:tcPr>
            <w:tcW w:w="714" w:type="pct"/>
          </w:tcPr>
          <w:p w14:paraId="15E2D876" w14:textId="5C14F028"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0.14</w:t>
            </w:r>
          </w:p>
        </w:tc>
      </w:tr>
      <w:tr w:rsidR="007550DB" w:rsidRPr="007550DB" w14:paraId="023AEA88" w14:textId="77777777" w:rsidTr="00E938A8">
        <w:tc>
          <w:tcPr>
            <w:tcW w:w="437" w:type="pct"/>
          </w:tcPr>
          <w:p w14:paraId="4C0BE80F" w14:textId="7777777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1</w:t>
            </w:r>
          </w:p>
        </w:tc>
        <w:tc>
          <w:tcPr>
            <w:tcW w:w="638" w:type="pct"/>
          </w:tcPr>
          <w:p w14:paraId="7FD2591E" w14:textId="11C494DE"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Belgium</w:t>
            </w:r>
          </w:p>
        </w:tc>
        <w:tc>
          <w:tcPr>
            <w:tcW w:w="715" w:type="pct"/>
          </w:tcPr>
          <w:p w14:paraId="43B1D3A7" w14:textId="4178380E"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0.51</w:t>
            </w:r>
          </w:p>
        </w:tc>
        <w:tc>
          <w:tcPr>
            <w:tcW w:w="715" w:type="pct"/>
          </w:tcPr>
          <w:p w14:paraId="18117BF9" w14:textId="7F6CE030"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0.12</w:t>
            </w:r>
          </w:p>
        </w:tc>
        <w:tc>
          <w:tcPr>
            <w:tcW w:w="442" w:type="pct"/>
          </w:tcPr>
          <w:p w14:paraId="71CDABD0" w14:textId="7B96C147"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1</w:t>
            </w:r>
          </w:p>
        </w:tc>
        <w:tc>
          <w:tcPr>
            <w:tcW w:w="624" w:type="pct"/>
          </w:tcPr>
          <w:p w14:paraId="7A4538C7" w14:textId="0022C205"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Austria</w:t>
            </w:r>
          </w:p>
        </w:tc>
        <w:tc>
          <w:tcPr>
            <w:tcW w:w="715" w:type="pct"/>
          </w:tcPr>
          <w:p w14:paraId="4CA031FD" w14:textId="365CB023"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0.71</w:t>
            </w:r>
          </w:p>
        </w:tc>
        <w:tc>
          <w:tcPr>
            <w:tcW w:w="714" w:type="pct"/>
          </w:tcPr>
          <w:p w14:paraId="38AA8EF4" w14:textId="501F8A10" w:rsidR="007550DB" w:rsidRPr="007550DB" w:rsidRDefault="00E938A8"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0.17</w:t>
            </w:r>
          </w:p>
        </w:tc>
      </w:tr>
      <w:tr w:rsidR="007550DB" w:rsidRPr="007550DB" w14:paraId="385E884F" w14:textId="77777777" w:rsidTr="00E938A8">
        <w:tc>
          <w:tcPr>
            <w:tcW w:w="1074" w:type="pct"/>
            <w:gridSpan w:val="2"/>
            <w:tcBorders>
              <w:bottom w:val="single" w:sz="4" w:space="0" w:color="auto"/>
            </w:tcBorders>
            <w:vAlign w:val="center"/>
          </w:tcPr>
          <w:p w14:paraId="29440640" w14:textId="77777777"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Overall average</w:t>
            </w:r>
          </w:p>
        </w:tc>
        <w:tc>
          <w:tcPr>
            <w:tcW w:w="715" w:type="pct"/>
            <w:tcBorders>
              <w:bottom w:val="single" w:sz="4" w:space="0" w:color="auto"/>
            </w:tcBorders>
          </w:tcPr>
          <w:p w14:paraId="31B08A7D" w14:textId="16B2C29B"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0.39</w:t>
            </w:r>
          </w:p>
        </w:tc>
        <w:tc>
          <w:tcPr>
            <w:tcW w:w="715" w:type="pct"/>
            <w:tcBorders>
              <w:bottom w:val="single" w:sz="4" w:space="0" w:color="auto"/>
            </w:tcBorders>
          </w:tcPr>
          <w:p w14:paraId="5CBDA198" w14:textId="77777777"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p>
        </w:tc>
        <w:tc>
          <w:tcPr>
            <w:tcW w:w="1066" w:type="pct"/>
            <w:gridSpan w:val="2"/>
            <w:tcBorders>
              <w:bottom w:val="single" w:sz="4" w:space="0" w:color="auto"/>
            </w:tcBorders>
            <w:vAlign w:val="center"/>
          </w:tcPr>
          <w:p w14:paraId="71ED294B" w14:textId="77777777"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Overall average</w:t>
            </w:r>
          </w:p>
        </w:tc>
        <w:tc>
          <w:tcPr>
            <w:tcW w:w="715" w:type="pct"/>
            <w:tcBorders>
              <w:bottom w:val="single" w:sz="4" w:space="0" w:color="auto"/>
            </w:tcBorders>
          </w:tcPr>
          <w:p w14:paraId="325623B9" w14:textId="523216B1"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0.54</w:t>
            </w:r>
          </w:p>
        </w:tc>
        <w:tc>
          <w:tcPr>
            <w:tcW w:w="714" w:type="pct"/>
            <w:tcBorders>
              <w:bottom w:val="single" w:sz="4" w:space="0" w:color="auto"/>
            </w:tcBorders>
          </w:tcPr>
          <w:p w14:paraId="2DA54541" w14:textId="77777777" w:rsidR="007550DB" w:rsidRPr="007550DB" w:rsidRDefault="007550DB" w:rsidP="00682632">
            <w:pPr>
              <w:pStyle w:val="NormalWeb"/>
              <w:spacing w:before="0" w:beforeAutospacing="0" w:after="0" w:afterAutospacing="0" w:line="276" w:lineRule="auto"/>
              <w:jc w:val="right"/>
              <w:textAlignment w:val="baseline"/>
              <w:rPr>
                <w:rFonts w:ascii="inherit" w:hAnsi="inherit" w:cs="Calibri"/>
                <w:color w:val="000000"/>
                <w:bdr w:val="none" w:sz="0" w:space="0" w:color="auto" w:frame="1"/>
              </w:rPr>
            </w:pPr>
          </w:p>
        </w:tc>
      </w:tr>
      <w:tr w:rsidR="007550DB" w:rsidRPr="007550DB" w14:paraId="211100DC" w14:textId="77777777" w:rsidTr="00E938A8">
        <w:tc>
          <w:tcPr>
            <w:tcW w:w="5000" w:type="pct"/>
            <w:gridSpan w:val="8"/>
            <w:tcBorders>
              <w:top w:val="single" w:sz="4" w:space="0" w:color="auto"/>
              <w:bottom w:val="single" w:sz="4" w:space="0" w:color="auto"/>
            </w:tcBorders>
          </w:tcPr>
          <w:p w14:paraId="1DA0134C" w14:textId="0535A8B6" w:rsidR="007550DB" w:rsidRPr="007550DB" w:rsidRDefault="007550DB"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sidRPr="007550DB">
              <w:rPr>
                <w:rFonts w:ascii="inherit" w:hAnsi="inherit" w:cs="Calibri"/>
                <w:color w:val="000000"/>
                <w:bdr w:val="none" w:sz="0" w:space="0" w:color="auto" w:frame="1"/>
              </w:rPr>
              <w:t xml:space="preserve">Source: </w:t>
            </w:r>
            <w:r>
              <w:rPr>
                <w:rFonts w:ascii="inherit" w:hAnsi="inherit" w:cs="Calibri"/>
                <w:color w:val="000000"/>
                <w:bdr w:val="none" w:sz="0" w:space="0" w:color="auto" w:frame="1"/>
              </w:rPr>
              <w:t xml:space="preserve">Social Insurance Entitlements Dataset (SIED) </w:t>
            </w:r>
            <w:r w:rsidRPr="007550DB">
              <w:rPr>
                <w:rFonts w:ascii="inherit" w:hAnsi="inherit" w:cs="Calibri"/>
                <w:color w:val="000000"/>
                <w:bdr w:val="none" w:sz="0" w:space="0" w:color="auto" w:frame="1"/>
              </w:rPr>
              <w:t>(</w:t>
            </w:r>
            <w:r>
              <w:rPr>
                <w:rFonts w:ascii="inherit" w:hAnsi="inherit" w:cs="Calibri"/>
                <w:color w:val="000000"/>
                <w:bdr w:val="none" w:sz="0" w:space="0" w:color="auto" w:frame="1"/>
              </w:rPr>
              <w:t>Korpi and Palme, 2008</w:t>
            </w:r>
            <w:r w:rsidRPr="007550DB">
              <w:rPr>
                <w:rFonts w:ascii="inherit" w:hAnsi="inherit" w:cs="Calibri"/>
                <w:color w:val="000000"/>
                <w:bdr w:val="none" w:sz="0" w:space="0" w:color="auto" w:frame="1"/>
              </w:rPr>
              <w:t>)</w:t>
            </w:r>
          </w:p>
        </w:tc>
      </w:tr>
    </w:tbl>
    <w:p w14:paraId="27872AD4" w14:textId="0782D326" w:rsidR="007550DB" w:rsidRDefault="007550DB" w:rsidP="00622346">
      <w:pPr>
        <w:pStyle w:val="NormalWeb"/>
        <w:shd w:val="clear" w:color="auto" w:fill="FFFFFF"/>
        <w:spacing w:before="0" w:beforeAutospacing="0" w:after="240" w:afterAutospacing="0" w:line="360" w:lineRule="auto"/>
        <w:jc w:val="both"/>
        <w:textAlignment w:val="baseline"/>
        <w:rPr>
          <w:rFonts w:ascii="inherit" w:hAnsi="inherit" w:cs="Calibri"/>
          <w:i/>
          <w:color w:val="000000"/>
          <w:bdr w:val="none" w:sz="0" w:space="0" w:color="auto" w:frame="1"/>
        </w:rPr>
        <w:sectPr w:rsidR="007550DB" w:rsidSect="005616EF">
          <w:endnotePr>
            <w:numFmt w:val="decimal"/>
          </w:endnotePr>
          <w:pgSz w:w="16838" w:h="11906" w:orient="landscape"/>
          <w:pgMar w:top="1440" w:right="1440" w:bottom="1440" w:left="1440" w:header="709" w:footer="709" w:gutter="0"/>
          <w:cols w:space="708"/>
          <w:docGrid w:linePitch="360"/>
        </w:sectPr>
      </w:pPr>
    </w:p>
    <w:p w14:paraId="1C9C26F2" w14:textId="00E0ADB2" w:rsidR="00E938A8" w:rsidRDefault="005D1242" w:rsidP="00E938A8">
      <w:pPr>
        <w:pStyle w:val="NormalWeb"/>
        <w:shd w:val="clear" w:color="auto" w:fill="FFFFFF"/>
        <w:spacing w:before="0" w:beforeAutospacing="0" w:after="0" w:afterAutospacing="0" w:line="360"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lastRenderedPageBreak/>
        <w:t xml:space="preserve">The placement of a country in either the less or more protective group was determined by how often their </w:t>
      </w:r>
      <w:r w:rsidR="00E966CF">
        <w:rPr>
          <w:rFonts w:ascii="inherit" w:hAnsi="inherit" w:cs="Calibri"/>
          <w:color w:val="000000"/>
          <w:bdr w:val="none" w:sz="0" w:space="0" w:color="auto" w:frame="1"/>
        </w:rPr>
        <w:t xml:space="preserve">replacement rates </w:t>
      </w:r>
      <w:r>
        <w:rPr>
          <w:rFonts w:ascii="inherit" w:hAnsi="inherit" w:cs="Calibri"/>
          <w:color w:val="000000"/>
          <w:bdr w:val="none" w:sz="0" w:space="0" w:color="auto" w:frame="1"/>
        </w:rPr>
        <w:t xml:space="preserve">were below the median in the four rankings, combined with how often their replacement rates fell below the overall </w:t>
      </w:r>
      <w:r w:rsidR="002D160B">
        <w:rPr>
          <w:rFonts w:ascii="inherit" w:hAnsi="inherit" w:cs="Calibri"/>
          <w:color w:val="000000"/>
          <w:bdr w:val="none" w:sz="0" w:space="0" w:color="auto" w:frame="1"/>
        </w:rPr>
        <w:t>mean</w:t>
      </w:r>
      <w:r>
        <w:rPr>
          <w:rFonts w:ascii="inherit" w:hAnsi="inherit" w:cs="Calibri"/>
          <w:color w:val="000000"/>
          <w:bdr w:val="none" w:sz="0" w:space="0" w:color="auto" w:frame="1"/>
        </w:rPr>
        <w:t xml:space="preserve"> for that pension type</w:t>
      </w:r>
      <w:r w:rsidR="00362F86">
        <w:rPr>
          <w:rFonts w:ascii="inherit" w:hAnsi="inherit" w:cs="Calibri"/>
          <w:color w:val="000000"/>
          <w:bdr w:val="none" w:sz="0" w:space="0" w:color="auto" w:frame="1"/>
        </w:rPr>
        <w:t xml:space="preserve"> (</w:t>
      </w:r>
      <w:r w:rsidR="005616EF">
        <w:rPr>
          <w:rFonts w:ascii="inherit" w:hAnsi="inherit" w:cs="Calibri"/>
          <w:color w:val="000000"/>
          <w:bdr w:val="none" w:sz="0" w:space="0" w:color="auto" w:frame="1"/>
        </w:rPr>
        <w:t>T</w:t>
      </w:r>
      <w:r w:rsidR="00362F86">
        <w:rPr>
          <w:rFonts w:ascii="inherit" w:hAnsi="inherit" w:cs="Calibri"/>
          <w:color w:val="000000"/>
          <w:bdr w:val="none" w:sz="0" w:space="0" w:color="auto" w:frame="1"/>
        </w:rPr>
        <w:t>ables 3 and 4</w:t>
      </w:r>
      <w:r w:rsidR="005616EF">
        <w:rPr>
          <w:rFonts w:ascii="inherit" w:hAnsi="inherit" w:cs="Calibri"/>
          <w:color w:val="000000"/>
          <w:bdr w:val="none" w:sz="0" w:space="0" w:color="auto" w:frame="1"/>
        </w:rPr>
        <w:t xml:space="preserve"> below</w:t>
      </w:r>
      <w:r w:rsidR="00362F86">
        <w:rPr>
          <w:rFonts w:ascii="inherit" w:hAnsi="inherit" w:cs="Calibri"/>
          <w:color w:val="000000"/>
          <w:bdr w:val="none" w:sz="0" w:space="0" w:color="auto" w:frame="1"/>
        </w:rPr>
        <w:t>)</w:t>
      </w:r>
      <w:r>
        <w:rPr>
          <w:rFonts w:ascii="inherit" w:hAnsi="inherit" w:cs="Calibri"/>
          <w:color w:val="000000"/>
          <w:bdr w:val="none" w:sz="0" w:space="0" w:color="auto" w:frame="1"/>
        </w:rPr>
        <w:t xml:space="preserve">. </w:t>
      </w:r>
    </w:p>
    <w:p w14:paraId="317A2E2E" w14:textId="77777777" w:rsidR="00720044" w:rsidRDefault="00720044" w:rsidP="00E938A8">
      <w:pPr>
        <w:pStyle w:val="NormalWeb"/>
        <w:shd w:val="clear" w:color="auto" w:fill="FFFFFF"/>
        <w:spacing w:before="0" w:beforeAutospacing="0" w:after="0" w:afterAutospacing="0" w:line="360" w:lineRule="auto"/>
        <w:jc w:val="both"/>
        <w:textAlignment w:val="baseline"/>
        <w:rPr>
          <w:rFonts w:ascii="inherit" w:hAnsi="inherit" w:cs="Calibri"/>
          <w:color w:val="000000"/>
          <w:bdr w:val="none" w:sz="0" w:space="0" w:color="auto" w:frame="1"/>
        </w:rPr>
      </w:pPr>
    </w:p>
    <w:p w14:paraId="59683CCD" w14:textId="3D9889B5" w:rsidR="00E938A8" w:rsidRDefault="00720044" w:rsidP="00E938A8">
      <w:pPr>
        <w:pStyle w:val="NormalWeb"/>
        <w:shd w:val="clear" w:color="auto" w:fill="FFFFFF"/>
        <w:spacing w:before="0" w:beforeAutospacing="0" w:after="0" w:afterAutospacing="0" w:line="360" w:lineRule="auto"/>
        <w:jc w:val="both"/>
        <w:textAlignment w:val="baseline"/>
        <w:rPr>
          <w:rFonts w:ascii="inherit" w:hAnsi="inherit" w:cs="Calibri"/>
          <w:i/>
          <w:color w:val="000000"/>
          <w:bdr w:val="none" w:sz="0" w:space="0" w:color="auto" w:frame="1"/>
        </w:rPr>
      </w:pPr>
      <w:r>
        <w:rPr>
          <w:rFonts w:ascii="inherit" w:hAnsi="inherit" w:cs="Calibri"/>
          <w:i/>
          <w:color w:val="000000"/>
          <w:bdr w:val="none" w:sz="0" w:space="0" w:color="auto" w:frame="1"/>
        </w:rPr>
        <w:t>Appendix T</w:t>
      </w:r>
      <w:r w:rsidR="00682632">
        <w:rPr>
          <w:rFonts w:ascii="inherit" w:hAnsi="inherit" w:cs="Calibri"/>
          <w:i/>
          <w:color w:val="000000"/>
          <w:bdr w:val="none" w:sz="0" w:space="0" w:color="auto" w:frame="1"/>
        </w:rPr>
        <w:t>able 3: Averages based on c</w:t>
      </w:r>
      <w:r w:rsidR="00E938A8">
        <w:rPr>
          <w:rFonts w:ascii="inherit" w:hAnsi="inherit" w:cs="Calibri"/>
          <w:i/>
          <w:color w:val="000000"/>
          <w:bdr w:val="none" w:sz="0" w:space="0" w:color="auto" w:frame="1"/>
        </w:rPr>
        <w:t>omparative welfare entitlements dataset 1970-2011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682632" w14:paraId="4984DF2C" w14:textId="77777777" w:rsidTr="00682632">
        <w:tc>
          <w:tcPr>
            <w:tcW w:w="4508" w:type="dxa"/>
            <w:gridSpan w:val="2"/>
            <w:tcBorders>
              <w:top w:val="single" w:sz="4" w:space="0" w:color="auto"/>
            </w:tcBorders>
            <w:vAlign w:val="center"/>
          </w:tcPr>
          <w:p w14:paraId="3F176F70" w14:textId="505E059A" w:rsidR="00682632" w:rsidRDefault="00682632" w:rsidP="00AE0FCD">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Minimum pension</w:t>
            </w:r>
            <w:r w:rsidR="00AE0FCD">
              <w:rPr>
                <w:rFonts w:ascii="inherit" w:hAnsi="inherit" w:cs="Calibri"/>
                <w:color w:val="000000"/>
                <w:bdr w:val="none" w:sz="0" w:space="0" w:color="auto" w:frame="1"/>
              </w:rPr>
              <w:t xml:space="preserve"> (median)</w:t>
            </w:r>
          </w:p>
        </w:tc>
        <w:tc>
          <w:tcPr>
            <w:tcW w:w="4508" w:type="dxa"/>
            <w:gridSpan w:val="2"/>
            <w:tcBorders>
              <w:top w:val="single" w:sz="4" w:space="0" w:color="auto"/>
            </w:tcBorders>
            <w:vAlign w:val="center"/>
          </w:tcPr>
          <w:p w14:paraId="5AF37964" w14:textId="38AA2245" w:rsidR="00682632" w:rsidRDefault="00682632"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Standard pension</w:t>
            </w:r>
            <w:r w:rsidR="00AE0FCD">
              <w:rPr>
                <w:rFonts w:ascii="inherit" w:hAnsi="inherit" w:cs="Calibri"/>
                <w:color w:val="000000"/>
                <w:bdr w:val="none" w:sz="0" w:space="0" w:color="auto" w:frame="1"/>
              </w:rPr>
              <w:t xml:space="preserve"> (median)</w:t>
            </w:r>
          </w:p>
        </w:tc>
      </w:tr>
      <w:tr w:rsidR="00682632" w14:paraId="776167FB" w14:textId="77777777" w:rsidTr="00682632">
        <w:tc>
          <w:tcPr>
            <w:tcW w:w="2254" w:type="dxa"/>
            <w:tcBorders>
              <w:bottom w:val="single" w:sz="4" w:space="0" w:color="auto"/>
            </w:tcBorders>
            <w:vAlign w:val="center"/>
          </w:tcPr>
          <w:p w14:paraId="09727FC4" w14:textId="3CA105A2" w:rsidR="00682632" w:rsidRDefault="00AE0FCD"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Average or below</w:t>
            </w:r>
          </w:p>
        </w:tc>
        <w:tc>
          <w:tcPr>
            <w:tcW w:w="2254" w:type="dxa"/>
            <w:tcBorders>
              <w:bottom w:val="single" w:sz="4" w:space="0" w:color="auto"/>
            </w:tcBorders>
            <w:vAlign w:val="center"/>
          </w:tcPr>
          <w:p w14:paraId="089C4172" w14:textId="5E709F34" w:rsidR="00682632" w:rsidRDefault="00AE0FCD" w:rsidP="00AE0FCD">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Above average</w:t>
            </w:r>
          </w:p>
        </w:tc>
        <w:tc>
          <w:tcPr>
            <w:tcW w:w="2254" w:type="dxa"/>
            <w:tcBorders>
              <w:bottom w:val="single" w:sz="4" w:space="0" w:color="auto"/>
            </w:tcBorders>
            <w:vAlign w:val="center"/>
          </w:tcPr>
          <w:p w14:paraId="6D877193" w14:textId="3D7E22DA" w:rsidR="00682632" w:rsidRDefault="00AE0FCD"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Average or below</w:t>
            </w:r>
          </w:p>
        </w:tc>
        <w:tc>
          <w:tcPr>
            <w:tcW w:w="2254" w:type="dxa"/>
            <w:tcBorders>
              <w:bottom w:val="single" w:sz="4" w:space="0" w:color="auto"/>
            </w:tcBorders>
            <w:vAlign w:val="center"/>
          </w:tcPr>
          <w:p w14:paraId="001D1954" w14:textId="7FC87BC3" w:rsidR="00682632" w:rsidRDefault="00AE0FCD" w:rsidP="00AE0FCD">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Above average</w:t>
            </w:r>
          </w:p>
        </w:tc>
      </w:tr>
      <w:tr w:rsidR="00682632" w14:paraId="4A5C3BB1" w14:textId="77777777" w:rsidTr="00682632">
        <w:tc>
          <w:tcPr>
            <w:tcW w:w="2254" w:type="dxa"/>
            <w:tcBorders>
              <w:top w:val="single" w:sz="4" w:space="0" w:color="auto"/>
            </w:tcBorders>
          </w:tcPr>
          <w:p w14:paraId="6EDEF86D" w14:textId="115841A6" w:rsidR="00682632" w:rsidRPr="00AE0FCD" w:rsidRDefault="00AE0FCD"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vertAlign w:val="superscript"/>
              </w:rPr>
            </w:pPr>
            <w:r>
              <w:rPr>
                <w:rFonts w:ascii="inherit" w:hAnsi="inherit" w:cs="Calibri"/>
                <w:color w:val="000000"/>
                <w:bdr w:val="none" w:sz="0" w:space="0" w:color="auto" w:frame="1"/>
              </w:rPr>
              <w:t>Finland</w:t>
            </w:r>
            <w:r>
              <w:rPr>
                <w:rFonts w:ascii="inherit" w:hAnsi="inherit" w:cs="Calibri"/>
                <w:color w:val="000000"/>
                <w:bdr w:val="none" w:sz="0" w:space="0" w:color="auto" w:frame="1"/>
                <w:vertAlign w:val="superscript"/>
              </w:rPr>
              <w:t>1</w:t>
            </w:r>
          </w:p>
        </w:tc>
        <w:tc>
          <w:tcPr>
            <w:tcW w:w="2254" w:type="dxa"/>
            <w:tcBorders>
              <w:top w:val="single" w:sz="4" w:space="0" w:color="auto"/>
            </w:tcBorders>
          </w:tcPr>
          <w:p w14:paraId="7AED5991" w14:textId="4EA69BFF" w:rsidR="00682632" w:rsidRDefault="00682632"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Austria</w:t>
            </w:r>
          </w:p>
        </w:tc>
        <w:tc>
          <w:tcPr>
            <w:tcW w:w="2254" w:type="dxa"/>
            <w:tcBorders>
              <w:top w:val="single" w:sz="4" w:space="0" w:color="auto"/>
            </w:tcBorders>
          </w:tcPr>
          <w:p w14:paraId="7E920622" w14:textId="6E273C13" w:rsidR="00682632" w:rsidRDefault="00682632"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Denmark</w:t>
            </w:r>
          </w:p>
        </w:tc>
        <w:tc>
          <w:tcPr>
            <w:tcW w:w="2254" w:type="dxa"/>
            <w:tcBorders>
              <w:top w:val="single" w:sz="4" w:space="0" w:color="auto"/>
            </w:tcBorders>
          </w:tcPr>
          <w:p w14:paraId="43024D4C" w14:textId="3D099E24" w:rsidR="00682632" w:rsidRDefault="00682632"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Austria</w:t>
            </w:r>
          </w:p>
        </w:tc>
      </w:tr>
      <w:tr w:rsidR="00AE0FCD" w14:paraId="6DD71CEB" w14:textId="77777777" w:rsidTr="00682632">
        <w:tc>
          <w:tcPr>
            <w:tcW w:w="2254" w:type="dxa"/>
          </w:tcPr>
          <w:p w14:paraId="4F6AE265" w14:textId="0670D80E"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Germany</w:t>
            </w:r>
          </w:p>
        </w:tc>
        <w:tc>
          <w:tcPr>
            <w:tcW w:w="2254" w:type="dxa"/>
          </w:tcPr>
          <w:p w14:paraId="527C2883" w14:textId="55F48837"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Belgium</w:t>
            </w:r>
          </w:p>
        </w:tc>
        <w:tc>
          <w:tcPr>
            <w:tcW w:w="2254" w:type="dxa"/>
          </w:tcPr>
          <w:p w14:paraId="002B120B" w14:textId="2A83BB85"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Finland</w:t>
            </w:r>
          </w:p>
        </w:tc>
        <w:tc>
          <w:tcPr>
            <w:tcW w:w="2254" w:type="dxa"/>
          </w:tcPr>
          <w:p w14:paraId="0F5FEB6B" w14:textId="56A8A118"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Belgium</w:t>
            </w:r>
          </w:p>
        </w:tc>
      </w:tr>
      <w:tr w:rsidR="00AE0FCD" w14:paraId="6B89EE61" w14:textId="77777777" w:rsidTr="00682632">
        <w:tc>
          <w:tcPr>
            <w:tcW w:w="2254" w:type="dxa"/>
          </w:tcPr>
          <w:p w14:paraId="707D62A7" w14:textId="321D4F6D"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Ireland</w:t>
            </w:r>
          </w:p>
        </w:tc>
        <w:tc>
          <w:tcPr>
            <w:tcW w:w="2254" w:type="dxa"/>
          </w:tcPr>
          <w:p w14:paraId="153E99AE" w14:textId="644DD593"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Denmark</w:t>
            </w:r>
          </w:p>
        </w:tc>
        <w:tc>
          <w:tcPr>
            <w:tcW w:w="2254" w:type="dxa"/>
          </w:tcPr>
          <w:p w14:paraId="1D9A692D" w14:textId="33C7080D"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France</w:t>
            </w:r>
          </w:p>
        </w:tc>
        <w:tc>
          <w:tcPr>
            <w:tcW w:w="2254" w:type="dxa"/>
          </w:tcPr>
          <w:p w14:paraId="47C1A955" w14:textId="5B4208EC"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Germany</w:t>
            </w:r>
          </w:p>
        </w:tc>
      </w:tr>
      <w:tr w:rsidR="00AE0FCD" w14:paraId="38EA9901" w14:textId="77777777" w:rsidTr="00682632">
        <w:tc>
          <w:tcPr>
            <w:tcW w:w="2254" w:type="dxa"/>
          </w:tcPr>
          <w:p w14:paraId="258AEA8A" w14:textId="297CE73C"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Italy</w:t>
            </w:r>
          </w:p>
        </w:tc>
        <w:tc>
          <w:tcPr>
            <w:tcW w:w="2254" w:type="dxa"/>
          </w:tcPr>
          <w:p w14:paraId="5D5467CE" w14:textId="1E88AC23"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France</w:t>
            </w:r>
          </w:p>
        </w:tc>
        <w:tc>
          <w:tcPr>
            <w:tcW w:w="2254" w:type="dxa"/>
          </w:tcPr>
          <w:p w14:paraId="0A1F221B" w14:textId="2AA6CF30"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Ireland</w:t>
            </w:r>
          </w:p>
        </w:tc>
        <w:tc>
          <w:tcPr>
            <w:tcW w:w="2254" w:type="dxa"/>
          </w:tcPr>
          <w:p w14:paraId="676C183C" w14:textId="6376B36E"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Italy</w:t>
            </w:r>
          </w:p>
        </w:tc>
      </w:tr>
      <w:tr w:rsidR="00AE0FCD" w14:paraId="2DB74E37" w14:textId="77777777" w:rsidTr="00682632">
        <w:tc>
          <w:tcPr>
            <w:tcW w:w="2254" w:type="dxa"/>
          </w:tcPr>
          <w:p w14:paraId="1AFC81B9" w14:textId="37BFAC15"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Portugal</w:t>
            </w:r>
          </w:p>
        </w:tc>
        <w:tc>
          <w:tcPr>
            <w:tcW w:w="2254" w:type="dxa"/>
          </w:tcPr>
          <w:p w14:paraId="64095F2F" w14:textId="7C4080B2"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Netherlands</w:t>
            </w:r>
          </w:p>
        </w:tc>
        <w:tc>
          <w:tcPr>
            <w:tcW w:w="2254" w:type="dxa"/>
          </w:tcPr>
          <w:p w14:paraId="56958B21" w14:textId="0B460202"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Netherlands</w:t>
            </w:r>
          </w:p>
        </w:tc>
        <w:tc>
          <w:tcPr>
            <w:tcW w:w="2254" w:type="dxa"/>
          </w:tcPr>
          <w:p w14:paraId="420750E6" w14:textId="32B885A8"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Portugal</w:t>
            </w:r>
          </w:p>
        </w:tc>
      </w:tr>
      <w:tr w:rsidR="00AE0FCD" w14:paraId="3B53AD39" w14:textId="77777777" w:rsidTr="00682632">
        <w:tc>
          <w:tcPr>
            <w:tcW w:w="2254" w:type="dxa"/>
          </w:tcPr>
          <w:p w14:paraId="6C405278" w14:textId="4F397FD0"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Spain</w:t>
            </w:r>
          </w:p>
        </w:tc>
        <w:tc>
          <w:tcPr>
            <w:tcW w:w="2254" w:type="dxa"/>
          </w:tcPr>
          <w:p w14:paraId="7AA8B229" w14:textId="51961F87"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Sweden</w:t>
            </w:r>
          </w:p>
        </w:tc>
        <w:tc>
          <w:tcPr>
            <w:tcW w:w="2254" w:type="dxa"/>
          </w:tcPr>
          <w:p w14:paraId="34C7D6BE" w14:textId="0BC76A33"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Sweden</w:t>
            </w:r>
          </w:p>
        </w:tc>
        <w:tc>
          <w:tcPr>
            <w:tcW w:w="2254" w:type="dxa"/>
          </w:tcPr>
          <w:p w14:paraId="7185F6A3" w14:textId="04A519B8"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Spain</w:t>
            </w:r>
          </w:p>
        </w:tc>
      </w:tr>
      <w:tr w:rsidR="00AE0FCD" w14:paraId="481087C4" w14:textId="77777777" w:rsidTr="00882E4B">
        <w:tc>
          <w:tcPr>
            <w:tcW w:w="2254" w:type="dxa"/>
            <w:tcBorders>
              <w:bottom w:val="single" w:sz="4" w:space="0" w:color="auto"/>
            </w:tcBorders>
          </w:tcPr>
          <w:p w14:paraId="14292DAA" w14:textId="0BFB8F66"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Switzerland</w:t>
            </w:r>
          </w:p>
        </w:tc>
        <w:tc>
          <w:tcPr>
            <w:tcW w:w="2254" w:type="dxa"/>
            <w:tcBorders>
              <w:bottom w:val="single" w:sz="4" w:space="0" w:color="auto"/>
            </w:tcBorders>
          </w:tcPr>
          <w:p w14:paraId="0AC990F4" w14:textId="59883749"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p>
        </w:tc>
        <w:tc>
          <w:tcPr>
            <w:tcW w:w="2254" w:type="dxa"/>
            <w:tcBorders>
              <w:bottom w:val="single" w:sz="4" w:space="0" w:color="auto"/>
            </w:tcBorders>
          </w:tcPr>
          <w:p w14:paraId="71CA8AF9" w14:textId="0E0FCD91"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Switzerland</w:t>
            </w:r>
          </w:p>
        </w:tc>
        <w:tc>
          <w:tcPr>
            <w:tcW w:w="2254" w:type="dxa"/>
            <w:tcBorders>
              <w:bottom w:val="single" w:sz="4" w:space="0" w:color="auto"/>
            </w:tcBorders>
          </w:tcPr>
          <w:p w14:paraId="0242645A" w14:textId="77777777"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p>
        </w:tc>
      </w:tr>
      <w:tr w:rsidR="00882E4B" w14:paraId="52DA944E" w14:textId="77777777" w:rsidTr="00882E4B">
        <w:tc>
          <w:tcPr>
            <w:tcW w:w="9016" w:type="dxa"/>
            <w:gridSpan w:val="4"/>
            <w:tcBorders>
              <w:top w:val="single" w:sz="4" w:space="0" w:color="auto"/>
              <w:bottom w:val="single" w:sz="4" w:space="0" w:color="auto"/>
            </w:tcBorders>
          </w:tcPr>
          <w:p w14:paraId="6CCB6B26" w14:textId="135A974F" w:rsidR="00882E4B" w:rsidRPr="00882E4B" w:rsidRDefault="00882E4B"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 xml:space="preserve">Notes: </w:t>
            </w:r>
            <w:r>
              <w:rPr>
                <w:rFonts w:ascii="inherit" w:hAnsi="inherit" w:cs="Calibri"/>
                <w:color w:val="000000"/>
                <w:bdr w:val="none" w:sz="0" w:space="0" w:color="auto" w:frame="1"/>
                <w:vertAlign w:val="superscript"/>
              </w:rPr>
              <w:t xml:space="preserve">1 </w:t>
            </w:r>
            <w:r>
              <w:rPr>
                <w:rFonts w:ascii="inherit" w:hAnsi="inherit" w:cs="Calibri"/>
                <w:color w:val="000000"/>
                <w:bdr w:val="none" w:sz="0" w:space="0" w:color="auto" w:frame="1"/>
              </w:rPr>
              <w:t>Using mean data Finland would be categorised as above average</w:t>
            </w:r>
          </w:p>
        </w:tc>
      </w:tr>
    </w:tbl>
    <w:p w14:paraId="748D7812" w14:textId="77777777" w:rsidR="00E938A8" w:rsidRPr="00E938A8" w:rsidRDefault="00E938A8" w:rsidP="00E938A8">
      <w:pPr>
        <w:pStyle w:val="NormalWeb"/>
        <w:shd w:val="clear" w:color="auto" w:fill="FFFFFF"/>
        <w:spacing w:before="0" w:beforeAutospacing="0" w:after="0" w:afterAutospacing="0" w:line="360" w:lineRule="auto"/>
        <w:jc w:val="both"/>
        <w:textAlignment w:val="baseline"/>
        <w:rPr>
          <w:rFonts w:ascii="inherit" w:hAnsi="inherit" w:cs="Calibri"/>
          <w:color w:val="000000"/>
          <w:bdr w:val="none" w:sz="0" w:space="0" w:color="auto" w:frame="1"/>
        </w:rPr>
      </w:pPr>
    </w:p>
    <w:p w14:paraId="209E23FE" w14:textId="6A6BFA5C" w:rsidR="00E938A8" w:rsidRPr="00E938A8" w:rsidRDefault="00682632" w:rsidP="00E938A8">
      <w:pPr>
        <w:pStyle w:val="NormalWeb"/>
        <w:shd w:val="clear" w:color="auto" w:fill="FFFFFF"/>
        <w:spacing w:before="0" w:beforeAutospacing="0" w:after="0" w:afterAutospacing="0" w:line="360" w:lineRule="auto"/>
        <w:jc w:val="both"/>
        <w:textAlignment w:val="baseline"/>
        <w:rPr>
          <w:rFonts w:ascii="inherit" w:hAnsi="inherit" w:cs="Calibri"/>
          <w:i/>
          <w:color w:val="000000"/>
          <w:bdr w:val="none" w:sz="0" w:space="0" w:color="auto" w:frame="1"/>
        </w:rPr>
      </w:pPr>
      <w:r>
        <w:rPr>
          <w:rFonts w:ascii="inherit" w:hAnsi="inherit" w:cs="Calibri"/>
          <w:i/>
          <w:color w:val="000000"/>
          <w:bdr w:val="none" w:sz="0" w:space="0" w:color="auto" w:frame="1"/>
        </w:rPr>
        <w:t xml:space="preserve">Appendix </w:t>
      </w:r>
      <w:r w:rsidR="00720044">
        <w:rPr>
          <w:rFonts w:ascii="inherit" w:hAnsi="inherit" w:cs="Calibri"/>
          <w:i/>
          <w:color w:val="000000"/>
          <w:bdr w:val="none" w:sz="0" w:space="0" w:color="auto" w:frame="1"/>
        </w:rPr>
        <w:t>T</w:t>
      </w:r>
      <w:r>
        <w:rPr>
          <w:rFonts w:ascii="inherit" w:hAnsi="inherit" w:cs="Calibri"/>
          <w:i/>
          <w:color w:val="000000"/>
          <w:bdr w:val="none" w:sz="0" w:space="0" w:color="auto" w:frame="1"/>
        </w:rPr>
        <w:t>able 4: Averages based on s</w:t>
      </w:r>
      <w:r w:rsidR="00E938A8">
        <w:rPr>
          <w:rFonts w:ascii="inherit" w:hAnsi="inherit" w:cs="Calibri"/>
          <w:i/>
          <w:color w:val="000000"/>
          <w:bdr w:val="none" w:sz="0" w:space="0" w:color="auto" w:frame="1"/>
        </w:rPr>
        <w:t>ocial insurance entitlements dataset 1960-2015</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682632" w14:paraId="7107FA3A" w14:textId="77777777" w:rsidTr="00AE0FCD">
        <w:tc>
          <w:tcPr>
            <w:tcW w:w="4508" w:type="dxa"/>
            <w:gridSpan w:val="2"/>
            <w:tcBorders>
              <w:top w:val="single" w:sz="4" w:space="0" w:color="auto"/>
            </w:tcBorders>
            <w:vAlign w:val="center"/>
          </w:tcPr>
          <w:p w14:paraId="034E9BC2" w14:textId="448B5AEC" w:rsidR="00682632" w:rsidRDefault="00682632"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Minimum pension</w:t>
            </w:r>
            <w:r w:rsidR="00AE0FCD">
              <w:rPr>
                <w:rFonts w:ascii="inherit" w:hAnsi="inherit" w:cs="Calibri"/>
                <w:color w:val="000000"/>
                <w:bdr w:val="none" w:sz="0" w:space="0" w:color="auto" w:frame="1"/>
              </w:rPr>
              <w:t xml:space="preserve"> (median)</w:t>
            </w:r>
          </w:p>
        </w:tc>
        <w:tc>
          <w:tcPr>
            <w:tcW w:w="4508" w:type="dxa"/>
            <w:gridSpan w:val="2"/>
            <w:tcBorders>
              <w:top w:val="single" w:sz="4" w:space="0" w:color="auto"/>
            </w:tcBorders>
            <w:vAlign w:val="center"/>
          </w:tcPr>
          <w:p w14:paraId="79BA0969" w14:textId="2ABF2987" w:rsidR="00682632" w:rsidRDefault="00682632"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Standard pension</w:t>
            </w:r>
            <w:r w:rsidR="00AE0FCD">
              <w:rPr>
                <w:rFonts w:ascii="inherit" w:hAnsi="inherit" w:cs="Calibri"/>
                <w:color w:val="000000"/>
                <w:bdr w:val="none" w:sz="0" w:space="0" w:color="auto" w:frame="1"/>
              </w:rPr>
              <w:t xml:space="preserve"> (median)</w:t>
            </w:r>
          </w:p>
        </w:tc>
      </w:tr>
      <w:tr w:rsidR="00682632" w14:paraId="051D2A25" w14:textId="77777777" w:rsidTr="00AE0FCD">
        <w:tc>
          <w:tcPr>
            <w:tcW w:w="2254" w:type="dxa"/>
            <w:tcBorders>
              <w:bottom w:val="single" w:sz="4" w:space="0" w:color="auto"/>
            </w:tcBorders>
            <w:vAlign w:val="center"/>
          </w:tcPr>
          <w:p w14:paraId="5A17885E" w14:textId="0A8703DA" w:rsidR="00682632" w:rsidRDefault="00AE0FCD"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Average or below</w:t>
            </w:r>
          </w:p>
        </w:tc>
        <w:tc>
          <w:tcPr>
            <w:tcW w:w="2254" w:type="dxa"/>
            <w:tcBorders>
              <w:bottom w:val="single" w:sz="4" w:space="0" w:color="auto"/>
            </w:tcBorders>
            <w:vAlign w:val="center"/>
          </w:tcPr>
          <w:p w14:paraId="53D75D62" w14:textId="77777777" w:rsidR="00682632" w:rsidRDefault="00682632"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Above average</w:t>
            </w:r>
          </w:p>
        </w:tc>
        <w:tc>
          <w:tcPr>
            <w:tcW w:w="2254" w:type="dxa"/>
            <w:tcBorders>
              <w:bottom w:val="single" w:sz="4" w:space="0" w:color="auto"/>
            </w:tcBorders>
            <w:vAlign w:val="center"/>
          </w:tcPr>
          <w:p w14:paraId="08264D46" w14:textId="6256CDCB" w:rsidR="00682632" w:rsidRDefault="00AE0FCD"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Average or below</w:t>
            </w:r>
          </w:p>
        </w:tc>
        <w:tc>
          <w:tcPr>
            <w:tcW w:w="2254" w:type="dxa"/>
            <w:tcBorders>
              <w:bottom w:val="single" w:sz="4" w:space="0" w:color="auto"/>
            </w:tcBorders>
            <w:vAlign w:val="center"/>
          </w:tcPr>
          <w:p w14:paraId="406F33A5" w14:textId="77777777" w:rsidR="00682632" w:rsidRDefault="00682632" w:rsidP="00682632">
            <w:pPr>
              <w:pStyle w:val="NormalWeb"/>
              <w:spacing w:before="0" w:beforeAutospacing="0" w:after="0" w:afterAutospacing="0" w:line="276" w:lineRule="auto"/>
              <w:jc w:val="center"/>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Above average</w:t>
            </w:r>
          </w:p>
        </w:tc>
      </w:tr>
      <w:tr w:rsidR="00682632" w14:paraId="6ECC33FB" w14:textId="77777777" w:rsidTr="00AE0FCD">
        <w:tc>
          <w:tcPr>
            <w:tcW w:w="2254" w:type="dxa"/>
            <w:tcBorders>
              <w:top w:val="single" w:sz="4" w:space="0" w:color="auto"/>
            </w:tcBorders>
          </w:tcPr>
          <w:p w14:paraId="4AE681D1" w14:textId="4E0ABE5F" w:rsidR="00682632" w:rsidRDefault="00682632"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Finland</w:t>
            </w:r>
          </w:p>
        </w:tc>
        <w:tc>
          <w:tcPr>
            <w:tcW w:w="2254" w:type="dxa"/>
            <w:tcBorders>
              <w:top w:val="single" w:sz="4" w:space="0" w:color="auto"/>
            </w:tcBorders>
          </w:tcPr>
          <w:p w14:paraId="080F077F" w14:textId="18B4C21C" w:rsidR="00682632" w:rsidRDefault="00682632"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Austria</w:t>
            </w:r>
          </w:p>
        </w:tc>
        <w:tc>
          <w:tcPr>
            <w:tcW w:w="2254" w:type="dxa"/>
            <w:tcBorders>
              <w:top w:val="single" w:sz="4" w:space="0" w:color="auto"/>
            </w:tcBorders>
          </w:tcPr>
          <w:p w14:paraId="439F3B13" w14:textId="620C3F00" w:rsidR="00682632" w:rsidRDefault="00720044"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Denmark</w:t>
            </w:r>
          </w:p>
        </w:tc>
        <w:tc>
          <w:tcPr>
            <w:tcW w:w="2254" w:type="dxa"/>
            <w:tcBorders>
              <w:top w:val="single" w:sz="4" w:space="0" w:color="auto"/>
            </w:tcBorders>
          </w:tcPr>
          <w:p w14:paraId="4EAA1A9F" w14:textId="4E68E10B" w:rsidR="00682632" w:rsidRDefault="00720044" w:rsidP="00682632">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Austria</w:t>
            </w:r>
          </w:p>
        </w:tc>
      </w:tr>
      <w:tr w:rsidR="00AE0FCD" w14:paraId="5F760588" w14:textId="77777777" w:rsidTr="00AE0FCD">
        <w:tc>
          <w:tcPr>
            <w:tcW w:w="2254" w:type="dxa"/>
          </w:tcPr>
          <w:p w14:paraId="2AF30571" w14:textId="2222A2CA"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Germany</w:t>
            </w:r>
          </w:p>
        </w:tc>
        <w:tc>
          <w:tcPr>
            <w:tcW w:w="2254" w:type="dxa"/>
          </w:tcPr>
          <w:p w14:paraId="48249133" w14:textId="34521819"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Belgium</w:t>
            </w:r>
          </w:p>
        </w:tc>
        <w:tc>
          <w:tcPr>
            <w:tcW w:w="2254" w:type="dxa"/>
          </w:tcPr>
          <w:p w14:paraId="3DE32081" w14:textId="64BA8E95"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France</w:t>
            </w:r>
          </w:p>
        </w:tc>
        <w:tc>
          <w:tcPr>
            <w:tcW w:w="2254" w:type="dxa"/>
          </w:tcPr>
          <w:p w14:paraId="4D62B992" w14:textId="21133AF9"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Belgium</w:t>
            </w:r>
          </w:p>
        </w:tc>
      </w:tr>
      <w:tr w:rsidR="00AE0FCD" w14:paraId="4113CC44" w14:textId="77777777" w:rsidTr="00AE0FCD">
        <w:tc>
          <w:tcPr>
            <w:tcW w:w="2254" w:type="dxa"/>
          </w:tcPr>
          <w:p w14:paraId="4DBF1709" w14:textId="25CBF182"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Ireland</w:t>
            </w:r>
          </w:p>
        </w:tc>
        <w:tc>
          <w:tcPr>
            <w:tcW w:w="2254" w:type="dxa"/>
          </w:tcPr>
          <w:p w14:paraId="36E38BF0" w14:textId="1FFA560B"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Denmark</w:t>
            </w:r>
          </w:p>
        </w:tc>
        <w:tc>
          <w:tcPr>
            <w:tcW w:w="2254" w:type="dxa"/>
          </w:tcPr>
          <w:p w14:paraId="527C3D98" w14:textId="67EB6EB3"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Germany</w:t>
            </w:r>
          </w:p>
        </w:tc>
        <w:tc>
          <w:tcPr>
            <w:tcW w:w="2254" w:type="dxa"/>
          </w:tcPr>
          <w:p w14:paraId="0353CE08" w14:textId="48CB629E"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Finland</w:t>
            </w:r>
          </w:p>
        </w:tc>
      </w:tr>
      <w:tr w:rsidR="00AE0FCD" w14:paraId="70C8EA25" w14:textId="77777777" w:rsidTr="00AE0FCD">
        <w:tc>
          <w:tcPr>
            <w:tcW w:w="2254" w:type="dxa"/>
          </w:tcPr>
          <w:p w14:paraId="2F9031DC" w14:textId="1BFCBEB4"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Italy</w:t>
            </w:r>
          </w:p>
        </w:tc>
        <w:tc>
          <w:tcPr>
            <w:tcW w:w="2254" w:type="dxa"/>
          </w:tcPr>
          <w:p w14:paraId="49D597A4" w14:textId="22AD84C1" w:rsidR="00AE0FCD" w:rsidRPr="00882E4B"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vertAlign w:val="superscript"/>
              </w:rPr>
            </w:pPr>
            <w:r>
              <w:rPr>
                <w:rFonts w:ascii="inherit" w:hAnsi="inherit" w:cs="Calibri"/>
                <w:color w:val="000000"/>
                <w:bdr w:val="none" w:sz="0" w:space="0" w:color="auto" w:frame="1"/>
              </w:rPr>
              <w:t>France</w:t>
            </w:r>
            <w:r w:rsidR="00882E4B">
              <w:rPr>
                <w:rFonts w:ascii="inherit" w:hAnsi="inherit" w:cs="Calibri"/>
                <w:color w:val="000000"/>
                <w:bdr w:val="none" w:sz="0" w:space="0" w:color="auto" w:frame="1"/>
                <w:vertAlign w:val="superscript"/>
              </w:rPr>
              <w:t>1</w:t>
            </w:r>
          </w:p>
        </w:tc>
        <w:tc>
          <w:tcPr>
            <w:tcW w:w="2254" w:type="dxa"/>
          </w:tcPr>
          <w:p w14:paraId="22275CCD" w14:textId="4C55788B"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Ireland</w:t>
            </w:r>
          </w:p>
        </w:tc>
        <w:tc>
          <w:tcPr>
            <w:tcW w:w="2254" w:type="dxa"/>
          </w:tcPr>
          <w:p w14:paraId="5B1FDF5D" w14:textId="3AE962F1"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Italy</w:t>
            </w:r>
          </w:p>
        </w:tc>
      </w:tr>
      <w:tr w:rsidR="00AE0FCD" w14:paraId="5FA9DE44" w14:textId="77777777" w:rsidTr="00AE0FCD">
        <w:tc>
          <w:tcPr>
            <w:tcW w:w="2254" w:type="dxa"/>
          </w:tcPr>
          <w:p w14:paraId="66CB74D7" w14:textId="4A2CB4E4"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Sweden</w:t>
            </w:r>
          </w:p>
        </w:tc>
        <w:tc>
          <w:tcPr>
            <w:tcW w:w="2254" w:type="dxa"/>
          </w:tcPr>
          <w:p w14:paraId="264E4F6C" w14:textId="2843BD02"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Netherlands</w:t>
            </w:r>
          </w:p>
        </w:tc>
        <w:tc>
          <w:tcPr>
            <w:tcW w:w="2254" w:type="dxa"/>
          </w:tcPr>
          <w:p w14:paraId="2549AA9E" w14:textId="45A0390F"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Netherlands</w:t>
            </w:r>
          </w:p>
        </w:tc>
        <w:tc>
          <w:tcPr>
            <w:tcW w:w="2254" w:type="dxa"/>
          </w:tcPr>
          <w:p w14:paraId="162334B6" w14:textId="7F7A9F31"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Sweden</w:t>
            </w:r>
          </w:p>
        </w:tc>
      </w:tr>
      <w:tr w:rsidR="00AE0FCD" w14:paraId="784D37A3" w14:textId="77777777" w:rsidTr="00882E4B">
        <w:tc>
          <w:tcPr>
            <w:tcW w:w="2254" w:type="dxa"/>
            <w:tcBorders>
              <w:bottom w:val="single" w:sz="4" w:space="0" w:color="auto"/>
            </w:tcBorders>
          </w:tcPr>
          <w:p w14:paraId="1B27ED7B" w14:textId="0BD84A1B"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Switzerland</w:t>
            </w:r>
          </w:p>
        </w:tc>
        <w:tc>
          <w:tcPr>
            <w:tcW w:w="2254" w:type="dxa"/>
            <w:tcBorders>
              <w:bottom w:val="single" w:sz="4" w:space="0" w:color="auto"/>
            </w:tcBorders>
          </w:tcPr>
          <w:p w14:paraId="65CE5755" w14:textId="14FDFCC2"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p>
        </w:tc>
        <w:tc>
          <w:tcPr>
            <w:tcW w:w="2254" w:type="dxa"/>
            <w:tcBorders>
              <w:bottom w:val="single" w:sz="4" w:space="0" w:color="auto"/>
            </w:tcBorders>
          </w:tcPr>
          <w:p w14:paraId="37F934F1" w14:textId="0BECBE8C"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Switzerland</w:t>
            </w:r>
          </w:p>
        </w:tc>
        <w:tc>
          <w:tcPr>
            <w:tcW w:w="2254" w:type="dxa"/>
            <w:tcBorders>
              <w:bottom w:val="single" w:sz="4" w:space="0" w:color="auto"/>
            </w:tcBorders>
          </w:tcPr>
          <w:p w14:paraId="6E70CBF4" w14:textId="77777777" w:rsidR="00AE0FCD" w:rsidRDefault="00AE0FCD" w:rsidP="00AE0FCD">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p>
        </w:tc>
      </w:tr>
      <w:tr w:rsidR="00882E4B" w14:paraId="5FC80875" w14:textId="77777777" w:rsidTr="00882E4B">
        <w:tc>
          <w:tcPr>
            <w:tcW w:w="9016" w:type="dxa"/>
            <w:gridSpan w:val="4"/>
            <w:tcBorders>
              <w:top w:val="single" w:sz="4" w:space="0" w:color="auto"/>
              <w:bottom w:val="single" w:sz="4" w:space="0" w:color="auto"/>
            </w:tcBorders>
          </w:tcPr>
          <w:p w14:paraId="20E3D751" w14:textId="70568CB4" w:rsidR="00882E4B" w:rsidRDefault="00882E4B" w:rsidP="00882E4B">
            <w:pPr>
              <w:pStyle w:val="NormalWeb"/>
              <w:spacing w:before="0" w:beforeAutospacing="0" w:after="0" w:afterAutospacing="0" w:line="276"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 xml:space="preserve">Notes: </w:t>
            </w:r>
            <w:r>
              <w:rPr>
                <w:rFonts w:ascii="inherit" w:hAnsi="inherit" w:cs="Calibri"/>
                <w:color w:val="000000"/>
                <w:bdr w:val="none" w:sz="0" w:space="0" w:color="auto" w:frame="1"/>
                <w:vertAlign w:val="superscript"/>
              </w:rPr>
              <w:t xml:space="preserve">1 </w:t>
            </w:r>
            <w:r>
              <w:rPr>
                <w:rFonts w:ascii="inherit" w:hAnsi="inherit" w:cs="Calibri"/>
                <w:color w:val="000000"/>
                <w:bdr w:val="none" w:sz="0" w:space="0" w:color="auto" w:frame="1"/>
              </w:rPr>
              <w:t>Using mean data France would be categorised as below average</w:t>
            </w:r>
          </w:p>
        </w:tc>
      </w:tr>
    </w:tbl>
    <w:p w14:paraId="46A32D44" w14:textId="77777777" w:rsidR="00E938A8" w:rsidRDefault="00E938A8" w:rsidP="00622346">
      <w:pPr>
        <w:pStyle w:val="NormalWeb"/>
        <w:shd w:val="clear" w:color="auto" w:fill="FFFFFF"/>
        <w:spacing w:before="0" w:beforeAutospacing="0" w:after="0" w:afterAutospacing="0" w:line="360" w:lineRule="auto"/>
        <w:jc w:val="both"/>
        <w:textAlignment w:val="baseline"/>
        <w:rPr>
          <w:rFonts w:ascii="inherit" w:hAnsi="inherit" w:cs="Calibri"/>
          <w:color w:val="000000"/>
          <w:bdr w:val="none" w:sz="0" w:space="0" w:color="auto" w:frame="1"/>
        </w:rPr>
      </w:pPr>
    </w:p>
    <w:p w14:paraId="1AC40654" w14:textId="43CFDD3B" w:rsidR="005D1242" w:rsidRDefault="005D1242" w:rsidP="00622346">
      <w:pPr>
        <w:pStyle w:val="NormalWeb"/>
        <w:shd w:val="clear" w:color="auto" w:fill="FFFFFF"/>
        <w:spacing w:before="0" w:beforeAutospacing="0" w:after="0" w:afterAutospacing="0" w:line="360"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For most countries, this determination was straightforward i</w:t>
      </w:r>
      <w:r w:rsidR="00720044">
        <w:rPr>
          <w:rFonts w:ascii="inherit" w:hAnsi="inherit" w:cs="Calibri"/>
          <w:color w:val="000000"/>
          <w:bdr w:val="none" w:sz="0" w:space="0" w:color="auto" w:frame="1"/>
        </w:rPr>
        <w:t>.</w:t>
      </w:r>
      <w:r>
        <w:rPr>
          <w:rFonts w:ascii="inherit" w:hAnsi="inherit" w:cs="Calibri"/>
          <w:color w:val="000000"/>
          <w:bdr w:val="none" w:sz="0" w:space="0" w:color="auto" w:frame="1"/>
        </w:rPr>
        <w:t>e</w:t>
      </w:r>
      <w:r w:rsidR="00720044">
        <w:rPr>
          <w:rFonts w:ascii="inherit" w:hAnsi="inherit" w:cs="Calibri"/>
          <w:color w:val="000000"/>
          <w:bdr w:val="none" w:sz="0" w:space="0" w:color="auto" w:frame="1"/>
        </w:rPr>
        <w:t>.</w:t>
      </w:r>
      <w:r>
        <w:rPr>
          <w:rFonts w:ascii="inherit" w:hAnsi="inherit" w:cs="Calibri"/>
          <w:color w:val="000000"/>
          <w:bdr w:val="none" w:sz="0" w:space="0" w:color="auto" w:frame="1"/>
        </w:rPr>
        <w:t xml:space="preserve"> the data for both types of pension from each dataset clearly indicated whether their pension system was more or less protective. Where the situation was less clear</w:t>
      </w:r>
      <w:r w:rsidR="00E966CF">
        <w:rPr>
          <w:rFonts w:ascii="inherit" w:hAnsi="inherit" w:cs="Calibri"/>
          <w:color w:val="000000"/>
          <w:bdr w:val="none" w:sz="0" w:space="0" w:color="auto" w:frame="1"/>
        </w:rPr>
        <w:t>-</w:t>
      </w:r>
      <w:r>
        <w:rPr>
          <w:rFonts w:ascii="inherit" w:hAnsi="inherit" w:cs="Calibri"/>
          <w:color w:val="000000"/>
          <w:bdr w:val="none" w:sz="0" w:space="0" w:color="auto" w:frame="1"/>
        </w:rPr>
        <w:t>cut (Portugal, France, Sweden), a final determination was based a more specific consideration of the country's placement in each of the categories (e</w:t>
      </w:r>
      <w:r w:rsidR="005616EF">
        <w:rPr>
          <w:rFonts w:ascii="inherit" w:hAnsi="inherit" w:cs="Calibri"/>
          <w:color w:val="000000"/>
          <w:bdr w:val="none" w:sz="0" w:space="0" w:color="auto" w:frame="1"/>
        </w:rPr>
        <w:t>.</w:t>
      </w:r>
      <w:r>
        <w:rPr>
          <w:rFonts w:ascii="inherit" w:hAnsi="inherit" w:cs="Calibri"/>
          <w:color w:val="000000"/>
          <w:bdr w:val="none" w:sz="0" w:space="0" w:color="auto" w:frame="1"/>
        </w:rPr>
        <w:t>g</w:t>
      </w:r>
      <w:r w:rsidR="005616EF">
        <w:rPr>
          <w:rFonts w:ascii="inherit" w:hAnsi="inherit" w:cs="Calibri"/>
          <w:color w:val="000000"/>
          <w:bdr w:val="none" w:sz="0" w:space="0" w:color="auto" w:frame="1"/>
        </w:rPr>
        <w:t>.</w:t>
      </w:r>
      <w:r>
        <w:rPr>
          <w:rFonts w:ascii="inherit" w:hAnsi="inherit" w:cs="Calibri"/>
          <w:color w:val="000000"/>
          <w:bdr w:val="none" w:sz="0" w:space="0" w:color="auto" w:frame="1"/>
        </w:rPr>
        <w:t xml:space="preserve"> how far they were above the median for one type compared to how far they were below it in another).</w:t>
      </w:r>
      <w:r w:rsidR="003D3B8A">
        <w:rPr>
          <w:rFonts w:ascii="inherit" w:hAnsi="inherit" w:cs="Calibri"/>
          <w:color w:val="000000"/>
          <w:bdr w:val="none" w:sz="0" w:space="0" w:color="auto" w:frame="1"/>
        </w:rPr>
        <w:t xml:space="preserve"> Thus, for example, while the median pension for the Swedish average waged worker was in two out of the four categories at or below the overall country average for the relevant type of pension, it only on one occasion fell below this average. Thus, Sweden was included in the more protective group.</w:t>
      </w:r>
    </w:p>
    <w:p w14:paraId="083B2E0E" w14:textId="77777777" w:rsidR="00E938A8" w:rsidRPr="00E938A8" w:rsidRDefault="00E938A8" w:rsidP="00622346">
      <w:pPr>
        <w:pStyle w:val="NormalWeb"/>
        <w:shd w:val="clear" w:color="auto" w:fill="FFFFFF"/>
        <w:spacing w:before="0" w:beforeAutospacing="0" w:after="0" w:afterAutospacing="0" w:line="360" w:lineRule="auto"/>
        <w:jc w:val="both"/>
        <w:textAlignment w:val="baseline"/>
        <w:rPr>
          <w:rFonts w:ascii="inherit" w:hAnsi="inherit" w:cs="Calibri"/>
          <w:color w:val="000000"/>
          <w:bdr w:val="none" w:sz="0" w:space="0" w:color="auto" w:frame="1"/>
        </w:rPr>
      </w:pPr>
    </w:p>
    <w:p w14:paraId="6F91C82E" w14:textId="4C5B5505" w:rsidR="005D1242" w:rsidRDefault="005D1242" w:rsidP="00622346">
      <w:pPr>
        <w:pStyle w:val="NormalWeb"/>
        <w:shd w:val="clear" w:color="auto" w:fill="FFFFFF"/>
        <w:spacing w:before="0" w:beforeAutospacing="0" w:after="0" w:afterAutospacing="0" w:line="360" w:lineRule="auto"/>
        <w:jc w:val="both"/>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lastRenderedPageBreak/>
        <w:t>Given the absence of data on Luxembourg and Greece, these were assigned to the more protective group based on OECD data (2005-2019).</w:t>
      </w:r>
      <w:r w:rsidR="00622346">
        <w:rPr>
          <w:rFonts w:ascii="inherit" w:hAnsi="inherit" w:cs="Calibri"/>
          <w:color w:val="000000"/>
          <w:bdr w:val="none" w:sz="0" w:space="0" w:color="auto" w:frame="1"/>
        </w:rPr>
        <w:t xml:space="preserve"> </w:t>
      </w:r>
      <w:r>
        <w:rPr>
          <w:rFonts w:ascii="inherit" w:hAnsi="inherit" w:cs="Calibri"/>
          <w:color w:val="000000"/>
          <w:bdr w:val="none" w:sz="0" w:space="0" w:color="auto" w:frame="1"/>
        </w:rPr>
        <w:t xml:space="preserve">The final rankings </w:t>
      </w:r>
      <w:r w:rsidR="00622346">
        <w:rPr>
          <w:rFonts w:ascii="inherit" w:hAnsi="inherit" w:cs="Calibri"/>
          <w:color w:val="000000"/>
          <w:bdr w:val="none" w:sz="0" w:space="0" w:color="auto" w:frame="1"/>
        </w:rPr>
        <w:t xml:space="preserve">are shown in table 5. </w:t>
      </w:r>
    </w:p>
    <w:p w14:paraId="46B96FB1" w14:textId="42937610" w:rsidR="005D1242" w:rsidRDefault="005D1242" w:rsidP="005D1242">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p>
    <w:p w14:paraId="2E251842" w14:textId="0B7BE3FB" w:rsidR="00622346" w:rsidRPr="00622346" w:rsidRDefault="00720044" w:rsidP="005D1242">
      <w:pPr>
        <w:pStyle w:val="NormalWeb"/>
        <w:shd w:val="clear" w:color="auto" w:fill="FFFFFF"/>
        <w:spacing w:before="0" w:beforeAutospacing="0" w:after="0" w:afterAutospacing="0"/>
        <w:textAlignment w:val="baseline"/>
        <w:rPr>
          <w:rFonts w:ascii="inherit" w:hAnsi="inherit" w:cs="Calibri"/>
          <w:i/>
          <w:color w:val="000000"/>
          <w:bdr w:val="none" w:sz="0" w:space="0" w:color="auto" w:frame="1"/>
        </w:rPr>
      </w:pPr>
      <w:r>
        <w:rPr>
          <w:rFonts w:ascii="inherit" w:hAnsi="inherit" w:cs="Calibri"/>
          <w:i/>
          <w:color w:val="000000"/>
          <w:bdr w:val="none" w:sz="0" w:space="0" w:color="auto" w:frame="1"/>
        </w:rPr>
        <w:t>Appendix T</w:t>
      </w:r>
      <w:r w:rsidR="00622346">
        <w:rPr>
          <w:rFonts w:ascii="inherit" w:hAnsi="inherit" w:cs="Calibri"/>
          <w:i/>
          <w:color w:val="000000"/>
          <w:bdr w:val="none" w:sz="0" w:space="0" w:color="auto" w:frame="1"/>
        </w:rPr>
        <w:t xml:space="preserve">able 5: Overall </w:t>
      </w:r>
      <w:r w:rsidR="001B6707">
        <w:rPr>
          <w:rFonts w:ascii="inherit" w:hAnsi="inherit" w:cs="Calibri"/>
          <w:i/>
          <w:color w:val="000000"/>
          <w:bdr w:val="none" w:sz="0" w:space="0" w:color="auto" w:frame="1"/>
        </w:rPr>
        <w:t xml:space="preserve">country </w:t>
      </w:r>
      <w:r w:rsidR="00622346">
        <w:rPr>
          <w:rFonts w:ascii="inherit" w:hAnsi="inherit" w:cs="Calibri"/>
          <w:i/>
          <w:color w:val="000000"/>
          <w:bdr w:val="none" w:sz="0" w:space="0" w:color="auto" w:frame="1"/>
        </w:rPr>
        <w:t xml:space="preserve">rankings of pension generosity </w:t>
      </w:r>
    </w:p>
    <w:tbl>
      <w:tblPr>
        <w:tblW w:w="5098" w:type="dxa"/>
        <w:tblLayout w:type="fixed"/>
        <w:tblLook w:val="04A0" w:firstRow="1" w:lastRow="0" w:firstColumn="1" w:lastColumn="0" w:noHBand="0" w:noVBand="1"/>
      </w:tblPr>
      <w:tblGrid>
        <w:gridCol w:w="2549"/>
        <w:gridCol w:w="2549"/>
      </w:tblGrid>
      <w:tr w:rsidR="005D1242" w:rsidRPr="005D1242" w14:paraId="4ACB71D7" w14:textId="77777777" w:rsidTr="00622346">
        <w:trPr>
          <w:trHeight w:val="310"/>
        </w:trPr>
        <w:tc>
          <w:tcPr>
            <w:tcW w:w="2549" w:type="dxa"/>
            <w:tcBorders>
              <w:top w:val="single" w:sz="4" w:space="0" w:color="auto"/>
              <w:bottom w:val="single" w:sz="4" w:space="0" w:color="auto"/>
            </w:tcBorders>
            <w:shd w:val="clear" w:color="auto" w:fill="auto"/>
            <w:noWrap/>
            <w:vAlign w:val="center"/>
            <w:hideMark/>
          </w:tcPr>
          <w:p w14:paraId="7206B607" w14:textId="77777777" w:rsidR="005D1242" w:rsidRPr="005D1242" w:rsidRDefault="005D1242" w:rsidP="00882E4B">
            <w:pPr>
              <w:spacing w:after="0" w:line="276" w:lineRule="auto"/>
              <w:jc w:val="center"/>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Less protective</w:t>
            </w:r>
          </w:p>
        </w:tc>
        <w:tc>
          <w:tcPr>
            <w:tcW w:w="2549" w:type="dxa"/>
            <w:tcBorders>
              <w:top w:val="single" w:sz="4" w:space="0" w:color="auto"/>
              <w:bottom w:val="single" w:sz="4" w:space="0" w:color="auto"/>
            </w:tcBorders>
            <w:shd w:val="clear" w:color="auto" w:fill="auto"/>
            <w:noWrap/>
            <w:vAlign w:val="center"/>
            <w:hideMark/>
          </w:tcPr>
          <w:p w14:paraId="06822B80" w14:textId="77777777" w:rsidR="005D1242" w:rsidRPr="005D1242" w:rsidRDefault="005D1242" w:rsidP="00882E4B">
            <w:pPr>
              <w:spacing w:after="0" w:line="276" w:lineRule="auto"/>
              <w:jc w:val="center"/>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More protective</w:t>
            </w:r>
          </w:p>
        </w:tc>
      </w:tr>
      <w:tr w:rsidR="005D1242" w:rsidRPr="005D1242" w14:paraId="34C0C79A" w14:textId="77777777" w:rsidTr="00622346">
        <w:trPr>
          <w:trHeight w:val="310"/>
        </w:trPr>
        <w:tc>
          <w:tcPr>
            <w:tcW w:w="2549" w:type="dxa"/>
            <w:tcBorders>
              <w:top w:val="single" w:sz="4" w:space="0" w:color="auto"/>
            </w:tcBorders>
            <w:shd w:val="clear" w:color="auto" w:fill="auto"/>
            <w:noWrap/>
            <w:vAlign w:val="bottom"/>
            <w:hideMark/>
          </w:tcPr>
          <w:p w14:paraId="79DB229D" w14:textId="77777777" w:rsidR="005D1242" w:rsidRPr="005D1242" w:rsidRDefault="005D1242"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Denmark</w:t>
            </w:r>
          </w:p>
        </w:tc>
        <w:tc>
          <w:tcPr>
            <w:tcW w:w="2549" w:type="dxa"/>
            <w:tcBorders>
              <w:top w:val="single" w:sz="4" w:space="0" w:color="auto"/>
            </w:tcBorders>
            <w:shd w:val="clear" w:color="auto" w:fill="auto"/>
            <w:noWrap/>
            <w:vAlign w:val="bottom"/>
            <w:hideMark/>
          </w:tcPr>
          <w:p w14:paraId="66CBD53F" w14:textId="77777777" w:rsidR="005D1242" w:rsidRPr="005D1242" w:rsidRDefault="005D1242"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Austria</w:t>
            </w:r>
          </w:p>
        </w:tc>
      </w:tr>
      <w:tr w:rsidR="005D1242" w:rsidRPr="005D1242" w14:paraId="714C71A9" w14:textId="77777777" w:rsidTr="00622346">
        <w:trPr>
          <w:trHeight w:val="310"/>
        </w:trPr>
        <w:tc>
          <w:tcPr>
            <w:tcW w:w="2549" w:type="dxa"/>
            <w:shd w:val="clear" w:color="auto" w:fill="auto"/>
            <w:noWrap/>
            <w:vAlign w:val="bottom"/>
            <w:hideMark/>
          </w:tcPr>
          <w:p w14:paraId="62B62022" w14:textId="22711447" w:rsidR="005D1242"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France</w:t>
            </w:r>
          </w:p>
        </w:tc>
        <w:tc>
          <w:tcPr>
            <w:tcW w:w="2549" w:type="dxa"/>
            <w:shd w:val="clear" w:color="auto" w:fill="auto"/>
            <w:noWrap/>
            <w:vAlign w:val="bottom"/>
            <w:hideMark/>
          </w:tcPr>
          <w:p w14:paraId="7FFB933C" w14:textId="77777777" w:rsidR="005D1242" w:rsidRPr="005D1242" w:rsidRDefault="005D1242"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Belgium</w:t>
            </w:r>
          </w:p>
        </w:tc>
      </w:tr>
      <w:tr w:rsidR="005D1242" w:rsidRPr="005D1242" w14:paraId="27F706BD" w14:textId="77777777" w:rsidTr="00882E4B">
        <w:trPr>
          <w:trHeight w:val="310"/>
        </w:trPr>
        <w:tc>
          <w:tcPr>
            <w:tcW w:w="2549" w:type="dxa"/>
            <w:shd w:val="clear" w:color="auto" w:fill="auto"/>
            <w:noWrap/>
            <w:vAlign w:val="bottom"/>
          </w:tcPr>
          <w:p w14:paraId="1CB14CD1" w14:textId="38B27764" w:rsidR="005D1242"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Germany</w:t>
            </w:r>
          </w:p>
        </w:tc>
        <w:tc>
          <w:tcPr>
            <w:tcW w:w="2549" w:type="dxa"/>
            <w:shd w:val="clear" w:color="auto" w:fill="auto"/>
            <w:noWrap/>
            <w:vAlign w:val="bottom"/>
            <w:hideMark/>
          </w:tcPr>
          <w:p w14:paraId="58DCC178" w14:textId="77777777" w:rsidR="005D1242" w:rsidRPr="005D1242" w:rsidRDefault="005D1242"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Greece</w:t>
            </w:r>
          </w:p>
        </w:tc>
      </w:tr>
      <w:tr w:rsidR="00882E4B" w:rsidRPr="005D1242" w14:paraId="0EAC96B9" w14:textId="77777777" w:rsidTr="00622346">
        <w:trPr>
          <w:trHeight w:val="310"/>
        </w:trPr>
        <w:tc>
          <w:tcPr>
            <w:tcW w:w="2549" w:type="dxa"/>
            <w:shd w:val="clear" w:color="auto" w:fill="auto"/>
            <w:noWrap/>
            <w:vAlign w:val="bottom"/>
            <w:hideMark/>
          </w:tcPr>
          <w:p w14:paraId="4ACA5AF3" w14:textId="59B3E1A3" w:rsidR="00882E4B"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Portugal</w:t>
            </w:r>
          </w:p>
        </w:tc>
        <w:tc>
          <w:tcPr>
            <w:tcW w:w="2549" w:type="dxa"/>
            <w:shd w:val="clear" w:color="auto" w:fill="auto"/>
            <w:noWrap/>
            <w:vAlign w:val="bottom"/>
            <w:hideMark/>
          </w:tcPr>
          <w:p w14:paraId="500FF165" w14:textId="4C37C7CE" w:rsidR="00882E4B"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 xml:space="preserve">Luxembourg </w:t>
            </w:r>
          </w:p>
        </w:tc>
      </w:tr>
      <w:tr w:rsidR="00882E4B" w:rsidRPr="005D1242" w14:paraId="6A8D4EF1" w14:textId="77777777" w:rsidTr="00622346">
        <w:trPr>
          <w:trHeight w:val="310"/>
        </w:trPr>
        <w:tc>
          <w:tcPr>
            <w:tcW w:w="2549" w:type="dxa"/>
            <w:shd w:val="clear" w:color="auto" w:fill="auto"/>
            <w:noWrap/>
            <w:vAlign w:val="bottom"/>
            <w:hideMark/>
          </w:tcPr>
          <w:p w14:paraId="0E1EE152" w14:textId="47B6539D" w:rsidR="00882E4B"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Switzerland</w:t>
            </w:r>
          </w:p>
        </w:tc>
        <w:tc>
          <w:tcPr>
            <w:tcW w:w="2549" w:type="dxa"/>
            <w:shd w:val="clear" w:color="auto" w:fill="auto"/>
            <w:noWrap/>
            <w:vAlign w:val="bottom"/>
            <w:hideMark/>
          </w:tcPr>
          <w:p w14:paraId="51B6BD69" w14:textId="12F90B05" w:rsidR="00882E4B"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Netherlands</w:t>
            </w:r>
          </w:p>
        </w:tc>
      </w:tr>
      <w:tr w:rsidR="00882E4B" w:rsidRPr="005D1242" w14:paraId="3C5711B6" w14:textId="77777777" w:rsidTr="00622346">
        <w:trPr>
          <w:trHeight w:val="310"/>
        </w:trPr>
        <w:tc>
          <w:tcPr>
            <w:tcW w:w="2549" w:type="dxa"/>
            <w:shd w:val="clear" w:color="auto" w:fill="auto"/>
            <w:noWrap/>
            <w:vAlign w:val="bottom"/>
            <w:hideMark/>
          </w:tcPr>
          <w:p w14:paraId="4A1A5FAC" w14:textId="77777777" w:rsidR="00882E4B"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 </w:t>
            </w:r>
          </w:p>
        </w:tc>
        <w:tc>
          <w:tcPr>
            <w:tcW w:w="2549" w:type="dxa"/>
            <w:shd w:val="clear" w:color="auto" w:fill="auto"/>
            <w:noWrap/>
            <w:vAlign w:val="bottom"/>
            <w:hideMark/>
          </w:tcPr>
          <w:p w14:paraId="70D52771" w14:textId="77777777" w:rsidR="00882E4B"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Spain</w:t>
            </w:r>
          </w:p>
        </w:tc>
      </w:tr>
      <w:tr w:rsidR="00882E4B" w:rsidRPr="005D1242" w14:paraId="364139A5" w14:textId="77777777" w:rsidTr="00622346">
        <w:trPr>
          <w:trHeight w:val="310"/>
        </w:trPr>
        <w:tc>
          <w:tcPr>
            <w:tcW w:w="2549" w:type="dxa"/>
            <w:tcBorders>
              <w:bottom w:val="single" w:sz="4" w:space="0" w:color="auto"/>
            </w:tcBorders>
            <w:shd w:val="clear" w:color="auto" w:fill="auto"/>
            <w:noWrap/>
            <w:vAlign w:val="bottom"/>
            <w:hideMark/>
          </w:tcPr>
          <w:p w14:paraId="734F501A" w14:textId="77777777" w:rsidR="00882E4B"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 </w:t>
            </w:r>
          </w:p>
        </w:tc>
        <w:tc>
          <w:tcPr>
            <w:tcW w:w="2549" w:type="dxa"/>
            <w:tcBorders>
              <w:bottom w:val="single" w:sz="4" w:space="0" w:color="auto"/>
            </w:tcBorders>
            <w:shd w:val="clear" w:color="auto" w:fill="auto"/>
            <w:noWrap/>
            <w:vAlign w:val="bottom"/>
            <w:hideMark/>
          </w:tcPr>
          <w:p w14:paraId="44C0DF3E" w14:textId="77777777" w:rsidR="00882E4B" w:rsidRPr="005D1242" w:rsidRDefault="00882E4B" w:rsidP="00882E4B">
            <w:pPr>
              <w:spacing w:after="0" w:line="276" w:lineRule="auto"/>
              <w:rPr>
                <w:rFonts w:ascii="Times New Roman" w:eastAsia="Times New Roman" w:hAnsi="Times New Roman" w:cs="Times New Roman"/>
                <w:color w:val="000000"/>
                <w:sz w:val="24"/>
                <w:szCs w:val="24"/>
                <w:lang w:eastAsia="en-GB"/>
              </w:rPr>
            </w:pPr>
            <w:r w:rsidRPr="005D1242">
              <w:rPr>
                <w:rFonts w:ascii="Times New Roman" w:eastAsia="Times New Roman" w:hAnsi="Times New Roman" w:cs="Times New Roman"/>
                <w:color w:val="000000"/>
                <w:sz w:val="24"/>
                <w:szCs w:val="24"/>
                <w:lang w:eastAsia="en-GB"/>
              </w:rPr>
              <w:t>Sweden</w:t>
            </w:r>
          </w:p>
        </w:tc>
      </w:tr>
    </w:tbl>
    <w:p w14:paraId="723CE527" w14:textId="77777777" w:rsidR="00720044" w:rsidRDefault="00720044" w:rsidP="00622346">
      <w:pPr>
        <w:pStyle w:val="EndnoteText"/>
        <w:shd w:val="clear" w:color="auto" w:fill="FFFFFF"/>
        <w:spacing w:line="360" w:lineRule="auto"/>
        <w:jc w:val="both"/>
        <w:textAlignment w:val="baseline"/>
        <w:rPr>
          <w:rFonts w:ascii="inherit" w:hAnsi="inherit" w:cs="Calibri"/>
          <w:color w:val="000000"/>
          <w:sz w:val="24"/>
          <w:szCs w:val="24"/>
          <w:bdr w:val="none" w:sz="0" w:space="0" w:color="auto" w:frame="1"/>
        </w:rPr>
      </w:pPr>
    </w:p>
    <w:p w14:paraId="51821737" w14:textId="60392EC7" w:rsidR="00BC1BB6" w:rsidRDefault="00D560CB" w:rsidP="00622346">
      <w:pPr>
        <w:pStyle w:val="EndnoteText"/>
        <w:shd w:val="clear" w:color="auto" w:fill="FFFFFF"/>
        <w:spacing w:line="360" w:lineRule="auto"/>
        <w:jc w:val="both"/>
        <w:textAlignment w:val="baseline"/>
        <w:rPr>
          <w:rFonts w:ascii="Times New Roman" w:hAnsi="Times New Roman" w:cs="Times New Roman"/>
          <w:sz w:val="24"/>
          <w:szCs w:val="24"/>
        </w:rPr>
      </w:pPr>
      <w:r w:rsidRPr="001D17DF">
        <w:rPr>
          <w:rFonts w:ascii="inherit" w:hAnsi="inherit" w:cs="Calibri"/>
          <w:color w:val="000000"/>
          <w:sz w:val="24"/>
          <w:szCs w:val="24"/>
          <w:bdr w:val="none" w:sz="0" w:space="0" w:color="auto" w:frame="1"/>
        </w:rPr>
        <w:t xml:space="preserve">There are limitations to this approach. Both datasets are based on projections of the impact of systems over time on the replacement rate of a hypothetical average wage worker. No actual workers will have experienced this wage trajectory and built up pension entitlements on this basis. The inclusion of minimum pension data compensates for this problem to a limited extent, but no aggregated data is available which can provide a precise indication of the impact of different country pension systems on pensioner incomes over time. Secondly, </w:t>
      </w:r>
      <w:r w:rsidRPr="00FE5E41">
        <w:rPr>
          <w:rFonts w:ascii="Times New Roman" w:hAnsi="Times New Roman" w:cs="Times New Roman"/>
          <w:sz w:val="24"/>
          <w:szCs w:val="24"/>
        </w:rPr>
        <w:t xml:space="preserve">concerns have been raised about the validity of the CWED and SIED datasets, particularly </w:t>
      </w:r>
      <w:r>
        <w:rPr>
          <w:rFonts w:ascii="Times New Roman" w:hAnsi="Times New Roman" w:cs="Times New Roman"/>
          <w:sz w:val="24"/>
          <w:szCs w:val="24"/>
        </w:rPr>
        <w:t xml:space="preserve">given </w:t>
      </w:r>
      <w:r w:rsidRPr="00FE5E41">
        <w:rPr>
          <w:rFonts w:ascii="Times New Roman" w:hAnsi="Times New Roman" w:cs="Times New Roman"/>
          <w:sz w:val="24"/>
          <w:szCs w:val="24"/>
        </w:rPr>
        <w:t xml:space="preserve">differences </w:t>
      </w:r>
      <w:r>
        <w:rPr>
          <w:rFonts w:ascii="Times New Roman" w:hAnsi="Times New Roman" w:cs="Times New Roman"/>
          <w:sz w:val="24"/>
          <w:szCs w:val="24"/>
        </w:rPr>
        <w:t xml:space="preserve">in projected replacement rates </w:t>
      </w:r>
      <w:r w:rsidRPr="00FE5E41">
        <w:rPr>
          <w:rFonts w:ascii="Times New Roman" w:hAnsi="Times New Roman" w:cs="Times New Roman"/>
          <w:sz w:val="24"/>
          <w:szCs w:val="24"/>
        </w:rPr>
        <w:t xml:space="preserve">between them (Wenzelburger </w:t>
      </w:r>
      <w:r w:rsidRPr="00FE5E41">
        <w:rPr>
          <w:rFonts w:ascii="Times New Roman" w:hAnsi="Times New Roman" w:cs="Times New Roman"/>
          <w:i/>
          <w:sz w:val="24"/>
          <w:szCs w:val="24"/>
        </w:rPr>
        <w:t>et al</w:t>
      </w:r>
      <w:r w:rsidR="00622346">
        <w:rPr>
          <w:rFonts w:ascii="Times New Roman" w:hAnsi="Times New Roman" w:cs="Times New Roman"/>
          <w:i/>
          <w:sz w:val="24"/>
          <w:szCs w:val="24"/>
        </w:rPr>
        <w:t>.,</w:t>
      </w:r>
      <w:r w:rsidR="00622346">
        <w:rPr>
          <w:rFonts w:ascii="Times New Roman" w:hAnsi="Times New Roman" w:cs="Times New Roman"/>
          <w:sz w:val="24"/>
          <w:szCs w:val="24"/>
        </w:rPr>
        <w:t xml:space="preserve"> </w:t>
      </w:r>
      <w:r w:rsidRPr="00FE5E41">
        <w:rPr>
          <w:rFonts w:ascii="Times New Roman" w:hAnsi="Times New Roman" w:cs="Times New Roman"/>
          <w:sz w:val="24"/>
          <w:szCs w:val="24"/>
        </w:rPr>
        <w:t>2013). However, these differences are less marked for pensions and, with regard to replacement rates, are largely explained by differences in founding assumptions (Scruggs</w:t>
      </w:r>
      <w:r w:rsidR="00622346">
        <w:rPr>
          <w:rFonts w:ascii="Times New Roman" w:hAnsi="Times New Roman" w:cs="Times New Roman"/>
          <w:sz w:val="24"/>
          <w:szCs w:val="24"/>
        </w:rPr>
        <w:t xml:space="preserve">, </w:t>
      </w:r>
      <w:r w:rsidRPr="00FE5E41">
        <w:rPr>
          <w:rFonts w:ascii="Times New Roman" w:hAnsi="Times New Roman" w:cs="Times New Roman"/>
          <w:sz w:val="24"/>
          <w:szCs w:val="24"/>
        </w:rPr>
        <w:t>2013).</w:t>
      </w:r>
      <w:r>
        <w:rPr>
          <w:rFonts w:ascii="Times New Roman" w:hAnsi="Times New Roman" w:cs="Times New Roman"/>
          <w:sz w:val="24"/>
          <w:szCs w:val="24"/>
        </w:rPr>
        <w:t xml:space="preserve"> Moreover, the use of both datasets in combination to construct our indices compensates for any remaining issues.</w:t>
      </w:r>
    </w:p>
    <w:p w14:paraId="0CC47D8F" w14:textId="77777777" w:rsidR="00BC1BB6" w:rsidRDefault="00BC1BB6">
      <w:pPr>
        <w:rPr>
          <w:rFonts w:ascii="Times New Roman" w:hAnsi="Times New Roman" w:cs="Times New Roman"/>
          <w:sz w:val="24"/>
          <w:szCs w:val="24"/>
        </w:rPr>
      </w:pPr>
      <w:r>
        <w:rPr>
          <w:rFonts w:ascii="Times New Roman" w:hAnsi="Times New Roman" w:cs="Times New Roman"/>
          <w:sz w:val="24"/>
          <w:szCs w:val="24"/>
        </w:rPr>
        <w:br w:type="page"/>
      </w:r>
    </w:p>
    <w:p w14:paraId="2ECD7FBE" w14:textId="51FFB663" w:rsidR="00BC1BB6" w:rsidRDefault="00BC1BB6" w:rsidP="00BC1BB6">
      <w:pPr>
        <w:jc w:val="both"/>
        <w:rPr>
          <w:rFonts w:ascii="Times New Roman" w:hAnsi="Times New Roman" w:cs="Times New Roman"/>
          <w:sz w:val="24"/>
          <w:szCs w:val="24"/>
        </w:rPr>
      </w:pPr>
      <w:r>
        <w:rPr>
          <w:rFonts w:ascii="Times New Roman" w:hAnsi="Times New Roman" w:cs="Times New Roman"/>
          <w:b/>
          <w:sz w:val="24"/>
          <w:szCs w:val="24"/>
        </w:rPr>
        <w:lastRenderedPageBreak/>
        <w:t>References</w:t>
      </w:r>
      <w:r w:rsidRPr="00E05831">
        <w:rPr>
          <w:rFonts w:ascii="Times New Roman" w:hAnsi="Times New Roman" w:cs="Times New Roman"/>
          <w:b/>
          <w:sz w:val="24"/>
          <w:szCs w:val="24"/>
        </w:rPr>
        <w:t xml:space="preserve"> </w:t>
      </w:r>
    </w:p>
    <w:p w14:paraId="5D3BAEAA" w14:textId="77777777" w:rsidR="00D90702" w:rsidRPr="00220C07" w:rsidRDefault="00D90702" w:rsidP="00D90702">
      <w:pPr>
        <w:spacing w:before="240"/>
        <w:jc w:val="both"/>
        <w:rPr>
          <w:rFonts w:ascii="Times New Roman" w:hAnsi="Times New Roman" w:cs="Times New Roman"/>
          <w:sz w:val="24"/>
          <w:szCs w:val="24"/>
        </w:rPr>
      </w:pPr>
      <w:r w:rsidRPr="00220C07">
        <w:rPr>
          <w:rFonts w:ascii="Times New Roman" w:hAnsi="Times New Roman" w:cs="Times New Roman"/>
          <w:sz w:val="24"/>
          <w:szCs w:val="24"/>
        </w:rPr>
        <w:t>Eurostat (2021)</w:t>
      </w:r>
      <w:r w:rsidRPr="00220C07">
        <w:rPr>
          <w:sz w:val="24"/>
          <w:szCs w:val="24"/>
        </w:rPr>
        <w:t xml:space="preserve"> </w:t>
      </w:r>
      <w:r w:rsidRPr="00220C07">
        <w:rPr>
          <w:rFonts w:ascii="Times New Roman" w:hAnsi="Times New Roman" w:cs="Times New Roman"/>
          <w:sz w:val="24"/>
          <w:szCs w:val="24"/>
        </w:rPr>
        <w:t>Population on 1 January by age group, sex and country of birth [online]. Available at:</w:t>
      </w:r>
      <w:r w:rsidRPr="00220C07">
        <w:rPr>
          <w:sz w:val="24"/>
          <w:szCs w:val="24"/>
        </w:rPr>
        <w:t xml:space="preserve"> </w:t>
      </w:r>
      <w:r w:rsidRPr="00220C07">
        <w:rPr>
          <w:rFonts w:ascii="Times New Roman" w:hAnsi="Times New Roman" w:cs="Times New Roman"/>
          <w:sz w:val="24"/>
          <w:szCs w:val="24"/>
        </w:rPr>
        <w:t>https://ec.europa.eu/eurostat/web/products-datasets/-/MIGR_POP3CTB (Accessed: 25/03/2021)</w:t>
      </w:r>
    </w:p>
    <w:p w14:paraId="1FEF1108" w14:textId="4A310F51" w:rsidR="00BC1BB6" w:rsidRPr="00220C07" w:rsidRDefault="00BC1BB6" w:rsidP="00BC1BB6">
      <w:pPr>
        <w:autoSpaceDE w:val="0"/>
        <w:autoSpaceDN w:val="0"/>
        <w:adjustRightInd w:val="0"/>
        <w:spacing w:before="240" w:after="240" w:line="276" w:lineRule="auto"/>
        <w:jc w:val="both"/>
        <w:rPr>
          <w:rFonts w:ascii="Times New Roman" w:hAnsi="Times New Roman" w:cs="Times New Roman"/>
          <w:sz w:val="24"/>
          <w:szCs w:val="24"/>
        </w:rPr>
      </w:pPr>
      <w:r w:rsidRPr="00220C07">
        <w:rPr>
          <w:rFonts w:ascii="Times New Roman" w:hAnsi="Times New Roman" w:cs="Times New Roman"/>
          <w:sz w:val="24"/>
          <w:szCs w:val="24"/>
        </w:rPr>
        <w:t xml:space="preserve">Heisig JP, Lancee B, and Radl J (2018) Ethnic inequality in retirement income: a comparative analysis of immigrant-native gaps in Western Europe. </w:t>
      </w:r>
      <w:r w:rsidRPr="00220C07">
        <w:rPr>
          <w:rFonts w:ascii="Times New Roman" w:hAnsi="Times New Roman" w:cs="Times New Roman"/>
          <w:i/>
          <w:sz w:val="24"/>
          <w:szCs w:val="24"/>
        </w:rPr>
        <w:t xml:space="preserve">Ageing and Society </w:t>
      </w:r>
      <w:r w:rsidRPr="00220C07">
        <w:rPr>
          <w:rFonts w:ascii="Times New Roman" w:hAnsi="Times New Roman" w:cs="Times New Roman"/>
          <w:sz w:val="24"/>
          <w:szCs w:val="24"/>
        </w:rPr>
        <w:t>38, 10, 1963-1994.</w:t>
      </w:r>
    </w:p>
    <w:p w14:paraId="3FBE339B" w14:textId="0440A3E3" w:rsidR="00D90702" w:rsidRPr="00220C07" w:rsidRDefault="00D90702" w:rsidP="00D90702">
      <w:pPr>
        <w:shd w:val="clear" w:color="auto" w:fill="FFFFFF"/>
        <w:spacing w:before="240" w:afterAutospacing="1"/>
        <w:rPr>
          <w:rFonts w:ascii="Times New Roman" w:hAnsi="Times New Roman" w:cs="Times New Roman"/>
          <w:bCs/>
          <w:sz w:val="24"/>
          <w:szCs w:val="24"/>
          <w:shd w:val="clear" w:color="auto" w:fill="FFFFFF"/>
        </w:rPr>
      </w:pPr>
      <w:r w:rsidRPr="00220C07">
        <w:rPr>
          <w:rFonts w:ascii="Times New Roman" w:hAnsi="Times New Roman" w:cs="Times New Roman"/>
          <w:bCs/>
          <w:sz w:val="24"/>
          <w:szCs w:val="24"/>
          <w:shd w:val="clear" w:color="auto" w:fill="FFFFFF"/>
        </w:rPr>
        <w:t>Korpi W, and Palme J (2008) The Social Citizenship Indicator Program (SCIP). Stockholm: SOFI, Stockholm University.</w:t>
      </w:r>
    </w:p>
    <w:p w14:paraId="3EDBEE74" w14:textId="4A56B50E" w:rsidR="00D90702" w:rsidRPr="00220C07" w:rsidRDefault="00D90702" w:rsidP="00D90702">
      <w:pPr>
        <w:spacing w:before="240"/>
        <w:jc w:val="both"/>
        <w:rPr>
          <w:rFonts w:ascii="Times New Roman" w:hAnsi="Times New Roman" w:cs="Times New Roman"/>
          <w:sz w:val="24"/>
          <w:szCs w:val="24"/>
          <w:shd w:val="clear" w:color="auto" w:fill="FFFFFF"/>
        </w:rPr>
      </w:pPr>
      <w:r w:rsidRPr="00220C07">
        <w:rPr>
          <w:rFonts w:ascii="Times New Roman" w:hAnsi="Times New Roman" w:cs="Times New Roman"/>
          <w:sz w:val="24"/>
          <w:szCs w:val="24"/>
          <w:shd w:val="clear" w:color="auto" w:fill="FFFFFF"/>
        </w:rPr>
        <w:t>OECD (2005-2019) OECD Pensions at a Glance [online]. Available at: https://www.oecd-ilibrary.org/finance-and-investment/oecd-pensions-at-a-glance_19991363 (Accessed: 25/03/2021).</w:t>
      </w:r>
    </w:p>
    <w:p w14:paraId="34A88133" w14:textId="3E168950" w:rsidR="00D90702" w:rsidRPr="00220C07" w:rsidRDefault="00D90702" w:rsidP="00BC1BB6">
      <w:pPr>
        <w:jc w:val="both"/>
        <w:rPr>
          <w:rFonts w:ascii="Times New Roman" w:eastAsia="Times New Roman" w:hAnsi="Times New Roman" w:cs="Times New Roman"/>
          <w:sz w:val="24"/>
          <w:szCs w:val="24"/>
          <w:lang w:eastAsia="en-GB"/>
        </w:rPr>
      </w:pPr>
      <w:r w:rsidRPr="00220C07">
        <w:rPr>
          <w:rFonts w:ascii="Times New Roman" w:eastAsia="Times New Roman" w:hAnsi="Times New Roman" w:cs="Times New Roman"/>
          <w:sz w:val="24"/>
          <w:szCs w:val="24"/>
          <w:lang w:eastAsia="en-GB"/>
        </w:rPr>
        <w:t xml:space="preserve">Scruggs L (2013) Measuring and Validating Social Program Replacement Rates. </w:t>
      </w:r>
      <w:r w:rsidRPr="00220C07">
        <w:rPr>
          <w:rFonts w:ascii="Times New Roman" w:eastAsia="Times New Roman" w:hAnsi="Times New Roman" w:cs="Times New Roman"/>
          <w:i/>
          <w:sz w:val="24"/>
          <w:szCs w:val="24"/>
          <w:lang w:eastAsia="en-GB"/>
        </w:rPr>
        <w:t xml:space="preserve">Journal of European Public Policy </w:t>
      </w:r>
      <w:r w:rsidRPr="00220C07">
        <w:rPr>
          <w:rFonts w:ascii="Times New Roman" w:eastAsia="Times New Roman" w:hAnsi="Times New Roman" w:cs="Times New Roman"/>
          <w:sz w:val="24"/>
          <w:szCs w:val="24"/>
          <w:lang w:eastAsia="en-GB"/>
        </w:rPr>
        <w:t xml:space="preserve">20, 9, 1267–84 </w:t>
      </w:r>
    </w:p>
    <w:p w14:paraId="1D4FD5FD" w14:textId="21BB974F" w:rsidR="00BC1BB6" w:rsidRPr="00220C07" w:rsidRDefault="00BC1BB6" w:rsidP="00BC1BB6">
      <w:pPr>
        <w:jc w:val="both"/>
        <w:rPr>
          <w:rFonts w:ascii="Times New Roman" w:eastAsia="Times New Roman" w:hAnsi="Times New Roman" w:cs="Times New Roman"/>
          <w:color w:val="000000"/>
          <w:sz w:val="24"/>
          <w:szCs w:val="24"/>
          <w:lang w:eastAsia="en-GB"/>
        </w:rPr>
      </w:pPr>
      <w:r w:rsidRPr="00220C07">
        <w:rPr>
          <w:rFonts w:ascii="Times New Roman" w:eastAsia="Times New Roman" w:hAnsi="Times New Roman" w:cs="Times New Roman"/>
          <w:sz w:val="24"/>
          <w:szCs w:val="24"/>
          <w:lang w:eastAsia="en-GB"/>
        </w:rPr>
        <w:t xml:space="preserve">Scruggs L, Detlef J, and Kuitto K (2017a) Comparative Welfare Entitlements Dataset 2. Version 2017-09. University </w:t>
      </w:r>
      <w:r w:rsidRPr="00220C07">
        <w:rPr>
          <w:rFonts w:ascii="Times New Roman" w:eastAsia="Times New Roman" w:hAnsi="Times New Roman" w:cs="Times New Roman"/>
          <w:color w:val="000000"/>
          <w:sz w:val="24"/>
          <w:szCs w:val="24"/>
          <w:lang w:eastAsia="en-GB"/>
        </w:rPr>
        <w:t>of Connecticut and University of Greifswald.</w:t>
      </w:r>
    </w:p>
    <w:p w14:paraId="1AD11B03" w14:textId="77777777" w:rsidR="00BC1BB6" w:rsidRPr="00220C07" w:rsidRDefault="00BC1BB6" w:rsidP="00BC1BB6">
      <w:pPr>
        <w:jc w:val="both"/>
        <w:rPr>
          <w:rFonts w:ascii="Times New Roman" w:eastAsia="Times New Roman" w:hAnsi="Times New Roman" w:cs="Times New Roman"/>
          <w:color w:val="000000"/>
          <w:sz w:val="24"/>
          <w:szCs w:val="24"/>
          <w:lang w:eastAsia="en-GB"/>
        </w:rPr>
      </w:pPr>
      <w:r w:rsidRPr="00220C07">
        <w:rPr>
          <w:rFonts w:ascii="Times New Roman" w:eastAsia="Times New Roman" w:hAnsi="Times New Roman" w:cs="Times New Roman"/>
          <w:color w:val="000000"/>
          <w:sz w:val="24"/>
          <w:szCs w:val="24"/>
          <w:lang w:eastAsia="en-GB"/>
        </w:rPr>
        <w:t>Scruggs L, Detlef J, and Kuitto K (2017b) Comparative Welfare Entitlements Dataset 2 Codebook. Version 2017-09. University of Connecticut and University of Greifswald.</w:t>
      </w:r>
    </w:p>
    <w:p w14:paraId="7C17FC88" w14:textId="2B6BA035" w:rsidR="00D90702" w:rsidRPr="00220C07" w:rsidRDefault="00D90702" w:rsidP="00D90702">
      <w:pPr>
        <w:autoSpaceDE w:val="0"/>
        <w:autoSpaceDN w:val="0"/>
        <w:adjustRightInd w:val="0"/>
        <w:rPr>
          <w:rFonts w:ascii="Times New Roman" w:hAnsi="Times New Roman" w:cs="Times New Roman"/>
          <w:color w:val="000000"/>
          <w:sz w:val="24"/>
          <w:szCs w:val="24"/>
        </w:rPr>
      </w:pPr>
      <w:r w:rsidRPr="00220C07">
        <w:rPr>
          <w:rFonts w:ascii="Times New Roman" w:hAnsi="Times New Roman" w:cs="Times New Roman"/>
          <w:color w:val="000000"/>
          <w:sz w:val="24"/>
          <w:szCs w:val="24"/>
        </w:rPr>
        <w:t xml:space="preserve">Wenzelburger G, Zohlnhöfer R, and Wolf F. (2013) Implications of Dataset Choice in Comparative Welfare State Research, </w:t>
      </w:r>
      <w:r w:rsidRPr="00220C07">
        <w:rPr>
          <w:rFonts w:ascii="Times New Roman" w:hAnsi="Times New Roman" w:cs="Times New Roman"/>
          <w:i/>
          <w:iCs/>
          <w:color w:val="000000"/>
          <w:sz w:val="24"/>
          <w:szCs w:val="24"/>
        </w:rPr>
        <w:t xml:space="preserve">Journal of European Public Policy </w:t>
      </w:r>
      <w:r w:rsidRPr="00220C07">
        <w:rPr>
          <w:rFonts w:ascii="Times New Roman" w:hAnsi="Times New Roman" w:cs="Times New Roman"/>
          <w:color w:val="000000"/>
          <w:sz w:val="24"/>
          <w:szCs w:val="24"/>
        </w:rPr>
        <w:t>20, 9, 1229–50</w:t>
      </w:r>
      <w:r w:rsidRPr="00220C07">
        <w:rPr>
          <w:rFonts w:ascii="Times New Roman" w:eastAsia="Times New Roman" w:hAnsi="Times New Roman" w:cs="Times New Roman"/>
          <w:color w:val="000000"/>
          <w:sz w:val="24"/>
          <w:szCs w:val="24"/>
        </w:rPr>
        <w:t> </w:t>
      </w:r>
    </w:p>
    <w:sectPr w:rsidR="00D90702" w:rsidRPr="00220C07" w:rsidSect="005616EF">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1982" w14:textId="77777777" w:rsidR="00E7661B" w:rsidRDefault="00E7661B" w:rsidP="00901B77">
      <w:pPr>
        <w:spacing w:after="0" w:line="240" w:lineRule="auto"/>
      </w:pPr>
      <w:r>
        <w:separator/>
      </w:r>
    </w:p>
  </w:endnote>
  <w:endnote w:type="continuationSeparator" w:id="0">
    <w:p w14:paraId="7B816165" w14:textId="77777777" w:rsidR="00E7661B" w:rsidRDefault="00E7661B" w:rsidP="00901B77">
      <w:pPr>
        <w:spacing w:after="0" w:line="240" w:lineRule="auto"/>
      </w:pPr>
      <w:r>
        <w:continuationSeparator/>
      </w:r>
    </w:p>
  </w:endnote>
  <w:endnote w:id="1">
    <w:p w14:paraId="4A8ADD22" w14:textId="77777777" w:rsidR="003D3B8A" w:rsidRDefault="003D3B8A" w:rsidP="003D3B8A">
      <w:pPr>
        <w:pStyle w:val="EndnoteText"/>
      </w:pPr>
      <w:r>
        <w:rPr>
          <w:rStyle w:val="EndnoteReference"/>
        </w:rPr>
        <w:endnoteRef/>
      </w:r>
      <w:r>
        <w:t xml:space="preserve"> </w:t>
      </w:r>
      <w:r w:rsidRPr="00901B77">
        <w:rPr>
          <w:rFonts w:ascii="Times New Roman" w:hAnsi="Times New Roman" w:cs="Times New Roman"/>
        </w:rPr>
        <w:t>Data for Portugal was only available from the CWED dataset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4D02" w14:textId="77777777" w:rsidR="00E7661B" w:rsidRDefault="00E7661B" w:rsidP="00901B77">
      <w:pPr>
        <w:spacing w:after="0" w:line="240" w:lineRule="auto"/>
      </w:pPr>
      <w:r>
        <w:separator/>
      </w:r>
    </w:p>
  </w:footnote>
  <w:footnote w:type="continuationSeparator" w:id="0">
    <w:p w14:paraId="7E3C5737" w14:textId="77777777" w:rsidR="00E7661B" w:rsidRDefault="00E7661B" w:rsidP="00901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371C0"/>
    <w:multiLevelType w:val="hybridMultilevel"/>
    <w:tmpl w:val="83FCE5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42"/>
    <w:rsid w:val="0001573F"/>
    <w:rsid w:val="000C572B"/>
    <w:rsid w:val="0018497B"/>
    <w:rsid w:val="001A7D20"/>
    <w:rsid w:val="001B6707"/>
    <w:rsid w:val="001F2497"/>
    <w:rsid w:val="00220C07"/>
    <w:rsid w:val="002371FA"/>
    <w:rsid w:val="002439C0"/>
    <w:rsid w:val="002D160B"/>
    <w:rsid w:val="00342E4C"/>
    <w:rsid w:val="00362F86"/>
    <w:rsid w:val="003D3B8A"/>
    <w:rsid w:val="00456D61"/>
    <w:rsid w:val="00457BCD"/>
    <w:rsid w:val="004A1136"/>
    <w:rsid w:val="004C5C1C"/>
    <w:rsid w:val="005616EF"/>
    <w:rsid w:val="005C23BB"/>
    <w:rsid w:val="005D1242"/>
    <w:rsid w:val="005D4ADB"/>
    <w:rsid w:val="00622346"/>
    <w:rsid w:val="006651CD"/>
    <w:rsid w:val="00667C9A"/>
    <w:rsid w:val="00674986"/>
    <w:rsid w:val="00682632"/>
    <w:rsid w:val="00720044"/>
    <w:rsid w:val="00726EF3"/>
    <w:rsid w:val="00746E66"/>
    <w:rsid w:val="007550DB"/>
    <w:rsid w:val="0077293F"/>
    <w:rsid w:val="00774531"/>
    <w:rsid w:val="00795211"/>
    <w:rsid w:val="007B3CE7"/>
    <w:rsid w:val="007E0D27"/>
    <w:rsid w:val="0080053E"/>
    <w:rsid w:val="00812BC1"/>
    <w:rsid w:val="00882E4B"/>
    <w:rsid w:val="008A1276"/>
    <w:rsid w:val="00901B77"/>
    <w:rsid w:val="00924851"/>
    <w:rsid w:val="00946434"/>
    <w:rsid w:val="009F3C93"/>
    <w:rsid w:val="00A00D10"/>
    <w:rsid w:val="00A31F2B"/>
    <w:rsid w:val="00A4221C"/>
    <w:rsid w:val="00AE0FCD"/>
    <w:rsid w:val="00AF6591"/>
    <w:rsid w:val="00BC1BB6"/>
    <w:rsid w:val="00BC403D"/>
    <w:rsid w:val="00BD1B88"/>
    <w:rsid w:val="00BE6420"/>
    <w:rsid w:val="00BF294E"/>
    <w:rsid w:val="00C0659A"/>
    <w:rsid w:val="00C164BF"/>
    <w:rsid w:val="00C17C86"/>
    <w:rsid w:val="00D16E77"/>
    <w:rsid w:val="00D3187C"/>
    <w:rsid w:val="00D560CB"/>
    <w:rsid w:val="00D8090A"/>
    <w:rsid w:val="00D90702"/>
    <w:rsid w:val="00E24AF3"/>
    <w:rsid w:val="00E35FA7"/>
    <w:rsid w:val="00E435E7"/>
    <w:rsid w:val="00E54AD8"/>
    <w:rsid w:val="00E7661B"/>
    <w:rsid w:val="00E938A8"/>
    <w:rsid w:val="00E966CF"/>
    <w:rsid w:val="00F24664"/>
    <w:rsid w:val="00F93D79"/>
    <w:rsid w:val="00FE52D7"/>
    <w:rsid w:val="00FE5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EED8"/>
  <w15:chartTrackingRefBased/>
  <w15:docId w15:val="{750CE5C4-9B61-4BB0-BCC2-9B819C31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12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01B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1B77"/>
    <w:rPr>
      <w:sz w:val="20"/>
      <w:szCs w:val="20"/>
    </w:rPr>
  </w:style>
  <w:style w:type="character" w:styleId="EndnoteReference">
    <w:name w:val="endnote reference"/>
    <w:basedOn w:val="DefaultParagraphFont"/>
    <w:uiPriority w:val="99"/>
    <w:semiHidden/>
    <w:unhideWhenUsed/>
    <w:rsid w:val="00901B77"/>
    <w:rPr>
      <w:vertAlign w:val="superscript"/>
    </w:rPr>
  </w:style>
  <w:style w:type="character" w:styleId="CommentReference">
    <w:name w:val="annotation reference"/>
    <w:basedOn w:val="DefaultParagraphFont"/>
    <w:uiPriority w:val="99"/>
    <w:semiHidden/>
    <w:unhideWhenUsed/>
    <w:rsid w:val="00E24AF3"/>
    <w:rPr>
      <w:sz w:val="16"/>
      <w:szCs w:val="16"/>
    </w:rPr>
  </w:style>
  <w:style w:type="paragraph" w:styleId="CommentText">
    <w:name w:val="annotation text"/>
    <w:basedOn w:val="Normal"/>
    <w:link w:val="CommentTextChar"/>
    <w:uiPriority w:val="99"/>
    <w:semiHidden/>
    <w:unhideWhenUsed/>
    <w:rsid w:val="00E24AF3"/>
    <w:pPr>
      <w:spacing w:line="240" w:lineRule="auto"/>
    </w:pPr>
    <w:rPr>
      <w:sz w:val="20"/>
      <w:szCs w:val="20"/>
    </w:rPr>
  </w:style>
  <w:style w:type="character" w:customStyle="1" w:styleId="CommentTextChar">
    <w:name w:val="Comment Text Char"/>
    <w:basedOn w:val="DefaultParagraphFont"/>
    <w:link w:val="CommentText"/>
    <w:uiPriority w:val="99"/>
    <w:semiHidden/>
    <w:rsid w:val="00E24AF3"/>
    <w:rPr>
      <w:sz w:val="20"/>
      <w:szCs w:val="20"/>
    </w:rPr>
  </w:style>
  <w:style w:type="paragraph" w:styleId="CommentSubject">
    <w:name w:val="annotation subject"/>
    <w:basedOn w:val="CommentText"/>
    <w:next w:val="CommentText"/>
    <w:link w:val="CommentSubjectChar"/>
    <w:uiPriority w:val="99"/>
    <w:semiHidden/>
    <w:unhideWhenUsed/>
    <w:rsid w:val="00E24AF3"/>
    <w:rPr>
      <w:b/>
      <w:bCs/>
    </w:rPr>
  </w:style>
  <w:style w:type="character" w:customStyle="1" w:styleId="CommentSubjectChar">
    <w:name w:val="Comment Subject Char"/>
    <w:basedOn w:val="CommentTextChar"/>
    <w:link w:val="CommentSubject"/>
    <w:uiPriority w:val="99"/>
    <w:semiHidden/>
    <w:rsid w:val="00E24AF3"/>
    <w:rPr>
      <w:b/>
      <w:bCs/>
      <w:sz w:val="20"/>
      <w:szCs w:val="20"/>
    </w:rPr>
  </w:style>
  <w:style w:type="paragraph" w:styleId="BalloonText">
    <w:name w:val="Balloon Text"/>
    <w:basedOn w:val="Normal"/>
    <w:link w:val="BalloonTextChar"/>
    <w:uiPriority w:val="99"/>
    <w:semiHidden/>
    <w:unhideWhenUsed/>
    <w:rsid w:val="00E24A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4AF3"/>
    <w:rPr>
      <w:rFonts w:ascii="Times New Roman" w:hAnsi="Times New Roman" w:cs="Times New Roman"/>
      <w:sz w:val="18"/>
      <w:szCs w:val="18"/>
    </w:rPr>
  </w:style>
  <w:style w:type="table" w:styleId="TableGrid">
    <w:name w:val="Table Grid"/>
    <w:basedOn w:val="TableNormal"/>
    <w:uiPriority w:val="39"/>
    <w:rsid w:val="0079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994">
      <w:bodyDiv w:val="1"/>
      <w:marLeft w:val="0"/>
      <w:marRight w:val="0"/>
      <w:marTop w:val="0"/>
      <w:marBottom w:val="0"/>
      <w:divBdr>
        <w:top w:val="none" w:sz="0" w:space="0" w:color="auto"/>
        <w:left w:val="none" w:sz="0" w:space="0" w:color="auto"/>
        <w:bottom w:val="none" w:sz="0" w:space="0" w:color="auto"/>
        <w:right w:val="none" w:sz="0" w:space="0" w:color="auto"/>
      </w:divBdr>
    </w:div>
    <w:div w:id="390540789">
      <w:bodyDiv w:val="1"/>
      <w:marLeft w:val="0"/>
      <w:marRight w:val="0"/>
      <w:marTop w:val="0"/>
      <w:marBottom w:val="0"/>
      <w:divBdr>
        <w:top w:val="none" w:sz="0" w:space="0" w:color="auto"/>
        <w:left w:val="none" w:sz="0" w:space="0" w:color="auto"/>
        <w:bottom w:val="none" w:sz="0" w:space="0" w:color="auto"/>
        <w:right w:val="none" w:sz="0" w:space="0" w:color="auto"/>
      </w:divBdr>
    </w:div>
    <w:div w:id="599994902">
      <w:bodyDiv w:val="1"/>
      <w:marLeft w:val="0"/>
      <w:marRight w:val="0"/>
      <w:marTop w:val="0"/>
      <w:marBottom w:val="0"/>
      <w:divBdr>
        <w:top w:val="none" w:sz="0" w:space="0" w:color="auto"/>
        <w:left w:val="none" w:sz="0" w:space="0" w:color="auto"/>
        <w:bottom w:val="none" w:sz="0" w:space="0" w:color="auto"/>
        <w:right w:val="none" w:sz="0" w:space="0" w:color="auto"/>
      </w:divBdr>
    </w:div>
    <w:div w:id="1001856505">
      <w:bodyDiv w:val="1"/>
      <w:marLeft w:val="0"/>
      <w:marRight w:val="0"/>
      <w:marTop w:val="0"/>
      <w:marBottom w:val="0"/>
      <w:divBdr>
        <w:top w:val="none" w:sz="0" w:space="0" w:color="auto"/>
        <w:left w:val="none" w:sz="0" w:space="0" w:color="auto"/>
        <w:bottom w:val="none" w:sz="0" w:space="0" w:color="auto"/>
        <w:right w:val="none" w:sz="0" w:space="0" w:color="auto"/>
      </w:divBdr>
    </w:div>
    <w:div w:id="1651136958">
      <w:bodyDiv w:val="1"/>
      <w:marLeft w:val="0"/>
      <w:marRight w:val="0"/>
      <w:marTop w:val="0"/>
      <w:marBottom w:val="0"/>
      <w:divBdr>
        <w:top w:val="none" w:sz="0" w:space="0" w:color="auto"/>
        <w:left w:val="none" w:sz="0" w:space="0" w:color="auto"/>
        <w:bottom w:val="none" w:sz="0" w:space="0" w:color="auto"/>
        <w:right w:val="none" w:sz="0" w:space="0" w:color="auto"/>
      </w:divBdr>
    </w:div>
    <w:div w:id="1997415057">
      <w:bodyDiv w:val="1"/>
      <w:marLeft w:val="0"/>
      <w:marRight w:val="0"/>
      <w:marTop w:val="0"/>
      <w:marBottom w:val="0"/>
      <w:divBdr>
        <w:top w:val="none" w:sz="0" w:space="0" w:color="auto"/>
        <w:left w:val="none" w:sz="0" w:space="0" w:color="auto"/>
        <w:bottom w:val="none" w:sz="0" w:space="0" w:color="auto"/>
        <w:right w:val="none" w:sz="0" w:space="0" w:color="auto"/>
      </w:divBdr>
    </w:div>
    <w:div w:id="2131706030">
      <w:bodyDiv w:val="1"/>
      <w:marLeft w:val="0"/>
      <w:marRight w:val="0"/>
      <w:marTop w:val="0"/>
      <w:marBottom w:val="0"/>
      <w:divBdr>
        <w:top w:val="none" w:sz="0" w:space="0" w:color="auto"/>
        <w:left w:val="none" w:sz="0" w:space="0" w:color="auto"/>
        <w:bottom w:val="none" w:sz="0" w:space="0" w:color="auto"/>
        <w:right w:val="none" w:sz="0" w:space="0" w:color="auto"/>
      </w:divBdr>
      <w:divsChild>
        <w:div w:id="1788350075">
          <w:marLeft w:val="0"/>
          <w:marRight w:val="0"/>
          <w:marTop w:val="0"/>
          <w:marBottom w:val="0"/>
          <w:divBdr>
            <w:top w:val="none" w:sz="0" w:space="0" w:color="auto"/>
            <w:left w:val="none" w:sz="0" w:space="0" w:color="auto"/>
            <w:bottom w:val="none" w:sz="0" w:space="0" w:color="auto"/>
            <w:right w:val="none" w:sz="0" w:space="0" w:color="auto"/>
          </w:divBdr>
        </w:div>
        <w:div w:id="226307901">
          <w:marLeft w:val="0"/>
          <w:marRight w:val="0"/>
          <w:marTop w:val="0"/>
          <w:marBottom w:val="0"/>
          <w:divBdr>
            <w:top w:val="none" w:sz="0" w:space="0" w:color="auto"/>
            <w:left w:val="none" w:sz="0" w:space="0" w:color="auto"/>
            <w:bottom w:val="none" w:sz="0" w:space="0" w:color="auto"/>
            <w:right w:val="none" w:sz="0" w:space="0" w:color="auto"/>
          </w:divBdr>
        </w:div>
        <w:div w:id="1013918407">
          <w:marLeft w:val="0"/>
          <w:marRight w:val="0"/>
          <w:marTop w:val="0"/>
          <w:marBottom w:val="0"/>
          <w:divBdr>
            <w:top w:val="none" w:sz="0" w:space="0" w:color="auto"/>
            <w:left w:val="none" w:sz="0" w:space="0" w:color="auto"/>
            <w:bottom w:val="none" w:sz="0" w:space="0" w:color="auto"/>
            <w:right w:val="none" w:sz="0" w:space="0" w:color="auto"/>
          </w:divBdr>
        </w:div>
        <w:div w:id="413938266">
          <w:marLeft w:val="0"/>
          <w:marRight w:val="0"/>
          <w:marTop w:val="0"/>
          <w:marBottom w:val="0"/>
          <w:divBdr>
            <w:top w:val="none" w:sz="0" w:space="0" w:color="auto"/>
            <w:left w:val="none" w:sz="0" w:space="0" w:color="auto"/>
            <w:bottom w:val="none" w:sz="0" w:space="0" w:color="auto"/>
            <w:right w:val="none" w:sz="0" w:space="0" w:color="auto"/>
          </w:divBdr>
        </w:div>
        <w:div w:id="973169964">
          <w:marLeft w:val="0"/>
          <w:marRight w:val="0"/>
          <w:marTop w:val="0"/>
          <w:marBottom w:val="0"/>
          <w:divBdr>
            <w:top w:val="none" w:sz="0" w:space="0" w:color="auto"/>
            <w:left w:val="none" w:sz="0" w:space="0" w:color="auto"/>
            <w:bottom w:val="none" w:sz="0" w:space="0" w:color="auto"/>
            <w:right w:val="none" w:sz="0" w:space="0" w:color="auto"/>
          </w:divBdr>
        </w:div>
        <w:div w:id="1016611317">
          <w:marLeft w:val="0"/>
          <w:marRight w:val="0"/>
          <w:marTop w:val="0"/>
          <w:marBottom w:val="0"/>
          <w:divBdr>
            <w:top w:val="none" w:sz="0" w:space="0" w:color="auto"/>
            <w:left w:val="none" w:sz="0" w:space="0" w:color="auto"/>
            <w:bottom w:val="none" w:sz="0" w:space="0" w:color="auto"/>
            <w:right w:val="none" w:sz="0" w:space="0" w:color="auto"/>
          </w:divBdr>
          <w:divsChild>
            <w:div w:id="796991165">
              <w:marLeft w:val="0"/>
              <w:marRight w:val="0"/>
              <w:marTop w:val="0"/>
              <w:marBottom w:val="0"/>
              <w:divBdr>
                <w:top w:val="none" w:sz="0" w:space="0" w:color="auto"/>
                <w:left w:val="none" w:sz="0" w:space="0" w:color="auto"/>
                <w:bottom w:val="none" w:sz="0" w:space="0" w:color="auto"/>
                <w:right w:val="none" w:sz="0" w:space="0" w:color="auto"/>
              </w:divBdr>
              <w:divsChild>
                <w:div w:id="1861235763">
                  <w:marLeft w:val="0"/>
                  <w:marRight w:val="0"/>
                  <w:marTop w:val="0"/>
                  <w:marBottom w:val="0"/>
                  <w:divBdr>
                    <w:top w:val="none" w:sz="0" w:space="0" w:color="auto"/>
                    <w:left w:val="none" w:sz="0" w:space="0" w:color="auto"/>
                    <w:bottom w:val="none" w:sz="0" w:space="0" w:color="auto"/>
                    <w:right w:val="none" w:sz="0" w:space="0" w:color="auto"/>
                  </w:divBdr>
                  <w:divsChild>
                    <w:div w:id="1966767366">
                      <w:marLeft w:val="0"/>
                      <w:marRight w:val="0"/>
                      <w:marTop w:val="0"/>
                      <w:marBottom w:val="0"/>
                      <w:divBdr>
                        <w:top w:val="none" w:sz="0" w:space="0" w:color="auto"/>
                        <w:left w:val="none" w:sz="0" w:space="0" w:color="auto"/>
                        <w:bottom w:val="none" w:sz="0" w:space="0" w:color="auto"/>
                        <w:right w:val="none" w:sz="0" w:space="0" w:color="auto"/>
                      </w:divBdr>
                      <w:divsChild>
                        <w:div w:id="117263101">
                          <w:marLeft w:val="0"/>
                          <w:marRight w:val="0"/>
                          <w:marTop w:val="0"/>
                          <w:marBottom w:val="0"/>
                          <w:divBdr>
                            <w:top w:val="none" w:sz="0" w:space="0" w:color="auto"/>
                            <w:left w:val="none" w:sz="0" w:space="0" w:color="auto"/>
                            <w:bottom w:val="none" w:sz="0" w:space="0" w:color="auto"/>
                            <w:right w:val="none" w:sz="0" w:space="0" w:color="auto"/>
                          </w:divBdr>
                          <w:divsChild>
                            <w:div w:id="236477400">
                              <w:marLeft w:val="0"/>
                              <w:marRight w:val="0"/>
                              <w:marTop w:val="0"/>
                              <w:marBottom w:val="0"/>
                              <w:divBdr>
                                <w:top w:val="none" w:sz="0" w:space="0" w:color="auto"/>
                                <w:left w:val="none" w:sz="0" w:space="0" w:color="auto"/>
                                <w:bottom w:val="none" w:sz="0" w:space="0" w:color="auto"/>
                                <w:right w:val="none" w:sz="0" w:space="0" w:color="auto"/>
                              </w:divBdr>
                              <w:divsChild>
                                <w:div w:id="1844590426">
                                  <w:marLeft w:val="0"/>
                                  <w:marRight w:val="0"/>
                                  <w:marTop w:val="0"/>
                                  <w:marBottom w:val="0"/>
                                  <w:divBdr>
                                    <w:top w:val="none" w:sz="0" w:space="0" w:color="auto"/>
                                    <w:left w:val="none" w:sz="0" w:space="0" w:color="auto"/>
                                    <w:bottom w:val="none" w:sz="0" w:space="0" w:color="auto"/>
                                    <w:right w:val="none" w:sz="0" w:space="0" w:color="auto"/>
                                  </w:divBdr>
                                  <w:divsChild>
                                    <w:div w:id="64308118">
                                      <w:marLeft w:val="0"/>
                                      <w:marRight w:val="0"/>
                                      <w:marTop w:val="0"/>
                                      <w:marBottom w:val="0"/>
                                      <w:divBdr>
                                        <w:top w:val="none" w:sz="0" w:space="0" w:color="auto"/>
                                        <w:left w:val="none" w:sz="0" w:space="0" w:color="auto"/>
                                        <w:bottom w:val="none" w:sz="0" w:space="0" w:color="auto"/>
                                        <w:right w:val="none" w:sz="0" w:space="0" w:color="auto"/>
                                      </w:divBdr>
                                      <w:divsChild>
                                        <w:div w:id="1949698706">
                                          <w:marLeft w:val="0"/>
                                          <w:marRight w:val="0"/>
                                          <w:marTop w:val="0"/>
                                          <w:marBottom w:val="0"/>
                                          <w:divBdr>
                                            <w:top w:val="none" w:sz="0" w:space="0" w:color="auto"/>
                                            <w:left w:val="none" w:sz="0" w:space="0" w:color="auto"/>
                                            <w:bottom w:val="none" w:sz="0" w:space="0" w:color="auto"/>
                                            <w:right w:val="none" w:sz="0" w:space="0" w:color="auto"/>
                                          </w:divBdr>
                                          <w:divsChild>
                                            <w:div w:id="1363287525">
                                              <w:marLeft w:val="0"/>
                                              <w:marRight w:val="0"/>
                                              <w:marTop w:val="0"/>
                                              <w:marBottom w:val="0"/>
                                              <w:divBdr>
                                                <w:top w:val="none" w:sz="0" w:space="0" w:color="auto"/>
                                                <w:left w:val="none" w:sz="0" w:space="0" w:color="auto"/>
                                                <w:bottom w:val="none" w:sz="0" w:space="0" w:color="auto"/>
                                                <w:right w:val="none" w:sz="0" w:space="0" w:color="auto"/>
                                              </w:divBdr>
                                              <w:divsChild>
                                                <w:div w:id="1495100018">
                                                  <w:marLeft w:val="0"/>
                                                  <w:marRight w:val="0"/>
                                                  <w:marTop w:val="0"/>
                                                  <w:marBottom w:val="0"/>
                                                  <w:divBdr>
                                                    <w:top w:val="none" w:sz="0" w:space="0" w:color="auto"/>
                                                    <w:left w:val="none" w:sz="0" w:space="0" w:color="auto"/>
                                                    <w:bottom w:val="none" w:sz="0" w:space="0" w:color="auto"/>
                                                    <w:right w:val="none" w:sz="0" w:space="0" w:color="auto"/>
                                                  </w:divBdr>
                                                  <w:divsChild>
                                                    <w:div w:id="975601331">
                                                      <w:marLeft w:val="0"/>
                                                      <w:marRight w:val="0"/>
                                                      <w:marTop w:val="0"/>
                                                      <w:marBottom w:val="0"/>
                                                      <w:divBdr>
                                                        <w:top w:val="none" w:sz="0" w:space="0" w:color="auto"/>
                                                        <w:left w:val="none" w:sz="0" w:space="0" w:color="auto"/>
                                                        <w:bottom w:val="none" w:sz="0" w:space="0" w:color="auto"/>
                                                        <w:right w:val="none" w:sz="0" w:space="0" w:color="auto"/>
                                                      </w:divBdr>
                                                      <w:divsChild>
                                                        <w:div w:id="46994381">
                                                          <w:marLeft w:val="0"/>
                                                          <w:marRight w:val="0"/>
                                                          <w:marTop w:val="0"/>
                                                          <w:marBottom w:val="0"/>
                                                          <w:divBdr>
                                                            <w:top w:val="none" w:sz="0" w:space="0" w:color="auto"/>
                                                            <w:left w:val="none" w:sz="0" w:space="0" w:color="auto"/>
                                                            <w:bottom w:val="none" w:sz="0" w:space="0" w:color="auto"/>
                                                            <w:right w:val="none" w:sz="0" w:space="0" w:color="auto"/>
                                                          </w:divBdr>
                                                          <w:divsChild>
                                                            <w:div w:id="66929115">
                                                              <w:marLeft w:val="0"/>
                                                              <w:marRight w:val="0"/>
                                                              <w:marTop w:val="0"/>
                                                              <w:marBottom w:val="0"/>
                                                              <w:divBdr>
                                                                <w:top w:val="none" w:sz="0" w:space="0" w:color="auto"/>
                                                                <w:left w:val="none" w:sz="0" w:space="0" w:color="auto"/>
                                                                <w:bottom w:val="none" w:sz="0" w:space="0" w:color="auto"/>
                                                                <w:right w:val="none" w:sz="0" w:space="0" w:color="auto"/>
                                                              </w:divBdr>
                                                              <w:divsChild>
                                                                <w:div w:id="317922733">
                                                                  <w:marLeft w:val="0"/>
                                                                  <w:marRight w:val="0"/>
                                                                  <w:marTop w:val="0"/>
                                                                  <w:marBottom w:val="0"/>
                                                                  <w:divBdr>
                                                                    <w:top w:val="none" w:sz="0" w:space="0" w:color="auto"/>
                                                                    <w:left w:val="none" w:sz="0" w:space="0" w:color="auto"/>
                                                                    <w:bottom w:val="none" w:sz="0" w:space="0" w:color="auto"/>
                                                                    <w:right w:val="none" w:sz="0" w:space="0" w:color="auto"/>
                                                                  </w:divBdr>
                                                                  <w:divsChild>
                                                                    <w:div w:id="579022318">
                                                                      <w:marLeft w:val="0"/>
                                                                      <w:marRight w:val="0"/>
                                                                      <w:marTop w:val="0"/>
                                                                      <w:marBottom w:val="0"/>
                                                                      <w:divBdr>
                                                                        <w:top w:val="none" w:sz="0" w:space="0" w:color="auto"/>
                                                                        <w:left w:val="none" w:sz="0" w:space="0" w:color="auto"/>
                                                                        <w:bottom w:val="none" w:sz="0" w:space="0" w:color="auto"/>
                                                                        <w:right w:val="none" w:sz="0" w:space="0" w:color="auto"/>
                                                                      </w:divBdr>
                                                                      <w:divsChild>
                                                                        <w:div w:id="2114008405">
                                                                          <w:marLeft w:val="0"/>
                                                                          <w:marRight w:val="0"/>
                                                                          <w:marTop w:val="0"/>
                                                                          <w:marBottom w:val="0"/>
                                                                          <w:divBdr>
                                                                            <w:top w:val="none" w:sz="0" w:space="0" w:color="auto"/>
                                                                            <w:left w:val="none" w:sz="0" w:space="0" w:color="auto"/>
                                                                            <w:bottom w:val="none" w:sz="0" w:space="0" w:color="auto"/>
                                                                            <w:right w:val="none" w:sz="0" w:space="0" w:color="auto"/>
                                                                          </w:divBdr>
                                                                          <w:divsChild>
                                                                            <w:div w:id="1569801541">
                                                                              <w:marLeft w:val="0"/>
                                                                              <w:marRight w:val="0"/>
                                                                              <w:marTop w:val="0"/>
                                                                              <w:marBottom w:val="0"/>
                                                                              <w:divBdr>
                                                                                <w:top w:val="none" w:sz="0" w:space="0" w:color="auto"/>
                                                                                <w:left w:val="none" w:sz="0" w:space="0" w:color="auto"/>
                                                                                <w:bottom w:val="none" w:sz="0" w:space="0" w:color="auto"/>
                                                                                <w:right w:val="none" w:sz="0" w:space="0" w:color="auto"/>
                                                                              </w:divBdr>
                                                                              <w:divsChild>
                                                                                <w:div w:id="649407667">
                                                                                  <w:marLeft w:val="0"/>
                                                                                  <w:marRight w:val="0"/>
                                                                                  <w:marTop w:val="0"/>
                                                                                  <w:marBottom w:val="0"/>
                                                                                  <w:divBdr>
                                                                                    <w:top w:val="none" w:sz="0" w:space="0" w:color="auto"/>
                                                                                    <w:left w:val="none" w:sz="0" w:space="0" w:color="auto"/>
                                                                                    <w:bottom w:val="none" w:sz="0" w:space="0" w:color="auto"/>
                                                                                    <w:right w:val="none" w:sz="0" w:space="0" w:color="auto"/>
                                                                                  </w:divBdr>
                                                                                  <w:divsChild>
                                                                                    <w:div w:id="666398549">
                                                                                      <w:marLeft w:val="0"/>
                                                                                      <w:marRight w:val="0"/>
                                                                                      <w:marTop w:val="0"/>
                                                                                      <w:marBottom w:val="0"/>
                                                                                      <w:divBdr>
                                                                                        <w:top w:val="none" w:sz="0" w:space="0" w:color="auto"/>
                                                                                        <w:left w:val="none" w:sz="0" w:space="0" w:color="auto"/>
                                                                                        <w:bottom w:val="none" w:sz="0" w:space="0" w:color="auto"/>
                                                                                        <w:right w:val="none" w:sz="0" w:space="0" w:color="auto"/>
                                                                                      </w:divBdr>
                                                                                      <w:divsChild>
                                                                                        <w:div w:id="240870545">
                                                                                          <w:marLeft w:val="0"/>
                                                                                          <w:marRight w:val="0"/>
                                                                                          <w:marTop w:val="0"/>
                                                                                          <w:marBottom w:val="0"/>
                                                                                          <w:divBdr>
                                                                                            <w:top w:val="none" w:sz="0" w:space="0" w:color="auto"/>
                                                                                            <w:left w:val="none" w:sz="0" w:space="0" w:color="auto"/>
                                                                                            <w:bottom w:val="none" w:sz="0" w:space="0" w:color="auto"/>
                                                                                            <w:right w:val="none" w:sz="0" w:space="0" w:color="auto"/>
                                                                                          </w:divBdr>
                                                                                          <w:divsChild>
                                                                                            <w:div w:id="1356617164">
                                                                                              <w:marLeft w:val="0"/>
                                                                                              <w:marRight w:val="0"/>
                                                                                              <w:marTop w:val="0"/>
                                                                                              <w:marBottom w:val="0"/>
                                                                                              <w:divBdr>
                                                                                                <w:top w:val="none" w:sz="0" w:space="0" w:color="auto"/>
                                                                                                <w:left w:val="none" w:sz="0" w:space="0" w:color="auto"/>
                                                                                                <w:bottom w:val="none" w:sz="0" w:space="0" w:color="auto"/>
                                                                                                <w:right w:val="none" w:sz="0" w:space="0" w:color="auto"/>
                                                                                              </w:divBdr>
                                                                                              <w:divsChild>
                                                                                                <w:div w:id="396519310">
                                                                                                  <w:marLeft w:val="0"/>
                                                                                                  <w:marRight w:val="0"/>
                                                                                                  <w:marTop w:val="0"/>
                                                                                                  <w:marBottom w:val="0"/>
                                                                                                  <w:divBdr>
                                                                                                    <w:top w:val="none" w:sz="0" w:space="0" w:color="auto"/>
                                                                                                    <w:left w:val="none" w:sz="0" w:space="0" w:color="auto"/>
                                                                                                    <w:bottom w:val="none" w:sz="0" w:space="0" w:color="auto"/>
                                                                                                    <w:right w:val="none" w:sz="0" w:space="0" w:color="auto"/>
                                                                                                  </w:divBdr>
                                                                                                  <w:divsChild>
                                                                                                    <w:div w:id="351033641">
                                                                                                      <w:marLeft w:val="0"/>
                                                                                                      <w:marRight w:val="0"/>
                                                                                                      <w:marTop w:val="0"/>
                                                                                                      <w:marBottom w:val="0"/>
                                                                                                      <w:divBdr>
                                                                                                        <w:top w:val="none" w:sz="0" w:space="0" w:color="auto"/>
                                                                                                        <w:left w:val="none" w:sz="0" w:space="0" w:color="auto"/>
                                                                                                        <w:bottom w:val="none" w:sz="0" w:space="0" w:color="auto"/>
                                                                                                        <w:right w:val="none" w:sz="0" w:space="0" w:color="auto"/>
                                                                                                      </w:divBdr>
                                                                                                      <w:divsChild>
                                                                                                        <w:div w:id="359865593">
                                                                                                          <w:marLeft w:val="0"/>
                                                                                                          <w:marRight w:val="0"/>
                                                                                                          <w:marTop w:val="0"/>
                                                                                                          <w:marBottom w:val="0"/>
                                                                                                          <w:divBdr>
                                                                                                            <w:top w:val="none" w:sz="0" w:space="0" w:color="auto"/>
                                                                                                            <w:left w:val="none" w:sz="0" w:space="0" w:color="auto"/>
                                                                                                            <w:bottom w:val="none" w:sz="0" w:space="0" w:color="auto"/>
                                                                                                            <w:right w:val="none" w:sz="0" w:space="0" w:color="auto"/>
                                                                                                          </w:divBdr>
                                                                                                          <w:divsChild>
                                                                                                            <w:div w:id="729697830">
                                                                                                              <w:marLeft w:val="0"/>
                                                                                                              <w:marRight w:val="0"/>
                                                                                                              <w:marTop w:val="0"/>
                                                                                                              <w:marBottom w:val="0"/>
                                                                                                              <w:divBdr>
                                                                                                                <w:top w:val="none" w:sz="0" w:space="0" w:color="auto"/>
                                                                                                                <w:left w:val="none" w:sz="0" w:space="0" w:color="auto"/>
                                                                                                                <w:bottom w:val="none" w:sz="0" w:space="0" w:color="auto"/>
                                                                                                                <w:right w:val="none" w:sz="0" w:space="0" w:color="auto"/>
                                                                                                              </w:divBdr>
                                                                                                              <w:divsChild>
                                                                                                                <w:div w:id="1568882713">
                                                                                                                  <w:marLeft w:val="0"/>
                                                                                                                  <w:marRight w:val="0"/>
                                                                                                                  <w:marTop w:val="0"/>
                                                                                                                  <w:marBottom w:val="0"/>
                                                                                                                  <w:divBdr>
                                                                                                                    <w:top w:val="none" w:sz="0" w:space="0" w:color="auto"/>
                                                                                                                    <w:left w:val="none" w:sz="0" w:space="0" w:color="auto"/>
                                                                                                                    <w:bottom w:val="none" w:sz="0" w:space="0" w:color="auto"/>
                                                                                                                    <w:right w:val="none" w:sz="0" w:space="0" w:color="auto"/>
                                                                                                                  </w:divBdr>
                                                                                                                  <w:divsChild>
                                                                                                                    <w:div w:id="17500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8BB5-FB1C-4C8C-B921-7B520F23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Bridgen P.D.</dc:creator>
  <cp:keywords/>
  <dc:description/>
  <cp:lastModifiedBy>SLF</cp:lastModifiedBy>
  <cp:revision>4</cp:revision>
  <dcterms:created xsi:type="dcterms:W3CDTF">2021-04-20T12:17:00Z</dcterms:created>
  <dcterms:modified xsi:type="dcterms:W3CDTF">2021-11-29T11:30:00Z</dcterms:modified>
</cp:coreProperties>
</file>