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173B" w14:textId="77777777" w:rsidR="00973E10" w:rsidRPr="006E5A00" w:rsidRDefault="00973E10" w:rsidP="007C3584">
      <w:pPr>
        <w:autoSpaceDE w:val="0"/>
        <w:autoSpaceDN w:val="0"/>
        <w:adjustRightInd w:val="0"/>
        <w:jc w:val="center"/>
        <w:rPr>
          <w:rStyle w:val="Hyperlink"/>
          <w:b/>
          <w:color w:val="000000"/>
          <w:sz w:val="32"/>
          <w:szCs w:val="32"/>
          <w:u w:val="none"/>
        </w:rPr>
      </w:pPr>
      <w:r w:rsidRPr="005555EB">
        <w:rPr>
          <w:rStyle w:val="Hyperlink"/>
          <w:b/>
          <w:color w:val="000000"/>
          <w:sz w:val="32"/>
          <w:szCs w:val="32"/>
          <w:u w:val="none"/>
        </w:rPr>
        <w:t>Online A</w:t>
      </w:r>
      <w:r w:rsidRPr="006E5A00">
        <w:rPr>
          <w:rStyle w:val="Hyperlink"/>
          <w:b/>
          <w:color w:val="000000"/>
          <w:sz w:val="32"/>
          <w:szCs w:val="32"/>
          <w:u w:val="none"/>
        </w:rPr>
        <w:t>ppendix</w:t>
      </w:r>
    </w:p>
    <w:p w14:paraId="377BEE87" w14:textId="77777777" w:rsidR="00D26CD6" w:rsidRPr="006E5A00" w:rsidRDefault="00D26CD6" w:rsidP="00973E10">
      <w:pPr>
        <w:autoSpaceDE w:val="0"/>
        <w:autoSpaceDN w:val="0"/>
        <w:adjustRightInd w:val="0"/>
        <w:rPr>
          <w:rStyle w:val="Hyperlink"/>
          <w:color w:val="000000"/>
          <w:u w:val="none"/>
        </w:rPr>
      </w:pPr>
    </w:p>
    <w:p w14:paraId="287A7E72" w14:textId="77777777" w:rsidR="00B743F8" w:rsidRPr="006E5A00" w:rsidRDefault="00B743F8" w:rsidP="00B743F8">
      <w:pPr>
        <w:autoSpaceDE w:val="0"/>
        <w:autoSpaceDN w:val="0"/>
        <w:adjustRightInd w:val="0"/>
        <w:rPr>
          <w:rStyle w:val="Hyperlink"/>
          <w:b/>
          <w:color w:val="000000"/>
        </w:rPr>
      </w:pPr>
      <w:r w:rsidRPr="006E5A00">
        <w:rPr>
          <w:rStyle w:val="Hyperlink"/>
          <w:b/>
          <w:color w:val="000000"/>
        </w:rPr>
        <w:t>Summary Statistics</w:t>
      </w:r>
    </w:p>
    <w:p w14:paraId="7E51A73D" w14:textId="77777777" w:rsidR="00B743F8" w:rsidRPr="006E5A00" w:rsidRDefault="00B743F8" w:rsidP="00B743F8">
      <w:pPr>
        <w:autoSpaceDE w:val="0"/>
        <w:autoSpaceDN w:val="0"/>
        <w:adjustRightInd w:val="0"/>
        <w:rPr>
          <w:rStyle w:val="Hyperlink"/>
          <w:color w:val="000000"/>
          <w:u w:val="none"/>
        </w:rPr>
      </w:pPr>
    </w:p>
    <w:p w14:paraId="1D89C879" w14:textId="77777777" w:rsidR="00B743F8" w:rsidRPr="006E5A00" w:rsidRDefault="005A2E2D" w:rsidP="00B743F8">
      <w:pPr>
        <w:autoSpaceDE w:val="0"/>
        <w:autoSpaceDN w:val="0"/>
        <w:adjustRightInd w:val="0"/>
        <w:rPr>
          <w:rStyle w:val="Hyperlink"/>
          <w:color w:val="000000"/>
          <w:u w:val="none"/>
        </w:rPr>
      </w:pPr>
      <w:r w:rsidRPr="006E5A00">
        <w:rPr>
          <w:rStyle w:val="Hyperlink"/>
          <w:noProof/>
          <w:color w:val="000000"/>
          <w:u w:val="none"/>
          <w:lang w:val="es-ES" w:eastAsia="es-ES"/>
        </w:rPr>
        <w:drawing>
          <wp:inline distT="0" distB="0" distL="0" distR="0" wp14:anchorId="4410B554" wp14:editId="5009304E">
            <wp:extent cx="6192520" cy="66175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617561"/>
                    </a:xfrm>
                    <a:prstGeom prst="rect">
                      <a:avLst/>
                    </a:prstGeom>
                    <a:noFill/>
                    <a:ln>
                      <a:noFill/>
                    </a:ln>
                  </pic:spPr>
                </pic:pic>
              </a:graphicData>
            </a:graphic>
          </wp:inline>
        </w:drawing>
      </w:r>
    </w:p>
    <w:p w14:paraId="49DC806E" w14:textId="77777777" w:rsidR="00B743F8" w:rsidRPr="006E5A00" w:rsidRDefault="00B743F8" w:rsidP="00B743F8">
      <w:pPr>
        <w:autoSpaceDE w:val="0"/>
        <w:autoSpaceDN w:val="0"/>
        <w:adjustRightInd w:val="0"/>
        <w:rPr>
          <w:rStyle w:val="Hyperlink"/>
          <w:color w:val="000000"/>
          <w:u w:val="none"/>
        </w:rPr>
      </w:pPr>
    </w:p>
    <w:p w14:paraId="2B37D7D3" w14:textId="77777777" w:rsidR="00B743F8" w:rsidRPr="006E5A00" w:rsidRDefault="00B743F8" w:rsidP="00B743F8">
      <w:pPr>
        <w:autoSpaceDE w:val="0"/>
        <w:autoSpaceDN w:val="0"/>
        <w:adjustRightInd w:val="0"/>
        <w:rPr>
          <w:rStyle w:val="Hyperlink"/>
          <w:color w:val="000000"/>
          <w:u w:val="none"/>
        </w:rPr>
      </w:pPr>
      <w:r w:rsidRPr="006E5A00">
        <w:rPr>
          <w:rStyle w:val="Hyperlink"/>
          <w:color w:val="000000"/>
          <w:u w:val="none"/>
        </w:rPr>
        <w:br w:type="page"/>
      </w:r>
    </w:p>
    <w:p w14:paraId="185F87A8" w14:textId="77777777" w:rsidR="00B743F8" w:rsidRPr="006E5A00" w:rsidRDefault="00B743F8" w:rsidP="00B743F8">
      <w:pPr>
        <w:ind w:left="340" w:hanging="340"/>
        <w:jc w:val="both"/>
        <w:rPr>
          <w:rFonts w:cs="Arial"/>
          <w:iCs/>
          <w:color w:val="231F20"/>
          <w:lang w:val="en-US" w:eastAsia="en-US"/>
        </w:rPr>
      </w:pPr>
    </w:p>
    <w:p w14:paraId="23E3EEE1" w14:textId="77777777" w:rsidR="00B743F8" w:rsidRPr="006E5A00" w:rsidRDefault="00B743F8" w:rsidP="00B743F8">
      <w:pPr>
        <w:ind w:left="340" w:hanging="340"/>
        <w:jc w:val="both"/>
        <w:rPr>
          <w:rFonts w:cs="Arial"/>
          <w:b/>
          <w:iCs/>
          <w:color w:val="231F20"/>
          <w:u w:val="single"/>
          <w:lang w:val="en-US" w:eastAsia="en-US"/>
        </w:rPr>
      </w:pPr>
      <w:r w:rsidRPr="006E5A00">
        <w:rPr>
          <w:rFonts w:cs="Arial"/>
          <w:b/>
          <w:iCs/>
          <w:color w:val="231F20"/>
          <w:u w:val="single"/>
          <w:lang w:val="en-US" w:eastAsia="en-US"/>
        </w:rPr>
        <w:t>Correlation Matrix</w:t>
      </w:r>
    </w:p>
    <w:p w14:paraId="7A500613" w14:textId="77777777" w:rsidR="00B743F8" w:rsidRPr="006E5A00" w:rsidRDefault="00B743F8" w:rsidP="00B743F8">
      <w:pPr>
        <w:ind w:left="340" w:hanging="340"/>
        <w:jc w:val="both"/>
        <w:rPr>
          <w:rFonts w:cs="Arial"/>
          <w:iCs/>
          <w:color w:val="231F20"/>
          <w:lang w:val="en-US" w:eastAsia="en-US"/>
        </w:rPr>
      </w:pPr>
    </w:p>
    <w:p w14:paraId="6B060D06" w14:textId="77777777" w:rsidR="00B743F8" w:rsidRPr="006E5A00" w:rsidRDefault="00B743F8" w:rsidP="00B743F8">
      <w:pPr>
        <w:ind w:left="340" w:hanging="340"/>
        <w:jc w:val="both"/>
      </w:pPr>
      <w:r w:rsidRPr="006E5A00">
        <w:rPr>
          <w:noProof/>
          <w:lang w:val="es-ES" w:eastAsia="es-ES"/>
        </w:rPr>
        <w:drawing>
          <wp:inline distT="0" distB="0" distL="0" distR="0" wp14:anchorId="0B8F038B" wp14:editId="0887B1DC">
            <wp:extent cx="6118860" cy="3048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p>
    <w:p w14:paraId="622E7E69" w14:textId="77777777" w:rsidR="00B743F8" w:rsidRPr="006E5A00" w:rsidRDefault="00B743F8" w:rsidP="00B743F8">
      <w:pPr>
        <w:ind w:left="340" w:hanging="340"/>
        <w:jc w:val="both"/>
      </w:pPr>
    </w:p>
    <w:p w14:paraId="2CB47D41" w14:textId="77777777" w:rsidR="00B743F8" w:rsidRPr="006E5A00" w:rsidRDefault="00B743F8" w:rsidP="00B743F8">
      <w:pPr>
        <w:autoSpaceDE w:val="0"/>
        <w:autoSpaceDN w:val="0"/>
        <w:adjustRightInd w:val="0"/>
        <w:rPr>
          <w:rStyle w:val="Hyperlink"/>
          <w:b/>
          <w:color w:val="000000"/>
        </w:rPr>
      </w:pPr>
      <w:r w:rsidRPr="006E5A00">
        <w:rPr>
          <w:rStyle w:val="Hyperlink"/>
          <w:b/>
          <w:color w:val="000000"/>
        </w:rPr>
        <w:t>Vital statistics seasonality comparison Bilbao - Burgos</w:t>
      </w:r>
    </w:p>
    <w:p w14:paraId="2335EACD" w14:textId="77777777" w:rsidR="00B743F8" w:rsidRPr="006E5A00" w:rsidRDefault="00B743F8" w:rsidP="00B743F8">
      <w:pPr>
        <w:autoSpaceDE w:val="0"/>
        <w:autoSpaceDN w:val="0"/>
        <w:adjustRightInd w:val="0"/>
        <w:rPr>
          <w:rFonts w:ascii="Times New Roman" w:hAnsi="Times New Roman" w:cs="Times New Roman"/>
          <w:bCs w:val="0"/>
          <w:color w:val="auto"/>
          <w:sz w:val="20"/>
          <w:lang w:val="en-US" w:eastAsia="es-ES"/>
        </w:rPr>
      </w:pPr>
    </w:p>
    <w:p w14:paraId="667D7930" w14:textId="77777777" w:rsidR="00B743F8" w:rsidRPr="006E5A00" w:rsidRDefault="00B743F8" w:rsidP="00B743F8">
      <w:pPr>
        <w:autoSpaceDE w:val="0"/>
        <w:autoSpaceDN w:val="0"/>
        <w:adjustRightInd w:val="0"/>
        <w:rPr>
          <w:rStyle w:val="Hyperlink"/>
          <w:color w:val="000000"/>
          <w:u w:val="none"/>
        </w:rPr>
      </w:pPr>
      <w:r w:rsidRPr="006E5A00">
        <w:rPr>
          <w:noProof/>
          <w:lang w:val="es-ES" w:eastAsia="es-ES"/>
        </w:rPr>
        <w:drawing>
          <wp:anchor distT="0" distB="0" distL="114300" distR="114300" simplePos="0" relativeHeight="251657216" behindDoc="0" locked="0" layoutInCell="1" allowOverlap="1" wp14:anchorId="58BEE78A" wp14:editId="2EC56FD4">
            <wp:simplePos x="0" y="0"/>
            <wp:positionH relativeFrom="column">
              <wp:posOffset>2962910</wp:posOffset>
            </wp:positionH>
            <wp:positionV relativeFrom="paragraph">
              <wp:posOffset>28575</wp:posOffset>
            </wp:positionV>
            <wp:extent cx="2552700" cy="1688465"/>
            <wp:effectExtent l="0" t="0" r="0" b="698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A00">
        <w:rPr>
          <w:noProof/>
          <w:lang w:val="es-ES" w:eastAsia="es-ES"/>
        </w:rPr>
        <w:drawing>
          <wp:anchor distT="0" distB="0" distL="114300" distR="114300" simplePos="0" relativeHeight="251658240" behindDoc="0" locked="0" layoutInCell="1" allowOverlap="1" wp14:anchorId="675FD18F" wp14:editId="61F747F8">
            <wp:simplePos x="0" y="0"/>
            <wp:positionH relativeFrom="column">
              <wp:posOffset>3810</wp:posOffset>
            </wp:positionH>
            <wp:positionV relativeFrom="paragraph">
              <wp:posOffset>0</wp:posOffset>
            </wp:positionV>
            <wp:extent cx="2679700" cy="1746250"/>
            <wp:effectExtent l="0" t="0" r="6350"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70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F018C" w14:textId="77777777" w:rsidR="00B743F8" w:rsidRPr="006E5A00" w:rsidRDefault="00B743F8" w:rsidP="00B743F8">
      <w:pPr>
        <w:autoSpaceDE w:val="0"/>
        <w:autoSpaceDN w:val="0"/>
        <w:adjustRightInd w:val="0"/>
        <w:rPr>
          <w:rStyle w:val="Hyperlink"/>
          <w:color w:val="000000"/>
          <w:u w:val="none"/>
        </w:rPr>
      </w:pPr>
    </w:p>
    <w:p w14:paraId="4D0B5344" w14:textId="77777777" w:rsidR="00B743F8" w:rsidRPr="006E5A00" w:rsidRDefault="00B743F8" w:rsidP="00B743F8">
      <w:pPr>
        <w:autoSpaceDE w:val="0"/>
        <w:autoSpaceDN w:val="0"/>
        <w:adjustRightInd w:val="0"/>
        <w:rPr>
          <w:rStyle w:val="Hyperlink"/>
          <w:rFonts w:cs="Calibri"/>
          <w:szCs w:val="24"/>
          <w:lang w:val="fr-FR"/>
        </w:rPr>
      </w:pPr>
    </w:p>
    <w:p w14:paraId="468637D6" w14:textId="77777777" w:rsidR="00B743F8" w:rsidRPr="006E5A00" w:rsidRDefault="00B743F8" w:rsidP="00B743F8">
      <w:pPr>
        <w:autoSpaceDE w:val="0"/>
        <w:autoSpaceDN w:val="0"/>
        <w:adjustRightInd w:val="0"/>
        <w:rPr>
          <w:rStyle w:val="Hyperlink"/>
          <w:rFonts w:cs="Calibri"/>
          <w:szCs w:val="24"/>
          <w:lang w:val="fr-FR"/>
        </w:rPr>
      </w:pPr>
    </w:p>
    <w:p w14:paraId="2618E84E" w14:textId="77777777" w:rsidR="00B743F8" w:rsidRPr="006E5A00" w:rsidRDefault="00B743F8" w:rsidP="00B743F8">
      <w:pPr>
        <w:autoSpaceDE w:val="0"/>
        <w:autoSpaceDN w:val="0"/>
        <w:adjustRightInd w:val="0"/>
        <w:rPr>
          <w:rStyle w:val="Hyperlink"/>
          <w:rFonts w:cs="Calibri"/>
          <w:szCs w:val="24"/>
          <w:lang w:val="fr-FR"/>
        </w:rPr>
      </w:pPr>
    </w:p>
    <w:p w14:paraId="2494D0D4" w14:textId="77777777" w:rsidR="00B743F8" w:rsidRPr="006E5A00" w:rsidRDefault="00B743F8" w:rsidP="00B743F8">
      <w:pPr>
        <w:autoSpaceDE w:val="0"/>
        <w:autoSpaceDN w:val="0"/>
        <w:adjustRightInd w:val="0"/>
        <w:rPr>
          <w:rStyle w:val="Hyperlink"/>
          <w:rFonts w:cs="Calibri"/>
          <w:szCs w:val="24"/>
          <w:lang w:val="fr-FR"/>
        </w:rPr>
      </w:pPr>
    </w:p>
    <w:p w14:paraId="7C1C1C58" w14:textId="77777777" w:rsidR="00B743F8" w:rsidRPr="006E5A00" w:rsidRDefault="00B743F8" w:rsidP="00B743F8">
      <w:pPr>
        <w:autoSpaceDE w:val="0"/>
        <w:autoSpaceDN w:val="0"/>
        <w:adjustRightInd w:val="0"/>
        <w:rPr>
          <w:rStyle w:val="Hyperlink"/>
          <w:rFonts w:cs="Calibri"/>
          <w:szCs w:val="24"/>
          <w:lang w:val="fr-FR"/>
        </w:rPr>
      </w:pPr>
    </w:p>
    <w:p w14:paraId="5D78592C" w14:textId="77777777" w:rsidR="00B743F8" w:rsidRPr="006E5A00" w:rsidRDefault="00B743F8" w:rsidP="00B743F8">
      <w:pPr>
        <w:autoSpaceDE w:val="0"/>
        <w:autoSpaceDN w:val="0"/>
        <w:adjustRightInd w:val="0"/>
        <w:rPr>
          <w:rStyle w:val="Hyperlink"/>
          <w:rFonts w:cs="Calibri"/>
          <w:szCs w:val="24"/>
          <w:lang w:val="fr-FR"/>
        </w:rPr>
      </w:pPr>
    </w:p>
    <w:p w14:paraId="6D01DAE7" w14:textId="77777777" w:rsidR="00B743F8" w:rsidRPr="006E5A00" w:rsidRDefault="00B743F8" w:rsidP="00B743F8">
      <w:pPr>
        <w:autoSpaceDE w:val="0"/>
        <w:autoSpaceDN w:val="0"/>
        <w:adjustRightInd w:val="0"/>
        <w:rPr>
          <w:rStyle w:val="Hyperlink"/>
          <w:rFonts w:cs="Calibri"/>
          <w:szCs w:val="24"/>
          <w:lang w:val="fr-FR"/>
        </w:rPr>
      </w:pPr>
    </w:p>
    <w:p w14:paraId="7B37BBA9" w14:textId="77777777" w:rsidR="00A57AD9" w:rsidRDefault="00A57AD9" w:rsidP="0020274C">
      <w:pPr>
        <w:rPr>
          <w:b/>
          <w:u w:val="single"/>
        </w:rPr>
      </w:pPr>
    </w:p>
    <w:p w14:paraId="24274A64" w14:textId="77777777" w:rsidR="0020274C" w:rsidRPr="00A57AD9" w:rsidRDefault="0020274C" w:rsidP="0020274C">
      <w:pPr>
        <w:rPr>
          <w:b/>
          <w:u w:val="single"/>
        </w:rPr>
      </w:pPr>
      <w:r w:rsidRPr="00A57AD9">
        <w:rPr>
          <w:b/>
          <w:u w:val="single"/>
        </w:rPr>
        <w:t>Statistical pre- and post-examination</w:t>
      </w:r>
    </w:p>
    <w:p w14:paraId="125DABE2" w14:textId="77777777" w:rsidR="0020274C" w:rsidRPr="006E5A00" w:rsidRDefault="0020274C" w:rsidP="0020274C">
      <w:pPr>
        <w:ind w:firstLine="340"/>
        <w:jc w:val="both"/>
      </w:pPr>
      <w:r w:rsidRPr="006E5A00">
        <w:t>All variables in logs have been previously tested for stationarity, both in levels and in first difference.</w:t>
      </w:r>
      <w:r w:rsidRPr="006E5A00">
        <w:rPr>
          <w:rStyle w:val="FootnoteReference"/>
        </w:rPr>
        <w:footnoteReference w:id="1"/>
      </w:r>
      <w:r w:rsidRPr="006E5A00">
        <w:t xml:space="preserve"> We have performed two tests to contrast the null hypothesis of a unit root (Augmented-Dickey-Fuller [ADF] and Phillips-Perron [PP] tests) and one test to contrast the null </w:t>
      </w:r>
      <w:r w:rsidRPr="006E5A00">
        <w:lastRenderedPageBreak/>
        <w:t>hypothesis of stationarity (Kwiatkowski, Phillips, Schmidt, and Shin [KPSS] Test). We find that all the log variables are trend stationary</w:t>
      </w:r>
      <w:r w:rsidRPr="006E5A00">
        <w:rPr>
          <w:rStyle w:val="FootnoteReference"/>
        </w:rPr>
        <w:footnoteReference w:id="2"/>
      </w:r>
      <w:r w:rsidRPr="006E5A00">
        <w:t xml:space="preserve"> or their first differences are </w:t>
      </w:r>
      <w:proofErr w:type="gramStart"/>
      <w:r w:rsidRPr="006E5A00">
        <w:t>I[</w:t>
      </w:r>
      <w:proofErr w:type="gramEnd"/>
      <w:r w:rsidRPr="006E5A00">
        <w:t xml:space="preserve">0] integrated respectively. This is a pre-condition for constructing the models shown both in the article and below, and will be helpful, as the coefficients in the distributed lag fits may be interpreted as close proxies to elasticities. </w:t>
      </w:r>
    </w:p>
    <w:p w14:paraId="2E97B081" w14:textId="77777777" w:rsidR="0020274C" w:rsidRPr="007C3584" w:rsidRDefault="0020274C" w:rsidP="0020274C">
      <w:pPr>
        <w:ind w:firstLine="340"/>
        <w:jc w:val="both"/>
      </w:pPr>
    </w:p>
    <w:p w14:paraId="0C5B0F92" w14:textId="77777777" w:rsidR="007C3584" w:rsidRPr="007C3584" w:rsidRDefault="007C3584" w:rsidP="007C3584">
      <w:pPr>
        <w:autoSpaceDE w:val="0"/>
        <w:autoSpaceDN w:val="0"/>
        <w:adjustRightInd w:val="0"/>
        <w:jc w:val="center"/>
      </w:pPr>
      <w:r w:rsidRPr="007C3584">
        <w:t xml:space="preserve">TABLE </w:t>
      </w:r>
      <w:r w:rsidR="002961C7" w:rsidRPr="007C3584">
        <w:t>A</w:t>
      </w:r>
    </w:p>
    <w:p w14:paraId="1C710B30" w14:textId="77777777" w:rsidR="0020274C" w:rsidRPr="007C3584" w:rsidRDefault="0020274C" w:rsidP="007C3584">
      <w:pPr>
        <w:autoSpaceDE w:val="0"/>
        <w:autoSpaceDN w:val="0"/>
        <w:adjustRightInd w:val="0"/>
        <w:jc w:val="center"/>
      </w:pPr>
      <w:r w:rsidRPr="007C3584">
        <w:t>Stationarity tests for detrended birth rates, detrended death rates and detrended real wages. All tes</w:t>
      </w:r>
      <w:r w:rsidR="007C3584" w:rsidRPr="007C3584">
        <w:t>ts in levels and with intercept</w:t>
      </w:r>
    </w:p>
    <w:p w14:paraId="37C6FE4A" w14:textId="77777777" w:rsidR="0020274C" w:rsidRPr="006E5A00" w:rsidRDefault="0020274C" w:rsidP="0020274C">
      <w:pPr>
        <w:jc w:val="center"/>
        <w:rPr>
          <w:b/>
          <w:sz w:val="10"/>
          <w:szCs w:val="10"/>
        </w:rPr>
      </w:pPr>
    </w:p>
    <w:tbl>
      <w:tblPr>
        <w:tblW w:w="0" w:type="auto"/>
        <w:tblLook w:val="04A0" w:firstRow="1" w:lastRow="0" w:firstColumn="1" w:lastColumn="0" w:noHBand="0" w:noVBand="1"/>
      </w:tblPr>
      <w:tblGrid>
        <w:gridCol w:w="2463"/>
        <w:gridCol w:w="2181"/>
        <w:gridCol w:w="1701"/>
        <w:gridCol w:w="3509"/>
      </w:tblGrid>
      <w:tr w:rsidR="0020274C" w:rsidRPr="006E5A00" w14:paraId="6486634B" w14:textId="77777777" w:rsidTr="0020274C">
        <w:tc>
          <w:tcPr>
            <w:tcW w:w="2463" w:type="dxa"/>
            <w:tcBorders>
              <w:top w:val="single" w:sz="12" w:space="0" w:color="auto"/>
              <w:bottom w:val="single" w:sz="8" w:space="0" w:color="auto"/>
            </w:tcBorders>
          </w:tcPr>
          <w:p w14:paraId="68162C28" w14:textId="77777777" w:rsidR="0020274C" w:rsidRPr="006E5A00" w:rsidRDefault="0020274C" w:rsidP="0020274C">
            <w:pPr>
              <w:autoSpaceDE w:val="0"/>
              <w:autoSpaceDN w:val="0"/>
              <w:adjustRightInd w:val="0"/>
              <w:spacing w:before="40" w:after="40"/>
              <w:jc w:val="both"/>
            </w:pPr>
          </w:p>
        </w:tc>
        <w:tc>
          <w:tcPr>
            <w:tcW w:w="2181" w:type="dxa"/>
            <w:tcBorders>
              <w:top w:val="single" w:sz="12" w:space="0" w:color="auto"/>
              <w:bottom w:val="single" w:sz="8" w:space="0" w:color="auto"/>
            </w:tcBorders>
            <w:shd w:val="clear" w:color="auto" w:fill="BFBFBF"/>
          </w:tcPr>
          <w:p w14:paraId="35A8DB1D" w14:textId="77777777" w:rsidR="0020274C" w:rsidRPr="006E5A00" w:rsidRDefault="0020274C" w:rsidP="0020274C">
            <w:pPr>
              <w:autoSpaceDE w:val="0"/>
              <w:autoSpaceDN w:val="0"/>
              <w:adjustRightInd w:val="0"/>
              <w:spacing w:before="40"/>
              <w:jc w:val="center"/>
              <w:rPr>
                <w:b/>
                <w:sz w:val="22"/>
                <w:szCs w:val="22"/>
              </w:rPr>
            </w:pPr>
            <w:proofErr w:type="spellStart"/>
            <w:r w:rsidRPr="006E5A00">
              <w:rPr>
                <w:b/>
                <w:sz w:val="22"/>
                <w:szCs w:val="22"/>
              </w:rPr>
              <w:t>Augm</w:t>
            </w:r>
            <w:proofErr w:type="spellEnd"/>
            <w:r w:rsidRPr="006E5A00">
              <w:rPr>
                <w:b/>
                <w:sz w:val="22"/>
                <w:szCs w:val="22"/>
              </w:rPr>
              <w:t>. Dickey-Fuller</w:t>
            </w:r>
          </w:p>
          <w:p w14:paraId="29EAC68C" w14:textId="77777777" w:rsidR="0020274C" w:rsidRPr="006E5A00" w:rsidRDefault="0020274C" w:rsidP="0020274C">
            <w:pPr>
              <w:autoSpaceDE w:val="0"/>
              <w:autoSpaceDN w:val="0"/>
              <w:adjustRightInd w:val="0"/>
              <w:spacing w:after="40"/>
              <w:jc w:val="center"/>
              <w:rPr>
                <w:b/>
                <w:sz w:val="22"/>
                <w:szCs w:val="22"/>
              </w:rPr>
            </w:pPr>
            <w:r w:rsidRPr="006E5A00">
              <w:rPr>
                <w:b/>
                <w:sz w:val="22"/>
                <w:szCs w:val="22"/>
              </w:rPr>
              <w:t xml:space="preserve">(ADF) </w:t>
            </w:r>
            <w:r w:rsidRPr="006E5A00">
              <w:rPr>
                <w:b/>
                <w:sz w:val="18"/>
                <w:szCs w:val="18"/>
              </w:rPr>
              <w:t>H</w:t>
            </w:r>
            <w:r w:rsidRPr="006E5A00">
              <w:rPr>
                <w:b/>
                <w:sz w:val="18"/>
                <w:szCs w:val="18"/>
                <w:vertAlign w:val="subscript"/>
              </w:rPr>
              <w:t>0</w:t>
            </w:r>
            <w:r w:rsidRPr="006E5A00">
              <w:rPr>
                <w:b/>
                <w:sz w:val="18"/>
                <w:szCs w:val="18"/>
              </w:rPr>
              <w:t>: unit root</w:t>
            </w:r>
          </w:p>
        </w:tc>
        <w:tc>
          <w:tcPr>
            <w:tcW w:w="1701" w:type="dxa"/>
            <w:tcBorders>
              <w:top w:val="single" w:sz="12" w:space="0" w:color="auto"/>
              <w:bottom w:val="single" w:sz="8" w:space="0" w:color="auto"/>
            </w:tcBorders>
            <w:shd w:val="clear" w:color="auto" w:fill="BFBFBF"/>
          </w:tcPr>
          <w:p w14:paraId="2ECFA8A0" w14:textId="77777777" w:rsidR="0020274C" w:rsidRPr="006E5A00" w:rsidRDefault="0020274C" w:rsidP="0020274C">
            <w:pPr>
              <w:autoSpaceDE w:val="0"/>
              <w:autoSpaceDN w:val="0"/>
              <w:adjustRightInd w:val="0"/>
              <w:spacing w:before="40"/>
              <w:jc w:val="center"/>
              <w:rPr>
                <w:b/>
                <w:sz w:val="22"/>
                <w:szCs w:val="22"/>
              </w:rPr>
            </w:pPr>
            <w:r w:rsidRPr="006E5A00">
              <w:rPr>
                <w:b/>
                <w:sz w:val="22"/>
                <w:szCs w:val="22"/>
              </w:rPr>
              <w:t>Phillips-Perron</w:t>
            </w:r>
          </w:p>
          <w:p w14:paraId="6F84CBB4" w14:textId="77777777" w:rsidR="0020274C" w:rsidRPr="006E5A00" w:rsidRDefault="0020274C" w:rsidP="0020274C">
            <w:pPr>
              <w:autoSpaceDE w:val="0"/>
              <w:autoSpaceDN w:val="0"/>
              <w:adjustRightInd w:val="0"/>
              <w:spacing w:after="40"/>
              <w:jc w:val="center"/>
              <w:rPr>
                <w:b/>
                <w:sz w:val="22"/>
                <w:szCs w:val="22"/>
              </w:rPr>
            </w:pPr>
            <w:r w:rsidRPr="006E5A00">
              <w:rPr>
                <w:b/>
                <w:sz w:val="22"/>
                <w:szCs w:val="22"/>
              </w:rPr>
              <w:t xml:space="preserve">(PP) </w:t>
            </w:r>
            <w:r w:rsidRPr="006E5A00">
              <w:rPr>
                <w:b/>
                <w:sz w:val="18"/>
                <w:szCs w:val="18"/>
              </w:rPr>
              <w:t>H</w:t>
            </w:r>
            <w:r w:rsidRPr="006E5A00">
              <w:rPr>
                <w:b/>
                <w:sz w:val="18"/>
                <w:szCs w:val="18"/>
                <w:vertAlign w:val="subscript"/>
              </w:rPr>
              <w:t>0</w:t>
            </w:r>
            <w:r w:rsidRPr="006E5A00">
              <w:rPr>
                <w:b/>
                <w:sz w:val="18"/>
                <w:szCs w:val="18"/>
              </w:rPr>
              <w:t>: unit root</w:t>
            </w:r>
          </w:p>
        </w:tc>
        <w:tc>
          <w:tcPr>
            <w:tcW w:w="3509" w:type="dxa"/>
            <w:tcBorders>
              <w:top w:val="single" w:sz="12" w:space="0" w:color="auto"/>
              <w:bottom w:val="single" w:sz="8" w:space="0" w:color="auto"/>
            </w:tcBorders>
            <w:shd w:val="clear" w:color="auto" w:fill="BFBFBF"/>
          </w:tcPr>
          <w:p w14:paraId="5487A077" w14:textId="77777777" w:rsidR="0020274C" w:rsidRPr="006E5A00" w:rsidRDefault="0020274C" w:rsidP="0020274C">
            <w:pPr>
              <w:autoSpaceDE w:val="0"/>
              <w:autoSpaceDN w:val="0"/>
              <w:adjustRightInd w:val="0"/>
              <w:spacing w:before="40"/>
              <w:jc w:val="center"/>
              <w:rPr>
                <w:b/>
                <w:sz w:val="22"/>
                <w:szCs w:val="22"/>
              </w:rPr>
            </w:pPr>
            <w:r w:rsidRPr="006E5A00">
              <w:rPr>
                <w:b/>
                <w:sz w:val="22"/>
                <w:szCs w:val="22"/>
              </w:rPr>
              <w:t>Kwiatkowski-Phillips-Schmidt-Shin</w:t>
            </w:r>
          </w:p>
          <w:p w14:paraId="7223DA9B" w14:textId="77777777" w:rsidR="0020274C" w:rsidRPr="006E5A00" w:rsidRDefault="0020274C" w:rsidP="0020274C">
            <w:pPr>
              <w:autoSpaceDE w:val="0"/>
              <w:autoSpaceDN w:val="0"/>
              <w:adjustRightInd w:val="0"/>
              <w:spacing w:after="40"/>
              <w:jc w:val="center"/>
              <w:rPr>
                <w:b/>
                <w:sz w:val="22"/>
                <w:szCs w:val="22"/>
              </w:rPr>
            </w:pPr>
            <w:r w:rsidRPr="006E5A00">
              <w:rPr>
                <w:b/>
                <w:sz w:val="22"/>
                <w:szCs w:val="22"/>
              </w:rPr>
              <w:t xml:space="preserve">(KPSS) </w:t>
            </w:r>
            <w:r w:rsidRPr="006E5A00">
              <w:rPr>
                <w:b/>
                <w:sz w:val="18"/>
                <w:szCs w:val="18"/>
              </w:rPr>
              <w:t>H</w:t>
            </w:r>
            <w:r w:rsidRPr="006E5A00">
              <w:rPr>
                <w:b/>
                <w:sz w:val="18"/>
                <w:szCs w:val="18"/>
                <w:vertAlign w:val="subscript"/>
              </w:rPr>
              <w:t>0</w:t>
            </w:r>
            <w:r w:rsidRPr="006E5A00">
              <w:rPr>
                <w:b/>
                <w:sz w:val="18"/>
                <w:szCs w:val="18"/>
              </w:rPr>
              <w:t>: stationarity</w:t>
            </w:r>
          </w:p>
        </w:tc>
      </w:tr>
      <w:tr w:rsidR="0020274C" w:rsidRPr="006E5A00" w14:paraId="606678CA" w14:textId="77777777" w:rsidTr="0020274C">
        <w:tc>
          <w:tcPr>
            <w:tcW w:w="2463" w:type="dxa"/>
            <w:tcBorders>
              <w:top w:val="single" w:sz="8" w:space="0" w:color="auto"/>
            </w:tcBorders>
            <w:vAlign w:val="center"/>
          </w:tcPr>
          <w:p w14:paraId="129C1F2C" w14:textId="77777777" w:rsidR="0020274C" w:rsidRPr="006E5A00" w:rsidRDefault="0020274C" w:rsidP="0020274C">
            <w:pPr>
              <w:autoSpaceDE w:val="0"/>
              <w:autoSpaceDN w:val="0"/>
              <w:adjustRightInd w:val="0"/>
              <w:jc w:val="center"/>
              <w:rPr>
                <w:sz w:val="10"/>
                <w:szCs w:val="10"/>
              </w:rPr>
            </w:pPr>
          </w:p>
        </w:tc>
        <w:tc>
          <w:tcPr>
            <w:tcW w:w="2181" w:type="dxa"/>
            <w:tcBorders>
              <w:top w:val="single" w:sz="8" w:space="0" w:color="auto"/>
            </w:tcBorders>
          </w:tcPr>
          <w:p w14:paraId="0A64962E" w14:textId="77777777" w:rsidR="0020274C" w:rsidRPr="006E5A00" w:rsidRDefault="0020274C" w:rsidP="0020274C">
            <w:pPr>
              <w:autoSpaceDE w:val="0"/>
              <w:autoSpaceDN w:val="0"/>
              <w:adjustRightInd w:val="0"/>
              <w:jc w:val="center"/>
              <w:rPr>
                <w:sz w:val="10"/>
                <w:szCs w:val="10"/>
              </w:rPr>
            </w:pPr>
          </w:p>
        </w:tc>
        <w:tc>
          <w:tcPr>
            <w:tcW w:w="1701" w:type="dxa"/>
            <w:tcBorders>
              <w:top w:val="single" w:sz="8" w:space="0" w:color="auto"/>
            </w:tcBorders>
          </w:tcPr>
          <w:p w14:paraId="4FE22938" w14:textId="77777777" w:rsidR="0020274C" w:rsidRPr="006E5A00" w:rsidRDefault="0020274C" w:rsidP="0020274C">
            <w:pPr>
              <w:autoSpaceDE w:val="0"/>
              <w:autoSpaceDN w:val="0"/>
              <w:adjustRightInd w:val="0"/>
              <w:jc w:val="center"/>
              <w:rPr>
                <w:sz w:val="10"/>
                <w:szCs w:val="10"/>
              </w:rPr>
            </w:pPr>
          </w:p>
        </w:tc>
        <w:tc>
          <w:tcPr>
            <w:tcW w:w="3509" w:type="dxa"/>
            <w:tcBorders>
              <w:top w:val="single" w:sz="8" w:space="0" w:color="auto"/>
            </w:tcBorders>
          </w:tcPr>
          <w:p w14:paraId="32542043" w14:textId="77777777" w:rsidR="0020274C" w:rsidRPr="006E5A00" w:rsidRDefault="0020274C" w:rsidP="0020274C">
            <w:pPr>
              <w:autoSpaceDE w:val="0"/>
              <w:autoSpaceDN w:val="0"/>
              <w:adjustRightInd w:val="0"/>
              <w:jc w:val="center"/>
              <w:rPr>
                <w:sz w:val="10"/>
                <w:szCs w:val="10"/>
              </w:rPr>
            </w:pPr>
          </w:p>
        </w:tc>
      </w:tr>
      <w:tr w:rsidR="0020274C" w:rsidRPr="006E5A00" w14:paraId="20325408" w14:textId="77777777" w:rsidTr="0020274C">
        <w:tc>
          <w:tcPr>
            <w:tcW w:w="2463" w:type="dxa"/>
            <w:vAlign w:val="center"/>
          </w:tcPr>
          <w:p w14:paraId="5634BE0A" w14:textId="77777777" w:rsidR="0020274C" w:rsidRPr="006E5A00" w:rsidRDefault="0020274C" w:rsidP="0020274C">
            <w:pPr>
              <w:autoSpaceDE w:val="0"/>
              <w:autoSpaceDN w:val="0"/>
              <w:adjustRightInd w:val="0"/>
              <w:jc w:val="center"/>
            </w:pPr>
            <w:r w:rsidRPr="006E5A00">
              <w:t>Birth Rate detrended</w:t>
            </w:r>
          </w:p>
        </w:tc>
        <w:tc>
          <w:tcPr>
            <w:tcW w:w="2181" w:type="dxa"/>
          </w:tcPr>
          <w:p w14:paraId="406B6B9C" w14:textId="77777777" w:rsidR="0020274C" w:rsidRPr="006E5A00" w:rsidRDefault="0020274C" w:rsidP="0020274C">
            <w:pPr>
              <w:autoSpaceDE w:val="0"/>
              <w:autoSpaceDN w:val="0"/>
              <w:adjustRightInd w:val="0"/>
              <w:jc w:val="center"/>
            </w:pPr>
            <w:r w:rsidRPr="006E5A00">
              <w:t>-7.032*</w:t>
            </w:r>
          </w:p>
          <w:p w14:paraId="740C21AD" w14:textId="77777777" w:rsidR="0020274C" w:rsidRPr="006E5A00" w:rsidRDefault="0020274C" w:rsidP="0020274C">
            <w:pPr>
              <w:autoSpaceDE w:val="0"/>
              <w:autoSpaceDN w:val="0"/>
              <w:adjustRightInd w:val="0"/>
              <w:jc w:val="center"/>
            </w:pPr>
            <w:r w:rsidRPr="006E5A00">
              <w:t>[1]</w:t>
            </w:r>
          </w:p>
        </w:tc>
        <w:tc>
          <w:tcPr>
            <w:tcW w:w="1701" w:type="dxa"/>
          </w:tcPr>
          <w:p w14:paraId="1074DA2B" w14:textId="77777777" w:rsidR="0020274C" w:rsidRPr="006E5A00" w:rsidRDefault="0020274C" w:rsidP="0020274C">
            <w:pPr>
              <w:autoSpaceDE w:val="0"/>
              <w:autoSpaceDN w:val="0"/>
              <w:adjustRightInd w:val="0"/>
              <w:jc w:val="center"/>
            </w:pPr>
            <w:r w:rsidRPr="006E5A00">
              <w:t>-11.575*</w:t>
            </w:r>
          </w:p>
          <w:p w14:paraId="6DE261E2" w14:textId="77777777" w:rsidR="0020274C" w:rsidRPr="006E5A00" w:rsidRDefault="0020274C" w:rsidP="0020274C">
            <w:pPr>
              <w:autoSpaceDE w:val="0"/>
              <w:autoSpaceDN w:val="0"/>
              <w:adjustRightInd w:val="0"/>
              <w:jc w:val="center"/>
            </w:pPr>
            <w:r w:rsidRPr="006E5A00">
              <w:t>[5]</w:t>
            </w:r>
          </w:p>
        </w:tc>
        <w:tc>
          <w:tcPr>
            <w:tcW w:w="3509" w:type="dxa"/>
          </w:tcPr>
          <w:p w14:paraId="20D21922" w14:textId="77777777" w:rsidR="0020274C" w:rsidRPr="006E5A00" w:rsidRDefault="0020274C" w:rsidP="0020274C">
            <w:pPr>
              <w:autoSpaceDE w:val="0"/>
              <w:autoSpaceDN w:val="0"/>
              <w:adjustRightInd w:val="0"/>
              <w:jc w:val="center"/>
            </w:pPr>
            <w:r w:rsidRPr="006E5A00">
              <w:t>0.1019**</w:t>
            </w:r>
          </w:p>
          <w:p w14:paraId="371AF4E9" w14:textId="77777777" w:rsidR="0020274C" w:rsidRPr="006E5A00" w:rsidRDefault="0020274C" w:rsidP="0020274C">
            <w:pPr>
              <w:autoSpaceDE w:val="0"/>
              <w:autoSpaceDN w:val="0"/>
              <w:adjustRightInd w:val="0"/>
              <w:jc w:val="center"/>
            </w:pPr>
            <w:r w:rsidRPr="006E5A00">
              <w:t>[9]</w:t>
            </w:r>
          </w:p>
        </w:tc>
      </w:tr>
      <w:tr w:rsidR="0020274C" w:rsidRPr="006E5A00" w14:paraId="11F20B9B" w14:textId="77777777" w:rsidTr="0020274C">
        <w:tc>
          <w:tcPr>
            <w:tcW w:w="2463" w:type="dxa"/>
            <w:vAlign w:val="center"/>
          </w:tcPr>
          <w:p w14:paraId="45CE7206" w14:textId="77777777" w:rsidR="0020274C" w:rsidRPr="006E5A00" w:rsidRDefault="0020274C" w:rsidP="0020274C">
            <w:pPr>
              <w:autoSpaceDE w:val="0"/>
              <w:autoSpaceDN w:val="0"/>
              <w:adjustRightInd w:val="0"/>
              <w:jc w:val="center"/>
            </w:pPr>
            <w:r w:rsidRPr="006E5A00">
              <w:t>Death Rate detrended</w:t>
            </w:r>
          </w:p>
        </w:tc>
        <w:tc>
          <w:tcPr>
            <w:tcW w:w="2181" w:type="dxa"/>
          </w:tcPr>
          <w:p w14:paraId="1BF93616" w14:textId="77777777" w:rsidR="0020274C" w:rsidRPr="006E5A00" w:rsidRDefault="0020274C" w:rsidP="0020274C">
            <w:pPr>
              <w:autoSpaceDE w:val="0"/>
              <w:autoSpaceDN w:val="0"/>
              <w:adjustRightInd w:val="0"/>
              <w:jc w:val="center"/>
            </w:pPr>
            <w:r w:rsidRPr="006E5A00">
              <w:t>-7.242*</w:t>
            </w:r>
          </w:p>
          <w:p w14:paraId="429C9EAB" w14:textId="77777777" w:rsidR="0020274C" w:rsidRPr="006E5A00" w:rsidRDefault="0020274C" w:rsidP="0020274C">
            <w:pPr>
              <w:autoSpaceDE w:val="0"/>
              <w:autoSpaceDN w:val="0"/>
              <w:adjustRightInd w:val="0"/>
              <w:jc w:val="center"/>
            </w:pPr>
            <w:r w:rsidRPr="006E5A00">
              <w:t>[0]</w:t>
            </w:r>
          </w:p>
        </w:tc>
        <w:tc>
          <w:tcPr>
            <w:tcW w:w="1701" w:type="dxa"/>
          </w:tcPr>
          <w:p w14:paraId="0D7FD433" w14:textId="77777777" w:rsidR="0020274C" w:rsidRPr="006E5A00" w:rsidRDefault="0020274C" w:rsidP="0020274C">
            <w:pPr>
              <w:autoSpaceDE w:val="0"/>
              <w:autoSpaceDN w:val="0"/>
              <w:adjustRightInd w:val="0"/>
              <w:jc w:val="center"/>
            </w:pPr>
            <w:r w:rsidRPr="006E5A00">
              <w:t>-7.289*</w:t>
            </w:r>
          </w:p>
          <w:p w14:paraId="7BFC6657" w14:textId="77777777" w:rsidR="0020274C" w:rsidRPr="006E5A00" w:rsidRDefault="0020274C" w:rsidP="0020274C">
            <w:pPr>
              <w:autoSpaceDE w:val="0"/>
              <w:autoSpaceDN w:val="0"/>
              <w:adjustRightInd w:val="0"/>
              <w:jc w:val="center"/>
            </w:pPr>
            <w:r w:rsidRPr="006E5A00">
              <w:t>[5]</w:t>
            </w:r>
          </w:p>
        </w:tc>
        <w:tc>
          <w:tcPr>
            <w:tcW w:w="3509" w:type="dxa"/>
          </w:tcPr>
          <w:p w14:paraId="1CEF1231" w14:textId="77777777" w:rsidR="0020274C" w:rsidRPr="006E5A00" w:rsidRDefault="0020274C" w:rsidP="0020274C">
            <w:pPr>
              <w:autoSpaceDE w:val="0"/>
              <w:autoSpaceDN w:val="0"/>
              <w:adjustRightInd w:val="0"/>
              <w:jc w:val="center"/>
            </w:pPr>
            <w:r w:rsidRPr="006E5A00">
              <w:t>0.1684**</w:t>
            </w:r>
          </w:p>
          <w:p w14:paraId="1A999B93" w14:textId="77777777" w:rsidR="0020274C" w:rsidRPr="006E5A00" w:rsidRDefault="0020274C" w:rsidP="0020274C">
            <w:pPr>
              <w:autoSpaceDE w:val="0"/>
              <w:autoSpaceDN w:val="0"/>
              <w:adjustRightInd w:val="0"/>
              <w:jc w:val="center"/>
            </w:pPr>
            <w:r w:rsidRPr="006E5A00">
              <w:t>[8]</w:t>
            </w:r>
          </w:p>
        </w:tc>
      </w:tr>
      <w:tr w:rsidR="0020274C" w:rsidRPr="006E5A00" w14:paraId="4E2A7847" w14:textId="77777777" w:rsidTr="0020274C">
        <w:tc>
          <w:tcPr>
            <w:tcW w:w="2463" w:type="dxa"/>
            <w:vAlign w:val="center"/>
          </w:tcPr>
          <w:p w14:paraId="0DB3EB70" w14:textId="77777777" w:rsidR="0020274C" w:rsidRPr="006E5A00" w:rsidRDefault="0020274C" w:rsidP="0020274C">
            <w:pPr>
              <w:autoSpaceDE w:val="0"/>
              <w:autoSpaceDN w:val="0"/>
              <w:adjustRightInd w:val="0"/>
              <w:jc w:val="center"/>
            </w:pPr>
            <w:r w:rsidRPr="006E5A00">
              <w:t>Real Wage detrended</w:t>
            </w:r>
          </w:p>
        </w:tc>
        <w:tc>
          <w:tcPr>
            <w:tcW w:w="2181" w:type="dxa"/>
          </w:tcPr>
          <w:p w14:paraId="4A5BEF05" w14:textId="77777777" w:rsidR="0020274C" w:rsidRPr="006E5A00" w:rsidRDefault="0020274C" w:rsidP="0020274C">
            <w:pPr>
              <w:autoSpaceDE w:val="0"/>
              <w:autoSpaceDN w:val="0"/>
              <w:adjustRightInd w:val="0"/>
              <w:jc w:val="center"/>
            </w:pPr>
            <w:r w:rsidRPr="006E5A00">
              <w:t>-3.873*</w:t>
            </w:r>
          </w:p>
          <w:p w14:paraId="43ED69A9" w14:textId="77777777" w:rsidR="0020274C" w:rsidRPr="006E5A00" w:rsidRDefault="0020274C" w:rsidP="0020274C">
            <w:pPr>
              <w:autoSpaceDE w:val="0"/>
              <w:autoSpaceDN w:val="0"/>
              <w:adjustRightInd w:val="0"/>
              <w:jc w:val="center"/>
            </w:pPr>
            <w:r w:rsidRPr="006E5A00">
              <w:t>[0]</w:t>
            </w:r>
          </w:p>
        </w:tc>
        <w:tc>
          <w:tcPr>
            <w:tcW w:w="1701" w:type="dxa"/>
          </w:tcPr>
          <w:p w14:paraId="05FB3FE1" w14:textId="77777777" w:rsidR="0020274C" w:rsidRPr="006E5A00" w:rsidRDefault="0020274C" w:rsidP="0020274C">
            <w:pPr>
              <w:autoSpaceDE w:val="0"/>
              <w:autoSpaceDN w:val="0"/>
              <w:adjustRightInd w:val="0"/>
              <w:jc w:val="center"/>
            </w:pPr>
            <w:r w:rsidRPr="006E5A00">
              <w:t>-3.572*</w:t>
            </w:r>
          </w:p>
          <w:p w14:paraId="12CE5928" w14:textId="77777777" w:rsidR="0020274C" w:rsidRPr="006E5A00" w:rsidRDefault="0020274C" w:rsidP="0020274C">
            <w:pPr>
              <w:autoSpaceDE w:val="0"/>
              <w:autoSpaceDN w:val="0"/>
              <w:adjustRightInd w:val="0"/>
              <w:jc w:val="center"/>
            </w:pPr>
            <w:r w:rsidRPr="006E5A00">
              <w:t>[5]</w:t>
            </w:r>
          </w:p>
        </w:tc>
        <w:tc>
          <w:tcPr>
            <w:tcW w:w="3509" w:type="dxa"/>
          </w:tcPr>
          <w:p w14:paraId="113F12C6" w14:textId="77777777" w:rsidR="0020274C" w:rsidRPr="006E5A00" w:rsidRDefault="0020274C" w:rsidP="0020274C">
            <w:pPr>
              <w:autoSpaceDE w:val="0"/>
              <w:autoSpaceDN w:val="0"/>
              <w:adjustRightInd w:val="0"/>
              <w:jc w:val="center"/>
            </w:pPr>
            <w:r w:rsidRPr="006E5A00">
              <w:t>0.2218**</w:t>
            </w:r>
          </w:p>
          <w:p w14:paraId="3BBFF518" w14:textId="77777777" w:rsidR="0020274C" w:rsidRPr="006E5A00" w:rsidRDefault="0020274C" w:rsidP="0020274C">
            <w:pPr>
              <w:autoSpaceDE w:val="0"/>
              <w:autoSpaceDN w:val="0"/>
              <w:adjustRightInd w:val="0"/>
              <w:jc w:val="center"/>
            </w:pPr>
            <w:r w:rsidRPr="006E5A00">
              <w:t>[11]</w:t>
            </w:r>
          </w:p>
        </w:tc>
      </w:tr>
      <w:tr w:rsidR="0020274C" w:rsidRPr="006E5A00" w14:paraId="12E26B80" w14:textId="77777777" w:rsidTr="0020274C">
        <w:tc>
          <w:tcPr>
            <w:tcW w:w="2463" w:type="dxa"/>
            <w:tcBorders>
              <w:bottom w:val="single" w:sz="8" w:space="0" w:color="auto"/>
            </w:tcBorders>
            <w:vAlign w:val="center"/>
          </w:tcPr>
          <w:p w14:paraId="4E551E79" w14:textId="77777777" w:rsidR="0020274C" w:rsidRPr="006E5A00" w:rsidRDefault="0020274C" w:rsidP="0020274C">
            <w:pPr>
              <w:autoSpaceDE w:val="0"/>
              <w:autoSpaceDN w:val="0"/>
              <w:adjustRightInd w:val="0"/>
              <w:jc w:val="center"/>
              <w:rPr>
                <w:sz w:val="10"/>
                <w:szCs w:val="10"/>
              </w:rPr>
            </w:pPr>
          </w:p>
        </w:tc>
        <w:tc>
          <w:tcPr>
            <w:tcW w:w="2181" w:type="dxa"/>
            <w:tcBorders>
              <w:bottom w:val="single" w:sz="8" w:space="0" w:color="auto"/>
            </w:tcBorders>
          </w:tcPr>
          <w:p w14:paraId="327EEA44" w14:textId="77777777" w:rsidR="0020274C" w:rsidRPr="006E5A00" w:rsidRDefault="0020274C" w:rsidP="0020274C">
            <w:pPr>
              <w:autoSpaceDE w:val="0"/>
              <w:autoSpaceDN w:val="0"/>
              <w:adjustRightInd w:val="0"/>
              <w:jc w:val="center"/>
              <w:rPr>
                <w:sz w:val="10"/>
                <w:szCs w:val="10"/>
              </w:rPr>
            </w:pPr>
          </w:p>
        </w:tc>
        <w:tc>
          <w:tcPr>
            <w:tcW w:w="1701" w:type="dxa"/>
            <w:tcBorders>
              <w:bottom w:val="single" w:sz="8" w:space="0" w:color="auto"/>
            </w:tcBorders>
          </w:tcPr>
          <w:p w14:paraId="49EDF22B" w14:textId="77777777" w:rsidR="0020274C" w:rsidRPr="006E5A00" w:rsidRDefault="0020274C" w:rsidP="0020274C">
            <w:pPr>
              <w:autoSpaceDE w:val="0"/>
              <w:autoSpaceDN w:val="0"/>
              <w:adjustRightInd w:val="0"/>
              <w:jc w:val="center"/>
              <w:rPr>
                <w:sz w:val="10"/>
                <w:szCs w:val="10"/>
              </w:rPr>
            </w:pPr>
          </w:p>
        </w:tc>
        <w:tc>
          <w:tcPr>
            <w:tcW w:w="3509" w:type="dxa"/>
            <w:tcBorders>
              <w:bottom w:val="single" w:sz="8" w:space="0" w:color="auto"/>
            </w:tcBorders>
          </w:tcPr>
          <w:p w14:paraId="48702FB1" w14:textId="77777777" w:rsidR="0020274C" w:rsidRPr="006E5A00" w:rsidRDefault="0020274C" w:rsidP="0020274C">
            <w:pPr>
              <w:autoSpaceDE w:val="0"/>
              <w:autoSpaceDN w:val="0"/>
              <w:adjustRightInd w:val="0"/>
              <w:jc w:val="center"/>
              <w:rPr>
                <w:sz w:val="10"/>
                <w:szCs w:val="10"/>
              </w:rPr>
            </w:pPr>
          </w:p>
        </w:tc>
      </w:tr>
    </w:tbl>
    <w:p w14:paraId="1342CAF2" w14:textId="77777777" w:rsidR="0020274C" w:rsidRPr="006E5A00" w:rsidRDefault="0020274C" w:rsidP="0020274C">
      <w:pPr>
        <w:autoSpaceDE w:val="0"/>
        <w:autoSpaceDN w:val="0"/>
        <w:adjustRightInd w:val="0"/>
        <w:rPr>
          <w:sz w:val="10"/>
          <w:szCs w:val="10"/>
        </w:rPr>
      </w:pPr>
    </w:p>
    <w:p w14:paraId="0470574C" w14:textId="77777777" w:rsidR="0020274C" w:rsidRPr="006E5A00" w:rsidRDefault="0020274C" w:rsidP="0020274C">
      <w:pPr>
        <w:rPr>
          <w:sz w:val="18"/>
          <w:szCs w:val="18"/>
        </w:rPr>
      </w:pPr>
      <w:r w:rsidRPr="006E5A00">
        <w:rPr>
          <w:sz w:val="18"/>
          <w:szCs w:val="18"/>
        </w:rPr>
        <w:t>Note: [] indicate lag length or Newey-West bandwidth in Bartlett kernel estimation. Augmented Dickey Fuller and Phillips-Perron test for unit root. *rejects null hypothesis of unit root at 5 % level. Kwiatkowski-Phillips-Schmidt-Shin tests for stationarity. ** cannot reject the null of stationarity at a 5 % level. Critical values for ADF and PP are 1% — 3.455; 5% — 2.872; 10% — 2.573. Asymptotic critical values for KPSS are 1% — 0.739; 5% — 0.463; 10% — 0.347.</w:t>
      </w:r>
    </w:p>
    <w:p w14:paraId="64D1A69F" w14:textId="77777777" w:rsidR="0020274C" w:rsidRPr="006E5A00" w:rsidRDefault="0020274C" w:rsidP="0020274C">
      <w:pPr>
        <w:ind w:firstLine="340"/>
        <w:jc w:val="both"/>
      </w:pPr>
    </w:p>
    <w:p w14:paraId="59F1FB73" w14:textId="77777777" w:rsidR="0020274C" w:rsidRPr="006E5A00" w:rsidRDefault="0020274C" w:rsidP="0020274C">
      <w:pPr>
        <w:ind w:firstLine="340"/>
        <w:jc w:val="both"/>
      </w:pPr>
      <w:r w:rsidRPr="006E5A00">
        <w:t>Our first approach to relating the economic stress with vital statistics will be a multivariate (linear) time series model because it allows us to approximate the tie between the variables we are relating without imposing an explicit theoretical idea of the dynamic relations between them. VAR analysis can also be indicative of possible weak causality (Granger causality). This seems most appropriate as a first approximation. From there we will go on to formulating different cointegration models, whose best fit lead us back to a distributed lag model similar to those promoted by Lee (1981) that better reflect the functional relations that we may assume between variables and will allow us to get a better intuition of the magnitudes and timing involved (Richards, 1983; Hammel, 1985; and Weir, 1984). The autoregressive distributed lag models are included in the article.</w:t>
      </w:r>
    </w:p>
    <w:p w14:paraId="334854E0" w14:textId="77777777" w:rsidR="0020274C" w:rsidRDefault="0020274C" w:rsidP="0020274C">
      <w:pPr>
        <w:autoSpaceDE w:val="0"/>
        <w:autoSpaceDN w:val="0"/>
        <w:adjustRightInd w:val="0"/>
        <w:ind w:firstLine="340"/>
        <w:jc w:val="both"/>
      </w:pPr>
      <w:r w:rsidRPr="006E5A00">
        <w:t xml:space="preserve">An easy way to start is to replicate the fits in the VAR models proposed by Nicolini (2007), </w:t>
      </w:r>
      <w:proofErr w:type="spellStart"/>
      <w:r w:rsidRPr="006E5A00">
        <w:t>Fernihough</w:t>
      </w:r>
      <w:proofErr w:type="spellEnd"/>
      <w:r w:rsidRPr="006E5A00">
        <w:t xml:space="preserve"> (2010) or more recently by Pfister and Fertig (2017). According to the stationarity test the vector of detrended birth rates, death rates and wages [CBR, DR, W] in natural logarithms can be assumed covariance stationary.</w:t>
      </w:r>
      <w:r w:rsidRPr="006E5A00">
        <w:rPr>
          <w:rStyle w:val="FootnoteReference"/>
        </w:rPr>
        <w:footnoteReference w:id="3"/>
      </w:r>
      <w:r w:rsidRPr="006E5A00">
        <w:t xml:space="preserve"> As one should expect the results shown below do not reflect a Malthusian scenario as those found for preindustrial societies. But the exercise shows what we have been postulating throughout our paper: </w:t>
      </w:r>
      <w:r w:rsidRPr="006E5A00">
        <w:rPr>
          <w:b/>
        </w:rPr>
        <w:t>a strong and significant negative short-term influence of real wages on mortality</w:t>
      </w:r>
      <w:r w:rsidRPr="006E5A00">
        <w:t xml:space="preserve">. But what is important to see here, is that there are no significant influences between vital rates and real wages with the exception, of course, of death rates. We can also see that the effect is not immediate; it has a lag of 2 months. The magnitudes of the variations implied are hard to interpret due to the data transformations and the fact that the results may be biased because of simultaneity. But imposing the standard established ordering of the variables, we can give an idea of the response of death rates to an unexpected increase in the current value of real wages with a VAR impulse response analysis. </w:t>
      </w:r>
    </w:p>
    <w:p w14:paraId="78ECF701" w14:textId="77777777" w:rsidR="00A57AD9" w:rsidRDefault="00A57AD9" w:rsidP="0020274C">
      <w:pPr>
        <w:autoSpaceDE w:val="0"/>
        <w:autoSpaceDN w:val="0"/>
        <w:adjustRightInd w:val="0"/>
        <w:ind w:firstLine="340"/>
        <w:jc w:val="both"/>
      </w:pPr>
    </w:p>
    <w:p w14:paraId="35CCD534" w14:textId="77777777" w:rsidR="007C3584" w:rsidRPr="007C3584" w:rsidRDefault="007C3584" w:rsidP="007C3584">
      <w:pPr>
        <w:jc w:val="center"/>
      </w:pPr>
      <w:r w:rsidRPr="007C3584">
        <w:t xml:space="preserve">TABLE </w:t>
      </w:r>
      <w:r w:rsidR="002961C7" w:rsidRPr="007C3584">
        <w:t>B</w:t>
      </w:r>
    </w:p>
    <w:p w14:paraId="0E1BFED7" w14:textId="77777777" w:rsidR="00A57AD9" w:rsidRPr="007C3584" w:rsidRDefault="00A57AD9" w:rsidP="007C3584">
      <w:pPr>
        <w:jc w:val="center"/>
      </w:pPr>
      <w:r w:rsidRPr="007C3584">
        <w:t>VAR Model Coefficients. (Standard error in parenthesis)</w:t>
      </w:r>
    </w:p>
    <w:p w14:paraId="630C3480" w14:textId="77777777" w:rsidR="00A57AD9" w:rsidRPr="006E5A00" w:rsidRDefault="00A57AD9" w:rsidP="00A57AD9">
      <w:pPr>
        <w:rPr>
          <w:sz w:val="18"/>
          <w:szCs w:val="18"/>
        </w:rPr>
      </w:pPr>
    </w:p>
    <w:tbl>
      <w:tblPr>
        <w:tblW w:w="0" w:type="auto"/>
        <w:jc w:val="center"/>
        <w:tblLayout w:type="fixed"/>
        <w:tblCellMar>
          <w:left w:w="30" w:type="dxa"/>
          <w:right w:w="30" w:type="dxa"/>
        </w:tblCellMar>
        <w:tblLook w:val="0000" w:firstRow="0" w:lastRow="0" w:firstColumn="0" w:lastColumn="0" w:noHBand="0" w:noVBand="0"/>
      </w:tblPr>
      <w:tblGrid>
        <w:gridCol w:w="2396"/>
        <w:gridCol w:w="1386"/>
        <w:gridCol w:w="1386"/>
        <w:gridCol w:w="1386"/>
      </w:tblGrid>
      <w:tr w:rsidR="00A57AD9" w:rsidRPr="006E5A00" w14:paraId="542091A1" w14:textId="77777777" w:rsidTr="007C3584">
        <w:trPr>
          <w:trHeight w:val="255"/>
          <w:jc w:val="center"/>
        </w:trPr>
        <w:tc>
          <w:tcPr>
            <w:tcW w:w="2396" w:type="dxa"/>
            <w:tcBorders>
              <w:top w:val="single" w:sz="12" w:space="0" w:color="auto"/>
              <w:left w:val="nil"/>
              <w:bottom w:val="single" w:sz="8" w:space="0" w:color="auto"/>
              <w:right w:val="nil"/>
            </w:tcBorders>
            <w:vAlign w:val="bottom"/>
          </w:tcPr>
          <w:p w14:paraId="66470DC1" w14:textId="77777777" w:rsidR="00A57AD9" w:rsidRPr="006E5A00" w:rsidRDefault="00A57AD9" w:rsidP="007C3584">
            <w:pPr>
              <w:autoSpaceDE w:val="0"/>
              <w:autoSpaceDN w:val="0"/>
              <w:adjustRightInd w:val="0"/>
              <w:spacing w:before="60"/>
              <w:jc w:val="center"/>
              <w:rPr>
                <w:rFonts w:ascii="Arial" w:hAnsi="Arial" w:cs="Arial"/>
                <w:sz w:val="18"/>
                <w:szCs w:val="18"/>
                <w:lang w:val="en-US"/>
              </w:rPr>
            </w:pPr>
            <w:r w:rsidRPr="006E5A00">
              <w:rPr>
                <w:rFonts w:ascii="Arial" w:hAnsi="Arial" w:cs="Arial"/>
                <w:sz w:val="18"/>
                <w:szCs w:val="18"/>
                <w:lang w:val="en-US"/>
              </w:rPr>
              <w:t xml:space="preserve">VAR model </w:t>
            </w:r>
          </w:p>
          <w:p w14:paraId="4EE79D99" w14:textId="77777777" w:rsidR="00A57AD9" w:rsidRPr="006E5A00" w:rsidRDefault="00A57AD9" w:rsidP="007C3584">
            <w:pPr>
              <w:autoSpaceDE w:val="0"/>
              <w:autoSpaceDN w:val="0"/>
              <w:adjustRightInd w:val="0"/>
              <w:spacing w:after="60"/>
              <w:jc w:val="center"/>
              <w:rPr>
                <w:rFonts w:ascii="Arial" w:hAnsi="Arial" w:cs="Arial"/>
                <w:sz w:val="18"/>
                <w:szCs w:val="18"/>
                <w:lang w:val="en-US"/>
              </w:rPr>
            </w:pPr>
            <w:r w:rsidRPr="006E5A00">
              <w:rPr>
                <w:rFonts w:ascii="Arial" w:hAnsi="Arial" w:cs="Arial"/>
                <w:sz w:val="18"/>
                <w:szCs w:val="18"/>
                <w:lang w:val="en-US"/>
              </w:rPr>
              <w:t>coefficients</w:t>
            </w:r>
          </w:p>
        </w:tc>
        <w:tc>
          <w:tcPr>
            <w:tcW w:w="1386" w:type="dxa"/>
            <w:tcBorders>
              <w:top w:val="single" w:sz="12" w:space="0" w:color="auto"/>
              <w:left w:val="nil"/>
              <w:bottom w:val="single" w:sz="8" w:space="0" w:color="auto"/>
              <w:right w:val="nil"/>
            </w:tcBorders>
            <w:vAlign w:val="bottom"/>
          </w:tcPr>
          <w:p w14:paraId="2695D36C" w14:textId="77777777" w:rsidR="00A57AD9" w:rsidRPr="006E5A00" w:rsidRDefault="00A57AD9" w:rsidP="007C3584">
            <w:pPr>
              <w:autoSpaceDE w:val="0"/>
              <w:autoSpaceDN w:val="0"/>
              <w:adjustRightInd w:val="0"/>
              <w:jc w:val="center"/>
              <w:rPr>
                <w:rFonts w:ascii="Arial" w:hAnsi="Arial" w:cs="Arial"/>
                <w:sz w:val="18"/>
                <w:szCs w:val="18"/>
                <w:lang w:val="en-US"/>
              </w:rPr>
            </w:pPr>
            <w:r w:rsidRPr="006E5A00">
              <w:rPr>
                <w:rFonts w:ascii="Arial" w:hAnsi="Arial" w:cs="Arial"/>
                <w:sz w:val="18"/>
                <w:szCs w:val="18"/>
                <w:lang w:val="en-US"/>
              </w:rPr>
              <w:t>Birth rates</w:t>
            </w:r>
          </w:p>
          <w:p w14:paraId="5CDC8BBB" w14:textId="77777777" w:rsidR="00A57AD9" w:rsidRPr="006E5A00" w:rsidRDefault="00A57AD9" w:rsidP="007C3584">
            <w:pPr>
              <w:autoSpaceDE w:val="0"/>
              <w:autoSpaceDN w:val="0"/>
              <w:adjustRightInd w:val="0"/>
              <w:spacing w:after="60"/>
              <w:jc w:val="center"/>
              <w:rPr>
                <w:rFonts w:ascii="Arial" w:hAnsi="Arial" w:cs="Arial"/>
                <w:sz w:val="18"/>
                <w:szCs w:val="18"/>
                <w:lang w:val="en-US"/>
              </w:rPr>
            </w:pPr>
            <w:r w:rsidRPr="006E5A00">
              <w:rPr>
                <w:rFonts w:ascii="Arial" w:hAnsi="Arial" w:cs="Arial"/>
                <w:sz w:val="18"/>
                <w:szCs w:val="18"/>
                <w:lang w:val="en-US"/>
              </w:rPr>
              <w:t>detrended</w:t>
            </w:r>
          </w:p>
        </w:tc>
        <w:tc>
          <w:tcPr>
            <w:tcW w:w="1386" w:type="dxa"/>
            <w:tcBorders>
              <w:top w:val="single" w:sz="12" w:space="0" w:color="auto"/>
              <w:left w:val="nil"/>
              <w:bottom w:val="single" w:sz="8" w:space="0" w:color="auto"/>
              <w:right w:val="nil"/>
            </w:tcBorders>
            <w:vAlign w:val="bottom"/>
          </w:tcPr>
          <w:p w14:paraId="13E9794D" w14:textId="77777777" w:rsidR="00A57AD9" w:rsidRPr="006E5A00" w:rsidRDefault="00A57AD9" w:rsidP="007C3584">
            <w:pPr>
              <w:autoSpaceDE w:val="0"/>
              <w:autoSpaceDN w:val="0"/>
              <w:adjustRightInd w:val="0"/>
              <w:spacing w:after="60"/>
              <w:jc w:val="center"/>
              <w:rPr>
                <w:rFonts w:ascii="Arial" w:hAnsi="Arial" w:cs="Arial"/>
                <w:sz w:val="18"/>
                <w:szCs w:val="18"/>
                <w:lang w:val="en-US"/>
              </w:rPr>
            </w:pPr>
            <w:r w:rsidRPr="006E5A00">
              <w:rPr>
                <w:rFonts w:ascii="Arial" w:hAnsi="Arial" w:cs="Arial"/>
                <w:sz w:val="18"/>
                <w:szCs w:val="18"/>
                <w:lang w:val="en-US"/>
              </w:rPr>
              <w:t>Death rates detrended</w:t>
            </w:r>
          </w:p>
        </w:tc>
        <w:tc>
          <w:tcPr>
            <w:tcW w:w="1386" w:type="dxa"/>
            <w:tcBorders>
              <w:top w:val="single" w:sz="12" w:space="0" w:color="auto"/>
              <w:left w:val="nil"/>
              <w:bottom w:val="single" w:sz="8" w:space="0" w:color="auto"/>
              <w:right w:val="nil"/>
            </w:tcBorders>
            <w:vAlign w:val="bottom"/>
          </w:tcPr>
          <w:p w14:paraId="7EDF35D1" w14:textId="77777777" w:rsidR="00A57AD9" w:rsidRPr="006E5A00" w:rsidRDefault="00A57AD9" w:rsidP="007C3584">
            <w:pPr>
              <w:autoSpaceDE w:val="0"/>
              <w:autoSpaceDN w:val="0"/>
              <w:adjustRightInd w:val="0"/>
              <w:spacing w:after="60"/>
              <w:jc w:val="center"/>
              <w:rPr>
                <w:rFonts w:ascii="Arial" w:hAnsi="Arial" w:cs="Arial"/>
                <w:sz w:val="18"/>
                <w:szCs w:val="18"/>
                <w:lang w:val="en-US"/>
              </w:rPr>
            </w:pPr>
            <w:r w:rsidRPr="006E5A00">
              <w:rPr>
                <w:rFonts w:ascii="Arial" w:hAnsi="Arial" w:cs="Arial"/>
                <w:sz w:val="18"/>
                <w:szCs w:val="18"/>
                <w:lang w:val="en-US"/>
              </w:rPr>
              <w:t>Real Wages detrended</w:t>
            </w:r>
          </w:p>
        </w:tc>
      </w:tr>
      <w:tr w:rsidR="00A57AD9" w:rsidRPr="006E5A00" w14:paraId="6D59D002" w14:textId="77777777" w:rsidTr="007C3584">
        <w:trPr>
          <w:trHeight w:val="113"/>
          <w:jc w:val="center"/>
        </w:trPr>
        <w:tc>
          <w:tcPr>
            <w:tcW w:w="2396" w:type="dxa"/>
            <w:tcBorders>
              <w:top w:val="single" w:sz="8" w:space="0" w:color="auto"/>
              <w:left w:val="nil"/>
              <w:bottom w:val="nil"/>
              <w:right w:val="nil"/>
            </w:tcBorders>
            <w:vAlign w:val="bottom"/>
          </w:tcPr>
          <w:p w14:paraId="007FAD53" w14:textId="77777777" w:rsidR="00A57AD9" w:rsidRPr="006E5A00" w:rsidRDefault="00A57AD9" w:rsidP="007C3584">
            <w:pPr>
              <w:autoSpaceDE w:val="0"/>
              <w:autoSpaceDN w:val="0"/>
              <w:adjustRightInd w:val="0"/>
              <w:jc w:val="center"/>
              <w:rPr>
                <w:rFonts w:ascii="Arial" w:hAnsi="Arial" w:cs="Arial"/>
                <w:sz w:val="18"/>
                <w:szCs w:val="18"/>
                <w:lang w:val="en-US"/>
              </w:rPr>
            </w:pPr>
          </w:p>
        </w:tc>
        <w:tc>
          <w:tcPr>
            <w:tcW w:w="1386" w:type="dxa"/>
            <w:tcBorders>
              <w:top w:val="single" w:sz="8" w:space="0" w:color="auto"/>
              <w:left w:val="nil"/>
              <w:bottom w:val="nil"/>
              <w:right w:val="nil"/>
            </w:tcBorders>
            <w:vAlign w:val="bottom"/>
          </w:tcPr>
          <w:p w14:paraId="3D2908D8" w14:textId="77777777" w:rsidR="00A57AD9" w:rsidRPr="006E5A00" w:rsidRDefault="00A57AD9" w:rsidP="007C3584">
            <w:pPr>
              <w:autoSpaceDE w:val="0"/>
              <w:autoSpaceDN w:val="0"/>
              <w:adjustRightInd w:val="0"/>
              <w:jc w:val="center"/>
              <w:rPr>
                <w:rFonts w:ascii="Arial" w:hAnsi="Arial" w:cs="Arial"/>
                <w:sz w:val="18"/>
                <w:szCs w:val="18"/>
                <w:lang w:val="en-US"/>
              </w:rPr>
            </w:pPr>
          </w:p>
        </w:tc>
        <w:tc>
          <w:tcPr>
            <w:tcW w:w="1386" w:type="dxa"/>
            <w:tcBorders>
              <w:top w:val="single" w:sz="8" w:space="0" w:color="auto"/>
              <w:left w:val="nil"/>
              <w:bottom w:val="nil"/>
              <w:right w:val="nil"/>
            </w:tcBorders>
            <w:vAlign w:val="bottom"/>
          </w:tcPr>
          <w:p w14:paraId="6A450914" w14:textId="77777777" w:rsidR="00A57AD9" w:rsidRPr="006E5A00" w:rsidRDefault="00A57AD9" w:rsidP="007C3584">
            <w:pPr>
              <w:autoSpaceDE w:val="0"/>
              <w:autoSpaceDN w:val="0"/>
              <w:adjustRightInd w:val="0"/>
              <w:jc w:val="center"/>
              <w:rPr>
                <w:rFonts w:ascii="Arial" w:hAnsi="Arial" w:cs="Arial"/>
                <w:sz w:val="18"/>
                <w:szCs w:val="18"/>
                <w:lang w:val="en-US"/>
              </w:rPr>
            </w:pPr>
          </w:p>
        </w:tc>
        <w:tc>
          <w:tcPr>
            <w:tcW w:w="1386" w:type="dxa"/>
            <w:tcBorders>
              <w:top w:val="single" w:sz="8" w:space="0" w:color="auto"/>
              <w:left w:val="nil"/>
              <w:bottom w:val="nil"/>
              <w:right w:val="nil"/>
            </w:tcBorders>
            <w:vAlign w:val="bottom"/>
          </w:tcPr>
          <w:p w14:paraId="757A3BEC" w14:textId="77777777" w:rsidR="00A57AD9" w:rsidRPr="006E5A00" w:rsidRDefault="00A57AD9" w:rsidP="007C3584">
            <w:pPr>
              <w:autoSpaceDE w:val="0"/>
              <w:autoSpaceDN w:val="0"/>
              <w:adjustRightInd w:val="0"/>
              <w:jc w:val="center"/>
              <w:rPr>
                <w:rFonts w:ascii="Arial" w:hAnsi="Arial" w:cs="Arial"/>
                <w:sz w:val="18"/>
                <w:szCs w:val="18"/>
                <w:lang w:val="en-US"/>
              </w:rPr>
            </w:pPr>
          </w:p>
        </w:tc>
      </w:tr>
      <w:tr w:rsidR="00A57AD9" w:rsidRPr="006E5A00" w14:paraId="62CBF68F" w14:textId="77777777" w:rsidTr="007C3584">
        <w:trPr>
          <w:trHeight w:val="255"/>
          <w:jc w:val="center"/>
        </w:trPr>
        <w:tc>
          <w:tcPr>
            <w:tcW w:w="2396" w:type="dxa"/>
            <w:tcBorders>
              <w:top w:val="nil"/>
              <w:left w:val="nil"/>
              <w:bottom w:val="nil"/>
              <w:right w:val="nil"/>
            </w:tcBorders>
            <w:vAlign w:val="bottom"/>
          </w:tcPr>
          <w:p w14:paraId="298DBF8F" w14:textId="77777777" w:rsidR="00A57AD9" w:rsidRPr="006E5A00" w:rsidRDefault="00A57AD9" w:rsidP="007C3584">
            <w:pPr>
              <w:autoSpaceDE w:val="0"/>
              <w:autoSpaceDN w:val="0"/>
              <w:adjustRightInd w:val="0"/>
              <w:jc w:val="center"/>
              <w:rPr>
                <w:rFonts w:ascii="Arial" w:hAnsi="Arial" w:cs="Arial"/>
                <w:sz w:val="18"/>
                <w:szCs w:val="18"/>
                <w:lang w:val="en-US"/>
              </w:rPr>
            </w:pPr>
            <w:r w:rsidRPr="006E5A00">
              <w:rPr>
                <w:rFonts w:ascii="Arial" w:hAnsi="Arial" w:cs="Arial"/>
                <w:sz w:val="18"/>
                <w:szCs w:val="18"/>
                <w:lang w:val="en-US"/>
              </w:rPr>
              <w:t>BRD(-1)</w:t>
            </w:r>
          </w:p>
        </w:tc>
        <w:tc>
          <w:tcPr>
            <w:tcW w:w="1386" w:type="dxa"/>
            <w:tcBorders>
              <w:top w:val="nil"/>
              <w:left w:val="nil"/>
              <w:bottom w:val="nil"/>
              <w:right w:val="nil"/>
            </w:tcBorders>
            <w:vAlign w:val="bottom"/>
          </w:tcPr>
          <w:p w14:paraId="3DFA9AE7" w14:textId="77777777" w:rsidR="00A57AD9" w:rsidRPr="006E5A00" w:rsidRDefault="00A57AD9" w:rsidP="007C3584">
            <w:pPr>
              <w:autoSpaceDE w:val="0"/>
              <w:autoSpaceDN w:val="0"/>
              <w:adjustRightInd w:val="0"/>
              <w:jc w:val="center"/>
              <w:rPr>
                <w:rFonts w:ascii="Arial" w:hAnsi="Arial" w:cs="Arial"/>
                <w:sz w:val="18"/>
                <w:szCs w:val="18"/>
                <w:lang w:val="en-US"/>
              </w:rPr>
            </w:pPr>
            <w:r w:rsidRPr="006E5A00">
              <w:rPr>
                <w:rFonts w:ascii="Arial" w:hAnsi="Arial" w:cs="Arial"/>
                <w:sz w:val="18"/>
                <w:szCs w:val="18"/>
                <w:lang w:val="en-US"/>
              </w:rPr>
              <w:t> 0.269***</w:t>
            </w:r>
          </w:p>
        </w:tc>
        <w:tc>
          <w:tcPr>
            <w:tcW w:w="1386" w:type="dxa"/>
            <w:tcBorders>
              <w:top w:val="nil"/>
              <w:left w:val="nil"/>
              <w:bottom w:val="nil"/>
              <w:right w:val="nil"/>
            </w:tcBorders>
            <w:vAlign w:val="bottom"/>
          </w:tcPr>
          <w:p w14:paraId="52157479" w14:textId="77777777" w:rsidR="00A57AD9" w:rsidRPr="006E5A00" w:rsidRDefault="00A57AD9" w:rsidP="007C3584">
            <w:pPr>
              <w:autoSpaceDE w:val="0"/>
              <w:autoSpaceDN w:val="0"/>
              <w:adjustRightInd w:val="0"/>
              <w:jc w:val="center"/>
              <w:rPr>
                <w:rFonts w:ascii="Arial" w:hAnsi="Arial" w:cs="Arial"/>
                <w:sz w:val="18"/>
                <w:szCs w:val="18"/>
                <w:lang w:val="en-US"/>
              </w:rPr>
            </w:pPr>
            <w:r w:rsidRPr="006E5A00">
              <w:rPr>
                <w:rFonts w:ascii="Arial" w:hAnsi="Arial" w:cs="Arial"/>
                <w:sz w:val="18"/>
                <w:szCs w:val="18"/>
                <w:lang w:val="en-US"/>
              </w:rPr>
              <w:t> 0.021</w:t>
            </w:r>
          </w:p>
        </w:tc>
        <w:tc>
          <w:tcPr>
            <w:tcW w:w="1386" w:type="dxa"/>
            <w:tcBorders>
              <w:top w:val="nil"/>
              <w:left w:val="nil"/>
              <w:bottom w:val="nil"/>
              <w:right w:val="nil"/>
            </w:tcBorders>
            <w:vAlign w:val="bottom"/>
          </w:tcPr>
          <w:p w14:paraId="1C2216A8"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n-US"/>
              </w:rPr>
              <w:t> 0.01</w:t>
            </w:r>
            <w:r w:rsidRPr="006E5A00">
              <w:rPr>
                <w:rFonts w:ascii="Arial" w:hAnsi="Arial" w:cs="Arial"/>
                <w:sz w:val="18"/>
                <w:szCs w:val="18"/>
                <w:lang w:val="es-ES"/>
              </w:rPr>
              <w:t>2</w:t>
            </w:r>
          </w:p>
        </w:tc>
      </w:tr>
      <w:tr w:rsidR="00A57AD9" w:rsidRPr="006E5A00" w14:paraId="12165054" w14:textId="77777777" w:rsidTr="007C3584">
        <w:trPr>
          <w:trHeight w:val="255"/>
          <w:jc w:val="center"/>
        </w:trPr>
        <w:tc>
          <w:tcPr>
            <w:tcW w:w="2396" w:type="dxa"/>
            <w:tcBorders>
              <w:top w:val="nil"/>
              <w:left w:val="nil"/>
              <w:bottom w:val="nil"/>
              <w:right w:val="nil"/>
            </w:tcBorders>
            <w:vAlign w:val="bottom"/>
          </w:tcPr>
          <w:p w14:paraId="45BEA963"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3E7501D9"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(0.067)</w:t>
            </w:r>
          </w:p>
        </w:tc>
        <w:tc>
          <w:tcPr>
            <w:tcW w:w="1386" w:type="dxa"/>
            <w:tcBorders>
              <w:top w:val="nil"/>
              <w:left w:val="nil"/>
              <w:bottom w:val="nil"/>
              <w:right w:val="nil"/>
            </w:tcBorders>
            <w:vAlign w:val="bottom"/>
          </w:tcPr>
          <w:p w14:paraId="29D4B53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(0.098)</w:t>
            </w:r>
          </w:p>
        </w:tc>
        <w:tc>
          <w:tcPr>
            <w:tcW w:w="1386" w:type="dxa"/>
            <w:tcBorders>
              <w:top w:val="nil"/>
              <w:left w:val="nil"/>
              <w:bottom w:val="nil"/>
              <w:right w:val="nil"/>
            </w:tcBorders>
            <w:vAlign w:val="bottom"/>
          </w:tcPr>
          <w:p w14:paraId="60395247"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(0.031)</w:t>
            </w:r>
          </w:p>
        </w:tc>
      </w:tr>
      <w:tr w:rsidR="00A57AD9" w:rsidRPr="006E5A00" w14:paraId="074FF906" w14:textId="77777777" w:rsidTr="007C3584">
        <w:trPr>
          <w:trHeight w:val="113"/>
          <w:jc w:val="center"/>
        </w:trPr>
        <w:tc>
          <w:tcPr>
            <w:tcW w:w="2396" w:type="dxa"/>
            <w:tcBorders>
              <w:top w:val="nil"/>
              <w:left w:val="nil"/>
              <w:bottom w:val="nil"/>
              <w:right w:val="nil"/>
            </w:tcBorders>
            <w:vAlign w:val="bottom"/>
          </w:tcPr>
          <w:p w14:paraId="7D145485"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0FFB6064"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39AD895C"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517B6EA1" w14:textId="77777777" w:rsidR="00A57AD9" w:rsidRPr="006E5A00" w:rsidRDefault="00A57AD9" w:rsidP="007C3584">
            <w:pPr>
              <w:autoSpaceDE w:val="0"/>
              <w:autoSpaceDN w:val="0"/>
              <w:adjustRightInd w:val="0"/>
              <w:jc w:val="center"/>
              <w:rPr>
                <w:rFonts w:ascii="Arial" w:hAnsi="Arial" w:cs="Arial"/>
                <w:sz w:val="6"/>
                <w:szCs w:val="6"/>
                <w:lang w:val="es-ES"/>
              </w:rPr>
            </w:pPr>
          </w:p>
        </w:tc>
      </w:tr>
      <w:tr w:rsidR="00A57AD9" w:rsidRPr="006E5A00" w14:paraId="52498AEB" w14:textId="77777777" w:rsidTr="007C3584">
        <w:trPr>
          <w:trHeight w:val="255"/>
          <w:jc w:val="center"/>
        </w:trPr>
        <w:tc>
          <w:tcPr>
            <w:tcW w:w="2396" w:type="dxa"/>
            <w:tcBorders>
              <w:top w:val="nil"/>
              <w:left w:val="nil"/>
              <w:bottom w:val="nil"/>
              <w:right w:val="nil"/>
            </w:tcBorders>
            <w:vAlign w:val="bottom"/>
          </w:tcPr>
          <w:p w14:paraId="22110930"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BRD(-2)</w:t>
            </w:r>
          </w:p>
        </w:tc>
        <w:tc>
          <w:tcPr>
            <w:tcW w:w="1386" w:type="dxa"/>
            <w:tcBorders>
              <w:top w:val="nil"/>
              <w:left w:val="nil"/>
              <w:bottom w:val="nil"/>
              <w:right w:val="nil"/>
            </w:tcBorders>
            <w:vAlign w:val="bottom"/>
          </w:tcPr>
          <w:p w14:paraId="029A3E26"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0.230***</w:t>
            </w:r>
          </w:p>
        </w:tc>
        <w:tc>
          <w:tcPr>
            <w:tcW w:w="1386" w:type="dxa"/>
            <w:tcBorders>
              <w:top w:val="nil"/>
              <w:left w:val="nil"/>
              <w:bottom w:val="nil"/>
              <w:right w:val="nil"/>
            </w:tcBorders>
            <w:vAlign w:val="bottom"/>
          </w:tcPr>
          <w:p w14:paraId="724EE4C2"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0.367***</w:t>
            </w:r>
          </w:p>
        </w:tc>
        <w:tc>
          <w:tcPr>
            <w:tcW w:w="1386" w:type="dxa"/>
            <w:tcBorders>
              <w:top w:val="nil"/>
              <w:left w:val="nil"/>
              <w:bottom w:val="nil"/>
              <w:right w:val="nil"/>
            </w:tcBorders>
            <w:vAlign w:val="bottom"/>
          </w:tcPr>
          <w:p w14:paraId="57AAE615"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0.047*</w:t>
            </w:r>
          </w:p>
        </w:tc>
      </w:tr>
      <w:tr w:rsidR="00A57AD9" w:rsidRPr="006E5A00" w14:paraId="1158EA06" w14:textId="77777777" w:rsidTr="007C3584">
        <w:trPr>
          <w:trHeight w:val="255"/>
          <w:jc w:val="center"/>
        </w:trPr>
        <w:tc>
          <w:tcPr>
            <w:tcW w:w="2396" w:type="dxa"/>
            <w:tcBorders>
              <w:top w:val="nil"/>
              <w:left w:val="nil"/>
              <w:bottom w:val="nil"/>
              <w:right w:val="nil"/>
            </w:tcBorders>
            <w:vAlign w:val="bottom"/>
          </w:tcPr>
          <w:p w14:paraId="6A634AA9"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7E3427CE"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(0.06855)</w:t>
            </w:r>
          </w:p>
        </w:tc>
        <w:tc>
          <w:tcPr>
            <w:tcW w:w="1386" w:type="dxa"/>
            <w:tcBorders>
              <w:top w:val="nil"/>
              <w:left w:val="nil"/>
              <w:bottom w:val="nil"/>
              <w:right w:val="nil"/>
            </w:tcBorders>
            <w:vAlign w:val="bottom"/>
          </w:tcPr>
          <w:p w14:paraId="31E8180D"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(0.09996)</w:t>
            </w:r>
          </w:p>
        </w:tc>
        <w:tc>
          <w:tcPr>
            <w:tcW w:w="1386" w:type="dxa"/>
            <w:tcBorders>
              <w:top w:val="nil"/>
              <w:left w:val="nil"/>
              <w:bottom w:val="nil"/>
              <w:right w:val="nil"/>
            </w:tcBorders>
            <w:vAlign w:val="bottom"/>
          </w:tcPr>
          <w:p w14:paraId="2FEF7B46"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(0.03185)</w:t>
            </w:r>
          </w:p>
        </w:tc>
      </w:tr>
      <w:tr w:rsidR="00A57AD9" w:rsidRPr="006E5A00" w14:paraId="76AEE727" w14:textId="77777777" w:rsidTr="007C3584">
        <w:trPr>
          <w:trHeight w:val="113"/>
          <w:jc w:val="center"/>
        </w:trPr>
        <w:tc>
          <w:tcPr>
            <w:tcW w:w="2396" w:type="dxa"/>
            <w:tcBorders>
              <w:top w:val="nil"/>
              <w:left w:val="nil"/>
              <w:bottom w:val="nil"/>
              <w:right w:val="nil"/>
            </w:tcBorders>
            <w:vAlign w:val="bottom"/>
          </w:tcPr>
          <w:p w14:paraId="1B16A77F" w14:textId="77777777" w:rsidR="00A57AD9" w:rsidRPr="006E5A00" w:rsidRDefault="00A57AD9" w:rsidP="007C3584">
            <w:pPr>
              <w:autoSpaceDE w:val="0"/>
              <w:autoSpaceDN w:val="0"/>
              <w:adjustRightInd w:val="0"/>
              <w:jc w:val="center"/>
              <w:rPr>
                <w:rFonts w:ascii="Arial" w:hAnsi="Arial" w:cs="Arial"/>
                <w:sz w:val="10"/>
                <w:szCs w:val="10"/>
                <w:lang w:val="es-ES"/>
              </w:rPr>
            </w:pPr>
          </w:p>
        </w:tc>
        <w:tc>
          <w:tcPr>
            <w:tcW w:w="1386" w:type="dxa"/>
            <w:tcBorders>
              <w:top w:val="nil"/>
              <w:left w:val="nil"/>
              <w:bottom w:val="nil"/>
              <w:right w:val="nil"/>
            </w:tcBorders>
            <w:vAlign w:val="bottom"/>
          </w:tcPr>
          <w:p w14:paraId="4F247945" w14:textId="77777777" w:rsidR="00A57AD9" w:rsidRPr="006E5A00" w:rsidRDefault="00A57AD9" w:rsidP="007C3584">
            <w:pPr>
              <w:autoSpaceDE w:val="0"/>
              <w:autoSpaceDN w:val="0"/>
              <w:adjustRightInd w:val="0"/>
              <w:jc w:val="center"/>
              <w:rPr>
                <w:rFonts w:ascii="Arial" w:hAnsi="Arial" w:cs="Arial"/>
                <w:sz w:val="10"/>
                <w:szCs w:val="10"/>
                <w:lang w:val="es-ES"/>
              </w:rPr>
            </w:pPr>
          </w:p>
        </w:tc>
        <w:tc>
          <w:tcPr>
            <w:tcW w:w="1386" w:type="dxa"/>
            <w:tcBorders>
              <w:top w:val="nil"/>
              <w:left w:val="nil"/>
              <w:bottom w:val="nil"/>
              <w:right w:val="nil"/>
            </w:tcBorders>
            <w:vAlign w:val="bottom"/>
          </w:tcPr>
          <w:p w14:paraId="454D2681" w14:textId="77777777" w:rsidR="00A57AD9" w:rsidRPr="006E5A00" w:rsidRDefault="00A57AD9" w:rsidP="007C3584">
            <w:pPr>
              <w:autoSpaceDE w:val="0"/>
              <w:autoSpaceDN w:val="0"/>
              <w:adjustRightInd w:val="0"/>
              <w:jc w:val="center"/>
              <w:rPr>
                <w:rFonts w:ascii="Arial" w:hAnsi="Arial" w:cs="Arial"/>
                <w:sz w:val="10"/>
                <w:szCs w:val="10"/>
                <w:lang w:val="es-ES"/>
              </w:rPr>
            </w:pPr>
          </w:p>
        </w:tc>
        <w:tc>
          <w:tcPr>
            <w:tcW w:w="1386" w:type="dxa"/>
            <w:tcBorders>
              <w:top w:val="nil"/>
              <w:left w:val="nil"/>
              <w:bottom w:val="nil"/>
              <w:right w:val="nil"/>
            </w:tcBorders>
            <w:vAlign w:val="bottom"/>
          </w:tcPr>
          <w:p w14:paraId="3BCB05EB" w14:textId="77777777" w:rsidR="00A57AD9" w:rsidRPr="006E5A00" w:rsidRDefault="00A57AD9" w:rsidP="007C3584">
            <w:pPr>
              <w:autoSpaceDE w:val="0"/>
              <w:autoSpaceDN w:val="0"/>
              <w:adjustRightInd w:val="0"/>
              <w:jc w:val="center"/>
              <w:rPr>
                <w:rFonts w:ascii="Arial" w:hAnsi="Arial" w:cs="Arial"/>
                <w:sz w:val="10"/>
                <w:szCs w:val="10"/>
                <w:lang w:val="es-ES"/>
              </w:rPr>
            </w:pPr>
          </w:p>
        </w:tc>
      </w:tr>
      <w:tr w:rsidR="00A57AD9" w:rsidRPr="006E5A00" w14:paraId="4C7448D2" w14:textId="77777777" w:rsidTr="007C3584">
        <w:trPr>
          <w:trHeight w:val="255"/>
          <w:jc w:val="center"/>
        </w:trPr>
        <w:tc>
          <w:tcPr>
            <w:tcW w:w="2396" w:type="dxa"/>
            <w:tcBorders>
              <w:top w:val="nil"/>
              <w:left w:val="nil"/>
              <w:bottom w:val="nil"/>
              <w:right w:val="nil"/>
            </w:tcBorders>
            <w:vAlign w:val="bottom"/>
          </w:tcPr>
          <w:p w14:paraId="2EE6BAC1"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DRD(-1)</w:t>
            </w:r>
          </w:p>
        </w:tc>
        <w:tc>
          <w:tcPr>
            <w:tcW w:w="1386" w:type="dxa"/>
            <w:tcBorders>
              <w:top w:val="nil"/>
              <w:left w:val="nil"/>
              <w:bottom w:val="nil"/>
              <w:right w:val="nil"/>
            </w:tcBorders>
            <w:vAlign w:val="bottom"/>
          </w:tcPr>
          <w:p w14:paraId="6497540E"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0.057</w:t>
            </w:r>
          </w:p>
        </w:tc>
        <w:tc>
          <w:tcPr>
            <w:tcW w:w="1386" w:type="dxa"/>
            <w:tcBorders>
              <w:top w:val="nil"/>
              <w:left w:val="nil"/>
              <w:bottom w:val="nil"/>
              <w:right w:val="nil"/>
            </w:tcBorders>
            <w:vAlign w:val="bottom"/>
          </w:tcPr>
          <w:p w14:paraId="1C80840A"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0.596***</w:t>
            </w:r>
          </w:p>
        </w:tc>
        <w:tc>
          <w:tcPr>
            <w:tcW w:w="1386" w:type="dxa"/>
            <w:tcBorders>
              <w:top w:val="nil"/>
              <w:left w:val="nil"/>
              <w:bottom w:val="nil"/>
              <w:right w:val="nil"/>
            </w:tcBorders>
            <w:vAlign w:val="bottom"/>
          </w:tcPr>
          <w:p w14:paraId="09563D24"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-0.005</w:t>
            </w:r>
          </w:p>
        </w:tc>
      </w:tr>
      <w:tr w:rsidR="00A57AD9" w:rsidRPr="006E5A00" w14:paraId="10644765" w14:textId="77777777" w:rsidTr="007C3584">
        <w:trPr>
          <w:trHeight w:val="255"/>
          <w:jc w:val="center"/>
        </w:trPr>
        <w:tc>
          <w:tcPr>
            <w:tcW w:w="2396" w:type="dxa"/>
            <w:tcBorders>
              <w:top w:val="nil"/>
              <w:left w:val="nil"/>
              <w:bottom w:val="nil"/>
              <w:right w:val="nil"/>
            </w:tcBorders>
            <w:vAlign w:val="bottom"/>
          </w:tcPr>
          <w:p w14:paraId="241A89B7"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2921FAC3"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(0.044)</w:t>
            </w:r>
          </w:p>
        </w:tc>
        <w:tc>
          <w:tcPr>
            <w:tcW w:w="1386" w:type="dxa"/>
            <w:tcBorders>
              <w:top w:val="nil"/>
              <w:left w:val="nil"/>
              <w:bottom w:val="nil"/>
              <w:right w:val="nil"/>
            </w:tcBorders>
            <w:vAlign w:val="bottom"/>
          </w:tcPr>
          <w:p w14:paraId="179DD70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(0.065)</w:t>
            </w:r>
          </w:p>
        </w:tc>
        <w:tc>
          <w:tcPr>
            <w:tcW w:w="1386" w:type="dxa"/>
            <w:tcBorders>
              <w:top w:val="nil"/>
              <w:left w:val="nil"/>
              <w:bottom w:val="nil"/>
              <w:right w:val="nil"/>
            </w:tcBorders>
            <w:vAlign w:val="bottom"/>
          </w:tcPr>
          <w:p w14:paraId="1D4F906C"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(0.021)</w:t>
            </w:r>
          </w:p>
        </w:tc>
      </w:tr>
      <w:tr w:rsidR="00A57AD9" w:rsidRPr="006E5A00" w14:paraId="4999FB6F" w14:textId="77777777" w:rsidTr="007C3584">
        <w:trPr>
          <w:trHeight w:val="113"/>
          <w:jc w:val="center"/>
        </w:trPr>
        <w:tc>
          <w:tcPr>
            <w:tcW w:w="2396" w:type="dxa"/>
            <w:tcBorders>
              <w:top w:val="nil"/>
              <w:left w:val="nil"/>
              <w:bottom w:val="nil"/>
              <w:right w:val="nil"/>
            </w:tcBorders>
            <w:vAlign w:val="bottom"/>
          </w:tcPr>
          <w:p w14:paraId="72139E18"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75A4E598"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5208E131"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39B40113" w14:textId="77777777" w:rsidR="00A57AD9" w:rsidRPr="006E5A00" w:rsidRDefault="00A57AD9" w:rsidP="007C3584">
            <w:pPr>
              <w:autoSpaceDE w:val="0"/>
              <w:autoSpaceDN w:val="0"/>
              <w:adjustRightInd w:val="0"/>
              <w:jc w:val="center"/>
              <w:rPr>
                <w:rFonts w:ascii="Arial" w:hAnsi="Arial" w:cs="Arial"/>
                <w:sz w:val="6"/>
                <w:szCs w:val="6"/>
                <w:lang w:val="es-ES"/>
              </w:rPr>
            </w:pPr>
          </w:p>
        </w:tc>
      </w:tr>
      <w:tr w:rsidR="00A57AD9" w:rsidRPr="006E5A00" w14:paraId="716F3C41" w14:textId="77777777" w:rsidTr="007C3584">
        <w:trPr>
          <w:trHeight w:val="255"/>
          <w:jc w:val="center"/>
        </w:trPr>
        <w:tc>
          <w:tcPr>
            <w:tcW w:w="2396" w:type="dxa"/>
            <w:tcBorders>
              <w:top w:val="nil"/>
              <w:left w:val="nil"/>
              <w:bottom w:val="nil"/>
              <w:right w:val="nil"/>
            </w:tcBorders>
            <w:vAlign w:val="bottom"/>
          </w:tcPr>
          <w:p w14:paraId="334FC0BE"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DRD(-2)</w:t>
            </w:r>
          </w:p>
        </w:tc>
        <w:tc>
          <w:tcPr>
            <w:tcW w:w="1386" w:type="dxa"/>
            <w:tcBorders>
              <w:top w:val="nil"/>
              <w:left w:val="nil"/>
              <w:bottom w:val="nil"/>
              <w:right w:val="nil"/>
            </w:tcBorders>
            <w:vAlign w:val="bottom"/>
          </w:tcPr>
          <w:p w14:paraId="15A216B0"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-0.061*</w:t>
            </w:r>
          </w:p>
        </w:tc>
        <w:tc>
          <w:tcPr>
            <w:tcW w:w="1386" w:type="dxa"/>
            <w:tcBorders>
              <w:top w:val="nil"/>
              <w:left w:val="nil"/>
              <w:bottom w:val="nil"/>
              <w:right w:val="nil"/>
            </w:tcBorders>
            <w:vAlign w:val="bottom"/>
          </w:tcPr>
          <w:p w14:paraId="064D135D"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-0.169***</w:t>
            </w:r>
          </w:p>
        </w:tc>
        <w:tc>
          <w:tcPr>
            <w:tcW w:w="1386" w:type="dxa"/>
            <w:tcBorders>
              <w:top w:val="nil"/>
              <w:left w:val="nil"/>
              <w:bottom w:val="nil"/>
              <w:right w:val="nil"/>
            </w:tcBorders>
            <w:vAlign w:val="bottom"/>
          </w:tcPr>
          <w:p w14:paraId="55EC9DD1"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0.002</w:t>
            </w:r>
          </w:p>
        </w:tc>
      </w:tr>
      <w:tr w:rsidR="00A57AD9" w:rsidRPr="006E5A00" w14:paraId="7BD28181" w14:textId="77777777" w:rsidTr="007C3584">
        <w:trPr>
          <w:trHeight w:val="255"/>
          <w:jc w:val="center"/>
        </w:trPr>
        <w:tc>
          <w:tcPr>
            <w:tcW w:w="2396" w:type="dxa"/>
            <w:tcBorders>
              <w:top w:val="nil"/>
              <w:left w:val="nil"/>
              <w:bottom w:val="nil"/>
              <w:right w:val="nil"/>
            </w:tcBorders>
            <w:vAlign w:val="bottom"/>
          </w:tcPr>
          <w:p w14:paraId="536787F1"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45D70BF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(0.043)</w:t>
            </w:r>
          </w:p>
        </w:tc>
        <w:tc>
          <w:tcPr>
            <w:tcW w:w="1386" w:type="dxa"/>
            <w:tcBorders>
              <w:top w:val="nil"/>
              <w:left w:val="nil"/>
              <w:bottom w:val="nil"/>
              <w:right w:val="nil"/>
            </w:tcBorders>
            <w:vAlign w:val="bottom"/>
          </w:tcPr>
          <w:p w14:paraId="65F37772"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(0.063)</w:t>
            </w:r>
          </w:p>
        </w:tc>
        <w:tc>
          <w:tcPr>
            <w:tcW w:w="1386" w:type="dxa"/>
            <w:tcBorders>
              <w:top w:val="nil"/>
              <w:left w:val="nil"/>
              <w:bottom w:val="nil"/>
              <w:right w:val="nil"/>
            </w:tcBorders>
            <w:vAlign w:val="bottom"/>
          </w:tcPr>
          <w:p w14:paraId="483A3365"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(0.020)</w:t>
            </w:r>
          </w:p>
        </w:tc>
      </w:tr>
      <w:tr w:rsidR="00A57AD9" w:rsidRPr="006E5A00" w14:paraId="66CADBA3" w14:textId="77777777" w:rsidTr="007C3584">
        <w:trPr>
          <w:trHeight w:val="113"/>
          <w:jc w:val="center"/>
        </w:trPr>
        <w:tc>
          <w:tcPr>
            <w:tcW w:w="2396" w:type="dxa"/>
            <w:tcBorders>
              <w:top w:val="nil"/>
              <w:left w:val="nil"/>
              <w:bottom w:val="nil"/>
              <w:right w:val="nil"/>
            </w:tcBorders>
            <w:vAlign w:val="bottom"/>
          </w:tcPr>
          <w:p w14:paraId="55BF2D92"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22440FAF"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281A77A7"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1A6D1BA9" w14:textId="77777777" w:rsidR="00A57AD9" w:rsidRPr="006E5A00" w:rsidRDefault="00A57AD9" w:rsidP="007C3584">
            <w:pPr>
              <w:autoSpaceDE w:val="0"/>
              <w:autoSpaceDN w:val="0"/>
              <w:adjustRightInd w:val="0"/>
              <w:jc w:val="center"/>
              <w:rPr>
                <w:rFonts w:ascii="Arial" w:hAnsi="Arial" w:cs="Arial"/>
                <w:sz w:val="6"/>
                <w:szCs w:val="6"/>
                <w:lang w:val="es-ES"/>
              </w:rPr>
            </w:pPr>
          </w:p>
        </w:tc>
      </w:tr>
      <w:tr w:rsidR="00A57AD9" w:rsidRPr="006E5A00" w14:paraId="3F87D840" w14:textId="77777777" w:rsidTr="007C3584">
        <w:trPr>
          <w:trHeight w:val="255"/>
          <w:jc w:val="center"/>
        </w:trPr>
        <w:tc>
          <w:tcPr>
            <w:tcW w:w="2396" w:type="dxa"/>
            <w:tcBorders>
              <w:top w:val="nil"/>
              <w:left w:val="nil"/>
              <w:bottom w:val="nil"/>
              <w:right w:val="nil"/>
            </w:tcBorders>
            <w:vAlign w:val="bottom"/>
          </w:tcPr>
          <w:p w14:paraId="0F58F3B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WD(-1)</w:t>
            </w:r>
          </w:p>
        </w:tc>
        <w:tc>
          <w:tcPr>
            <w:tcW w:w="1386" w:type="dxa"/>
            <w:tcBorders>
              <w:top w:val="nil"/>
              <w:left w:val="nil"/>
              <w:bottom w:val="nil"/>
              <w:right w:val="nil"/>
            </w:tcBorders>
            <w:vAlign w:val="bottom"/>
          </w:tcPr>
          <w:p w14:paraId="628AF58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0.074</w:t>
            </w:r>
          </w:p>
        </w:tc>
        <w:tc>
          <w:tcPr>
            <w:tcW w:w="1386" w:type="dxa"/>
            <w:tcBorders>
              <w:top w:val="nil"/>
              <w:left w:val="nil"/>
              <w:bottom w:val="nil"/>
              <w:right w:val="nil"/>
            </w:tcBorders>
            <w:vAlign w:val="bottom"/>
          </w:tcPr>
          <w:p w14:paraId="07FAC093"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-0.010</w:t>
            </w:r>
          </w:p>
        </w:tc>
        <w:tc>
          <w:tcPr>
            <w:tcW w:w="1386" w:type="dxa"/>
            <w:tcBorders>
              <w:top w:val="nil"/>
              <w:left w:val="nil"/>
              <w:bottom w:val="nil"/>
              <w:right w:val="nil"/>
            </w:tcBorders>
            <w:vAlign w:val="bottom"/>
          </w:tcPr>
          <w:p w14:paraId="39BA6A2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0.732</w:t>
            </w:r>
          </w:p>
        </w:tc>
      </w:tr>
      <w:tr w:rsidR="00A57AD9" w:rsidRPr="006E5A00" w14:paraId="3EB175C6" w14:textId="77777777" w:rsidTr="007C3584">
        <w:trPr>
          <w:trHeight w:val="255"/>
          <w:jc w:val="center"/>
        </w:trPr>
        <w:tc>
          <w:tcPr>
            <w:tcW w:w="2396" w:type="dxa"/>
            <w:tcBorders>
              <w:top w:val="nil"/>
              <w:left w:val="nil"/>
              <w:bottom w:val="nil"/>
              <w:right w:val="nil"/>
            </w:tcBorders>
            <w:vAlign w:val="bottom"/>
          </w:tcPr>
          <w:p w14:paraId="597FE6EA"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1ACA8CC8"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(0.138)</w:t>
            </w:r>
          </w:p>
        </w:tc>
        <w:tc>
          <w:tcPr>
            <w:tcW w:w="1386" w:type="dxa"/>
            <w:tcBorders>
              <w:top w:val="nil"/>
              <w:left w:val="nil"/>
              <w:bottom w:val="nil"/>
              <w:right w:val="nil"/>
            </w:tcBorders>
            <w:vAlign w:val="bottom"/>
          </w:tcPr>
          <w:p w14:paraId="67878C1A"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(0.201)</w:t>
            </w:r>
          </w:p>
        </w:tc>
        <w:tc>
          <w:tcPr>
            <w:tcW w:w="1386" w:type="dxa"/>
            <w:tcBorders>
              <w:top w:val="nil"/>
              <w:left w:val="nil"/>
              <w:bottom w:val="nil"/>
              <w:right w:val="nil"/>
            </w:tcBorders>
            <w:vAlign w:val="bottom"/>
          </w:tcPr>
          <w:p w14:paraId="5616AB2B"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(0.064)</w:t>
            </w:r>
          </w:p>
        </w:tc>
      </w:tr>
      <w:tr w:rsidR="00A57AD9" w:rsidRPr="006E5A00" w14:paraId="384FA31F" w14:textId="77777777" w:rsidTr="007C3584">
        <w:trPr>
          <w:trHeight w:val="113"/>
          <w:jc w:val="center"/>
        </w:trPr>
        <w:tc>
          <w:tcPr>
            <w:tcW w:w="2396" w:type="dxa"/>
            <w:tcBorders>
              <w:top w:val="nil"/>
              <w:left w:val="nil"/>
              <w:bottom w:val="nil"/>
              <w:right w:val="nil"/>
            </w:tcBorders>
            <w:vAlign w:val="bottom"/>
          </w:tcPr>
          <w:p w14:paraId="39000F03"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524CB703"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6415CE85"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33A0BBC1" w14:textId="77777777" w:rsidR="00A57AD9" w:rsidRPr="006E5A00" w:rsidRDefault="00A57AD9" w:rsidP="007C3584">
            <w:pPr>
              <w:autoSpaceDE w:val="0"/>
              <w:autoSpaceDN w:val="0"/>
              <w:adjustRightInd w:val="0"/>
              <w:jc w:val="center"/>
              <w:rPr>
                <w:rFonts w:ascii="Arial" w:hAnsi="Arial" w:cs="Arial"/>
                <w:sz w:val="6"/>
                <w:szCs w:val="6"/>
                <w:lang w:val="es-ES"/>
              </w:rPr>
            </w:pPr>
          </w:p>
        </w:tc>
      </w:tr>
      <w:tr w:rsidR="00A57AD9" w:rsidRPr="006E5A00" w14:paraId="2ACF772A" w14:textId="77777777" w:rsidTr="007C3584">
        <w:trPr>
          <w:trHeight w:val="255"/>
          <w:jc w:val="center"/>
        </w:trPr>
        <w:tc>
          <w:tcPr>
            <w:tcW w:w="2396" w:type="dxa"/>
            <w:tcBorders>
              <w:top w:val="nil"/>
              <w:left w:val="nil"/>
              <w:bottom w:val="nil"/>
              <w:right w:val="nil"/>
            </w:tcBorders>
            <w:vAlign w:val="bottom"/>
          </w:tcPr>
          <w:p w14:paraId="6231A517"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WD(-2)</w:t>
            </w:r>
          </w:p>
        </w:tc>
        <w:tc>
          <w:tcPr>
            <w:tcW w:w="1386" w:type="dxa"/>
            <w:tcBorders>
              <w:top w:val="nil"/>
              <w:left w:val="nil"/>
              <w:bottom w:val="nil"/>
              <w:right w:val="nil"/>
            </w:tcBorders>
            <w:vAlign w:val="bottom"/>
          </w:tcPr>
          <w:p w14:paraId="2597527A"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-0.164</w:t>
            </w:r>
          </w:p>
        </w:tc>
        <w:tc>
          <w:tcPr>
            <w:tcW w:w="1386" w:type="dxa"/>
            <w:tcBorders>
              <w:top w:val="nil"/>
              <w:left w:val="nil"/>
              <w:bottom w:val="nil"/>
              <w:right w:val="nil"/>
            </w:tcBorders>
            <w:vAlign w:val="bottom"/>
          </w:tcPr>
          <w:p w14:paraId="3943D41C"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-0.448***</w:t>
            </w:r>
          </w:p>
        </w:tc>
        <w:tc>
          <w:tcPr>
            <w:tcW w:w="1386" w:type="dxa"/>
            <w:tcBorders>
              <w:top w:val="nil"/>
              <w:left w:val="nil"/>
              <w:bottom w:val="nil"/>
              <w:right w:val="nil"/>
            </w:tcBorders>
            <w:vAlign w:val="bottom"/>
          </w:tcPr>
          <w:p w14:paraId="7A2CFC14"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0.192***</w:t>
            </w:r>
          </w:p>
        </w:tc>
      </w:tr>
      <w:tr w:rsidR="00A57AD9" w:rsidRPr="006E5A00" w14:paraId="65C8333B" w14:textId="77777777" w:rsidTr="007C3584">
        <w:trPr>
          <w:trHeight w:val="255"/>
          <w:jc w:val="center"/>
        </w:trPr>
        <w:tc>
          <w:tcPr>
            <w:tcW w:w="2396" w:type="dxa"/>
            <w:tcBorders>
              <w:top w:val="nil"/>
              <w:left w:val="nil"/>
              <w:bottom w:val="nil"/>
              <w:right w:val="nil"/>
            </w:tcBorders>
            <w:vAlign w:val="bottom"/>
          </w:tcPr>
          <w:p w14:paraId="741B4F4F"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nil"/>
              <w:right w:val="nil"/>
            </w:tcBorders>
            <w:vAlign w:val="bottom"/>
          </w:tcPr>
          <w:p w14:paraId="56BE8DB9"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(0.138)</w:t>
            </w:r>
          </w:p>
        </w:tc>
        <w:tc>
          <w:tcPr>
            <w:tcW w:w="1386" w:type="dxa"/>
            <w:tcBorders>
              <w:top w:val="nil"/>
              <w:left w:val="nil"/>
              <w:bottom w:val="nil"/>
              <w:right w:val="nil"/>
            </w:tcBorders>
            <w:vAlign w:val="bottom"/>
          </w:tcPr>
          <w:p w14:paraId="674FCE24"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(0.202)</w:t>
            </w:r>
          </w:p>
        </w:tc>
        <w:tc>
          <w:tcPr>
            <w:tcW w:w="1386" w:type="dxa"/>
            <w:tcBorders>
              <w:top w:val="nil"/>
              <w:left w:val="nil"/>
              <w:bottom w:val="nil"/>
              <w:right w:val="nil"/>
            </w:tcBorders>
            <w:vAlign w:val="bottom"/>
          </w:tcPr>
          <w:p w14:paraId="7BA43668"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(0.064)</w:t>
            </w:r>
          </w:p>
        </w:tc>
      </w:tr>
      <w:tr w:rsidR="00A57AD9" w:rsidRPr="006E5A00" w14:paraId="21CE3F7B" w14:textId="77777777" w:rsidTr="007C3584">
        <w:trPr>
          <w:trHeight w:val="113"/>
          <w:jc w:val="center"/>
        </w:trPr>
        <w:tc>
          <w:tcPr>
            <w:tcW w:w="2396" w:type="dxa"/>
            <w:tcBorders>
              <w:top w:val="nil"/>
              <w:left w:val="nil"/>
              <w:bottom w:val="nil"/>
              <w:right w:val="nil"/>
            </w:tcBorders>
            <w:vAlign w:val="bottom"/>
          </w:tcPr>
          <w:p w14:paraId="4C625D96"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74AD26B2"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31B26763" w14:textId="77777777" w:rsidR="00A57AD9" w:rsidRPr="006E5A00" w:rsidRDefault="00A57AD9" w:rsidP="007C3584">
            <w:pPr>
              <w:autoSpaceDE w:val="0"/>
              <w:autoSpaceDN w:val="0"/>
              <w:adjustRightInd w:val="0"/>
              <w:jc w:val="center"/>
              <w:rPr>
                <w:rFonts w:ascii="Arial" w:hAnsi="Arial" w:cs="Arial"/>
                <w:sz w:val="6"/>
                <w:szCs w:val="6"/>
                <w:lang w:val="es-ES"/>
              </w:rPr>
            </w:pPr>
          </w:p>
        </w:tc>
        <w:tc>
          <w:tcPr>
            <w:tcW w:w="1386" w:type="dxa"/>
            <w:tcBorders>
              <w:top w:val="nil"/>
              <w:left w:val="nil"/>
              <w:bottom w:val="nil"/>
              <w:right w:val="nil"/>
            </w:tcBorders>
            <w:vAlign w:val="bottom"/>
          </w:tcPr>
          <w:p w14:paraId="24350A06" w14:textId="77777777" w:rsidR="00A57AD9" w:rsidRPr="006E5A00" w:rsidRDefault="00A57AD9" w:rsidP="007C3584">
            <w:pPr>
              <w:autoSpaceDE w:val="0"/>
              <w:autoSpaceDN w:val="0"/>
              <w:adjustRightInd w:val="0"/>
              <w:jc w:val="center"/>
              <w:rPr>
                <w:rFonts w:ascii="Arial" w:hAnsi="Arial" w:cs="Arial"/>
                <w:sz w:val="6"/>
                <w:szCs w:val="6"/>
                <w:lang w:val="es-ES"/>
              </w:rPr>
            </w:pPr>
          </w:p>
        </w:tc>
      </w:tr>
      <w:tr w:rsidR="00A57AD9" w:rsidRPr="006E5A00" w14:paraId="3FCFCAEF" w14:textId="77777777" w:rsidTr="007C3584">
        <w:trPr>
          <w:trHeight w:val="255"/>
          <w:jc w:val="center"/>
        </w:trPr>
        <w:tc>
          <w:tcPr>
            <w:tcW w:w="2396" w:type="dxa"/>
            <w:tcBorders>
              <w:top w:val="nil"/>
              <w:left w:val="nil"/>
              <w:bottom w:val="nil"/>
              <w:right w:val="nil"/>
            </w:tcBorders>
            <w:vAlign w:val="bottom"/>
          </w:tcPr>
          <w:p w14:paraId="0066071D"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C</w:t>
            </w:r>
          </w:p>
        </w:tc>
        <w:tc>
          <w:tcPr>
            <w:tcW w:w="1386" w:type="dxa"/>
            <w:tcBorders>
              <w:top w:val="nil"/>
              <w:left w:val="nil"/>
              <w:bottom w:val="nil"/>
              <w:right w:val="nil"/>
            </w:tcBorders>
            <w:vAlign w:val="bottom"/>
          </w:tcPr>
          <w:p w14:paraId="652B8434"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1.866***</w:t>
            </w:r>
          </w:p>
        </w:tc>
        <w:tc>
          <w:tcPr>
            <w:tcW w:w="1386" w:type="dxa"/>
            <w:tcBorders>
              <w:top w:val="nil"/>
              <w:left w:val="nil"/>
              <w:bottom w:val="nil"/>
              <w:right w:val="nil"/>
            </w:tcBorders>
            <w:vAlign w:val="bottom"/>
          </w:tcPr>
          <w:p w14:paraId="517BA039"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1.220***</w:t>
            </w:r>
          </w:p>
        </w:tc>
        <w:tc>
          <w:tcPr>
            <w:tcW w:w="1386" w:type="dxa"/>
            <w:tcBorders>
              <w:top w:val="nil"/>
              <w:left w:val="nil"/>
              <w:bottom w:val="nil"/>
              <w:right w:val="nil"/>
            </w:tcBorders>
            <w:vAlign w:val="bottom"/>
          </w:tcPr>
          <w:p w14:paraId="0EBE9110"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-0.070</w:t>
            </w:r>
          </w:p>
        </w:tc>
      </w:tr>
      <w:tr w:rsidR="00A57AD9" w:rsidRPr="006E5A00" w14:paraId="1F6AD375" w14:textId="77777777" w:rsidTr="007C3584">
        <w:trPr>
          <w:trHeight w:val="255"/>
          <w:jc w:val="center"/>
        </w:trPr>
        <w:tc>
          <w:tcPr>
            <w:tcW w:w="2396" w:type="dxa"/>
            <w:tcBorders>
              <w:top w:val="nil"/>
              <w:left w:val="nil"/>
              <w:right w:val="nil"/>
            </w:tcBorders>
            <w:vAlign w:val="bottom"/>
          </w:tcPr>
          <w:p w14:paraId="21A90E8A"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right w:val="nil"/>
            </w:tcBorders>
            <w:vAlign w:val="bottom"/>
          </w:tcPr>
          <w:p w14:paraId="6D9F8432"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(0.277)</w:t>
            </w:r>
          </w:p>
        </w:tc>
        <w:tc>
          <w:tcPr>
            <w:tcW w:w="1386" w:type="dxa"/>
            <w:tcBorders>
              <w:top w:val="nil"/>
              <w:left w:val="nil"/>
              <w:right w:val="nil"/>
            </w:tcBorders>
            <w:vAlign w:val="bottom"/>
          </w:tcPr>
          <w:p w14:paraId="1B9F579F"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(0.404)</w:t>
            </w:r>
          </w:p>
        </w:tc>
        <w:tc>
          <w:tcPr>
            <w:tcW w:w="1386" w:type="dxa"/>
            <w:tcBorders>
              <w:top w:val="nil"/>
              <w:left w:val="nil"/>
              <w:right w:val="nil"/>
            </w:tcBorders>
            <w:vAlign w:val="bottom"/>
          </w:tcPr>
          <w:p w14:paraId="4AF12024" w14:textId="77777777" w:rsidR="00A57AD9" w:rsidRPr="006E5A00" w:rsidRDefault="00A57AD9" w:rsidP="007C3584">
            <w:pPr>
              <w:autoSpaceDE w:val="0"/>
              <w:autoSpaceDN w:val="0"/>
              <w:adjustRightInd w:val="0"/>
              <w:jc w:val="center"/>
              <w:rPr>
                <w:rFonts w:ascii="Arial" w:hAnsi="Arial" w:cs="Arial"/>
                <w:sz w:val="18"/>
                <w:szCs w:val="18"/>
                <w:lang w:val="es-ES"/>
              </w:rPr>
            </w:pPr>
            <w:r w:rsidRPr="006E5A00">
              <w:rPr>
                <w:rFonts w:ascii="Arial" w:hAnsi="Arial" w:cs="Arial"/>
                <w:sz w:val="18"/>
                <w:szCs w:val="18"/>
                <w:lang w:val="es-ES"/>
              </w:rPr>
              <w:t> (0.129)</w:t>
            </w:r>
          </w:p>
        </w:tc>
      </w:tr>
      <w:tr w:rsidR="00A57AD9" w:rsidRPr="006E5A00" w14:paraId="589CEBE0" w14:textId="77777777" w:rsidTr="007C3584">
        <w:trPr>
          <w:trHeight w:val="255"/>
          <w:jc w:val="center"/>
        </w:trPr>
        <w:tc>
          <w:tcPr>
            <w:tcW w:w="2396" w:type="dxa"/>
            <w:tcBorders>
              <w:top w:val="nil"/>
              <w:left w:val="nil"/>
              <w:bottom w:val="single" w:sz="8" w:space="0" w:color="auto"/>
              <w:right w:val="nil"/>
            </w:tcBorders>
            <w:vAlign w:val="bottom"/>
          </w:tcPr>
          <w:p w14:paraId="603EE2D4"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single" w:sz="8" w:space="0" w:color="auto"/>
              <w:right w:val="nil"/>
            </w:tcBorders>
            <w:vAlign w:val="bottom"/>
          </w:tcPr>
          <w:p w14:paraId="6790C91D"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single" w:sz="8" w:space="0" w:color="auto"/>
              <w:right w:val="nil"/>
            </w:tcBorders>
            <w:vAlign w:val="bottom"/>
          </w:tcPr>
          <w:p w14:paraId="38803F2B" w14:textId="77777777" w:rsidR="00A57AD9" w:rsidRPr="006E5A00" w:rsidRDefault="00A57AD9" w:rsidP="007C3584">
            <w:pPr>
              <w:autoSpaceDE w:val="0"/>
              <w:autoSpaceDN w:val="0"/>
              <w:adjustRightInd w:val="0"/>
              <w:jc w:val="center"/>
              <w:rPr>
                <w:rFonts w:ascii="Arial" w:hAnsi="Arial" w:cs="Arial"/>
                <w:sz w:val="18"/>
                <w:szCs w:val="18"/>
                <w:lang w:val="es-ES"/>
              </w:rPr>
            </w:pPr>
          </w:p>
        </w:tc>
        <w:tc>
          <w:tcPr>
            <w:tcW w:w="1386" w:type="dxa"/>
            <w:tcBorders>
              <w:top w:val="nil"/>
              <w:left w:val="nil"/>
              <w:bottom w:val="single" w:sz="8" w:space="0" w:color="auto"/>
              <w:right w:val="nil"/>
            </w:tcBorders>
            <w:vAlign w:val="bottom"/>
          </w:tcPr>
          <w:p w14:paraId="2B042219" w14:textId="77777777" w:rsidR="00A57AD9" w:rsidRPr="006E5A00" w:rsidRDefault="00A57AD9" w:rsidP="007C3584">
            <w:pPr>
              <w:autoSpaceDE w:val="0"/>
              <w:autoSpaceDN w:val="0"/>
              <w:adjustRightInd w:val="0"/>
              <w:jc w:val="center"/>
              <w:rPr>
                <w:rFonts w:ascii="Arial" w:hAnsi="Arial" w:cs="Arial"/>
                <w:sz w:val="18"/>
                <w:szCs w:val="18"/>
                <w:lang w:val="es-ES"/>
              </w:rPr>
            </w:pPr>
          </w:p>
        </w:tc>
      </w:tr>
    </w:tbl>
    <w:p w14:paraId="1711E591" w14:textId="77777777" w:rsidR="00A57AD9" w:rsidRPr="006E5A00" w:rsidRDefault="00A57AD9" w:rsidP="007C3584">
      <w:pPr>
        <w:autoSpaceDE w:val="0"/>
        <w:autoSpaceDN w:val="0"/>
        <w:adjustRightInd w:val="0"/>
        <w:jc w:val="center"/>
        <w:rPr>
          <w:sz w:val="18"/>
          <w:szCs w:val="18"/>
        </w:rPr>
      </w:pPr>
      <w:r w:rsidRPr="006E5A00">
        <w:rPr>
          <w:sz w:val="18"/>
          <w:szCs w:val="18"/>
        </w:rPr>
        <w:t>Note: * denotes significance at 10%, ** at 5% and *** at 1%</w:t>
      </w:r>
    </w:p>
    <w:p w14:paraId="24A0A273" w14:textId="77777777" w:rsidR="00A57AD9" w:rsidRPr="006E5A00" w:rsidRDefault="00A57AD9" w:rsidP="0020274C">
      <w:pPr>
        <w:autoSpaceDE w:val="0"/>
        <w:autoSpaceDN w:val="0"/>
        <w:adjustRightInd w:val="0"/>
        <w:ind w:firstLine="340"/>
        <w:jc w:val="both"/>
      </w:pPr>
    </w:p>
    <w:p w14:paraId="4184E726" w14:textId="77777777" w:rsidR="0020274C" w:rsidRPr="006E5A00" w:rsidRDefault="0020274C" w:rsidP="0020274C">
      <w:pPr>
        <w:autoSpaceDE w:val="0"/>
        <w:autoSpaceDN w:val="0"/>
        <w:adjustRightInd w:val="0"/>
        <w:ind w:firstLine="340"/>
        <w:jc w:val="both"/>
      </w:pPr>
      <w:r w:rsidRPr="006E5A00">
        <w:rPr>
          <w:rFonts w:cs="Arial"/>
          <w:lang w:val="en-US"/>
        </w:rPr>
        <w:t xml:space="preserve">The response is shown </w:t>
      </w:r>
      <w:r w:rsidRPr="006E5A00">
        <w:t xml:space="preserve">with one-standard-error bands that yield confidence intervals of approximately 66%. We can see that the unexpected increase in real wages causes a persistent decrease in mortality that reaches its trough after 5 months and fades away slowly over the next five years. According to the VAR model we have specified, the contribution of the variability in real wages on the variability of death rates over six years is 21 %, i.e. over one fifth of the fluctuations in mortality can be explained by the rise and fall of real wages. </w:t>
      </w:r>
    </w:p>
    <w:p w14:paraId="22A480B0" w14:textId="77777777" w:rsidR="0020274C" w:rsidRPr="007C3584" w:rsidRDefault="0020274C" w:rsidP="0020274C"/>
    <w:p w14:paraId="1BE99849" w14:textId="77777777" w:rsidR="007C3584" w:rsidRPr="007C3584" w:rsidRDefault="007C3584" w:rsidP="007C3584">
      <w:pPr>
        <w:autoSpaceDE w:val="0"/>
        <w:autoSpaceDN w:val="0"/>
        <w:adjustRightInd w:val="0"/>
        <w:jc w:val="center"/>
      </w:pPr>
      <w:r w:rsidRPr="007C3584">
        <w:t xml:space="preserve">FIGURE </w:t>
      </w:r>
      <w:r w:rsidR="00CC285B" w:rsidRPr="007C3584">
        <w:t>A</w:t>
      </w:r>
    </w:p>
    <w:p w14:paraId="6B83F2C5" w14:textId="77777777" w:rsidR="0020274C" w:rsidRPr="007C3584" w:rsidRDefault="0020274C" w:rsidP="007C3584">
      <w:pPr>
        <w:autoSpaceDE w:val="0"/>
        <w:autoSpaceDN w:val="0"/>
        <w:adjustRightInd w:val="0"/>
        <w:jc w:val="center"/>
      </w:pPr>
      <w:r w:rsidRPr="007C3584">
        <w:t>Response of death rate detrended to a one standard deviation</w:t>
      </w:r>
      <w:r w:rsidR="007C3584" w:rsidRPr="007C3584">
        <w:t xml:space="preserve"> real wage detrended innovation</w:t>
      </w:r>
    </w:p>
    <w:p w14:paraId="40056FFE" w14:textId="77777777" w:rsidR="0020274C" w:rsidRPr="006E5A00" w:rsidRDefault="0020274C" w:rsidP="007C3584">
      <w:pPr>
        <w:autoSpaceDE w:val="0"/>
        <w:autoSpaceDN w:val="0"/>
        <w:adjustRightInd w:val="0"/>
        <w:jc w:val="center"/>
        <w:rPr>
          <w:rFonts w:ascii="Arial" w:hAnsi="Arial" w:cs="Arial"/>
          <w:sz w:val="18"/>
          <w:szCs w:val="18"/>
          <w:lang w:val="en-US"/>
        </w:rPr>
      </w:pPr>
      <w:r w:rsidRPr="006E5A00">
        <w:rPr>
          <w:rFonts w:ascii="Arial" w:hAnsi="Arial" w:cs="Arial"/>
          <w:noProof/>
          <w:sz w:val="18"/>
          <w:szCs w:val="18"/>
          <w:lang w:val="es-ES" w:eastAsia="es-ES"/>
        </w:rPr>
        <w:drawing>
          <wp:inline distT="0" distB="0" distL="0" distR="0" wp14:anchorId="6690D9F2" wp14:editId="5E06057C">
            <wp:extent cx="2727960" cy="20040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17050"/>
                    <a:stretch>
                      <a:fillRect/>
                    </a:stretch>
                  </pic:blipFill>
                  <pic:spPr bwMode="auto">
                    <a:xfrm>
                      <a:off x="0" y="0"/>
                      <a:ext cx="2727960" cy="2004060"/>
                    </a:xfrm>
                    <a:prstGeom prst="rect">
                      <a:avLst/>
                    </a:prstGeom>
                    <a:noFill/>
                    <a:ln>
                      <a:noFill/>
                    </a:ln>
                  </pic:spPr>
                </pic:pic>
              </a:graphicData>
            </a:graphic>
          </wp:inline>
        </w:drawing>
      </w:r>
    </w:p>
    <w:p w14:paraId="2BA64A00" w14:textId="77777777" w:rsidR="0020274C" w:rsidRPr="006E5A00" w:rsidRDefault="0020274C" w:rsidP="0020274C">
      <w:pPr>
        <w:autoSpaceDE w:val="0"/>
        <w:autoSpaceDN w:val="0"/>
        <w:adjustRightInd w:val="0"/>
        <w:rPr>
          <w:sz w:val="10"/>
          <w:szCs w:val="10"/>
        </w:rPr>
      </w:pPr>
    </w:p>
    <w:p w14:paraId="2571BCF7" w14:textId="77777777" w:rsidR="0020274C" w:rsidRPr="006E5A00" w:rsidRDefault="0020274C" w:rsidP="0020274C">
      <w:pPr>
        <w:autoSpaceDE w:val="0"/>
        <w:autoSpaceDN w:val="0"/>
        <w:adjustRightInd w:val="0"/>
        <w:rPr>
          <w:sz w:val="10"/>
          <w:szCs w:val="10"/>
        </w:rPr>
      </w:pPr>
    </w:p>
    <w:p w14:paraId="176B16D7" w14:textId="77777777" w:rsidR="0020274C" w:rsidRPr="00A57AD9" w:rsidRDefault="00A57AD9" w:rsidP="0020274C">
      <w:pPr>
        <w:rPr>
          <w:b/>
          <w:u w:val="single"/>
        </w:rPr>
      </w:pPr>
      <w:r w:rsidRPr="00A57AD9">
        <w:rPr>
          <w:b/>
          <w:u w:val="single"/>
        </w:rPr>
        <w:t xml:space="preserve">Additional statistical post-examination for robustness of results </w:t>
      </w:r>
    </w:p>
    <w:p w14:paraId="0257F80C" w14:textId="77777777" w:rsidR="0020274C" w:rsidRPr="006E5A00" w:rsidRDefault="0020274C" w:rsidP="0020274C"/>
    <w:p w14:paraId="03D391D8" w14:textId="77777777" w:rsidR="0020274C" w:rsidRPr="006E5A00" w:rsidRDefault="0020274C" w:rsidP="0020274C">
      <w:pPr>
        <w:pStyle w:val="ListParagraph"/>
        <w:numPr>
          <w:ilvl w:val="0"/>
          <w:numId w:val="1"/>
        </w:numPr>
      </w:pPr>
      <w:r w:rsidRPr="006E5A00">
        <w:t>Data preparation. We have created three data sets: crude data, data with missing observations interpolated with moving averages (only for temperatures and pawns), and de-seasonalized data</w:t>
      </w:r>
    </w:p>
    <w:p w14:paraId="668EC8C3" w14:textId="77777777" w:rsidR="0020274C" w:rsidRPr="006E5A00" w:rsidRDefault="0020274C" w:rsidP="0020274C">
      <w:pPr>
        <w:pStyle w:val="ListParagraph"/>
        <w:numPr>
          <w:ilvl w:val="0"/>
          <w:numId w:val="1"/>
        </w:numPr>
      </w:pPr>
      <w:r w:rsidRPr="006E5A00">
        <w:t>We include two exogenous data series which will also be considered as a robustness check for weather: Temperatures and rainfall</w:t>
      </w:r>
    </w:p>
    <w:p w14:paraId="0EB8C1A4" w14:textId="77777777" w:rsidR="0020274C" w:rsidRPr="006E5A00" w:rsidRDefault="0020274C" w:rsidP="0020274C">
      <w:pPr>
        <w:pStyle w:val="ListParagraph"/>
        <w:numPr>
          <w:ilvl w:val="0"/>
          <w:numId w:val="1"/>
        </w:numPr>
      </w:pPr>
      <w:r w:rsidRPr="006E5A00">
        <w:t>We also include seasonal dummies for data analysis with crude data and interpolated data.</w:t>
      </w:r>
    </w:p>
    <w:p w14:paraId="60E96ED8" w14:textId="77777777" w:rsidR="0020274C" w:rsidRPr="006E5A00" w:rsidRDefault="0020274C" w:rsidP="0020274C">
      <w:pPr>
        <w:pStyle w:val="ListParagraph"/>
        <w:numPr>
          <w:ilvl w:val="0"/>
          <w:numId w:val="1"/>
        </w:numPr>
      </w:pPr>
      <w:r w:rsidRPr="006E5A00">
        <w:t>Significance levels to consider: standard practice 1%, 5% and 10%</w:t>
      </w:r>
    </w:p>
    <w:p w14:paraId="764E2C22" w14:textId="77777777" w:rsidR="0020274C" w:rsidRPr="006E5A00" w:rsidRDefault="0020274C" w:rsidP="0020274C">
      <w:pPr>
        <w:pStyle w:val="ListParagraph"/>
        <w:numPr>
          <w:ilvl w:val="0"/>
          <w:numId w:val="1"/>
        </w:numPr>
      </w:pPr>
      <w:r w:rsidRPr="006E5A00">
        <w:t>Selection criteria: AIC and BIC.</w:t>
      </w:r>
    </w:p>
    <w:p w14:paraId="3000021F" w14:textId="77777777" w:rsidR="0020274C" w:rsidRPr="006E5A00" w:rsidRDefault="0020274C" w:rsidP="0020274C">
      <w:pPr>
        <w:pStyle w:val="ListParagraph"/>
        <w:numPr>
          <w:ilvl w:val="0"/>
          <w:numId w:val="1"/>
        </w:numPr>
      </w:pPr>
      <w:r w:rsidRPr="006E5A00">
        <w:t>Unit root tests: ADF and KPSS</w:t>
      </w:r>
    </w:p>
    <w:p w14:paraId="0B5E3D27" w14:textId="77777777" w:rsidR="0020274C" w:rsidRPr="006E5A00" w:rsidRDefault="0020274C" w:rsidP="0020274C">
      <w:pPr>
        <w:pStyle w:val="ListParagraph"/>
        <w:numPr>
          <w:ilvl w:val="0"/>
          <w:numId w:val="1"/>
        </w:numPr>
      </w:pPr>
      <w:r w:rsidRPr="006E5A00">
        <w:t>Calibrating optimal number of lags using selection criteria</w:t>
      </w:r>
    </w:p>
    <w:p w14:paraId="395CA522" w14:textId="77777777" w:rsidR="0020274C" w:rsidRPr="006E5A00" w:rsidRDefault="0020274C" w:rsidP="0020274C">
      <w:pPr>
        <w:pStyle w:val="ListParagraph"/>
        <w:numPr>
          <w:ilvl w:val="0"/>
          <w:numId w:val="1"/>
        </w:numPr>
      </w:pPr>
      <w:r w:rsidRPr="006E5A00">
        <w:t>Checking on Granger causality. See validity of a VAR model</w:t>
      </w:r>
    </w:p>
    <w:p w14:paraId="3237EA63" w14:textId="77777777" w:rsidR="0020274C" w:rsidRPr="006E5A00" w:rsidRDefault="0020274C" w:rsidP="0020274C">
      <w:pPr>
        <w:pStyle w:val="ListParagraph"/>
        <w:numPr>
          <w:ilvl w:val="0"/>
          <w:numId w:val="1"/>
        </w:numPr>
      </w:pPr>
      <w:r w:rsidRPr="006E5A00">
        <w:t>We run co-integration tests conditioned on unit root tests, lags, seasonality, and exogenous variables included.</w:t>
      </w:r>
    </w:p>
    <w:p w14:paraId="2627940F" w14:textId="77777777" w:rsidR="0020274C" w:rsidRPr="006E5A00" w:rsidRDefault="0020274C" w:rsidP="0020274C">
      <w:pPr>
        <w:pStyle w:val="ListParagraph"/>
        <w:numPr>
          <w:ilvl w:val="0"/>
          <w:numId w:val="1"/>
        </w:numPr>
      </w:pPr>
      <w:r w:rsidRPr="006E5A00">
        <w:t>We estimate the following models: VAR (1), co-integrated VAR, seasonal VAR (conditioned on the co-integration test); VECM; ADL regressions</w:t>
      </w:r>
    </w:p>
    <w:p w14:paraId="5767D0D9" w14:textId="77777777" w:rsidR="0020274C" w:rsidRPr="006E5A00" w:rsidRDefault="0020274C" w:rsidP="0020274C"/>
    <w:p w14:paraId="44C40706" w14:textId="77777777" w:rsidR="0020274C" w:rsidRPr="006E5A00" w:rsidRDefault="0020274C" w:rsidP="0020274C">
      <w:r w:rsidRPr="006E5A00">
        <w:t>Results:</w:t>
      </w:r>
    </w:p>
    <w:p w14:paraId="2F4E4420" w14:textId="77777777" w:rsidR="0020274C" w:rsidRPr="006E5A00" w:rsidRDefault="0020274C" w:rsidP="0020274C">
      <w:pPr>
        <w:pStyle w:val="ListParagraph"/>
        <w:numPr>
          <w:ilvl w:val="0"/>
          <w:numId w:val="4"/>
        </w:numPr>
        <w:ind w:left="697" w:hanging="340"/>
      </w:pPr>
      <w:r w:rsidRPr="006E5A00">
        <w:t>Data: best results are obtained with crude data and seasonal dummies</w:t>
      </w:r>
    </w:p>
    <w:p w14:paraId="68985C62" w14:textId="77777777" w:rsidR="0020274C" w:rsidRPr="006E5A00" w:rsidRDefault="0020274C" w:rsidP="0020274C">
      <w:pPr>
        <w:pStyle w:val="ListParagraph"/>
        <w:numPr>
          <w:ilvl w:val="0"/>
          <w:numId w:val="4"/>
        </w:numPr>
        <w:ind w:left="697" w:hanging="340"/>
      </w:pPr>
      <w:r w:rsidRPr="006E5A00">
        <w:t>Including the two exogenous variables for weather adds nothing, their effect is in the seasonal dummies</w:t>
      </w:r>
    </w:p>
    <w:p w14:paraId="381D16DC" w14:textId="77777777" w:rsidR="0020274C" w:rsidRPr="006E5A00" w:rsidRDefault="0020274C" w:rsidP="0020274C">
      <w:pPr>
        <w:pStyle w:val="ListParagraph"/>
        <w:numPr>
          <w:ilvl w:val="0"/>
          <w:numId w:val="4"/>
        </w:numPr>
        <w:ind w:left="697" w:hanging="340"/>
      </w:pPr>
      <w:r w:rsidRPr="006E5A00">
        <w:t>Optimal lag length is 4 for death rates, 3 for other socio-economic and vital statistics</w:t>
      </w:r>
    </w:p>
    <w:p w14:paraId="4F02C80B" w14:textId="77777777" w:rsidR="0020274C" w:rsidRPr="006E5A00" w:rsidRDefault="0020274C" w:rsidP="0020274C">
      <w:pPr>
        <w:pStyle w:val="ListParagraph"/>
        <w:numPr>
          <w:ilvl w:val="0"/>
          <w:numId w:val="4"/>
        </w:numPr>
        <w:ind w:left="697" w:hanging="340"/>
      </w:pPr>
      <w:r w:rsidRPr="006E5A00">
        <w:t xml:space="preserve">Selection criteria – tried both mode of BIC and AIC and finally decided to use AIC which is most appropriate for monthly data. </w:t>
      </w:r>
    </w:p>
    <w:p w14:paraId="38C12AD5" w14:textId="77777777" w:rsidR="0020274C" w:rsidRPr="006E5A00" w:rsidRDefault="0020274C" w:rsidP="0020274C">
      <w:pPr>
        <w:pStyle w:val="ListParagraph"/>
        <w:numPr>
          <w:ilvl w:val="0"/>
          <w:numId w:val="4"/>
        </w:numPr>
        <w:ind w:left="697" w:hanging="340"/>
      </w:pPr>
      <w:r w:rsidRPr="006E5A00">
        <w:t>Unit root tests for all variables I (1). Additional unit root test with structural change: Busetti- Harvey also show all series I (1)</w:t>
      </w:r>
    </w:p>
    <w:p w14:paraId="6595093D" w14:textId="77777777" w:rsidR="0020274C" w:rsidRPr="006E5A00" w:rsidRDefault="0020274C" w:rsidP="0020274C">
      <w:pPr>
        <w:pStyle w:val="ListParagraph"/>
        <w:numPr>
          <w:ilvl w:val="0"/>
          <w:numId w:val="6"/>
        </w:numPr>
      </w:pPr>
      <w:r w:rsidRPr="006E5A00">
        <w:t>We perform Johansen co-integration tests and generate impulse-response functions for the different models we obtain.</w:t>
      </w:r>
    </w:p>
    <w:p w14:paraId="21905D87" w14:textId="77777777" w:rsidR="0020274C" w:rsidRPr="006E5A00" w:rsidRDefault="0020274C" w:rsidP="0020274C">
      <w:pPr>
        <w:pStyle w:val="ListParagraph"/>
        <w:numPr>
          <w:ilvl w:val="0"/>
          <w:numId w:val="6"/>
        </w:numPr>
      </w:pPr>
      <w:r w:rsidRPr="006E5A00">
        <w:t>Impulse-response functions show how transitory disequilibria are corrected and stabilized positively with COLI indexes and negatively with nominal wages.</w:t>
      </w:r>
    </w:p>
    <w:p w14:paraId="3A60BAE4" w14:textId="77777777" w:rsidR="0020274C" w:rsidRPr="006E5A00" w:rsidRDefault="0020274C" w:rsidP="0020274C">
      <w:pPr>
        <w:pStyle w:val="ListParagraph"/>
        <w:numPr>
          <w:ilvl w:val="0"/>
          <w:numId w:val="6"/>
        </w:numPr>
      </w:pPr>
      <w:r w:rsidRPr="006E5A00">
        <w:t>Evidence of co-integration with all variables with the exception of child abandonment (Fixed-basket COLI does show evidence of cointegration with child abandonment). Otherwise results with changing weights COLI and fixed weight basket COLI are very similar.</w:t>
      </w:r>
    </w:p>
    <w:p w14:paraId="2BEE952C" w14:textId="77777777" w:rsidR="0020274C" w:rsidRPr="006E5A00" w:rsidRDefault="0020274C" w:rsidP="0020274C">
      <w:pPr>
        <w:pStyle w:val="ListParagraph"/>
        <w:numPr>
          <w:ilvl w:val="0"/>
          <w:numId w:val="6"/>
        </w:numPr>
      </w:pPr>
      <w:r w:rsidRPr="006E5A00">
        <w:t xml:space="preserve">Models: preferable model is VAR (1) which is similar to ADL and VECM with no long-run relations. </w:t>
      </w:r>
    </w:p>
    <w:p w14:paraId="7ADD7260" w14:textId="77777777" w:rsidR="0020274C" w:rsidRPr="006E5A00" w:rsidRDefault="0020274C" w:rsidP="0020274C">
      <w:pPr>
        <w:pStyle w:val="ListParagraph"/>
        <w:numPr>
          <w:ilvl w:val="0"/>
          <w:numId w:val="6"/>
        </w:numPr>
      </w:pPr>
      <w:r w:rsidRPr="006E5A00">
        <w:t>Models free of self-correlation (tests prior to first difference regressions)</w:t>
      </w:r>
    </w:p>
    <w:p w14:paraId="1C79D253" w14:textId="77777777" w:rsidR="0020274C" w:rsidRDefault="0020274C" w:rsidP="000E3382">
      <w:pPr>
        <w:autoSpaceDE w:val="0"/>
        <w:autoSpaceDN w:val="0"/>
        <w:adjustRightInd w:val="0"/>
        <w:rPr>
          <w:b/>
          <w:u w:val="single"/>
        </w:rPr>
      </w:pPr>
    </w:p>
    <w:p w14:paraId="088680F7" w14:textId="77777777" w:rsidR="00A57AD9" w:rsidRDefault="00A57AD9" w:rsidP="000E3382">
      <w:pPr>
        <w:autoSpaceDE w:val="0"/>
        <w:autoSpaceDN w:val="0"/>
        <w:adjustRightInd w:val="0"/>
        <w:rPr>
          <w:b/>
          <w:u w:val="single"/>
        </w:rPr>
      </w:pPr>
    </w:p>
    <w:p w14:paraId="2B0E29CC" w14:textId="77777777" w:rsidR="0020274C" w:rsidRDefault="0020274C" w:rsidP="000E3382">
      <w:pPr>
        <w:autoSpaceDE w:val="0"/>
        <w:autoSpaceDN w:val="0"/>
        <w:adjustRightInd w:val="0"/>
        <w:rPr>
          <w:b/>
          <w:u w:val="single"/>
        </w:rPr>
      </w:pPr>
    </w:p>
    <w:p w14:paraId="59663513" w14:textId="77777777" w:rsidR="000E3382" w:rsidRPr="006E5A00" w:rsidRDefault="007C3584" w:rsidP="000E3382">
      <w:pPr>
        <w:autoSpaceDE w:val="0"/>
        <w:autoSpaceDN w:val="0"/>
        <w:adjustRightInd w:val="0"/>
        <w:rPr>
          <w:b/>
          <w:u w:val="single"/>
        </w:rPr>
      </w:pPr>
      <w:r>
        <w:rPr>
          <w:b/>
          <w:u w:val="single"/>
        </w:rPr>
        <w:t>Data description and sources</w:t>
      </w:r>
    </w:p>
    <w:p w14:paraId="410EFC0F" w14:textId="77777777" w:rsidR="00886B51" w:rsidRPr="006E5A00" w:rsidRDefault="00886B51" w:rsidP="000E3382">
      <w:pPr>
        <w:autoSpaceDE w:val="0"/>
        <w:autoSpaceDN w:val="0"/>
        <w:adjustRightInd w:val="0"/>
        <w:rPr>
          <w:b/>
          <w:u w:val="single"/>
        </w:rPr>
      </w:pPr>
    </w:p>
    <w:p w14:paraId="76E8A356" w14:textId="77777777" w:rsidR="00BF2D63" w:rsidRPr="006E5A00" w:rsidRDefault="00886B51" w:rsidP="006813B8">
      <w:pPr>
        <w:autoSpaceDE w:val="0"/>
        <w:autoSpaceDN w:val="0"/>
        <w:adjustRightInd w:val="0"/>
        <w:jc w:val="both"/>
        <w:rPr>
          <w:szCs w:val="24"/>
          <w:lang w:val="es-ES"/>
        </w:rPr>
      </w:pPr>
      <w:r w:rsidRPr="006E5A00">
        <w:rPr>
          <w:szCs w:val="24"/>
        </w:rPr>
        <w:t xml:space="preserve">The </w:t>
      </w:r>
      <w:r w:rsidRPr="006E5A00">
        <w:rPr>
          <w:szCs w:val="24"/>
          <w:u w:val="single"/>
        </w:rPr>
        <w:t>nominal wage series</w:t>
      </w:r>
      <w:r w:rsidRPr="006E5A00">
        <w:rPr>
          <w:szCs w:val="24"/>
        </w:rPr>
        <w:t xml:space="preserve"> were reconstructed from surviving company records and secondary sources which have used the same company’s records. Two of the biggest Spanish iron and steel firms merged with a tinplate mill in 1901 and their archives were deposited in the new firm</w:t>
      </w:r>
      <w:r w:rsidR="00FE40DE" w:rsidRPr="006E5A00">
        <w:rPr>
          <w:szCs w:val="24"/>
        </w:rPr>
        <w:t>:</w:t>
      </w:r>
      <w:r w:rsidRPr="006E5A00">
        <w:rPr>
          <w:szCs w:val="24"/>
        </w:rPr>
        <w:t xml:space="preserve"> Altos Hornos de Vizcaya. The records were originally consulted </w:t>
      </w:r>
      <w:r w:rsidR="009A7FD6" w:rsidRPr="006E5A00">
        <w:rPr>
          <w:szCs w:val="24"/>
        </w:rPr>
        <w:t>at</w:t>
      </w:r>
      <w:r w:rsidRPr="006E5A00">
        <w:rPr>
          <w:szCs w:val="24"/>
        </w:rPr>
        <w:t xml:space="preserve"> the firm archive in Baracaldo. Since then this archive has been donated to the Archivo For</w:t>
      </w:r>
      <w:r w:rsidR="00BF2D63" w:rsidRPr="006E5A00">
        <w:rPr>
          <w:szCs w:val="24"/>
        </w:rPr>
        <w:t xml:space="preserve">al de Bizkaia [AFB/BFA]. </w:t>
      </w:r>
      <w:r w:rsidRPr="006E5A00">
        <w:rPr>
          <w:szCs w:val="24"/>
        </w:rPr>
        <w:t xml:space="preserve">The monthly wages for blast furnace workers at the </w:t>
      </w:r>
      <w:r w:rsidR="003174E2">
        <w:rPr>
          <w:szCs w:val="24"/>
        </w:rPr>
        <w:t>Baracaldo</w:t>
      </w:r>
      <w:r w:rsidRPr="006E5A00">
        <w:rPr>
          <w:szCs w:val="24"/>
        </w:rPr>
        <w:t xml:space="preserve"> factory of Altos Hornos de Vizcaya from January 1914 to December 1921 are taken from the cost accounting books (Libro balance del ejercicio de [year] de la </w:t>
      </w:r>
      <w:r w:rsidR="004663FE">
        <w:rPr>
          <w:szCs w:val="24"/>
        </w:rPr>
        <w:t>S</w:t>
      </w:r>
      <w:r w:rsidRPr="006E5A00">
        <w:rPr>
          <w:szCs w:val="24"/>
        </w:rPr>
        <w:t xml:space="preserve">ociedad Altos Hornos de Vizcaya.). Their signatures are: AHV 0295 [1914], AHV 0297 [1915], AHV 0298 [1916], AHV 0299 [1917], AHV 0300 [1918], AHV 0302 [1919], AHV 0303 [1920], AHV 0304 [1921]. Average Baracaldo factory wages from January 1922 to December 1927 were taken from AHV 0305 [1922], AHV 0306 [1923], AHV 0307 [1924], AHV 0308 [1925], AHV 0309 [1926], and AHV 0310 [1927].  </w:t>
      </w:r>
      <w:r w:rsidR="00FE40DE" w:rsidRPr="006E5A00">
        <w:rPr>
          <w:szCs w:val="24"/>
          <w:lang w:val="es-ES"/>
        </w:rPr>
        <w:t xml:space="preserve">Catálogo del Archivo Histórico de la Diputación Foral de Bizkaia, Consulted on January 18th, 2022. URL: </w:t>
      </w:r>
      <w:hyperlink r:id="rId13" w:history="1">
        <w:r w:rsidR="00FE40DE" w:rsidRPr="006E5A00">
          <w:rPr>
            <w:rStyle w:val="Hyperlink"/>
            <w:szCs w:val="24"/>
            <w:lang w:val="es-ES"/>
          </w:rPr>
          <w:t>http://apps.bizkaia.net/ARIT/servlet/webAgentARIT</w:t>
        </w:r>
      </w:hyperlink>
      <w:r w:rsidR="00FE40DE" w:rsidRPr="006E5A00">
        <w:rPr>
          <w:szCs w:val="24"/>
          <w:lang w:val="es-ES"/>
        </w:rPr>
        <w:t xml:space="preserve">. </w:t>
      </w:r>
      <w:r w:rsidRPr="006E5A00">
        <w:rPr>
          <w:szCs w:val="24"/>
          <w:lang w:val="es-ES"/>
        </w:rPr>
        <w:t xml:space="preserve">Annual averages for 1928 to 1936 have been taken from </w:t>
      </w:r>
      <w:r w:rsidR="007F5CF5" w:rsidRPr="006E5A00">
        <w:rPr>
          <w:szCs w:val="24"/>
          <w:lang w:val="es-ES"/>
        </w:rPr>
        <w:t>González</w:t>
      </w:r>
      <w:r w:rsidRPr="006E5A00">
        <w:rPr>
          <w:szCs w:val="24"/>
          <w:lang w:val="es-ES"/>
        </w:rPr>
        <w:t xml:space="preserve"> Portilla (1984: 74 and 85) (quoted as taken from the ‘libros de cuentas de AHV’ Ejercicios 1902-1936, Consejo de Administración y Carpeta Financiera).</w:t>
      </w:r>
    </w:p>
    <w:p w14:paraId="55CF1CEB" w14:textId="77777777" w:rsidR="00BF2D63" w:rsidRPr="006E5A00" w:rsidRDefault="00BF2D63" w:rsidP="00BF2D63">
      <w:pPr>
        <w:autoSpaceDE w:val="0"/>
        <w:autoSpaceDN w:val="0"/>
        <w:adjustRightInd w:val="0"/>
        <w:rPr>
          <w:szCs w:val="24"/>
          <w:lang w:val="es-ES"/>
        </w:rPr>
      </w:pPr>
    </w:p>
    <w:p w14:paraId="059534D2" w14:textId="77777777" w:rsidR="00A92ACB" w:rsidRPr="006E5A00" w:rsidRDefault="00BF2D63" w:rsidP="006813B8">
      <w:pPr>
        <w:autoSpaceDE w:val="0"/>
        <w:autoSpaceDN w:val="0"/>
        <w:adjustRightInd w:val="0"/>
        <w:jc w:val="both"/>
        <w:rPr>
          <w:szCs w:val="24"/>
        </w:rPr>
      </w:pPr>
      <w:r w:rsidRPr="006E5A00">
        <w:rPr>
          <w:szCs w:val="24"/>
          <w:lang w:val="es-ES"/>
        </w:rPr>
        <w:t xml:space="preserve">All other series have been taken from </w:t>
      </w:r>
      <w:r w:rsidRPr="006E5A00">
        <w:rPr>
          <w:i/>
          <w:szCs w:val="24"/>
          <w:lang w:val="es-ES"/>
        </w:rPr>
        <w:t>Boletín Mensual Estadístico Sanitario de Bilbao</w:t>
      </w:r>
      <w:r w:rsidRPr="006E5A00">
        <w:rPr>
          <w:szCs w:val="24"/>
          <w:lang w:val="es-ES"/>
        </w:rPr>
        <w:t xml:space="preserve"> [Jan 1897 to Sep 1921] and </w:t>
      </w:r>
      <w:r w:rsidR="007F5CF5" w:rsidRPr="006E5A00">
        <w:rPr>
          <w:i/>
          <w:szCs w:val="24"/>
          <w:lang w:val="es-ES"/>
        </w:rPr>
        <w:t>Boletín</w:t>
      </w:r>
      <w:r w:rsidRPr="006E5A00">
        <w:rPr>
          <w:i/>
          <w:szCs w:val="24"/>
          <w:lang w:val="es-ES"/>
        </w:rPr>
        <w:t xml:space="preserve"> de la Estadística Municipal de Bilbao</w:t>
      </w:r>
      <w:r w:rsidRPr="006E5A00">
        <w:rPr>
          <w:szCs w:val="24"/>
          <w:lang w:val="es-ES"/>
        </w:rPr>
        <w:t xml:space="preserve"> (Dec</w:t>
      </w:r>
      <w:r w:rsidR="007F5CF5" w:rsidRPr="006E5A00">
        <w:rPr>
          <w:szCs w:val="24"/>
          <w:lang w:val="es-ES"/>
        </w:rPr>
        <w:t>ember</w:t>
      </w:r>
      <w:r w:rsidRPr="006E5A00">
        <w:rPr>
          <w:szCs w:val="24"/>
          <w:lang w:val="es-ES"/>
        </w:rPr>
        <w:t xml:space="preserve"> 1913 </w:t>
      </w:r>
      <w:r w:rsidR="007F5CF5" w:rsidRPr="006E5A00">
        <w:rPr>
          <w:szCs w:val="24"/>
          <w:lang w:val="es-ES"/>
        </w:rPr>
        <w:t>to O</w:t>
      </w:r>
      <w:r w:rsidRPr="006E5A00">
        <w:rPr>
          <w:szCs w:val="24"/>
          <w:lang w:val="es-ES"/>
        </w:rPr>
        <w:t>ct</w:t>
      </w:r>
      <w:r w:rsidR="007F5CF5" w:rsidRPr="006E5A00">
        <w:rPr>
          <w:szCs w:val="24"/>
          <w:lang w:val="es-ES"/>
        </w:rPr>
        <w:t>ober</w:t>
      </w:r>
      <w:r w:rsidRPr="006E5A00">
        <w:rPr>
          <w:szCs w:val="24"/>
          <w:lang w:val="es-ES"/>
        </w:rPr>
        <w:t xml:space="preserve"> 1921 and Feb</w:t>
      </w:r>
      <w:r w:rsidR="007F5CF5" w:rsidRPr="006E5A00">
        <w:rPr>
          <w:szCs w:val="24"/>
          <w:lang w:val="es-ES"/>
        </w:rPr>
        <w:t>ruary</w:t>
      </w:r>
      <w:r w:rsidRPr="006E5A00">
        <w:rPr>
          <w:szCs w:val="24"/>
          <w:lang w:val="es-ES"/>
        </w:rPr>
        <w:t xml:space="preserve"> 1923 to Dec</w:t>
      </w:r>
      <w:r w:rsidR="007F5CF5" w:rsidRPr="006E5A00">
        <w:rPr>
          <w:szCs w:val="24"/>
          <w:lang w:val="es-ES"/>
        </w:rPr>
        <w:t>ember</w:t>
      </w:r>
      <w:r w:rsidRPr="006E5A00">
        <w:rPr>
          <w:szCs w:val="24"/>
          <w:lang w:val="es-ES"/>
        </w:rPr>
        <w:t xml:space="preserve"> 1936]</w:t>
      </w:r>
      <w:r w:rsidR="00D54E21" w:rsidRPr="006E5A00">
        <w:rPr>
          <w:szCs w:val="24"/>
          <w:lang w:val="es-ES"/>
        </w:rPr>
        <w:t>.</w:t>
      </w:r>
      <w:r w:rsidR="00A92ACB" w:rsidRPr="006E5A00">
        <w:rPr>
          <w:szCs w:val="24"/>
          <w:lang w:val="es-ES"/>
        </w:rPr>
        <w:t xml:space="preserve"> </w:t>
      </w:r>
      <w:r w:rsidR="00A92ACB" w:rsidRPr="006E5A00">
        <w:rPr>
          <w:szCs w:val="24"/>
        </w:rPr>
        <w:t>Consulted on January 18</w:t>
      </w:r>
      <w:r w:rsidR="00A92ACB" w:rsidRPr="006E5A00">
        <w:rPr>
          <w:szCs w:val="24"/>
          <w:vertAlign w:val="superscript"/>
        </w:rPr>
        <w:t>th</w:t>
      </w:r>
      <w:r w:rsidR="00A92ACB" w:rsidRPr="006E5A00">
        <w:rPr>
          <w:szCs w:val="24"/>
        </w:rPr>
        <w:t xml:space="preserve">, 2022 as available online. </w:t>
      </w:r>
      <w:r w:rsidR="00D54E21" w:rsidRPr="006E5A00">
        <w:rPr>
          <w:szCs w:val="24"/>
          <w:lang w:val="en-US"/>
        </w:rPr>
        <w:t xml:space="preserve"> </w:t>
      </w:r>
      <w:r w:rsidRPr="006E5A00">
        <w:rPr>
          <w:szCs w:val="24"/>
          <w:lang w:val="en-US"/>
        </w:rPr>
        <w:t>URL:</w:t>
      </w:r>
      <w:r w:rsidR="00A92ACB" w:rsidRPr="006E5A00">
        <w:rPr>
          <w:szCs w:val="24"/>
          <w:lang w:val="en-US"/>
        </w:rPr>
        <w:t xml:space="preserve"> </w:t>
      </w:r>
      <w:hyperlink r:id="rId14" w:history="1">
        <w:r w:rsidRPr="006E5A00">
          <w:rPr>
            <w:rStyle w:val="Hyperlink"/>
            <w:szCs w:val="24"/>
            <w:lang w:val="en-US"/>
          </w:rPr>
          <w:t>https://www.bilbao.eus/cs/Satellite/archivosMunicipales/Consulta-de-Boletines-Estadisticos/es/1272990914934/Contenido</w:t>
        </w:r>
      </w:hyperlink>
      <w:r w:rsidRPr="006E5A00">
        <w:rPr>
          <w:szCs w:val="24"/>
          <w:lang w:val="en-US"/>
        </w:rPr>
        <w:t xml:space="preserve">. </w:t>
      </w:r>
    </w:p>
    <w:p w14:paraId="481820C6" w14:textId="77777777" w:rsidR="00A92ACB" w:rsidRPr="006E5A00" w:rsidRDefault="00A92ACB" w:rsidP="006813B8">
      <w:pPr>
        <w:autoSpaceDE w:val="0"/>
        <w:autoSpaceDN w:val="0"/>
        <w:adjustRightInd w:val="0"/>
        <w:jc w:val="both"/>
        <w:rPr>
          <w:szCs w:val="24"/>
          <w:lang w:val="en-US"/>
        </w:rPr>
      </w:pPr>
      <w:r w:rsidRPr="006E5A00">
        <w:rPr>
          <w:szCs w:val="24"/>
          <w:lang w:val="en-US"/>
        </w:rPr>
        <w:t xml:space="preserve">The price data from October 1921 to May 1922 was supplemented with data from the </w:t>
      </w:r>
      <w:r w:rsidRPr="006E5A00">
        <w:rPr>
          <w:i/>
          <w:szCs w:val="24"/>
          <w:lang w:val="en-US"/>
        </w:rPr>
        <w:t xml:space="preserve">Boletín </w:t>
      </w:r>
      <w:r w:rsidR="000E1D11" w:rsidRPr="006E5A00">
        <w:rPr>
          <w:i/>
          <w:szCs w:val="24"/>
          <w:lang w:val="en-US"/>
        </w:rPr>
        <w:t>del</w:t>
      </w:r>
      <w:r w:rsidRPr="006E5A00">
        <w:rPr>
          <w:i/>
          <w:szCs w:val="24"/>
          <w:lang w:val="en-US"/>
        </w:rPr>
        <w:t xml:space="preserve"> Instituto de Reformas Sociales</w:t>
      </w:r>
      <w:r w:rsidRPr="006E5A00">
        <w:rPr>
          <w:szCs w:val="24"/>
          <w:lang w:val="en-US"/>
        </w:rPr>
        <w:t xml:space="preserve"> and data from October </w:t>
      </w:r>
      <w:r w:rsidR="006813B8" w:rsidRPr="006E5A00">
        <w:rPr>
          <w:szCs w:val="24"/>
          <w:lang w:val="en-US"/>
        </w:rPr>
        <w:t>1919 to</w:t>
      </w:r>
      <w:r w:rsidRPr="006E5A00">
        <w:rPr>
          <w:szCs w:val="24"/>
          <w:lang w:val="en-US"/>
        </w:rPr>
        <w:t xml:space="preserve"> July 1921 was supplemented by product price data which had been collected from municipal records</w:t>
      </w:r>
      <w:r w:rsidR="005147B5" w:rsidRPr="006E5A00">
        <w:rPr>
          <w:szCs w:val="24"/>
          <w:lang w:val="en-US"/>
        </w:rPr>
        <w:t xml:space="preserve"> at the</w:t>
      </w:r>
      <w:r w:rsidRPr="006E5A00">
        <w:rPr>
          <w:szCs w:val="24"/>
          <w:lang w:val="en-US"/>
        </w:rPr>
        <w:t xml:space="preserve"> Archivo Municipal de Baracaldo by José Manuel González Vesga.</w:t>
      </w:r>
    </w:p>
    <w:p w14:paraId="60AE2684" w14:textId="77777777" w:rsidR="00A92ACB" w:rsidRPr="006E5A00" w:rsidRDefault="00A92ACB" w:rsidP="00A92ACB">
      <w:pPr>
        <w:autoSpaceDE w:val="0"/>
        <w:autoSpaceDN w:val="0"/>
        <w:adjustRightInd w:val="0"/>
        <w:rPr>
          <w:szCs w:val="24"/>
        </w:rPr>
      </w:pPr>
    </w:p>
    <w:p w14:paraId="140886F3" w14:textId="77777777" w:rsidR="00BF2D63" w:rsidRPr="006E5A00" w:rsidRDefault="00BF2D63" w:rsidP="00A92ACB">
      <w:pPr>
        <w:autoSpaceDE w:val="0"/>
        <w:autoSpaceDN w:val="0"/>
        <w:adjustRightInd w:val="0"/>
        <w:rPr>
          <w:szCs w:val="24"/>
        </w:rPr>
      </w:pPr>
      <w:r w:rsidRPr="006E5A00">
        <w:rPr>
          <w:szCs w:val="24"/>
        </w:rPr>
        <w:t>The series</w:t>
      </w:r>
      <w:r w:rsidR="005147B5" w:rsidRPr="006E5A00">
        <w:rPr>
          <w:szCs w:val="24"/>
        </w:rPr>
        <w:t xml:space="preserve"> extracted from the </w:t>
      </w:r>
      <w:r w:rsidR="005147B5" w:rsidRPr="006E5A00">
        <w:rPr>
          <w:i/>
          <w:szCs w:val="24"/>
          <w:lang w:val="en-US"/>
        </w:rPr>
        <w:t>Boletín Mensual Estadístico Sanitario de Bilbao</w:t>
      </w:r>
      <w:r w:rsidR="005147B5" w:rsidRPr="006E5A00">
        <w:rPr>
          <w:szCs w:val="24"/>
          <w:lang w:val="en-US"/>
        </w:rPr>
        <w:t xml:space="preserve"> and </w:t>
      </w:r>
      <w:r w:rsidR="005147B5" w:rsidRPr="006E5A00">
        <w:rPr>
          <w:i/>
          <w:szCs w:val="24"/>
          <w:lang w:val="en-US"/>
        </w:rPr>
        <w:t>Boletín de la Estadística Municipal de Bilbao</w:t>
      </w:r>
      <w:r w:rsidR="005147B5" w:rsidRPr="006E5A00">
        <w:rPr>
          <w:szCs w:val="24"/>
        </w:rPr>
        <w:t xml:space="preserve"> </w:t>
      </w:r>
      <w:r w:rsidRPr="006E5A00">
        <w:rPr>
          <w:szCs w:val="24"/>
        </w:rPr>
        <w:t>are marked with an asterisk [*] in the descriptions below.</w:t>
      </w:r>
    </w:p>
    <w:p w14:paraId="262DC875" w14:textId="77777777" w:rsidR="00BF2D63" w:rsidRPr="006E5A00" w:rsidRDefault="00BF2D63" w:rsidP="007720EF">
      <w:pPr>
        <w:autoSpaceDE w:val="0"/>
        <w:autoSpaceDN w:val="0"/>
        <w:adjustRightInd w:val="0"/>
      </w:pPr>
      <w:r w:rsidRPr="006E5A00">
        <w:rPr>
          <w:sz w:val="22"/>
          <w:szCs w:val="22"/>
        </w:rPr>
        <w:t xml:space="preserve"> </w:t>
      </w:r>
    </w:p>
    <w:p w14:paraId="4570027A" w14:textId="77777777" w:rsidR="000E3382" w:rsidRPr="006E5A00" w:rsidRDefault="000E3382" w:rsidP="00030FD3">
      <w:pPr>
        <w:ind w:left="288" w:hanging="288"/>
        <w:jc w:val="both"/>
        <w:rPr>
          <w:sz w:val="22"/>
          <w:szCs w:val="22"/>
        </w:rPr>
      </w:pPr>
      <w:r w:rsidRPr="006E5A00">
        <w:rPr>
          <w:sz w:val="22"/>
          <w:szCs w:val="22"/>
          <w:u w:val="single"/>
        </w:rPr>
        <w:t>Burials</w:t>
      </w:r>
      <w:r w:rsidRPr="006E5A00">
        <w:rPr>
          <w:sz w:val="22"/>
          <w:szCs w:val="22"/>
        </w:rPr>
        <w:t xml:space="preserve"> expressed the number of persons buried in the</w:t>
      </w:r>
      <w:r w:rsidR="00BA7119" w:rsidRPr="006E5A00">
        <w:rPr>
          <w:sz w:val="22"/>
          <w:szCs w:val="22"/>
        </w:rPr>
        <w:t xml:space="preserve"> extramuro</w:t>
      </w:r>
      <w:r w:rsidRPr="006E5A00">
        <w:rPr>
          <w:sz w:val="22"/>
          <w:szCs w:val="22"/>
        </w:rPr>
        <w:t xml:space="preserve"> Derio </w:t>
      </w:r>
      <w:r w:rsidR="004663FE" w:rsidRPr="006E5A00">
        <w:rPr>
          <w:sz w:val="22"/>
          <w:szCs w:val="22"/>
        </w:rPr>
        <w:t>cemetery</w:t>
      </w:r>
      <w:r w:rsidRPr="006E5A00">
        <w:rPr>
          <w:sz w:val="22"/>
          <w:szCs w:val="22"/>
        </w:rPr>
        <w:t xml:space="preserve">. Monthly data collected by </w:t>
      </w:r>
      <w:r w:rsidRPr="006E5A00">
        <w:rPr>
          <w:rFonts w:cs="Arial"/>
          <w:iCs/>
          <w:color w:val="231F20"/>
          <w:sz w:val="22"/>
          <w:szCs w:val="22"/>
          <w:lang w:eastAsia="en-US"/>
        </w:rPr>
        <w:t>Juan Gondra Rezola</w:t>
      </w:r>
      <w:r w:rsidRPr="006E5A00">
        <w:rPr>
          <w:sz w:val="22"/>
          <w:szCs w:val="22"/>
        </w:rPr>
        <w:t>.</w:t>
      </w:r>
    </w:p>
    <w:p w14:paraId="751BD138" w14:textId="77777777" w:rsidR="00BF2D63" w:rsidRPr="006E5A00" w:rsidRDefault="000E3382" w:rsidP="00030FD3">
      <w:pPr>
        <w:ind w:left="288" w:hanging="288"/>
        <w:jc w:val="both"/>
        <w:rPr>
          <w:rFonts w:cs="Arial"/>
          <w:iCs/>
          <w:color w:val="231F20"/>
          <w:sz w:val="22"/>
          <w:szCs w:val="22"/>
          <w:lang w:eastAsia="en-US"/>
        </w:rPr>
      </w:pPr>
      <w:r w:rsidRPr="006E5A00">
        <w:rPr>
          <w:rFonts w:cs="Arial"/>
          <w:iCs/>
          <w:color w:val="231F20"/>
          <w:sz w:val="22"/>
          <w:szCs w:val="22"/>
          <w:u w:val="single"/>
          <w:lang w:eastAsia="en-US"/>
        </w:rPr>
        <w:t>Death rate</w:t>
      </w:r>
      <w:r w:rsidRPr="006E5A00">
        <w:rPr>
          <w:rFonts w:cs="Arial"/>
          <w:iCs/>
          <w:color w:val="231F20"/>
          <w:sz w:val="22"/>
          <w:szCs w:val="22"/>
          <w:lang w:eastAsia="en-US"/>
        </w:rPr>
        <w:t xml:space="preserve"> calculated by dividing monthly burials by population (multiplied by 12 to annualize and divided by 1,000 to express as ‰). Monthly population interpolated with the annual population</w:t>
      </w:r>
      <w:r w:rsidR="00BF2D63" w:rsidRPr="006E5A00">
        <w:rPr>
          <w:rFonts w:cs="Arial"/>
          <w:iCs/>
          <w:color w:val="231F20"/>
          <w:sz w:val="22"/>
          <w:szCs w:val="22"/>
          <w:lang w:eastAsia="en-US"/>
        </w:rPr>
        <w:t>*</w:t>
      </w:r>
      <w:r w:rsidRPr="006E5A00">
        <w:rPr>
          <w:rFonts w:cs="Arial"/>
          <w:iCs/>
          <w:color w:val="231F20"/>
          <w:sz w:val="22"/>
          <w:szCs w:val="22"/>
          <w:lang w:eastAsia="en-US"/>
        </w:rPr>
        <w:t xml:space="preserve"> data </w:t>
      </w:r>
    </w:p>
    <w:p w14:paraId="47363573" w14:textId="77777777" w:rsidR="000E3382" w:rsidRPr="006E5A00" w:rsidRDefault="000E3382" w:rsidP="00030FD3">
      <w:pPr>
        <w:ind w:left="288" w:hanging="288"/>
        <w:jc w:val="both"/>
        <w:rPr>
          <w:rFonts w:cs="Arial"/>
          <w:iCs/>
          <w:color w:val="231F20"/>
          <w:sz w:val="22"/>
          <w:szCs w:val="22"/>
          <w:lang w:eastAsia="en-US"/>
        </w:rPr>
      </w:pPr>
      <w:r w:rsidRPr="006E5A00">
        <w:rPr>
          <w:rFonts w:cs="Arial"/>
          <w:iCs/>
          <w:color w:val="231F20"/>
          <w:sz w:val="22"/>
          <w:szCs w:val="22"/>
          <w:u w:val="single"/>
          <w:lang w:eastAsia="en-US"/>
        </w:rPr>
        <w:t>Infant mortality</w:t>
      </w:r>
      <w:r w:rsidRPr="006E5A00">
        <w:rPr>
          <w:rFonts w:cs="Arial"/>
          <w:iCs/>
          <w:color w:val="231F20"/>
          <w:sz w:val="22"/>
          <w:szCs w:val="22"/>
          <w:lang w:eastAsia="en-US"/>
        </w:rPr>
        <w:t xml:space="preserve"> was calculated using the annualized number of children</w:t>
      </w:r>
      <w:r w:rsidR="005147B5" w:rsidRPr="006E5A00">
        <w:rPr>
          <w:rFonts w:cs="Arial"/>
          <w:iCs/>
          <w:color w:val="231F20"/>
          <w:sz w:val="22"/>
          <w:szCs w:val="22"/>
          <w:lang w:eastAsia="en-US"/>
        </w:rPr>
        <w:t xml:space="preserve"> less than one year of age </w:t>
      </w:r>
      <w:r w:rsidRPr="006E5A00">
        <w:rPr>
          <w:rFonts w:cs="Arial"/>
          <w:iCs/>
          <w:color w:val="231F20"/>
          <w:sz w:val="22"/>
          <w:szCs w:val="22"/>
          <w:lang w:eastAsia="en-US"/>
        </w:rPr>
        <w:t>who died* in the corresponding month (multiplying the number by 12) and dividing this number by the number of children born during the twelve preceding months*. For 1914, we have no data on the preceding months, and we have used 2,600 births, which is the annual average for 1914-1916 during these years; the number of births remained fairly stable.</w:t>
      </w:r>
    </w:p>
    <w:p w14:paraId="05AD4A08" w14:textId="77777777" w:rsidR="000E3382" w:rsidRPr="006E5A00" w:rsidRDefault="000E3382" w:rsidP="00030FD3">
      <w:pPr>
        <w:ind w:left="288" w:hanging="288"/>
        <w:jc w:val="both"/>
        <w:rPr>
          <w:rFonts w:cs="Arial"/>
          <w:iCs/>
          <w:color w:val="231F20"/>
          <w:sz w:val="22"/>
          <w:szCs w:val="22"/>
          <w:lang w:eastAsia="en-US"/>
        </w:rPr>
      </w:pPr>
      <w:r w:rsidRPr="006E5A00">
        <w:rPr>
          <w:rFonts w:cs="Arial"/>
          <w:iCs/>
          <w:color w:val="231F20"/>
          <w:sz w:val="22"/>
          <w:szCs w:val="22"/>
          <w:u w:val="single"/>
          <w:lang w:eastAsia="en-US"/>
        </w:rPr>
        <w:t>Child mortality</w:t>
      </w:r>
      <w:r w:rsidRPr="006E5A00">
        <w:rPr>
          <w:rFonts w:cs="Arial"/>
          <w:iCs/>
          <w:color w:val="231F20"/>
          <w:sz w:val="22"/>
          <w:szCs w:val="22"/>
          <w:lang w:eastAsia="en-US"/>
        </w:rPr>
        <w:t xml:space="preserve"> expressed as per thousand births. (number of children who died between the age of 1 and five* divided by the number of children born* and multiplied by a thousand.</w:t>
      </w:r>
    </w:p>
    <w:p w14:paraId="63FDD2CC" w14:textId="77777777" w:rsidR="000E3382" w:rsidRPr="006E5A00" w:rsidRDefault="000E3382" w:rsidP="00030FD3">
      <w:pPr>
        <w:ind w:left="288" w:hanging="288"/>
        <w:jc w:val="both"/>
        <w:rPr>
          <w:sz w:val="22"/>
          <w:szCs w:val="22"/>
        </w:rPr>
      </w:pPr>
      <w:r w:rsidRPr="006E5A00">
        <w:rPr>
          <w:sz w:val="22"/>
          <w:szCs w:val="22"/>
          <w:u w:val="single"/>
        </w:rPr>
        <w:t>The birth rate</w:t>
      </w:r>
      <w:r w:rsidRPr="006E5A00">
        <w:rPr>
          <w:sz w:val="22"/>
          <w:szCs w:val="22"/>
        </w:rPr>
        <w:t xml:space="preserve"> was calculated by multiplying the number of monthly births* by 12, divided by population* and multiplied by 1000 to obtain ‰.</w:t>
      </w:r>
    </w:p>
    <w:p w14:paraId="1B8CB74D" w14:textId="77777777" w:rsidR="000E3382" w:rsidRPr="006E5A00" w:rsidRDefault="000E3382" w:rsidP="00030FD3">
      <w:pPr>
        <w:ind w:left="288" w:hanging="288"/>
        <w:jc w:val="both"/>
        <w:rPr>
          <w:sz w:val="22"/>
          <w:szCs w:val="22"/>
        </w:rPr>
      </w:pPr>
      <w:r w:rsidRPr="006E5A00">
        <w:rPr>
          <w:sz w:val="22"/>
          <w:szCs w:val="22"/>
          <w:u w:val="single"/>
        </w:rPr>
        <w:t>Stillbirths</w:t>
      </w:r>
      <w:r w:rsidRPr="006E5A00">
        <w:rPr>
          <w:sz w:val="22"/>
          <w:szCs w:val="22"/>
        </w:rPr>
        <w:t xml:space="preserve"> expressed as the number of monthly stillborn babies* divided by the sum of births* and stillbirths</w:t>
      </w:r>
      <w:r w:rsidR="00BF2D63" w:rsidRPr="006E5A00">
        <w:rPr>
          <w:sz w:val="22"/>
          <w:szCs w:val="22"/>
        </w:rPr>
        <w:t>*</w:t>
      </w:r>
      <w:r w:rsidRPr="006E5A00">
        <w:rPr>
          <w:sz w:val="22"/>
          <w:szCs w:val="22"/>
        </w:rPr>
        <w:t xml:space="preserve"> and multiplied by 1,000 to obtain ‰,</w:t>
      </w:r>
    </w:p>
    <w:p w14:paraId="0060BAA0" w14:textId="77777777" w:rsidR="000E3382" w:rsidRPr="006E5A00" w:rsidRDefault="000E3382" w:rsidP="00030FD3">
      <w:pPr>
        <w:ind w:left="288" w:hanging="288"/>
        <w:jc w:val="both"/>
        <w:rPr>
          <w:sz w:val="22"/>
          <w:szCs w:val="22"/>
        </w:rPr>
      </w:pPr>
      <w:r w:rsidRPr="006E5A00">
        <w:rPr>
          <w:sz w:val="22"/>
          <w:szCs w:val="22"/>
          <w:u w:val="single"/>
        </w:rPr>
        <w:t>Nuptiality</w:t>
      </w:r>
      <w:r w:rsidRPr="006E5A00">
        <w:rPr>
          <w:sz w:val="22"/>
          <w:szCs w:val="22"/>
        </w:rPr>
        <w:t xml:space="preserve"> in our case is a crude marriage rate. It is the number of marriages* times 12, divided by population* and multiplied by 1,000 to obtain ‰.</w:t>
      </w:r>
    </w:p>
    <w:p w14:paraId="19E441B4" w14:textId="77777777" w:rsidR="000E3382" w:rsidRPr="006E5A00" w:rsidRDefault="000E3382" w:rsidP="00030FD3">
      <w:pPr>
        <w:ind w:left="288" w:hanging="288"/>
        <w:jc w:val="both"/>
        <w:rPr>
          <w:sz w:val="22"/>
          <w:szCs w:val="22"/>
          <w:u w:val="single"/>
        </w:rPr>
      </w:pPr>
      <w:r w:rsidRPr="006E5A00">
        <w:rPr>
          <w:sz w:val="22"/>
          <w:szCs w:val="22"/>
          <w:u w:val="single"/>
        </w:rPr>
        <w:t>Pawns</w:t>
      </w:r>
      <w:r w:rsidRPr="006E5A00">
        <w:rPr>
          <w:sz w:val="22"/>
          <w:szCs w:val="22"/>
        </w:rPr>
        <w:t xml:space="preserve"> is the total number of pieces of clothing pawned in the corresponding month*</w:t>
      </w:r>
    </w:p>
    <w:p w14:paraId="64B944FF" w14:textId="77777777" w:rsidR="000E3382" w:rsidRPr="006E5A00" w:rsidRDefault="000E3382" w:rsidP="00030FD3">
      <w:pPr>
        <w:ind w:left="288" w:hanging="288"/>
        <w:jc w:val="both"/>
        <w:rPr>
          <w:sz w:val="22"/>
          <w:szCs w:val="22"/>
          <w:u w:val="single"/>
        </w:rPr>
      </w:pPr>
      <w:r w:rsidRPr="006E5A00">
        <w:rPr>
          <w:sz w:val="22"/>
          <w:szCs w:val="22"/>
          <w:u w:val="single"/>
        </w:rPr>
        <w:t>Meals served in soupkitchen</w:t>
      </w:r>
      <w:r w:rsidRPr="006E5A00">
        <w:rPr>
          <w:sz w:val="22"/>
          <w:szCs w:val="22"/>
        </w:rPr>
        <w:t xml:space="preserve"> is the number of total meals served by the private and public soup kitchens</w:t>
      </w:r>
      <w:r w:rsidR="00BF2D63" w:rsidRPr="006E5A00">
        <w:rPr>
          <w:sz w:val="22"/>
          <w:szCs w:val="22"/>
        </w:rPr>
        <w:t>*</w:t>
      </w:r>
      <w:r w:rsidRPr="006E5A00">
        <w:rPr>
          <w:sz w:val="22"/>
          <w:szCs w:val="22"/>
        </w:rPr>
        <w:t xml:space="preserve"> </w:t>
      </w:r>
    </w:p>
    <w:p w14:paraId="3298D218" w14:textId="77777777" w:rsidR="000E3382" w:rsidRPr="006E5A00" w:rsidRDefault="000E3382" w:rsidP="00030FD3">
      <w:pPr>
        <w:ind w:left="288" w:hanging="288"/>
        <w:jc w:val="both"/>
        <w:rPr>
          <w:sz w:val="22"/>
          <w:szCs w:val="22"/>
        </w:rPr>
      </w:pPr>
      <w:r w:rsidRPr="006E5A00">
        <w:rPr>
          <w:sz w:val="22"/>
          <w:szCs w:val="22"/>
          <w:u w:val="single"/>
          <w:lang w:val="es-ES"/>
        </w:rPr>
        <w:t>Rainfall</w:t>
      </w:r>
      <w:r w:rsidRPr="006E5A00">
        <w:rPr>
          <w:sz w:val="22"/>
          <w:szCs w:val="22"/>
          <w:lang w:val="es-ES"/>
        </w:rPr>
        <w:t xml:space="preserve"> mm of rain registered in Punto Gallarta* complemented (especially for 1916 and 1917) and controlled for with data from C. </w:t>
      </w:r>
      <w:r w:rsidRPr="006E5A00">
        <w:rPr>
          <w:rStyle w:val="Strong"/>
          <w:b w:val="0"/>
          <w:sz w:val="22"/>
          <w:szCs w:val="22"/>
          <w:lang w:val="es-ES"/>
        </w:rPr>
        <w:t xml:space="preserve">Almarza Mata, J. A. López Díaz y C. Flores Herráez (1996): </w:t>
      </w:r>
      <w:r w:rsidRPr="006E5A00">
        <w:rPr>
          <w:rStyle w:val="Strong"/>
          <w:b w:val="0"/>
          <w:i/>
          <w:sz w:val="22"/>
          <w:szCs w:val="22"/>
          <w:lang w:val="es-ES"/>
        </w:rPr>
        <w:t>Homogeneidad y variabilidad de los registros históricos de precipitación de España</w:t>
      </w:r>
      <w:r w:rsidRPr="006E5A00">
        <w:rPr>
          <w:rStyle w:val="Strong"/>
          <w:b w:val="0"/>
          <w:sz w:val="22"/>
          <w:szCs w:val="22"/>
          <w:lang w:val="es-ES"/>
        </w:rPr>
        <w:t>.</w:t>
      </w:r>
      <w:r w:rsidRPr="006E5A00">
        <w:rPr>
          <w:sz w:val="22"/>
          <w:szCs w:val="22"/>
          <w:lang w:val="es-ES"/>
        </w:rPr>
        <w:t xml:space="preserve"> Madrid: Ministerio de Medio Ambiente, Dirección General del Instituto Nacional de Meteorología. </w:t>
      </w:r>
      <w:r w:rsidRPr="006E5A00">
        <w:rPr>
          <w:sz w:val="22"/>
          <w:szCs w:val="22"/>
        </w:rPr>
        <w:t xml:space="preserve">The series we use are very similar to Almarza et al. </w:t>
      </w:r>
      <w:r w:rsidR="00BF2D63" w:rsidRPr="006E5A00">
        <w:rPr>
          <w:sz w:val="22"/>
          <w:szCs w:val="22"/>
        </w:rPr>
        <w:t xml:space="preserve">(1996) </w:t>
      </w:r>
      <w:r w:rsidRPr="006E5A00">
        <w:rPr>
          <w:sz w:val="22"/>
          <w:szCs w:val="22"/>
        </w:rPr>
        <w:t xml:space="preserve">for 1914-1920. For 1920 to 1930, they did not report data for Bilbao, and we interpolated missing data with their series for San </w:t>
      </w:r>
      <w:r w:rsidR="00D51578" w:rsidRPr="006E5A00">
        <w:rPr>
          <w:sz w:val="22"/>
          <w:szCs w:val="22"/>
        </w:rPr>
        <w:t>Sebastian</w:t>
      </w:r>
      <w:r w:rsidRPr="006E5A00">
        <w:rPr>
          <w:sz w:val="22"/>
          <w:szCs w:val="22"/>
        </w:rPr>
        <w:t>.</w:t>
      </w:r>
    </w:p>
    <w:p w14:paraId="2BC0BE82" w14:textId="77777777" w:rsidR="000E3382" w:rsidRPr="006E5A00" w:rsidRDefault="000E3382" w:rsidP="00030FD3">
      <w:pPr>
        <w:ind w:left="288" w:hanging="288"/>
        <w:jc w:val="both"/>
        <w:rPr>
          <w:sz w:val="22"/>
          <w:szCs w:val="22"/>
        </w:rPr>
      </w:pPr>
      <w:r w:rsidRPr="006E5A00">
        <w:rPr>
          <w:sz w:val="22"/>
          <w:szCs w:val="22"/>
          <w:u w:val="single"/>
        </w:rPr>
        <w:t>Temperatures</w:t>
      </w:r>
      <w:r w:rsidRPr="006E5A00">
        <w:rPr>
          <w:sz w:val="22"/>
          <w:szCs w:val="22"/>
        </w:rPr>
        <w:t xml:space="preserve"> registered for Punta Gallarta*.</w:t>
      </w:r>
    </w:p>
    <w:p w14:paraId="1C594843" w14:textId="77777777" w:rsidR="000E3382" w:rsidRPr="006E5A00" w:rsidRDefault="000E3382" w:rsidP="00030FD3">
      <w:pPr>
        <w:ind w:left="288" w:hanging="288"/>
        <w:rPr>
          <w:rFonts w:cs="Calibri"/>
          <w:sz w:val="22"/>
          <w:szCs w:val="22"/>
        </w:rPr>
      </w:pPr>
      <w:r w:rsidRPr="006E5A00">
        <w:rPr>
          <w:rFonts w:cs="Calibri"/>
          <w:sz w:val="22"/>
          <w:szCs w:val="22"/>
          <w:u w:val="single"/>
        </w:rPr>
        <w:t>Children left in child homes</w:t>
      </w:r>
      <w:r w:rsidRPr="006E5A00">
        <w:rPr>
          <w:rFonts w:cs="Calibri"/>
          <w:sz w:val="22"/>
          <w:szCs w:val="22"/>
        </w:rPr>
        <w:t>* number of boys and girls entering the</w:t>
      </w:r>
      <w:r w:rsidRPr="006E5A00">
        <w:rPr>
          <w:rFonts w:cs="Calibri"/>
          <w:b/>
          <w:bCs w:val="0"/>
          <w:sz w:val="22"/>
          <w:szCs w:val="22"/>
        </w:rPr>
        <w:t xml:space="preserve"> </w:t>
      </w:r>
      <w:r w:rsidRPr="006E5A00">
        <w:rPr>
          <w:rFonts w:cs="Calibri"/>
          <w:sz w:val="22"/>
          <w:szCs w:val="22"/>
        </w:rPr>
        <w:t>Casa Provincial de Expósitos, an institution created in 1880 to take care of orphans and abandoned children. Many of these children come from the Casa de Maternidad (maternity home), situated in the next building. Mothers had the option to remain with their children during lactation and were paid to feed their children and others. The institution was financed by the regional government. This series has two spikes, one in 1916-1918 and the other in 1930-1931. Th</w:t>
      </w:r>
      <w:r w:rsidR="00BF2D63" w:rsidRPr="006E5A00">
        <w:rPr>
          <w:rFonts w:cs="Calibri"/>
          <w:sz w:val="22"/>
          <w:szCs w:val="22"/>
        </w:rPr>
        <w:t>ese</w:t>
      </w:r>
      <w:r w:rsidRPr="006E5A00">
        <w:rPr>
          <w:rFonts w:cs="Calibri"/>
          <w:sz w:val="22"/>
          <w:szCs w:val="22"/>
        </w:rPr>
        <w:t xml:space="preserve"> coincide with major drops in real incomes. The data can discriminate boys and girls, but </w:t>
      </w:r>
      <w:r w:rsidR="00BF2D63" w:rsidRPr="006E5A00">
        <w:rPr>
          <w:rFonts w:cs="Calibri"/>
          <w:sz w:val="22"/>
          <w:szCs w:val="22"/>
        </w:rPr>
        <w:t xml:space="preserve">we found there </w:t>
      </w:r>
      <w:r w:rsidRPr="006E5A00">
        <w:rPr>
          <w:rFonts w:cs="Calibri"/>
          <w:sz w:val="22"/>
          <w:szCs w:val="22"/>
        </w:rPr>
        <w:t>to be no gender bias.</w:t>
      </w:r>
    </w:p>
    <w:p w14:paraId="2835ED4F" w14:textId="77777777" w:rsidR="000E3382" w:rsidRPr="006E5A00" w:rsidRDefault="000E3382" w:rsidP="00030FD3">
      <w:pPr>
        <w:ind w:left="288" w:hanging="288"/>
        <w:jc w:val="both"/>
        <w:rPr>
          <w:sz w:val="22"/>
          <w:szCs w:val="22"/>
          <w:u w:val="single"/>
        </w:rPr>
      </w:pPr>
      <w:r w:rsidRPr="006E5A00">
        <w:rPr>
          <w:sz w:val="22"/>
          <w:szCs w:val="22"/>
          <w:u w:val="single"/>
        </w:rPr>
        <w:t>Children and elderly left in homes</w:t>
      </w:r>
      <w:r w:rsidRPr="006E5A00">
        <w:rPr>
          <w:sz w:val="22"/>
          <w:szCs w:val="22"/>
        </w:rPr>
        <w:t>*</w:t>
      </w:r>
    </w:p>
    <w:p w14:paraId="37DDC7AA" w14:textId="77777777" w:rsidR="000E3382" w:rsidRPr="006E5A00" w:rsidRDefault="000E3382" w:rsidP="00030FD3">
      <w:pPr>
        <w:ind w:left="288" w:hanging="288"/>
        <w:jc w:val="both"/>
        <w:rPr>
          <w:sz w:val="22"/>
          <w:szCs w:val="22"/>
        </w:rPr>
      </w:pPr>
      <w:r w:rsidRPr="006E5A00">
        <w:rPr>
          <w:sz w:val="22"/>
          <w:szCs w:val="22"/>
          <w:u w:val="single"/>
        </w:rPr>
        <w:t>3,000 calorie meals served in Soup Kitchens</w:t>
      </w:r>
      <w:r w:rsidRPr="006E5A00">
        <w:rPr>
          <w:sz w:val="22"/>
          <w:szCs w:val="22"/>
        </w:rPr>
        <w:t>*</w:t>
      </w:r>
    </w:p>
    <w:p w14:paraId="5241A809" w14:textId="77777777" w:rsidR="005147B5" w:rsidRPr="006E5A00" w:rsidRDefault="005147B5" w:rsidP="00030FD3">
      <w:pPr>
        <w:ind w:left="288" w:hanging="288"/>
        <w:jc w:val="both"/>
        <w:rPr>
          <w:sz w:val="22"/>
          <w:szCs w:val="22"/>
          <w:u w:val="single"/>
        </w:rPr>
      </w:pPr>
    </w:p>
    <w:p w14:paraId="3BD854F6" w14:textId="77777777" w:rsidR="005555EB" w:rsidRPr="006E5A00" w:rsidRDefault="007F5CF5" w:rsidP="00973E10">
      <w:pPr>
        <w:ind w:firstLine="340"/>
        <w:jc w:val="both"/>
      </w:pPr>
      <w:r w:rsidRPr="006E5A00">
        <w:t>So with these records and bulletins w</w:t>
      </w:r>
      <w:r w:rsidR="00973E10" w:rsidRPr="006E5A00">
        <w:t xml:space="preserve">e have been able to </w:t>
      </w:r>
      <w:r w:rsidRPr="006E5A00">
        <w:t>put together</w:t>
      </w:r>
      <w:r w:rsidR="00973E10" w:rsidRPr="006E5A00">
        <w:t xml:space="preserve"> a very homogeneous</w:t>
      </w:r>
      <w:r w:rsidR="005555EB" w:rsidRPr="006E5A00">
        <w:t xml:space="preserve">ly </w:t>
      </w:r>
      <w:r w:rsidR="00973E10" w:rsidRPr="006E5A00">
        <w:t xml:space="preserve">sourced data base </w:t>
      </w:r>
      <w:r w:rsidR="00805F5E" w:rsidRPr="006E5A00">
        <w:t xml:space="preserve">for the </w:t>
      </w:r>
      <w:r w:rsidR="00973E10" w:rsidRPr="006E5A00">
        <w:t>purpose</w:t>
      </w:r>
      <w:r w:rsidR="00805F5E" w:rsidRPr="006E5A00">
        <w:t xml:space="preserve"> of our analysis</w:t>
      </w:r>
      <w:r w:rsidR="00973E10" w:rsidRPr="006E5A00">
        <w:t xml:space="preserve">. </w:t>
      </w:r>
      <w:r w:rsidR="005555EB" w:rsidRPr="006E5A00">
        <w:t xml:space="preserve">The monthly frequency of all our series allows us to </w:t>
      </w:r>
      <w:r w:rsidR="00973E10" w:rsidRPr="006E5A00">
        <w:t xml:space="preserve">better </w:t>
      </w:r>
      <w:r w:rsidR="005555EB" w:rsidRPr="006E5A00">
        <w:t>gauge</w:t>
      </w:r>
      <w:r w:rsidR="00973E10" w:rsidRPr="006E5A00">
        <w:t xml:space="preserve"> the temporal impact of economic stress on families</w:t>
      </w:r>
      <w:r w:rsidR="005555EB" w:rsidRPr="006E5A00">
        <w:t xml:space="preserve">. Family expenditures </w:t>
      </w:r>
      <w:r w:rsidR="00973E10" w:rsidRPr="006E5A00">
        <w:t>have</w:t>
      </w:r>
      <w:r w:rsidR="005555EB" w:rsidRPr="006E5A00">
        <w:t xml:space="preserve"> been</w:t>
      </w:r>
      <w:r w:rsidR="00973E10" w:rsidRPr="006E5A00">
        <w:t xml:space="preserve"> assembled</w:t>
      </w:r>
      <w:r w:rsidR="00805F5E" w:rsidRPr="006E5A00">
        <w:t xml:space="preserve"> from a single source:</w:t>
      </w:r>
      <w:r w:rsidR="00973E10" w:rsidRPr="006E5A00">
        <w:t xml:space="preserve"> basic food prices, housing and heating costs —all published by the Bilbao municipal statistics office. These are used to calculate a family cost-of-living index rather than a single worker’s cost-of-living index. We have</w:t>
      </w:r>
      <w:r w:rsidR="005555EB" w:rsidRPr="006E5A00">
        <w:t xml:space="preserve"> collected</w:t>
      </w:r>
      <w:r w:rsidR="00973E10" w:rsidRPr="006E5A00">
        <w:t xml:space="preserve"> detailed </w:t>
      </w:r>
      <w:r w:rsidR="00572F4E" w:rsidRPr="006E5A00">
        <w:t xml:space="preserve">male </w:t>
      </w:r>
      <w:r w:rsidR="00973E10" w:rsidRPr="006E5A00">
        <w:t>worker</w:t>
      </w:r>
      <w:r w:rsidR="005555EB" w:rsidRPr="006E5A00">
        <w:t>’s</w:t>
      </w:r>
      <w:r w:rsidR="00973E10" w:rsidRPr="006E5A00">
        <w:t xml:space="preserve"> incomes for the major employer in the Bilbao estuary. </w:t>
      </w:r>
      <w:r w:rsidR="00572F4E" w:rsidRPr="006E5A00">
        <w:t>These n</w:t>
      </w:r>
      <w:r w:rsidR="005555EB" w:rsidRPr="006E5A00">
        <w:t xml:space="preserve">ominal </w:t>
      </w:r>
      <w:r w:rsidR="00572F4E" w:rsidRPr="006E5A00">
        <w:t xml:space="preserve">male </w:t>
      </w:r>
      <w:r w:rsidR="005555EB" w:rsidRPr="006E5A00">
        <w:t>wages</w:t>
      </w:r>
      <w:r w:rsidR="00973E10" w:rsidRPr="006E5A00">
        <w:t xml:space="preserve"> include both </w:t>
      </w:r>
      <w:r w:rsidR="005555EB" w:rsidRPr="006E5A00">
        <w:t>day-labour remuneration</w:t>
      </w:r>
      <w:r w:rsidR="00973E10" w:rsidRPr="006E5A00">
        <w:t xml:space="preserve"> and all extra pay (piece rate premiums and overtime pay). Combining </w:t>
      </w:r>
      <w:r w:rsidR="00572F4E" w:rsidRPr="006E5A00">
        <w:t xml:space="preserve">male wage </w:t>
      </w:r>
      <w:r w:rsidR="005555EB" w:rsidRPr="006E5A00">
        <w:t>income</w:t>
      </w:r>
      <w:r w:rsidR="00572F4E" w:rsidRPr="006E5A00">
        <w:t>s</w:t>
      </w:r>
      <w:r w:rsidR="005555EB" w:rsidRPr="006E5A00">
        <w:t xml:space="preserve"> and </w:t>
      </w:r>
      <w:r w:rsidR="002D25BF" w:rsidRPr="006E5A00">
        <w:t xml:space="preserve">family </w:t>
      </w:r>
      <w:r w:rsidR="005555EB" w:rsidRPr="006E5A00">
        <w:t>expenditure</w:t>
      </w:r>
      <w:r w:rsidR="00973E10" w:rsidRPr="006E5A00">
        <w:t xml:space="preserve"> we have a </w:t>
      </w:r>
      <w:r w:rsidR="00572F4E" w:rsidRPr="006E5A00">
        <w:t>partial</w:t>
      </w:r>
      <w:r w:rsidR="00973E10" w:rsidRPr="006E5A00">
        <w:t xml:space="preserve"> picture of how real average family incomes </w:t>
      </w:r>
      <w:r w:rsidR="005555EB" w:rsidRPr="006E5A00">
        <w:t>balanced</w:t>
      </w:r>
      <w:r w:rsidR="00973E10" w:rsidRPr="006E5A00">
        <w:t xml:space="preserve"> over the period, both for skilled and unskilled workers. </w:t>
      </w:r>
      <w:r w:rsidR="005555EB" w:rsidRPr="006E5A00">
        <w:t xml:space="preserve">Our main contribution is calibrating family expenditure in terms of energy requirements. We use </w:t>
      </w:r>
      <w:r w:rsidR="002F1041" w:rsidRPr="006E5A00">
        <w:t>the</w:t>
      </w:r>
      <w:r w:rsidR="005555EB" w:rsidRPr="006E5A00">
        <w:t xml:space="preserve"> carefully devised energy </w:t>
      </w:r>
      <w:r w:rsidR="002F1041" w:rsidRPr="006E5A00">
        <w:t>balance comparing benchmark working-family’s energy requirements and the energy their nominal</w:t>
      </w:r>
      <w:r w:rsidR="00572F4E" w:rsidRPr="006E5A00">
        <w:t xml:space="preserve"> male</w:t>
      </w:r>
      <w:r w:rsidR="00572F4E" w:rsidRPr="006E5A00">
        <w:rPr>
          <w:lang w:val="en-US"/>
        </w:rPr>
        <w:t>-</w:t>
      </w:r>
      <w:r w:rsidR="007720EF" w:rsidRPr="006E5A00">
        <w:rPr>
          <w:lang w:val="en-US"/>
        </w:rPr>
        <w:t>wage</w:t>
      </w:r>
      <w:r w:rsidR="002F1041" w:rsidRPr="006E5A00">
        <w:t xml:space="preserve"> income can command. </w:t>
      </w:r>
    </w:p>
    <w:p w14:paraId="75402639" w14:textId="77777777" w:rsidR="007720EF" w:rsidRPr="006E5A00" w:rsidRDefault="007720EF">
      <w:pPr>
        <w:spacing w:after="160" w:line="259" w:lineRule="auto"/>
        <w:rPr>
          <w:b/>
          <w:sz w:val="28"/>
          <w:szCs w:val="28"/>
        </w:rPr>
      </w:pPr>
    </w:p>
    <w:p w14:paraId="39075623" w14:textId="77777777" w:rsidR="00973E10" w:rsidRPr="006E5A00" w:rsidRDefault="007720EF" w:rsidP="00973E10">
      <w:pPr>
        <w:jc w:val="both"/>
        <w:rPr>
          <w:b/>
          <w:sz w:val="28"/>
          <w:szCs w:val="28"/>
        </w:rPr>
      </w:pPr>
      <w:r w:rsidRPr="006E5A00">
        <w:rPr>
          <w:b/>
          <w:sz w:val="28"/>
          <w:szCs w:val="28"/>
        </w:rPr>
        <w:t xml:space="preserve">Discussion of data: </w:t>
      </w:r>
      <w:r w:rsidR="002F1041" w:rsidRPr="006E5A00">
        <w:rPr>
          <w:b/>
          <w:sz w:val="28"/>
          <w:szCs w:val="28"/>
        </w:rPr>
        <w:t>Nominal incomes and cost-of-living</w:t>
      </w:r>
    </w:p>
    <w:p w14:paraId="69805940" w14:textId="77777777" w:rsidR="00973E10" w:rsidRPr="006E5A00" w:rsidRDefault="00973E10" w:rsidP="00973E10">
      <w:pPr>
        <w:jc w:val="both"/>
        <w:rPr>
          <w:b/>
        </w:rPr>
      </w:pPr>
      <w:r w:rsidRPr="006E5A00">
        <w:rPr>
          <w:b/>
        </w:rPr>
        <w:t xml:space="preserve"> </w:t>
      </w:r>
    </w:p>
    <w:p w14:paraId="7BECD299" w14:textId="77777777" w:rsidR="00973E10" w:rsidRPr="006E5A00" w:rsidRDefault="00973E10" w:rsidP="00973E10">
      <w:pPr>
        <w:jc w:val="both"/>
        <w:rPr>
          <w:b/>
        </w:rPr>
      </w:pPr>
      <w:r w:rsidRPr="006E5A00">
        <w:rPr>
          <w:b/>
        </w:rPr>
        <w:t>Nominal incomes</w:t>
      </w:r>
    </w:p>
    <w:p w14:paraId="47583C6E" w14:textId="77777777" w:rsidR="00973E10" w:rsidRPr="006E5A00" w:rsidRDefault="00973E10" w:rsidP="00973E10">
      <w:pPr>
        <w:jc w:val="both"/>
        <w:rPr>
          <w:lang w:val="en-US"/>
        </w:rPr>
      </w:pPr>
      <w:r w:rsidRPr="006E5A00">
        <w:t>Fortune has conserved the exceptionally detailed nominal income series for the largest iron and steel concern in Bilbao and Spain for this period. Altos Hornos de Vizcaya</w:t>
      </w:r>
      <w:r w:rsidR="00881864" w:rsidRPr="006E5A00">
        <w:t xml:space="preserve"> [AHV]</w:t>
      </w:r>
      <w:r w:rsidRPr="006E5A00">
        <w:t xml:space="preserve"> </w:t>
      </w:r>
      <w:r w:rsidRPr="006E5A00">
        <w:rPr>
          <w:lang w:val="en-US"/>
        </w:rPr>
        <w:t>was created by merger of two of the leading iron and steel companies with a smaller tinplate factory in 1901. They employed 5,905 workers in 1916 and 8,300 in 1930, approximately one third of the workers employed in the Spanish iron and steel industry.</w:t>
      </w:r>
    </w:p>
    <w:p w14:paraId="1F1323C0" w14:textId="77777777" w:rsidR="000E1D11" w:rsidRPr="006E5A00" w:rsidRDefault="000E1D11" w:rsidP="000E1D11">
      <w:pPr>
        <w:ind w:firstLine="340"/>
        <w:jc w:val="both"/>
        <w:rPr>
          <w:lang w:val="en-US"/>
        </w:rPr>
      </w:pPr>
      <w:r w:rsidRPr="006E5A00">
        <w:rPr>
          <w:lang w:val="en-US"/>
        </w:rPr>
        <w:t xml:space="preserve">In figure </w:t>
      </w:r>
      <w:r w:rsidR="00CC285B">
        <w:rPr>
          <w:lang w:val="en-US"/>
        </w:rPr>
        <w:t>B</w:t>
      </w:r>
      <w:r w:rsidRPr="006E5A00">
        <w:rPr>
          <w:lang w:val="en-US"/>
        </w:rPr>
        <w:t xml:space="preserve"> we compare the annualized average monthly wages with other nominal wage series. Both the average wage and the unskilled wage (packers, loaders and mill-shop helpers) move close to the bands of the skilled and unskilled nominal wages calculated by Vilar Rodríguez (2004) for all of Spain up to World War I [WWI]. The post-war years bring about an abrupt upward change of level, situating both wages 25-30% above Vilar’s levels. They do remain nevertheless within the bands of maximum and minimum wages registered by the Bilbao Trade Board Bulletins until the late twenties. For the 193</w:t>
      </w:r>
      <w:r w:rsidR="00530518" w:rsidRPr="006E5A00">
        <w:rPr>
          <w:lang w:val="en-US"/>
        </w:rPr>
        <w:t>0s</w:t>
      </w:r>
      <w:r w:rsidRPr="006E5A00">
        <w:rPr>
          <w:lang w:val="en-US"/>
        </w:rPr>
        <w:t xml:space="preserve"> Altos Hornos de Vizcaya’s average wages remained an average 9 % higher than the Trade Boards reported maximum. If the higher nominal wages introduce a bias in the analysis, it will be a bias against our hypothesis of family vulnerability.</w:t>
      </w:r>
    </w:p>
    <w:p w14:paraId="3C4F43C8" w14:textId="77777777" w:rsidR="006813B8" w:rsidRDefault="006813B8">
      <w:pPr>
        <w:spacing w:after="160" w:line="259" w:lineRule="auto"/>
        <w:rPr>
          <w:lang w:val="en-US"/>
        </w:rPr>
      </w:pPr>
      <w:r>
        <w:rPr>
          <w:lang w:val="en-US"/>
        </w:rPr>
        <w:br w:type="page"/>
      </w:r>
    </w:p>
    <w:p w14:paraId="47E830FD" w14:textId="77777777" w:rsidR="007C3584" w:rsidRPr="007C3584" w:rsidRDefault="007C3584" w:rsidP="007C3584">
      <w:pPr>
        <w:jc w:val="center"/>
        <w:rPr>
          <w:lang w:val="es-ES"/>
        </w:rPr>
      </w:pPr>
      <w:r w:rsidRPr="007C3584">
        <w:rPr>
          <w:lang w:val="es-ES"/>
        </w:rPr>
        <w:t xml:space="preserve">FIGURE </w:t>
      </w:r>
      <w:r w:rsidR="00CC285B" w:rsidRPr="007C3584">
        <w:rPr>
          <w:lang w:val="es-ES"/>
        </w:rPr>
        <w:t>B</w:t>
      </w:r>
    </w:p>
    <w:p w14:paraId="31AC31E1" w14:textId="77777777" w:rsidR="00973E10" w:rsidRPr="007C3584" w:rsidRDefault="00973E10" w:rsidP="006813B8">
      <w:pPr>
        <w:spacing w:after="240"/>
        <w:jc w:val="center"/>
        <w:rPr>
          <w:lang w:val="es-ES"/>
        </w:rPr>
      </w:pPr>
      <w:r w:rsidRPr="007C3584">
        <w:rPr>
          <w:lang w:val="es-ES"/>
        </w:rPr>
        <w:t>Nominal wages A</w:t>
      </w:r>
      <w:r w:rsidR="007C3584" w:rsidRPr="007C3584">
        <w:rPr>
          <w:lang w:val="es-ES"/>
        </w:rPr>
        <w:t>ltos Hornos de Vizcaya compared</w:t>
      </w:r>
    </w:p>
    <w:p w14:paraId="360241A8" w14:textId="77777777" w:rsidR="00973E10" w:rsidRPr="006E5A00" w:rsidRDefault="00973E10" w:rsidP="00973E10">
      <w:pPr>
        <w:jc w:val="both"/>
        <w:rPr>
          <w:lang w:val="es-ES"/>
        </w:rPr>
      </w:pPr>
      <w:r w:rsidRPr="006E5A00">
        <w:rPr>
          <w:noProof/>
          <w:lang w:val="es-ES" w:eastAsia="es-ES"/>
        </w:rPr>
        <w:drawing>
          <wp:inline distT="0" distB="0" distL="0" distR="0" wp14:anchorId="280D4775" wp14:editId="207B0C14">
            <wp:extent cx="6233160" cy="3042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8711" cy="3059637"/>
                    </a:xfrm>
                    <a:prstGeom prst="rect">
                      <a:avLst/>
                    </a:prstGeom>
                    <a:noFill/>
                    <a:ln>
                      <a:noFill/>
                    </a:ln>
                  </pic:spPr>
                </pic:pic>
              </a:graphicData>
            </a:graphic>
          </wp:inline>
        </w:drawing>
      </w:r>
    </w:p>
    <w:p w14:paraId="0F9D975C" w14:textId="77777777" w:rsidR="00973E10" w:rsidRPr="006E5A00" w:rsidRDefault="00973E10" w:rsidP="00973E10">
      <w:pPr>
        <w:jc w:val="both"/>
        <w:rPr>
          <w:lang w:val="es-ES"/>
        </w:rPr>
      </w:pPr>
    </w:p>
    <w:p w14:paraId="2BC46948" w14:textId="77777777" w:rsidR="00973E10" w:rsidRPr="006E5A00" w:rsidRDefault="00973E10" w:rsidP="00973E10">
      <w:pPr>
        <w:ind w:firstLine="340"/>
        <w:jc w:val="both"/>
        <w:rPr>
          <w:lang w:val="en-US"/>
        </w:rPr>
      </w:pPr>
      <w:r w:rsidRPr="006E5A00">
        <w:rPr>
          <w:lang w:val="en-US"/>
        </w:rPr>
        <w:t xml:space="preserve">Figure </w:t>
      </w:r>
      <w:r w:rsidR="00CC285B">
        <w:rPr>
          <w:lang w:val="en-US"/>
        </w:rPr>
        <w:t>C</w:t>
      </w:r>
      <w:r w:rsidRPr="006E5A00">
        <w:rPr>
          <w:lang w:val="en-US"/>
        </w:rPr>
        <w:t xml:space="preserve"> below shows the evolution of index number nominal wages available for Biscay iron and steel workers (skilled, unskilled and miners) and rural workers in Navarre compared to the annualized monthly nominal wages we have for Altos Hornos de Vizcaya, both for unskilled workers (</w:t>
      </w:r>
      <w:r w:rsidRPr="006E5A00">
        <w:rPr>
          <w:i/>
          <w:lang w:val="en-US"/>
        </w:rPr>
        <w:t>peones de movimiento</w:t>
      </w:r>
      <w:r w:rsidRPr="006E5A00">
        <w:rPr>
          <w:lang w:val="en-US"/>
        </w:rPr>
        <w:t>) and the average factory wage.</w:t>
      </w:r>
      <w:r w:rsidRPr="006E5A00">
        <w:rPr>
          <w:rStyle w:val="FootnoteReference"/>
        </w:rPr>
        <w:footnoteReference w:id="4"/>
      </w:r>
      <w:r w:rsidRPr="006E5A00">
        <w:rPr>
          <w:lang w:val="en-US"/>
        </w:rPr>
        <w:t xml:space="preserve"> Unskilled labour </w:t>
      </w:r>
      <w:r w:rsidR="002F1041" w:rsidRPr="006E5A00">
        <w:rPr>
          <w:lang w:val="en-US"/>
        </w:rPr>
        <w:t xml:space="preserve">wages </w:t>
      </w:r>
      <w:r w:rsidRPr="006E5A00">
        <w:rPr>
          <w:lang w:val="en-US"/>
        </w:rPr>
        <w:t xml:space="preserve">adjusted </w:t>
      </w:r>
      <w:r w:rsidR="00881864" w:rsidRPr="006E5A00">
        <w:rPr>
          <w:lang w:val="en-US"/>
        </w:rPr>
        <w:t xml:space="preserve">faster and more </w:t>
      </w:r>
      <w:r w:rsidR="002F1041" w:rsidRPr="006E5A00">
        <w:rPr>
          <w:lang w:val="en-US"/>
        </w:rPr>
        <w:t xml:space="preserve">to the price increases </w:t>
      </w:r>
      <w:r w:rsidRPr="006E5A00">
        <w:rPr>
          <w:lang w:val="en-US"/>
        </w:rPr>
        <w:t xml:space="preserve">in the 1920s. We see this as indicative of unskilled workers living closer to sustenance, which made them more belligerent in collective action and employers more responsive to their demands for </w:t>
      </w:r>
      <w:r w:rsidR="00881864" w:rsidRPr="006E5A00">
        <w:rPr>
          <w:lang w:val="en-US"/>
        </w:rPr>
        <w:t>nominal</w:t>
      </w:r>
      <w:r w:rsidRPr="006E5A00">
        <w:rPr>
          <w:lang w:val="en-US"/>
        </w:rPr>
        <w:t xml:space="preserve"> wage adjustments. </w:t>
      </w:r>
    </w:p>
    <w:p w14:paraId="2907C63A" w14:textId="77777777" w:rsidR="000E1D11" w:rsidRPr="006E5A00" w:rsidRDefault="000E1D11" w:rsidP="000E1D11">
      <w:pPr>
        <w:ind w:firstLine="340"/>
        <w:jc w:val="both"/>
        <w:rPr>
          <w:lang w:val="en-US"/>
        </w:rPr>
      </w:pPr>
      <w:r w:rsidRPr="006E5A00">
        <w:rPr>
          <w:lang w:val="en-US"/>
        </w:rPr>
        <w:t>Pedro María Pérez Castroviejo (1992) has carried out a very detailed study of the workforce pertaining to the Altos Hornos de Vizcaya factories for the period 1900 to 1915 using the company’s worker books (Libros de Matrícula), and management records. Based on his findings we know that, in those 15 years, 64 % of the newly hired workers came from other provinces (out of a total of 23,847). Nevertheless, the main source of population growth in industrial Bilbao over the first third of the twentieth century was not immigration, but the natural population growth based on high birth rates and descending death rates (</w:t>
      </w:r>
      <w:r w:rsidRPr="006E5A00">
        <w:t>González Portilla, 2001 [V1]: 141)</w:t>
      </w:r>
      <w:r w:rsidRPr="006E5A00">
        <w:rPr>
          <w:lang w:val="en-US"/>
        </w:rPr>
        <w:t>. This pattern was only briefly altered during the WWI upswing, when immigration regained prominence for a brief period.</w:t>
      </w:r>
      <w:r w:rsidRPr="006E5A00">
        <w:rPr>
          <w:rStyle w:val="FootnoteReference"/>
        </w:rPr>
        <w:footnoteReference w:id="5"/>
      </w:r>
      <w:r w:rsidRPr="006E5A00">
        <w:rPr>
          <w:lang w:val="en-US"/>
        </w:rPr>
        <w:t xml:space="preserve">  In 1914, 94.71 % of the</w:t>
      </w:r>
      <w:r w:rsidR="006329F7" w:rsidRPr="006E5A00">
        <w:rPr>
          <w:lang w:val="en-US"/>
        </w:rPr>
        <w:t xml:space="preserve"> AHV</w:t>
      </w:r>
      <w:r w:rsidRPr="006E5A00">
        <w:rPr>
          <w:lang w:val="en-US"/>
        </w:rPr>
        <w:t xml:space="preserve"> labour force were men, 74.1 % younger than thirty-nine years of age. Over 50 % of them had been hired between the ages of 20 and 29 years. Over two thirds spent less than 6 years at Altos Hornos de Vizcaya. Around 74 % of the workers that left their jobs, did so voluntarily, mainly to work in other </w:t>
      </w:r>
      <w:r w:rsidR="006329F7" w:rsidRPr="006E5A00">
        <w:rPr>
          <w:lang w:val="en-US"/>
        </w:rPr>
        <w:t>job</w:t>
      </w:r>
      <w:r w:rsidRPr="006E5A00">
        <w:rPr>
          <w:lang w:val="en-US"/>
        </w:rPr>
        <w:t>s or for family reasons. High wage opportunities also seemed prevalent elsewhere. Hiring and average wages show no seasonality. Between 1910 and 1915 28.24 % of the workers were married (</w:t>
      </w:r>
      <w:r w:rsidRPr="006E5A00">
        <w:t>Perez Castroviejo, 1992: 41-219)</w:t>
      </w:r>
      <w:r w:rsidRPr="006E5A00">
        <w:rPr>
          <w:lang w:val="en-US"/>
        </w:rPr>
        <w:t xml:space="preserve">. In 1930 the payroll of Altos Hornos de Vizcaya represented approximately 40 % of the workforce living on the west side of the Nervión sea-river </w:t>
      </w:r>
      <w:r w:rsidRPr="006E5A00">
        <w:rPr>
          <w:rFonts w:cs="Calibri"/>
          <w:lang w:val="en-US"/>
        </w:rPr>
        <w:t>—</w:t>
      </w:r>
      <w:r w:rsidRPr="006E5A00">
        <w:rPr>
          <w:lang w:val="en-US"/>
        </w:rPr>
        <w:t xml:space="preserve">the main industrial area of Bilbao (González Portilla, 2001: 139 &amp; </w:t>
      </w:r>
      <w:r w:rsidRPr="006E5A00">
        <w:t>1995: 171)</w:t>
      </w:r>
      <w:r w:rsidRPr="006E5A00">
        <w:rPr>
          <w:lang w:val="en-US"/>
        </w:rPr>
        <w:t xml:space="preserve">.  </w:t>
      </w:r>
    </w:p>
    <w:p w14:paraId="2A4C5518" w14:textId="77777777" w:rsidR="00A57AD9" w:rsidRPr="006E5A00" w:rsidRDefault="00A57AD9" w:rsidP="00A57AD9">
      <w:pPr>
        <w:ind w:firstLine="340"/>
        <w:jc w:val="both"/>
        <w:rPr>
          <w:lang w:val="en-US"/>
        </w:rPr>
      </w:pPr>
      <w:r w:rsidRPr="006E5A00">
        <w:rPr>
          <w:lang w:val="en-US"/>
        </w:rPr>
        <w:t>Not only are we looking at the highest paid workers in the iron and steel industry, but possibly at one of the highest paid work</w:t>
      </w:r>
      <w:r>
        <w:rPr>
          <w:lang w:val="en-US"/>
        </w:rPr>
        <w:t>-</w:t>
      </w:r>
      <w:r w:rsidRPr="006E5A00">
        <w:rPr>
          <w:lang w:val="en-US"/>
        </w:rPr>
        <w:t>force in Spain (</w:t>
      </w:r>
      <w:r w:rsidRPr="006E5A00">
        <w:t>Pérez Castroviejo, 1992: 115 &amp; 122)</w:t>
      </w:r>
      <w:r w:rsidRPr="006E5A00">
        <w:rPr>
          <w:lang w:val="en-US"/>
        </w:rPr>
        <w:t xml:space="preserve">. The subtlety in these series is that their source are the company payrolls: they reproduce the gross income of workers. The predominant work system in the AHV factories were piecework contracts by which a base task wage was set and all additional work effort was paid as premiums or overtime. The series include both the wage and all other pay received (seniority, productivity and overtime). This is quite a unique source and should increase the precision of our measurement of family incomes considerably. </w:t>
      </w:r>
    </w:p>
    <w:p w14:paraId="4D695222" w14:textId="77777777" w:rsidR="00A57AD9" w:rsidRPr="006E5A00" w:rsidRDefault="00A57AD9" w:rsidP="00A57AD9">
      <w:pPr>
        <w:ind w:firstLine="340"/>
        <w:jc w:val="both"/>
      </w:pPr>
      <w:r w:rsidRPr="006E5A00">
        <w:t>The nominal earnings for workers presented here splice three series. All three series are taken from the same source and for the same factory. The first series is an average monthly income which includes day wage, other premiums and overtime payment for a blast furnace worker at Altos Hornos de Vizcaya.</w:t>
      </w:r>
      <w:r w:rsidRPr="006E5A00">
        <w:rPr>
          <w:rStyle w:val="FootnoteReference"/>
        </w:rPr>
        <w:footnoteReference w:id="6"/>
      </w:r>
      <w:r w:rsidRPr="006E5A00">
        <w:t xml:space="preserve"> It runs from January 1914 to December 1921. We have chosen blast furnace workers, because their income is close to the overall average AHV workers’ income, and because they were subjected to high temperatures and very strenuous workloads.</w:t>
      </w:r>
      <w:r w:rsidRPr="006E5A00">
        <w:rPr>
          <w:rStyle w:val="FootnoteReference"/>
        </w:rPr>
        <w:footnoteReference w:id="7"/>
      </w:r>
      <w:r w:rsidRPr="006E5A00">
        <w:t xml:space="preserve"> This allows us to define a high-energy food basket. We will come back to these points further ahead. From January 1922 to December 1927, we no longer have detailed data on a shop-floor level and only have the average monthly income of all workers at the factory including bonuses and extra hours. And finally, from January 1928 to July 1936, we have interpolated monthly averages from annual averages because we have no monthly observations.</w:t>
      </w:r>
      <w:r w:rsidRPr="006E5A00">
        <w:rPr>
          <w:rStyle w:val="FootnoteReference"/>
        </w:rPr>
        <w:footnoteReference w:id="8"/>
      </w:r>
      <w:r w:rsidRPr="006E5A00">
        <w:t xml:space="preserve"> The nominal wages are thereby representative in two ways. They represent the average income for the factories —between five to eight thousand workers— and they represent the average income of a blast furnace worker —a high-wage high-energy worker. </w:t>
      </w:r>
    </w:p>
    <w:p w14:paraId="5C80C914" w14:textId="77777777" w:rsidR="006813B8" w:rsidRDefault="006813B8">
      <w:pPr>
        <w:spacing w:after="160" w:line="259" w:lineRule="auto"/>
      </w:pPr>
      <w:r>
        <w:br w:type="page"/>
      </w:r>
    </w:p>
    <w:p w14:paraId="53AEDF3A" w14:textId="77777777" w:rsidR="007C3584" w:rsidRPr="007C3584" w:rsidRDefault="007C3584" w:rsidP="007C3584">
      <w:pPr>
        <w:jc w:val="center"/>
        <w:rPr>
          <w:lang w:val="en-US"/>
        </w:rPr>
      </w:pPr>
      <w:r w:rsidRPr="007C3584">
        <w:rPr>
          <w:lang w:val="en-US"/>
        </w:rPr>
        <w:t xml:space="preserve">FIGURE </w:t>
      </w:r>
      <w:r w:rsidR="00CC285B" w:rsidRPr="007C3584">
        <w:rPr>
          <w:lang w:val="en-US"/>
        </w:rPr>
        <w:t>C</w:t>
      </w:r>
    </w:p>
    <w:p w14:paraId="76B6A18A" w14:textId="77777777" w:rsidR="00A57AD9" w:rsidRPr="007C3584" w:rsidRDefault="00A57AD9" w:rsidP="006813B8">
      <w:pPr>
        <w:spacing w:after="240"/>
        <w:jc w:val="center"/>
        <w:rPr>
          <w:lang w:val="es-ES"/>
        </w:rPr>
      </w:pPr>
      <w:r w:rsidRPr="007C3584">
        <w:rPr>
          <w:lang w:val="es-ES"/>
        </w:rPr>
        <w:t>Indexed nominal wages Biscay, Navarre and Altos Hornos de Vizcaya. (1913=100)</w:t>
      </w:r>
    </w:p>
    <w:p w14:paraId="5760136F" w14:textId="77777777" w:rsidR="00973E10" w:rsidRPr="006E5A00" w:rsidRDefault="000112B6" w:rsidP="00973E10">
      <w:pPr>
        <w:jc w:val="both"/>
      </w:pPr>
      <w:r w:rsidRPr="006E5A00">
        <w:rPr>
          <w:noProof/>
          <w:lang w:val="es-ES" w:eastAsia="es-ES"/>
        </w:rPr>
        <w:drawing>
          <wp:inline distT="0" distB="0" distL="0" distR="0" wp14:anchorId="2B8B1410" wp14:editId="118D7784">
            <wp:extent cx="6202680" cy="290385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0833" cy="2926398"/>
                    </a:xfrm>
                    <a:prstGeom prst="rect">
                      <a:avLst/>
                    </a:prstGeom>
                    <a:noFill/>
                    <a:ln>
                      <a:noFill/>
                    </a:ln>
                  </pic:spPr>
                </pic:pic>
              </a:graphicData>
            </a:graphic>
          </wp:inline>
        </w:drawing>
      </w:r>
    </w:p>
    <w:p w14:paraId="1BD65D2C" w14:textId="77777777" w:rsidR="00973E10" w:rsidRPr="006E5A00" w:rsidRDefault="00973E10" w:rsidP="00973E10">
      <w:pPr>
        <w:ind w:firstLine="340"/>
        <w:jc w:val="both"/>
        <w:rPr>
          <w:lang w:val="en-US"/>
        </w:rPr>
      </w:pPr>
    </w:p>
    <w:p w14:paraId="09C11E48" w14:textId="77777777" w:rsidR="00973E10" w:rsidRPr="006E5A00" w:rsidRDefault="0009328C" w:rsidP="00973E10">
      <w:pPr>
        <w:ind w:firstLine="340"/>
        <w:jc w:val="both"/>
      </w:pPr>
      <w:r w:rsidRPr="006E5A00">
        <w:t>T</w:t>
      </w:r>
      <w:r w:rsidR="00973E10" w:rsidRPr="006E5A00">
        <w:t xml:space="preserve">he incomes shown in Figure </w:t>
      </w:r>
      <w:r w:rsidRPr="006E5A00">
        <w:t xml:space="preserve">1 of the </w:t>
      </w:r>
      <w:r w:rsidR="00DA5E55" w:rsidRPr="006E5A00">
        <w:t>article</w:t>
      </w:r>
      <w:r w:rsidR="00973E10" w:rsidRPr="006E5A00">
        <w:t xml:space="preserve"> are </w:t>
      </w:r>
      <w:r w:rsidRPr="006E5A00">
        <w:t>gross</w:t>
      </w:r>
      <w:r w:rsidR="00973E10" w:rsidRPr="006E5A00">
        <w:t xml:space="preserve"> nominal incomes for a high-</w:t>
      </w:r>
      <w:r w:rsidRPr="006E5A00">
        <w:t>energy</w:t>
      </w:r>
      <w:r w:rsidR="00973E10" w:rsidRPr="006E5A00">
        <w:t xml:space="preserve"> worker. The dotted red line running through the graph depicts what nominal wages would have been if they had evolved at the annual rates proposed by Vilar Rodríguez for average industrial nominal wages in Spain.</w:t>
      </w:r>
      <w:r w:rsidR="00973E10" w:rsidRPr="006E5A00">
        <w:rPr>
          <w:rStyle w:val="FootnoteReference"/>
        </w:rPr>
        <w:footnoteReference w:id="9"/>
      </w:r>
      <w:r w:rsidR="00973E10" w:rsidRPr="006E5A00">
        <w:t xml:space="preserve"> But economic strife was sure to hit more unskilled workers first. Figure </w:t>
      </w:r>
      <w:r w:rsidRPr="006E5A00">
        <w:t>2</w:t>
      </w:r>
      <w:r w:rsidR="00973E10" w:rsidRPr="006E5A00">
        <w:t xml:space="preserve"> </w:t>
      </w:r>
      <w:r w:rsidRPr="006E5A00">
        <w:t xml:space="preserve">compares </w:t>
      </w:r>
      <w:r w:rsidR="00973E10" w:rsidRPr="006E5A00">
        <w:t xml:space="preserve">the income of </w:t>
      </w:r>
      <w:r w:rsidRPr="006E5A00">
        <w:t xml:space="preserve">skilled and </w:t>
      </w:r>
      <w:r w:rsidR="00973E10" w:rsidRPr="006E5A00">
        <w:t xml:space="preserve">unskilled workers in the same factory. </w:t>
      </w:r>
      <w:r w:rsidRPr="006E5A00">
        <w:t>Unskilled labourers</w:t>
      </w:r>
      <w:r w:rsidR="00973E10" w:rsidRPr="006E5A00">
        <w:t xml:space="preserve"> are packers, loaders and mill-shop helpers employed in moving raw materials, intermediate products and final products within the factory. Their income remained below the minimum cost of the consumption bundle up to 1920. Their gap to the higher incomes closed during the war and the first two post-war years, as we commented in Figure </w:t>
      </w:r>
      <w:r w:rsidR="00CC285B">
        <w:t>C</w:t>
      </w:r>
      <w:r w:rsidR="00973E10" w:rsidRPr="006E5A00">
        <w:t>.</w:t>
      </w:r>
      <w:r w:rsidR="00973E10" w:rsidRPr="006E5A00">
        <w:rPr>
          <w:rStyle w:val="FootnoteReference"/>
        </w:rPr>
        <w:footnoteReference w:id="10"/>
      </w:r>
    </w:p>
    <w:p w14:paraId="50B35399" w14:textId="77777777" w:rsidR="0073076B" w:rsidRPr="006E5A00" w:rsidRDefault="0073076B" w:rsidP="00973E10">
      <w:pPr>
        <w:jc w:val="both"/>
        <w:rPr>
          <w:b/>
        </w:rPr>
      </w:pPr>
    </w:p>
    <w:p w14:paraId="0A9AEB34" w14:textId="77777777" w:rsidR="00973E10" w:rsidRPr="006E5A00" w:rsidRDefault="00973E10" w:rsidP="00973E10">
      <w:pPr>
        <w:jc w:val="both"/>
        <w:rPr>
          <w:b/>
        </w:rPr>
      </w:pPr>
      <w:r w:rsidRPr="006E5A00">
        <w:rPr>
          <w:b/>
        </w:rPr>
        <w:t>Calculati</w:t>
      </w:r>
      <w:r w:rsidR="007720EF" w:rsidRPr="006E5A00">
        <w:rPr>
          <w:b/>
        </w:rPr>
        <w:t>on</w:t>
      </w:r>
      <w:r w:rsidRPr="006E5A00">
        <w:rPr>
          <w:b/>
        </w:rPr>
        <w:t xml:space="preserve"> </w:t>
      </w:r>
      <w:r w:rsidR="007720EF" w:rsidRPr="006E5A00">
        <w:rPr>
          <w:b/>
        </w:rPr>
        <w:t xml:space="preserve">and discussion of </w:t>
      </w:r>
      <w:r w:rsidRPr="006E5A00">
        <w:rPr>
          <w:b/>
        </w:rPr>
        <w:t>cost-of-living</w:t>
      </w:r>
    </w:p>
    <w:p w14:paraId="743DDC77" w14:textId="77777777" w:rsidR="00973E10" w:rsidRPr="006E5A00" w:rsidRDefault="00973E10" w:rsidP="00973E10">
      <w:pPr>
        <w:jc w:val="both"/>
      </w:pPr>
      <w:r w:rsidRPr="006E5A00">
        <w:t xml:space="preserve">The conventional approach taken by standard of living analysts —especially those examining the pre-industrial and the industrializing context— is to measure </w:t>
      </w:r>
      <w:r w:rsidR="005D1DB6" w:rsidRPr="006E5A00">
        <w:t xml:space="preserve">a level of </w:t>
      </w:r>
      <w:r w:rsidRPr="006E5A00">
        <w:t>material well</w:t>
      </w:r>
      <w:r w:rsidR="005D1DB6" w:rsidRPr="006E5A00">
        <w:t>-</w:t>
      </w:r>
      <w:r w:rsidRPr="006E5A00">
        <w:t xml:space="preserve">being </w:t>
      </w:r>
      <w:r w:rsidR="005D1DB6" w:rsidRPr="006E5A00">
        <w:t xml:space="preserve">and seeing </w:t>
      </w:r>
      <w:r w:rsidRPr="006E5A00">
        <w:t>how much material well</w:t>
      </w:r>
      <w:r w:rsidR="000112B6" w:rsidRPr="006E5A00">
        <w:t>-</w:t>
      </w:r>
      <w:r w:rsidRPr="006E5A00">
        <w:t>being nominal wages command</w:t>
      </w:r>
      <w:r w:rsidR="005D1DB6" w:rsidRPr="006E5A00">
        <w:t xml:space="preserve"> over time</w:t>
      </w:r>
      <w:r w:rsidRPr="006E5A00">
        <w:t xml:space="preserve">. For populations emerged in the early phases of modern development (industrialization) this can be approximated using </w:t>
      </w:r>
      <w:r w:rsidR="005D1DB6" w:rsidRPr="006E5A00">
        <w:t>series of</w:t>
      </w:r>
      <w:r w:rsidRPr="006E5A00">
        <w:t xml:space="preserve"> nominal wages and the cost of clothing, housing, and nutrition. The classical method has been to transform nominal wages to real wages with a cost-of-living index [COLI]. The evolution of real wages over time then reflects whether material well-being for wage earners has improved or not.</w:t>
      </w:r>
    </w:p>
    <w:p w14:paraId="043FB260" w14:textId="77777777" w:rsidR="00A57AD9" w:rsidRDefault="00A57AD9" w:rsidP="00A57AD9">
      <w:pPr>
        <w:jc w:val="both"/>
        <w:rPr>
          <w:b/>
          <w:i/>
        </w:rPr>
      </w:pPr>
    </w:p>
    <w:p w14:paraId="1AAACB25" w14:textId="77777777" w:rsidR="007C3584" w:rsidRPr="007C3584" w:rsidRDefault="007C3584" w:rsidP="007C3584">
      <w:pPr>
        <w:jc w:val="center"/>
      </w:pPr>
      <w:r w:rsidRPr="007C3584">
        <w:t xml:space="preserve">FIGURE </w:t>
      </w:r>
      <w:r w:rsidR="00CC285B" w:rsidRPr="007C3584">
        <w:t>D</w:t>
      </w:r>
    </w:p>
    <w:p w14:paraId="253FFBBF" w14:textId="77777777" w:rsidR="00A57AD9" w:rsidRPr="007C3584" w:rsidRDefault="00A57AD9" w:rsidP="007C3584">
      <w:pPr>
        <w:jc w:val="center"/>
      </w:pPr>
      <w:r w:rsidRPr="007C3584">
        <w:t xml:space="preserve">Comparing Cost-of-living Indexes for Spain, </w:t>
      </w:r>
      <w:proofErr w:type="gramStart"/>
      <w:r w:rsidRPr="007C3584">
        <w:t>Biscay</w:t>
      </w:r>
      <w:proofErr w:type="gramEnd"/>
      <w:r w:rsidRPr="007C3584">
        <w:t xml:space="preserve"> and Bilbao. (1913 = 100)</w:t>
      </w:r>
    </w:p>
    <w:p w14:paraId="22A995CC" w14:textId="77777777" w:rsidR="00A57AD9" w:rsidRPr="006E5A00" w:rsidRDefault="00A57AD9" w:rsidP="007C3584">
      <w:pPr>
        <w:jc w:val="center"/>
      </w:pPr>
      <w:r w:rsidRPr="006E5A00">
        <w:rPr>
          <w:noProof/>
          <w:lang w:val="es-ES" w:eastAsia="es-ES"/>
        </w:rPr>
        <w:drawing>
          <wp:inline distT="0" distB="0" distL="0" distR="0" wp14:anchorId="7B2EC44A" wp14:editId="4C2D33B5">
            <wp:extent cx="6156960" cy="3037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4362" cy="3119784"/>
                    </a:xfrm>
                    <a:prstGeom prst="rect">
                      <a:avLst/>
                    </a:prstGeom>
                    <a:noFill/>
                    <a:ln>
                      <a:noFill/>
                    </a:ln>
                  </pic:spPr>
                </pic:pic>
              </a:graphicData>
            </a:graphic>
          </wp:inline>
        </w:drawing>
      </w:r>
    </w:p>
    <w:p w14:paraId="5EE46A8E" w14:textId="77777777" w:rsidR="00A57AD9" w:rsidRPr="006E5A00" w:rsidRDefault="00A57AD9" w:rsidP="00A57AD9">
      <w:pPr>
        <w:jc w:val="both"/>
        <w:rPr>
          <w:sz w:val="16"/>
          <w:szCs w:val="16"/>
        </w:rPr>
      </w:pPr>
    </w:p>
    <w:p w14:paraId="7BD8B34E" w14:textId="77777777" w:rsidR="00973E10" w:rsidRPr="006E5A00" w:rsidRDefault="00973E10" w:rsidP="00973E10">
      <w:pPr>
        <w:ind w:firstLine="340"/>
        <w:jc w:val="both"/>
        <w:rPr>
          <w:lang w:val="en-US"/>
        </w:rPr>
      </w:pPr>
      <w:r w:rsidRPr="006E5A00">
        <w:t xml:space="preserve">Figure </w:t>
      </w:r>
      <w:r w:rsidR="00CC285B">
        <w:t>D</w:t>
      </w:r>
      <w:r w:rsidRPr="006E5A00">
        <w:t xml:space="preserve"> gives a first picture of the cost-of-living index we have calculated for Bilbao from 1914 to 1936 </w:t>
      </w:r>
      <w:r w:rsidRPr="006E5A00">
        <w:rPr>
          <w:rFonts w:cs="Calibri"/>
        </w:rPr>
        <w:t>—</w:t>
      </w:r>
      <w:r w:rsidRPr="006E5A00">
        <w:t>the thick line in the graph. The cost-of-living index for Bilbao is an annualized arithmetic mean of the upper and lower bound calculations we have performed. When compared to the annual indexes calculated by Ballesteros (1997) for Spain and Biscay and that calculated by Pérez Castroviejo (2006) for Biscay, we find a high degree of co-movement over the WWI and post</w:t>
      </w:r>
      <w:r w:rsidR="005D1DB6" w:rsidRPr="006E5A00">
        <w:t>-</w:t>
      </w:r>
      <w:r w:rsidRPr="006E5A00">
        <w:t xml:space="preserve">war decade. For the second half of the 1920s our index shows closer ties to the Spanish index evolution, and it situates above </w:t>
      </w:r>
      <w:r w:rsidR="005D1DB6" w:rsidRPr="006E5A00">
        <w:t>both</w:t>
      </w:r>
      <w:r w:rsidRPr="006E5A00">
        <w:t xml:space="preserve"> after 1929. During the period we examine</w:t>
      </w:r>
      <w:r w:rsidR="005D1DB6" w:rsidRPr="006E5A00">
        <w:t>,</w:t>
      </w:r>
      <w:r w:rsidRPr="006E5A00">
        <w:t xml:space="preserve"> it replicates the same movements and trend as the Spanish COLI.  This may have its origins in the fact that for much of our approach, we have followed the work method of Ballesteros (1997)</w:t>
      </w:r>
      <w:r w:rsidRPr="006E5A00">
        <w:rPr>
          <w:lang w:val="en-US"/>
        </w:rPr>
        <w:t>. Both</w:t>
      </w:r>
      <w:r w:rsidR="005D1DB6" w:rsidRPr="006E5A00">
        <w:rPr>
          <w:lang w:val="en-US"/>
        </w:rPr>
        <w:t xml:space="preserve"> indexes also</w:t>
      </w:r>
      <w:r w:rsidRPr="006E5A00">
        <w:rPr>
          <w:lang w:val="en-US"/>
        </w:rPr>
        <w:t xml:space="preserve"> follow the money in circulation very nicely. The big difference to both Ballesteros (1997) and Perez Castroviejo (2006) has been cal</w:t>
      </w:r>
      <w:r w:rsidR="005D1DB6" w:rsidRPr="006E5A00">
        <w:rPr>
          <w:lang w:val="en-US"/>
        </w:rPr>
        <w:t>ibrating of</w:t>
      </w:r>
      <w:r w:rsidRPr="006E5A00">
        <w:rPr>
          <w:lang w:val="en-US"/>
        </w:rPr>
        <w:t xml:space="preserve"> </w:t>
      </w:r>
      <w:r w:rsidR="005D1DB6" w:rsidRPr="006E5A00">
        <w:rPr>
          <w:lang w:val="en-US"/>
        </w:rPr>
        <w:t>a constant energy</w:t>
      </w:r>
      <w:r w:rsidRPr="006E5A00">
        <w:rPr>
          <w:lang w:val="en-US"/>
        </w:rPr>
        <w:t xml:space="preserve"> consumption bundle for a working-class family. Real income —wages plus extra pay for overtime or piecework— and the real cost of a </w:t>
      </w:r>
      <w:r w:rsidR="005D1DB6" w:rsidRPr="006E5A00">
        <w:rPr>
          <w:lang w:val="en-US"/>
        </w:rPr>
        <w:t xml:space="preserve">fixed energy </w:t>
      </w:r>
      <w:r w:rsidRPr="006E5A00">
        <w:rPr>
          <w:lang w:val="en-US"/>
        </w:rPr>
        <w:t xml:space="preserve">consumption bundle, representative for a working-class family, will enable us to construct </w:t>
      </w:r>
      <w:r w:rsidR="005D1DB6" w:rsidRPr="006E5A00">
        <w:rPr>
          <w:lang w:val="en-US"/>
        </w:rPr>
        <w:t xml:space="preserve">energy </w:t>
      </w:r>
      <w:r w:rsidRPr="006E5A00">
        <w:rPr>
          <w:lang w:val="en-US"/>
        </w:rPr>
        <w:t>welfare ratios, similar to those proposed by Allen (2001).</w:t>
      </w:r>
      <w:r w:rsidRPr="006E5A00">
        <w:rPr>
          <w:rStyle w:val="FootnoteReference"/>
        </w:rPr>
        <w:footnoteReference w:id="11"/>
      </w:r>
      <w:r w:rsidRPr="006E5A00">
        <w:rPr>
          <w:lang w:val="en-US"/>
        </w:rPr>
        <w:t xml:space="preserve"> </w:t>
      </w:r>
    </w:p>
    <w:p w14:paraId="4363C2DA" w14:textId="77777777" w:rsidR="00973E10" w:rsidRPr="006E5A00" w:rsidRDefault="00973E10" w:rsidP="00973E10">
      <w:pPr>
        <w:ind w:firstLine="340"/>
        <w:jc w:val="both"/>
        <w:rPr>
          <w:lang w:val="en-US"/>
        </w:rPr>
      </w:pPr>
      <w:r w:rsidRPr="006E5A00">
        <w:rPr>
          <w:lang w:val="en-US"/>
        </w:rPr>
        <w:t>For most of the steps taken to calculate the cost-of-living, we follow previous work by Ballesteros and Feinstein. Both suggest using consumer retail prices registered in markets and taken from a single source rather than wholesale prices or prices taken from institutions’ accounting books.</w:t>
      </w:r>
      <w:r w:rsidRPr="006E5A00">
        <w:rPr>
          <w:rStyle w:val="FootnoteReference"/>
        </w:rPr>
        <w:footnoteReference w:id="12"/>
      </w:r>
      <w:r w:rsidRPr="006E5A00">
        <w:rPr>
          <w:lang w:val="en-US"/>
        </w:rPr>
        <w:t xml:space="preserve"> We have been fortunate to find monthly retail price data registered by the Bilbao municipality and published in their monthly bulletin.</w:t>
      </w:r>
      <w:r w:rsidRPr="006E5A00">
        <w:rPr>
          <w:rStyle w:val="FootnoteReference"/>
        </w:rPr>
        <w:footnoteReference w:id="13"/>
      </w:r>
      <w:r w:rsidRPr="006E5A00">
        <w:rPr>
          <w:lang w:val="en-US"/>
        </w:rPr>
        <w:t xml:space="preserve"> Ballesteros’ second principle for her calculations of the Spanish CPI was to choose products which remain homogeneous over time, this is to avoid concerns about quality and composition changes in the </w:t>
      </w:r>
      <w:r w:rsidR="004E55C9" w:rsidRPr="006E5A00">
        <w:rPr>
          <w:lang w:val="en-US"/>
        </w:rPr>
        <w:t>consumer</w:t>
      </w:r>
      <w:r w:rsidRPr="006E5A00">
        <w:rPr>
          <w:lang w:val="en-US"/>
        </w:rPr>
        <w:t xml:space="preserve"> goods. Most of the goods we have included have little margin for quality change over time or contain a seal of precedence (such as stockfish from Iceland, chickpeas from Castile, etc.).</w:t>
      </w:r>
    </w:p>
    <w:p w14:paraId="6537076D" w14:textId="77777777" w:rsidR="000E1D11" w:rsidRPr="006E5A00" w:rsidRDefault="000E1D11" w:rsidP="000E1D11">
      <w:pPr>
        <w:autoSpaceDE w:val="0"/>
        <w:autoSpaceDN w:val="0"/>
        <w:adjustRightInd w:val="0"/>
        <w:ind w:firstLine="340"/>
        <w:jc w:val="both"/>
        <w:rPr>
          <w:lang w:val="en-US"/>
        </w:rPr>
      </w:pPr>
      <w:r w:rsidRPr="006E5A00">
        <w:rPr>
          <w:lang w:val="en-US"/>
        </w:rPr>
        <w:t>A major concern has always been the choice of goods to include in the consumer bundle in order to reflect consumer preferences and habits adjusted to family budgets. We know from Ballesteros for nineteenth century Spain, that there was a limited list of commodities consumed by the average Spaniard: bread, potatoes, legumes, lard, oil and very little meat. Wine and brandy were the main energy complements. Most authors coincide that about 70 % of worker family budgets was spent on nutrition (Reher and Ballesteros, 1993; Fusi, 1975: 37; Pérez Castroviejo, 2006). The remaining 30 % of the budget has been allocated to housing, clothing and other expenses. We also know that during the first third of the century Spaniards added new products such as milk, beans, stockfish, eggs, sugar and coffee to their diets (</w:t>
      </w:r>
      <w:r w:rsidRPr="006E5A00">
        <w:t>Simpson, 1989</w:t>
      </w:r>
      <w:r w:rsidR="00E13474" w:rsidRPr="006E5A00">
        <w:t>;</w:t>
      </w:r>
      <w:r w:rsidRPr="006E5A00">
        <w:t xml:space="preserve"> Cussó, 2010</w:t>
      </w:r>
      <w:r w:rsidR="00E13474" w:rsidRPr="006E5A00">
        <w:t>; and González de Molina et al., 2014</w:t>
      </w:r>
      <w:r w:rsidRPr="006E5A00">
        <w:t>)</w:t>
      </w:r>
      <w:r w:rsidRPr="006E5A00">
        <w:rPr>
          <w:lang w:val="en-US"/>
        </w:rPr>
        <w:t>. We have made an effort at including these changes in the composition of the bundle over time. Compared to previous studies, our bundle also includes a higher than average consumption of legumes and a lower than average consumption of potatoes. The amounts we have chosen of both commodities better reflect their real weight in Biscayan diets, and in terms of calories these differences compensate each other out.</w:t>
      </w:r>
      <w:r w:rsidRPr="006E5A00">
        <w:rPr>
          <w:rStyle w:val="FootnoteReference"/>
        </w:rPr>
        <w:footnoteReference w:id="14"/>
      </w:r>
      <w:r w:rsidRPr="006E5A00">
        <w:rPr>
          <w:lang w:val="en-US"/>
        </w:rPr>
        <w:t xml:space="preserve"> </w:t>
      </w:r>
    </w:p>
    <w:p w14:paraId="0B24BF76" w14:textId="77777777" w:rsidR="00A57AD9" w:rsidRPr="006E5A00" w:rsidRDefault="00A57AD9" w:rsidP="00A57AD9">
      <w:pPr>
        <w:autoSpaceDE w:val="0"/>
        <w:autoSpaceDN w:val="0"/>
        <w:adjustRightInd w:val="0"/>
        <w:ind w:firstLine="340"/>
        <w:jc w:val="both"/>
        <w:rPr>
          <w:lang w:val="en-US"/>
        </w:rPr>
      </w:pPr>
      <w:r w:rsidRPr="006E5A00">
        <w:rPr>
          <w:lang w:val="en-US"/>
        </w:rPr>
        <w:t>Given that we are examining a limited geographical space which witnessed very rapid change in economic and social structure over a period of sixty years (1876-1936), we have addressed the new goods bias directly by introducing these products as they appear in average family consumption. Substitution bias has been contrasted with a sensitivity test which compares our cost of the bundle to a charity organization’s cost. We assume charities have privileged access to any possible cheap substitution and their long-term contracts and storage capacity smooth out price shocks. They definitely help us mark a lower bound. These adjustments make no difference in the significance of our vulnerability contrasts. This comes to say that the results we obtain are driven by the overall interaction of prices and nominal wages and not by possible price bias in the composition of the family food basket</w:t>
      </w:r>
      <w:r>
        <w:rPr>
          <w:lang w:val="en-US"/>
        </w:rPr>
        <w:t>.</w:t>
      </w:r>
    </w:p>
    <w:p w14:paraId="1BD1C3B2" w14:textId="77777777" w:rsidR="00A57AD9" w:rsidRPr="006E5A00" w:rsidRDefault="00A57AD9" w:rsidP="00A57AD9">
      <w:pPr>
        <w:autoSpaceDE w:val="0"/>
        <w:autoSpaceDN w:val="0"/>
        <w:adjustRightInd w:val="0"/>
        <w:ind w:firstLine="340"/>
        <w:jc w:val="both"/>
        <w:rPr>
          <w:lang w:val="en-US"/>
        </w:rPr>
      </w:pPr>
      <w:r w:rsidRPr="006E5A00">
        <w:rPr>
          <w:lang w:val="en-US"/>
        </w:rPr>
        <w:t>In the period we examine, we have assumed the average work effort in terms of calorie requirements to remain constant.</w:t>
      </w:r>
      <w:r w:rsidRPr="006E5A00">
        <w:rPr>
          <w:rStyle w:val="FootnoteReference"/>
          <w:lang w:val="en-US"/>
        </w:rPr>
        <w:footnoteReference w:id="15"/>
      </w:r>
      <w:r w:rsidRPr="006E5A00">
        <w:rPr>
          <w:lang w:val="en-US"/>
        </w:rPr>
        <w:t xml:space="preserve"> Therefore, when altering the weights of different products in the bundle, we have kept energy content in nutrition stable. Our point of departure has been to calibrate three food bundle benchmarks which provide the same amount of calories required by an average family over the time period, but at the same time the difference in their composition reflect changes in diet and preferences.</w:t>
      </w:r>
      <w:r w:rsidRPr="006E5A00">
        <w:rPr>
          <w:rStyle w:val="FootnoteReference"/>
        </w:rPr>
        <w:footnoteReference w:id="16"/>
      </w:r>
      <w:r w:rsidRPr="006E5A00">
        <w:rPr>
          <w:lang w:val="en-US"/>
        </w:rPr>
        <w:t xml:space="preserve"> The first bundle for 1894 reflects a diet based on menus taken from Pérez Castroviejo </w:t>
      </w:r>
      <w:r w:rsidRPr="006E5A00">
        <w:rPr>
          <w:i/>
          <w:lang w:val="en-US"/>
        </w:rPr>
        <w:t>et al</w:t>
      </w:r>
      <w:r w:rsidRPr="006E5A00">
        <w:rPr>
          <w:lang w:val="en-US"/>
        </w:rPr>
        <w:t>. (1996) for a Bilbao poorhouse and family consumption patterns observed by working-class newspapers and labour inspectors.</w:t>
      </w:r>
      <w:r w:rsidRPr="006E5A00">
        <w:rPr>
          <w:rStyle w:val="FootnoteReference"/>
        </w:rPr>
        <w:footnoteReference w:id="17"/>
      </w:r>
      <w:r w:rsidRPr="006E5A00">
        <w:rPr>
          <w:lang w:val="en-US"/>
        </w:rPr>
        <w:t xml:space="preserve"> It has a high-carbohydrate content, proteins are provided mainly by stockfish and lard, and the food diet is complemented by abundant wine consumption. </w:t>
      </w:r>
    </w:p>
    <w:p w14:paraId="594D557C" w14:textId="77777777" w:rsidR="000870B9" w:rsidRPr="006E5A00" w:rsidRDefault="00973E10" w:rsidP="00973E10">
      <w:pPr>
        <w:autoSpaceDE w:val="0"/>
        <w:autoSpaceDN w:val="0"/>
        <w:adjustRightInd w:val="0"/>
        <w:ind w:firstLine="340"/>
        <w:jc w:val="both"/>
        <w:rPr>
          <w:lang w:val="en-US"/>
        </w:rPr>
      </w:pPr>
      <w:r w:rsidRPr="006E5A00">
        <w:rPr>
          <w:lang w:val="en-US"/>
        </w:rPr>
        <w:t>The bundle for 1914 reflects important changes in the preferences and products available to average consumers: carbohydrates, lard, stockfish and wine (</w:t>
      </w:r>
      <w:r w:rsidR="0000545C" w:rsidRPr="006E5A00">
        <w:rPr>
          <w:lang w:val="en-US"/>
        </w:rPr>
        <w:t xml:space="preserve">which we may consider </w:t>
      </w:r>
      <w:r w:rsidRPr="006E5A00">
        <w:rPr>
          <w:lang w:val="en-US"/>
        </w:rPr>
        <w:t>inferior products) are replaced with higher quantities of meat, fresh fish, eggs, milk, oil and sugar. Weights are based on school budgets, school menus, family diets and have been contrasted with hospital food accounting.</w:t>
      </w:r>
      <w:r w:rsidRPr="006E5A00">
        <w:rPr>
          <w:rStyle w:val="FootnoteReference"/>
        </w:rPr>
        <w:footnoteReference w:id="18"/>
      </w:r>
      <w:r w:rsidRPr="006E5A00">
        <w:rPr>
          <w:lang w:val="en-US"/>
        </w:rPr>
        <w:t xml:space="preserve"> </w:t>
      </w:r>
      <w:r w:rsidR="00F930DF" w:rsidRPr="006E5A00">
        <w:rPr>
          <w:lang w:val="en-US"/>
        </w:rPr>
        <w:t xml:space="preserve">Six detailed school menus from 1914/15 taken from Bilbao school canteens have been contrasted with spending records in the Bilbao Basurto hospital for 1915, 1916 and 1924 to calibrate the food basket. Following Medina-Abaladejo and Calatayud (2020) in that patients during that time period are prone to be from the more disadvantaged classes of society, we assume that hospital </w:t>
      </w:r>
      <w:r w:rsidR="002102B7" w:rsidRPr="006E5A00">
        <w:rPr>
          <w:lang w:val="en-US"/>
        </w:rPr>
        <w:t>spending on food</w:t>
      </w:r>
      <w:r w:rsidR="00F930DF" w:rsidRPr="006E5A00">
        <w:rPr>
          <w:lang w:val="en-US"/>
        </w:rPr>
        <w:t xml:space="preserve"> can be regarded as similar to that normally taken by workers.</w:t>
      </w:r>
      <w:r w:rsidR="002A3A55" w:rsidRPr="006E5A00">
        <w:rPr>
          <w:lang w:val="en-US"/>
        </w:rPr>
        <w:t xml:space="preserve"> </w:t>
      </w:r>
      <w:r w:rsidR="002F54EB" w:rsidRPr="006E5A00">
        <w:rPr>
          <w:lang w:val="en-US"/>
        </w:rPr>
        <w:t>Over half the workers living in the Bilbao municipality were unskilled labourers and they and their families were the greater part of the patients at the Basurto hospital around 1914 (González Portilla 1995: 297).</w:t>
      </w:r>
      <w:r w:rsidR="00F930DF" w:rsidRPr="006E5A00">
        <w:rPr>
          <w:lang w:val="en-US"/>
        </w:rPr>
        <w:t xml:space="preserve">   </w:t>
      </w:r>
    </w:p>
    <w:p w14:paraId="06D55D60" w14:textId="77777777" w:rsidR="00973E10" w:rsidRPr="006E5A00" w:rsidRDefault="00973E10" w:rsidP="00973E10">
      <w:pPr>
        <w:autoSpaceDE w:val="0"/>
        <w:autoSpaceDN w:val="0"/>
        <w:adjustRightInd w:val="0"/>
        <w:ind w:firstLine="340"/>
        <w:jc w:val="both"/>
        <w:rPr>
          <w:lang w:val="en-US"/>
        </w:rPr>
      </w:pPr>
      <w:r w:rsidRPr="006E5A00">
        <w:rPr>
          <w:lang w:val="en-US"/>
        </w:rPr>
        <w:t>For the 1934 bundle we have maintained these substitution trends in the changing consumer preferences but at decelerating rates. In a second step we have interpolated the weights linearly month-by-month between the three benchmark bundles. This gradual shift in the composition of the food basket maintaining calorie content at the same level corrects for some of the bias introduced by substitution and changes in preferences over time. As a reminder, we assume that quality of products remains constant over the period. We add house rent for a working-class family accommodation and the cost of heating and cooking coal. An exception to the assumption of constant quality may be housing, which improved throughout the period examined.</w:t>
      </w:r>
      <w:r w:rsidRPr="006E5A00">
        <w:rPr>
          <w:rStyle w:val="FootnoteReference"/>
        </w:rPr>
        <w:footnoteReference w:id="19"/>
      </w:r>
      <w:r w:rsidRPr="006E5A00">
        <w:rPr>
          <w:lang w:val="en-US"/>
        </w:rPr>
        <w:t xml:space="preserve"> But excess demand maintained housing prices high and the </w:t>
      </w:r>
      <w:r w:rsidR="003E4A76" w:rsidRPr="006E5A00">
        <w:rPr>
          <w:lang w:val="en-US"/>
        </w:rPr>
        <w:t xml:space="preserve">changes in </w:t>
      </w:r>
      <w:r w:rsidRPr="006E5A00">
        <w:rPr>
          <w:lang w:val="en-US"/>
        </w:rPr>
        <w:t xml:space="preserve">rents registered by the Bilbao municipality show a similar trend as food prices. Table </w:t>
      </w:r>
      <w:r w:rsidR="002961C7">
        <w:rPr>
          <w:lang w:val="en-US"/>
        </w:rPr>
        <w:t>C</w:t>
      </w:r>
      <w:r w:rsidRPr="006E5A00">
        <w:rPr>
          <w:lang w:val="en-US"/>
        </w:rPr>
        <w:t xml:space="preserve"> below shows the benchmark food bundles for 1894, 1914 and 1934. </w:t>
      </w:r>
    </w:p>
    <w:p w14:paraId="426BF1DC" w14:textId="77777777" w:rsidR="007720EF" w:rsidRPr="006E5A00" w:rsidRDefault="007720EF" w:rsidP="002F116A">
      <w:pPr>
        <w:autoSpaceDE w:val="0"/>
        <w:autoSpaceDN w:val="0"/>
        <w:adjustRightInd w:val="0"/>
        <w:jc w:val="both"/>
        <w:rPr>
          <w:lang w:val="en-US"/>
        </w:rPr>
      </w:pPr>
    </w:p>
    <w:p w14:paraId="422A516D" w14:textId="77777777" w:rsidR="007C3584" w:rsidRPr="007C3584" w:rsidRDefault="007C3584" w:rsidP="007C3584">
      <w:pPr>
        <w:autoSpaceDE w:val="0"/>
        <w:autoSpaceDN w:val="0"/>
        <w:adjustRightInd w:val="0"/>
        <w:jc w:val="center"/>
        <w:rPr>
          <w:lang w:val="en-US"/>
        </w:rPr>
      </w:pPr>
      <w:r w:rsidRPr="007C3584">
        <w:rPr>
          <w:lang w:val="en-US"/>
        </w:rPr>
        <w:t xml:space="preserve">TABLE </w:t>
      </w:r>
      <w:r w:rsidR="00CC285B" w:rsidRPr="007C3584">
        <w:rPr>
          <w:lang w:val="en-US"/>
        </w:rPr>
        <w:t>C</w:t>
      </w:r>
    </w:p>
    <w:p w14:paraId="6C828787" w14:textId="77777777" w:rsidR="002F116A" w:rsidRPr="007C3584" w:rsidRDefault="002F116A" w:rsidP="006813B8">
      <w:pPr>
        <w:autoSpaceDE w:val="0"/>
        <w:autoSpaceDN w:val="0"/>
        <w:adjustRightInd w:val="0"/>
        <w:spacing w:after="240"/>
        <w:jc w:val="center"/>
        <w:rPr>
          <w:lang w:val="en-US"/>
        </w:rPr>
      </w:pPr>
      <w:r w:rsidRPr="007C3584">
        <w:rPr>
          <w:lang w:val="en-US"/>
        </w:rPr>
        <w:t>Food commodity bundles for a 5-member nuclear blast-furnace worker family</w:t>
      </w:r>
    </w:p>
    <w:tbl>
      <w:tblPr>
        <w:tblW w:w="8952" w:type="dxa"/>
        <w:jc w:val="center"/>
        <w:tblBorders>
          <w:top w:val="single" w:sz="8" w:space="0" w:color="000000"/>
          <w:bottom w:val="single" w:sz="8" w:space="0" w:color="000000"/>
        </w:tblBorders>
        <w:tblLook w:val="0000" w:firstRow="0" w:lastRow="0" w:firstColumn="0" w:lastColumn="0" w:noHBand="0" w:noVBand="0"/>
      </w:tblPr>
      <w:tblGrid>
        <w:gridCol w:w="2376"/>
        <w:gridCol w:w="1091"/>
        <w:gridCol w:w="885"/>
        <w:gridCol w:w="885"/>
        <w:gridCol w:w="885"/>
        <w:gridCol w:w="772"/>
        <w:gridCol w:w="87"/>
        <w:gridCol w:w="2181"/>
      </w:tblGrid>
      <w:tr w:rsidR="002F116A" w:rsidRPr="006E5A00" w14:paraId="1017B9A2" w14:textId="77777777" w:rsidTr="007C3584">
        <w:trPr>
          <w:trHeight w:val="255"/>
          <w:jc w:val="center"/>
        </w:trPr>
        <w:tc>
          <w:tcPr>
            <w:tcW w:w="2376" w:type="dxa"/>
            <w:tcBorders>
              <w:top w:val="single" w:sz="8" w:space="0" w:color="000000"/>
              <w:bottom w:val="single" w:sz="4" w:space="0" w:color="000000"/>
            </w:tcBorders>
            <w:shd w:val="clear" w:color="auto" w:fill="auto"/>
            <w:noWrap/>
            <w:vAlign w:val="center"/>
          </w:tcPr>
          <w:p w14:paraId="66964A70" w14:textId="77777777" w:rsidR="002F116A" w:rsidRPr="006E5A00" w:rsidRDefault="002F116A" w:rsidP="002F116A">
            <w:pPr>
              <w:spacing w:before="60"/>
              <w:rPr>
                <w:rFonts w:cs="Arial"/>
              </w:rPr>
            </w:pPr>
          </w:p>
        </w:tc>
        <w:tc>
          <w:tcPr>
            <w:tcW w:w="993" w:type="dxa"/>
            <w:tcBorders>
              <w:top w:val="single" w:sz="8" w:space="0" w:color="000000"/>
              <w:bottom w:val="single" w:sz="4" w:space="0" w:color="000000"/>
            </w:tcBorders>
            <w:shd w:val="clear" w:color="auto" w:fill="auto"/>
            <w:noWrap/>
            <w:vAlign w:val="center"/>
          </w:tcPr>
          <w:p w14:paraId="2EB2A965" w14:textId="77777777" w:rsidR="002F116A" w:rsidRPr="006E5A00" w:rsidRDefault="002F116A" w:rsidP="002F116A">
            <w:pPr>
              <w:jc w:val="both"/>
              <w:rPr>
                <w:rFonts w:cs="Arial"/>
              </w:rPr>
            </w:pPr>
            <w:r w:rsidRPr="006E5A00">
              <w:rPr>
                <w:rFonts w:cs="Arial"/>
              </w:rPr>
              <w:t>Kcalories</w:t>
            </w:r>
          </w:p>
          <w:p w14:paraId="17194117" w14:textId="77777777" w:rsidR="002F116A" w:rsidRPr="006E5A00" w:rsidRDefault="002F116A" w:rsidP="002F116A">
            <w:pPr>
              <w:jc w:val="both"/>
              <w:rPr>
                <w:rFonts w:cs="Arial"/>
              </w:rPr>
            </w:pPr>
            <w:r w:rsidRPr="006E5A00">
              <w:rPr>
                <w:rFonts w:cs="Arial"/>
              </w:rPr>
              <w:t>per Kg/l</w:t>
            </w:r>
          </w:p>
        </w:tc>
        <w:tc>
          <w:tcPr>
            <w:tcW w:w="885" w:type="dxa"/>
            <w:tcBorders>
              <w:top w:val="single" w:sz="8" w:space="0" w:color="000000"/>
              <w:bottom w:val="single" w:sz="4" w:space="0" w:color="000000"/>
            </w:tcBorders>
            <w:shd w:val="clear" w:color="auto" w:fill="auto"/>
            <w:noWrap/>
            <w:vAlign w:val="center"/>
          </w:tcPr>
          <w:p w14:paraId="3EE2C814" w14:textId="77777777" w:rsidR="002F116A" w:rsidRPr="006E5A00" w:rsidRDefault="002F116A" w:rsidP="002F116A">
            <w:pPr>
              <w:jc w:val="right"/>
              <w:rPr>
                <w:rFonts w:cs="Arial"/>
              </w:rPr>
            </w:pPr>
            <w:r w:rsidRPr="006E5A00">
              <w:rPr>
                <w:rFonts w:cs="Arial"/>
              </w:rPr>
              <w:t>1894</w:t>
            </w:r>
          </w:p>
          <w:p w14:paraId="1D226E00" w14:textId="77777777" w:rsidR="002F116A" w:rsidRPr="006E5A00" w:rsidRDefault="002F116A" w:rsidP="002F116A">
            <w:pPr>
              <w:jc w:val="right"/>
              <w:rPr>
                <w:rFonts w:cs="Arial"/>
              </w:rPr>
            </w:pPr>
            <w:r w:rsidRPr="006E5A00">
              <w:rPr>
                <w:rFonts w:cs="Arial"/>
              </w:rPr>
              <w:t>Kg/l</w:t>
            </w:r>
          </w:p>
        </w:tc>
        <w:tc>
          <w:tcPr>
            <w:tcW w:w="885" w:type="dxa"/>
            <w:tcBorders>
              <w:top w:val="single" w:sz="8" w:space="0" w:color="000000"/>
              <w:bottom w:val="single" w:sz="4" w:space="0" w:color="000000"/>
            </w:tcBorders>
            <w:shd w:val="clear" w:color="auto" w:fill="auto"/>
            <w:noWrap/>
            <w:vAlign w:val="center"/>
          </w:tcPr>
          <w:p w14:paraId="4CE2BB75" w14:textId="77777777" w:rsidR="002F116A" w:rsidRPr="006E5A00" w:rsidRDefault="002F116A" w:rsidP="002F116A">
            <w:pPr>
              <w:jc w:val="right"/>
              <w:rPr>
                <w:rFonts w:cs="Arial"/>
              </w:rPr>
            </w:pPr>
            <w:r w:rsidRPr="006E5A00">
              <w:rPr>
                <w:rFonts w:cs="Arial"/>
              </w:rPr>
              <w:t>1914</w:t>
            </w:r>
          </w:p>
          <w:p w14:paraId="313E5FF5" w14:textId="77777777" w:rsidR="002F116A" w:rsidRPr="006E5A00" w:rsidRDefault="002F116A" w:rsidP="002F116A">
            <w:pPr>
              <w:jc w:val="right"/>
              <w:rPr>
                <w:rFonts w:cs="Arial"/>
              </w:rPr>
            </w:pPr>
            <w:r w:rsidRPr="006E5A00">
              <w:rPr>
                <w:rFonts w:cs="Arial"/>
              </w:rPr>
              <w:t>Kg/l</w:t>
            </w:r>
          </w:p>
        </w:tc>
        <w:tc>
          <w:tcPr>
            <w:tcW w:w="885" w:type="dxa"/>
            <w:tcBorders>
              <w:top w:val="single" w:sz="8" w:space="0" w:color="000000"/>
              <w:bottom w:val="single" w:sz="4" w:space="0" w:color="000000"/>
            </w:tcBorders>
            <w:shd w:val="clear" w:color="auto" w:fill="auto"/>
            <w:noWrap/>
            <w:vAlign w:val="center"/>
          </w:tcPr>
          <w:p w14:paraId="40F3F56C" w14:textId="77777777" w:rsidR="002F116A" w:rsidRPr="006E5A00" w:rsidRDefault="002F116A" w:rsidP="002F116A">
            <w:pPr>
              <w:jc w:val="right"/>
              <w:rPr>
                <w:rFonts w:cs="Arial"/>
              </w:rPr>
            </w:pPr>
            <w:r w:rsidRPr="006E5A00">
              <w:rPr>
                <w:rFonts w:cs="Arial"/>
              </w:rPr>
              <w:t>1934</w:t>
            </w:r>
          </w:p>
          <w:p w14:paraId="6A1B0BA5" w14:textId="77777777" w:rsidR="002F116A" w:rsidRPr="006E5A00" w:rsidRDefault="002F116A" w:rsidP="002F116A">
            <w:pPr>
              <w:jc w:val="right"/>
              <w:rPr>
                <w:rFonts w:cs="Arial"/>
              </w:rPr>
            </w:pPr>
            <w:r w:rsidRPr="006E5A00">
              <w:rPr>
                <w:rFonts w:cs="Arial"/>
              </w:rPr>
              <w:t>Kg/l</w:t>
            </w:r>
          </w:p>
        </w:tc>
        <w:tc>
          <w:tcPr>
            <w:tcW w:w="747" w:type="dxa"/>
            <w:gridSpan w:val="2"/>
            <w:tcBorders>
              <w:top w:val="single" w:sz="8" w:space="0" w:color="000000"/>
              <w:bottom w:val="single" w:sz="4" w:space="0" w:color="000000"/>
            </w:tcBorders>
            <w:shd w:val="clear" w:color="auto" w:fill="auto"/>
          </w:tcPr>
          <w:p w14:paraId="2A9AA9DC" w14:textId="77777777" w:rsidR="002F116A" w:rsidRPr="006E5A00" w:rsidRDefault="002F116A" w:rsidP="002F116A">
            <w:pPr>
              <w:jc w:val="center"/>
              <w:rPr>
                <w:rFonts w:cs="Arial"/>
              </w:rPr>
            </w:pPr>
            <w:r w:rsidRPr="006E5A00">
              <w:rPr>
                <w:rFonts w:cs="Arial"/>
              </w:rPr>
              <w:t>Above</w:t>
            </w:r>
          </w:p>
          <w:p w14:paraId="0A732C80" w14:textId="77777777" w:rsidR="002F116A" w:rsidRPr="006E5A00" w:rsidRDefault="002F116A" w:rsidP="002F116A">
            <w:pPr>
              <w:jc w:val="center"/>
              <w:rPr>
                <w:rFonts w:cs="Arial"/>
              </w:rPr>
            </w:pPr>
            <w:r w:rsidRPr="006E5A00">
              <w:rPr>
                <w:rFonts w:cs="Arial"/>
              </w:rPr>
              <w:t>Below</w:t>
            </w:r>
          </w:p>
        </w:tc>
        <w:tc>
          <w:tcPr>
            <w:tcW w:w="2181" w:type="dxa"/>
            <w:tcBorders>
              <w:top w:val="single" w:sz="8" w:space="0" w:color="000000"/>
              <w:bottom w:val="single" w:sz="4" w:space="0" w:color="000000"/>
            </w:tcBorders>
            <w:shd w:val="clear" w:color="auto" w:fill="auto"/>
            <w:noWrap/>
            <w:vAlign w:val="center"/>
          </w:tcPr>
          <w:p w14:paraId="7F7EDA3A" w14:textId="77777777" w:rsidR="002F116A" w:rsidRPr="006E5A00" w:rsidRDefault="002F116A" w:rsidP="002F116A">
            <w:pPr>
              <w:jc w:val="center"/>
              <w:rPr>
                <w:rFonts w:cs="Arial"/>
              </w:rPr>
            </w:pPr>
            <w:r w:rsidRPr="006E5A00">
              <w:rPr>
                <w:rFonts w:cs="Arial"/>
              </w:rPr>
              <w:t>Average 1930</w:t>
            </w:r>
          </w:p>
          <w:p w14:paraId="4086D7F5" w14:textId="77777777" w:rsidR="002F116A" w:rsidRPr="006E5A00" w:rsidRDefault="002F116A" w:rsidP="002F116A">
            <w:pPr>
              <w:jc w:val="center"/>
              <w:rPr>
                <w:rFonts w:cs="Arial"/>
              </w:rPr>
            </w:pPr>
            <w:r w:rsidRPr="006E5A00">
              <w:rPr>
                <w:rFonts w:cs="Arial"/>
              </w:rPr>
              <w:t>consumption Spain</w:t>
            </w:r>
          </w:p>
        </w:tc>
      </w:tr>
      <w:tr w:rsidR="002F116A" w:rsidRPr="006E5A00" w14:paraId="372F84FA" w14:textId="77777777" w:rsidTr="007C3584">
        <w:trPr>
          <w:trHeight w:val="255"/>
          <w:jc w:val="center"/>
        </w:trPr>
        <w:tc>
          <w:tcPr>
            <w:tcW w:w="2376" w:type="dxa"/>
            <w:tcBorders>
              <w:top w:val="single" w:sz="4" w:space="0" w:color="000000"/>
            </w:tcBorders>
            <w:shd w:val="clear" w:color="auto" w:fill="auto"/>
            <w:noWrap/>
          </w:tcPr>
          <w:p w14:paraId="79393757" w14:textId="77777777" w:rsidR="002F116A" w:rsidRPr="006E5A00" w:rsidRDefault="002F116A" w:rsidP="002F116A">
            <w:pPr>
              <w:rPr>
                <w:rFonts w:cs="Arial"/>
                <w:b/>
                <w:sz w:val="22"/>
                <w:szCs w:val="22"/>
              </w:rPr>
            </w:pPr>
            <w:r w:rsidRPr="006E5A00">
              <w:rPr>
                <w:rFonts w:cs="Arial"/>
                <w:b/>
                <w:sz w:val="22"/>
                <w:szCs w:val="22"/>
              </w:rPr>
              <w:t>Bread</w:t>
            </w:r>
          </w:p>
        </w:tc>
        <w:tc>
          <w:tcPr>
            <w:tcW w:w="993" w:type="dxa"/>
            <w:tcBorders>
              <w:top w:val="single" w:sz="4" w:space="0" w:color="000000"/>
            </w:tcBorders>
            <w:shd w:val="clear" w:color="auto" w:fill="auto"/>
            <w:noWrap/>
          </w:tcPr>
          <w:p w14:paraId="230D0D5A" w14:textId="77777777" w:rsidR="002F116A" w:rsidRPr="006E5A00" w:rsidRDefault="002F116A" w:rsidP="002F116A">
            <w:pPr>
              <w:jc w:val="right"/>
              <w:rPr>
                <w:rFonts w:cs="Arial"/>
                <w:sz w:val="22"/>
                <w:szCs w:val="22"/>
              </w:rPr>
            </w:pPr>
            <w:r w:rsidRPr="006E5A00">
              <w:rPr>
                <w:rFonts w:cs="Arial"/>
                <w:sz w:val="22"/>
                <w:szCs w:val="22"/>
              </w:rPr>
              <w:t>2,660</w:t>
            </w:r>
          </w:p>
        </w:tc>
        <w:tc>
          <w:tcPr>
            <w:tcW w:w="885" w:type="dxa"/>
            <w:tcBorders>
              <w:top w:val="single" w:sz="4" w:space="0" w:color="000000"/>
            </w:tcBorders>
            <w:shd w:val="clear" w:color="auto" w:fill="auto"/>
            <w:noWrap/>
          </w:tcPr>
          <w:p w14:paraId="46C5FC34" w14:textId="77777777" w:rsidR="002F116A" w:rsidRPr="006E5A00" w:rsidRDefault="002F116A" w:rsidP="002F116A">
            <w:pPr>
              <w:jc w:val="right"/>
              <w:rPr>
                <w:rFonts w:cs="Arial"/>
                <w:sz w:val="22"/>
                <w:szCs w:val="22"/>
              </w:rPr>
            </w:pPr>
            <w:r w:rsidRPr="006E5A00">
              <w:rPr>
                <w:rFonts w:cs="Arial"/>
                <w:sz w:val="22"/>
                <w:szCs w:val="22"/>
              </w:rPr>
              <w:t>2.00</w:t>
            </w:r>
          </w:p>
        </w:tc>
        <w:tc>
          <w:tcPr>
            <w:tcW w:w="885" w:type="dxa"/>
            <w:tcBorders>
              <w:top w:val="single" w:sz="4" w:space="0" w:color="000000"/>
            </w:tcBorders>
            <w:shd w:val="clear" w:color="auto" w:fill="auto"/>
            <w:noWrap/>
          </w:tcPr>
          <w:p w14:paraId="34692DCF" w14:textId="77777777" w:rsidR="002F116A" w:rsidRPr="006E5A00" w:rsidRDefault="002F116A" w:rsidP="002F116A">
            <w:pPr>
              <w:jc w:val="right"/>
              <w:rPr>
                <w:rFonts w:cs="Arial"/>
                <w:sz w:val="22"/>
                <w:szCs w:val="22"/>
              </w:rPr>
            </w:pPr>
            <w:r w:rsidRPr="006E5A00">
              <w:rPr>
                <w:rFonts w:cs="Arial"/>
                <w:sz w:val="22"/>
                <w:szCs w:val="22"/>
              </w:rPr>
              <w:t>1.75</w:t>
            </w:r>
          </w:p>
        </w:tc>
        <w:tc>
          <w:tcPr>
            <w:tcW w:w="885" w:type="dxa"/>
            <w:tcBorders>
              <w:top w:val="single" w:sz="4" w:space="0" w:color="000000"/>
            </w:tcBorders>
            <w:shd w:val="clear" w:color="auto" w:fill="auto"/>
            <w:noWrap/>
          </w:tcPr>
          <w:p w14:paraId="420F2CA6" w14:textId="77777777" w:rsidR="002F116A" w:rsidRPr="006E5A00" w:rsidRDefault="002F116A" w:rsidP="002F116A">
            <w:pPr>
              <w:jc w:val="right"/>
              <w:rPr>
                <w:rFonts w:cs="Arial"/>
                <w:sz w:val="22"/>
                <w:szCs w:val="22"/>
              </w:rPr>
            </w:pPr>
            <w:r w:rsidRPr="006E5A00">
              <w:rPr>
                <w:rFonts w:cs="Arial"/>
                <w:sz w:val="22"/>
                <w:szCs w:val="22"/>
              </w:rPr>
              <w:t>1.50</w:t>
            </w:r>
          </w:p>
        </w:tc>
        <w:tc>
          <w:tcPr>
            <w:tcW w:w="660" w:type="dxa"/>
            <w:tcBorders>
              <w:top w:val="single" w:sz="4" w:space="0" w:color="000000"/>
            </w:tcBorders>
            <w:shd w:val="clear" w:color="auto" w:fill="auto"/>
          </w:tcPr>
          <w:p w14:paraId="5B30BCF6"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4"/>
            </w:r>
          </w:p>
        </w:tc>
        <w:tc>
          <w:tcPr>
            <w:tcW w:w="2268" w:type="dxa"/>
            <w:gridSpan w:val="2"/>
            <w:tcBorders>
              <w:top w:val="single" w:sz="4" w:space="0" w:color="000000"/>
            </w:tcBorders>
            <w:shd w:val="clear" w:color="auto" w:fill="auto"/>
            <w:noWrap/>
            <w:vAlign w:val="bottom"/>
          </w:tcPr>
          <w:p w14:paraId="77CE0F57"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1.72</w:t>
            </w:r>
          </w:p>
        </w:tc>
      </w:tr>
      <w:tr w:rsidR="002F116A" w:rsidRPr="006E5A00" w14:paraId="08BBC293" w14:textId="77777777" w:rsidTr="007C3584">
        <w:trPr>
          <w:trHeight w:val="255"/>
          <w:jc w:val="center"/>
        </w:trPr>
        <w:tc>
          <w:tcPr>
            <w:tcW w:w="2376" w:type="dxa"/>
            <w:shd w:val="clear" w:color="auto" w:fill="auto"/>
            <w:noWrap/>
          </w:tcPr>
          <w:p w14:paraId="350D34C7" w14:textId="77777777" w:rsidR="002F116A" w:rsidRPr="006E5A00" w:rsidRDefault="002F116A" w:rsidP="002F116A">
            <w:pPr>
              <w:rPr>
                <w:rFonts w:cs="Arial"/>
                <w:b/>
                <w:sz w:val="22"/>
                <w:szCs w:val="22"/>
              </w:rPr>
            </w:pPr>
            <w:r w:rsidRPr="006E5A00">
              <w:rPr>
                <w:rFonts w:cs="Arial"/>
                <w:b/>
                <w:sz w:val="22"/>
                <w:szCs w:val="22"/>
              </w:rPr>
              <w:t>Rice</w:t>
            </w:r>
          </w:p>
        </w:tc>
        <w:tc>
          <w:tcPr>
            <w:tcW w:w="993" w:type="dxa"/>
            <w:shd w:val="clear" w:color="auto" w:fill="auto"/>
            <w:noWrap/>
          </w:tcPr>
          <w:p w14:paraId="56AE747B" w14:textId="77777777" w:rsidR="002F116A" w:rsidRPr="006E5A00" w:rsidRDefault="002F116A" w:rsidP="002F116A">
            <w:pPr>
              <w:jc w:val="right"/>
              <w:rPr>
                <w:rFonts w:cs="Arial"/>
                <w:sz w:val="22"/>
                <w:szCs w:val="22"/>
              </w:rPr>
            </w:pPr>
            <w:r w:rsidRPr="006E5A00">
              <w:rPr>
                <w:rFonts w:cs="Arial"/>
                <w:sz w:val="22"/>
                <w:szCs w:val="22"/>
              </w:rPr>
              <w:t>3,600</w:t>
            </w:r>
          </w:p>
        </w:tc>
        <w:tc>
          <w:tcPr>
            <w:tcW w:w="885" w:type="dxa"/>
            <w:shd w:val="clear" w:color="auto" w:fill="auto"/>
            <w:noWrap/>
          </w:tcPr>
          <w:p w14:paraId="7DB789BE" w14:textId="77777777" w:rsidR="002F116A" w:rsidRPr="006E5A00" w:rsidRDefault="002F116A" w:rsidP="002F116A">
            <w:pPr>
              <w:jc w:val="right"/>
              <w:rPr>
                <w:rFonts w:cs="Arial"/>
                <w:sz w:val="22"/>
                <w:szCs w:val="22"/>
              </w:rPr>
            </w:pPr>
            <w:r w:rsidRPr="006E5A00">
              <w:rPr>
                <w:rFonts w:cs="Arial"/>
                <w:sz w:val="22"/>
                <w:szCs w:val="22"/>
              </w:rPr>
              <w:t>0.13</w:t>
            </w:r>
          </w:p>
        </w:tc>
        <w:tc>
          <w:tcPr>
            <w:tcW w:w="885" w:type="dxa"/>
            <w:shd w:val="clear" w:color="auto" w:fill="auto"/>
            <w:noWrap/>
          </w:tcPr>
          <w:p w14:paraId="052C2FEB" w14:textId="77777777" w:rsidR="002F116A" w:rsidRPr="006E5A00" w:rsidRDefault="002F116A" w:rsidP="002F116A">
            <w:pPr>
              <w:jc w:val="right"/>
              <w:rPr>
                <w:rFonts w:cs="Arial"/>
                <w:sz w:val="22"/>
                <w:szCs w:val="22"/>
              </w:rPr>
            </w:pPr>
            <w:r w:rsidRPr="006E5A00">
              <w:rPr>
                <w:rFonts w:cs="Arial"/>
                <w:sz w:val="22"/>
                <w:szCs w:val="22"/>
              </w:rPr>
              <w:t>0.11</w:t>
            </w:r>
          </w:p>
        </w:tc>
        <w:tc>
          <w:tcPr>
            <w:tcW w:w="885" w:type="dxa"/>
            <w:shd w:val="clear" w:color="auto" w:fill="auto"/>
            <w:noWrap/>
          </w:tcPr>
          <w:p w14:paraId="0B370172" w14:textId="77777777" w:rsidR="002F116A" w:rsidRPr="006E5A00" w:rsidRDefault="002F116A" w:rsidP="002F116A">
            <w:pPr>
              <w:jc w:val="right"/>
              <w:rPr>
                <w:rFonts w:cs="Arial"/>
                <w:sz w:val="22"/>
                <w:szCs w:val="22"/>
              </w:rPr>
            </w:pPr>
            <w:r w:rsidRPr="006E5A00">
              <w:rPr>
                <w:rFonts w:cs="Arial"/>
                <w:sz w:val="22"/>
                <w:szCs w:val="22"/>
              </w:rPr>
              <w:t>0.09</w:t>
            </w:r>
          </w:p>
        </w:tc>
        <w:tc>
          <w:tcPr>
            <w:tcW w:w="660" w:type="dxa"/>
            <w:shd w:val="clear" w:color="auto" w:fill="auto"/>
          </w:tcPr>
          <w:p w14:paraId="583F394C"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4"/>
            </w:r>
          </w:p>
        </w:tc>
        <w:tc>
          <w:tcPr>
            <w:tcW w:w="2268" w:type="dxa"/>
            <w:gridSpan w:val="2"/>
            <w:shd w:val="clear" w:color="auto" w:fill="auto"/>
            <w:noWrap/>
            <w:vAlign w:val="bottom"/>
          </w:tcPr>
          <w:p w14:paraId="0C85EC02"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0.12</w:t>
            </w:r>
          </w:p>
        </w:tc>
      </w:tr>
      <w:tr w:rsidR="002F116A" w:rsidRPr="006E5A00" w14:paraId="121D97B5" w14:textId="77777777" w:rsidTr="007C3584">
        <w:trPr>
          <w:trHeight w:val="255"/>
          <w:jc w:val="center"/>
        </w:trPr>
        <w:tc>
          <w:tcPr>
            <w:tcW w:w="2376" w:type="dxa"/>
            <w:shd w:val="clear" w:color="auto" w:fill="auto"/>
            <w:noWrap/>
          </w:tcPr>
          <w:p w14:paraId="26243D92" w14:textId="77777777" w:rsidR="002F116A" w:rsidRPr="006E5A00" w:rsidRDefault="002F116A" w:rsidP="002F116A">
            <w:pPr>
              <w:rPr>
                <w:rFonts w:cs="Arial"/>
                <w:b/>
                <w:sz w:val="22"/>
                <w:szCs w:val="22"/>
              </w:rPr>
            </w:pPr>
            <w:r w:rsidRPr="006E5A00">
              <w:rPr>
                <w:rFonts w:cs="Arial"/>
                <w:b/>
                <w:sz w:val="22"/>
                <w:szCs w:val="22"/>
              </w:rPr>
              <w:t>Beans and Chickpeas</w:t>
            </w:r>
          </w:p>
        </w:tc>
        <w:tc>
          <w:tcPr>
            <w:tcW w:w="993" w:type="dxa"/>
            <w:shd w:val="clear" w:color="auto" w:fill="auto"/>
            <w:noWrap/>
          </w:tcPr>
          <w:p w14:paraId="575ADE68" w14:textId="77777777" w:rsidR="002F116A" w:rsidRPr="006E5A00" w:rsidRDefault="002F116A" w:rsidP="002F116A">
            <w:pPr>
              <w:jc w:val="right"/>
              <w:rPr>
                <w:rFonts w:cs="Arial"/>
                <w:sz w:val="22"/>
                <w:szCs w:val="22"/>
              </w:rPr>
            </w:pPr>
            <w:r w:rsidRPr="006E5A00">
              <w:rPr>
                <w:rFonts w:cs="Arial"/>
                <w:sz w:val="22"/>
                <w:szCs w:val="22"/>
              </w:rPr>
              <w:t>3,330</w:t>
            </w:r>
          </w:p>
        </w:tc>
        <w:tc>
          <w:tcPr>
            <w:tcW w:w="885" w:type="dxa"/>
            <w:shd w:val="clear" w:color="auto" w:fill="auto"/>
            <w:noWrap/>
          </w:tcPr>
          <w:p w14:paraId="541329DA" w14:textId="77777777" w:rsidR="002F116A" w:rsidRPr="006E5A00" w:rsidRDefault="002F116A" w:rsidP="002F116A">
            <w:pPr>
              <w:jc w:val="right"/>
              <w:rPr>
                <w:rFonts w:cs="Arial"/>
                <w:sz w:val="22"/>
                <w:szCs w:val="22"/>
              </w:rPr>
            </w:pPr>
            <w:r w:rsidRPr="006E5A00">
              <w:rPr>
                <w:rFonts w:cs="Arial"/>
                <w:sz w:val="22"/>
                <w:szCs w:val="22"/>
              </w:rPr>
              <w:t>0.70</w:t>
            </w:r>
          </w:p>
        </w:tc>
        <w:tc>
          <w:tcPr>
            <w:tcW w:w="885" w:type="dxa"/>
            <w:shd w:val="clear" w:color="auto" w:fill="auto"/>
            <w:noWrap/>
          </w:tcPr>
          <w:p w14:paraId="7E396383" w14:textId="77777777" w:rsidR="002F116A" w:rsidRPr="006E5A00" w:rsidRDefault="002F116A" w:rsidP="002F116A">
            <w:pPr>
              <w:jc w:val="right"/>
              <w:rPr>
                <w:rFonts w:cs="Arial"/>
                <w:sz w:val="22"/>
                <w:szCs w:val="22"/>
              </w:rPr>
            </w:pPr>
            <w:r w:rsidRPr="006E5A00">
              <w:rPr>
                <w:rFonts w:cs="Arial"/>
                <w:sz w:val="22"/>
                <w:szCs w:val="22"/>
              </w:rPr>
              <w:t>0.50</w:t>
            </w:r>
          </w:p>
        </w:tc>
        <w:tc>
          <w:tcPr>
            <w:tcW w:w="885" w:type="dxa"/>
            <w:shd w:val="clear" w:color="auto" w:fill="auto"/>
            <w:noWrap/>
          </w:tcPr>
          <w:p w14:paraId="7AAB9831" w14:textId="77777777" w:rsidR="002F116A" w:rsidRPr="006E5A00" w:rsidRDefault="002F116A" w:rsidP="002F116A">
            <w:pPr>
              <w:jc w:val="right"/>
              <w:rPr>
                <w:rFonts w:cs="Arial"/>
                <w:sz w:val="22"/>
                <w:szCs w:val="22"/>
              </w:rPr>
            </w:pPr>
            <w:r w:rsidRPr="006E5A00">
              <w:rPr>
                <w:rFonts w:cs="Arial"/>
                <w:sz w:val="22"/>
                <w:szCs w:val="22"/>
              </w:rPr>
              <w:t>0.45</w:t>
            </w:r>
          </w:p>
        </w:tc>
        <w:tc>
          <w:tcPr>
            <w:tcW w:w="660" w:type="dxa"/>
            <w:shd w:val="clear" w:color="auto" w:fill="auto"/>
          </w:tcPr>
          <w:p w14:paraId="23FA7688" w14:textId="77777777" w:rsidR="002F116A" w:rsidRPr="006E5A00" w:rsidRDefault="002F116A" w:rsidP="002F116A">
            <w:pPr>
              <w:jc w:val="center"/>
              <w:rPr>
                <w:rFonts w:cs="Arial"/>
                <w:sz w:val="22"/>
                <w:szCs w:val="22"/>
              </w:rPr>
            </w:pPr>
            <w:r w:rsidRPr="006E5A00">
              <w:rPr>
                <w:rFonts w:cs="Arial"/>
                <w:sz w:val="22"/>
                <w:szCs w:val="22"/>
              </w:rPr>
              <w:t>fn. 11</w:t>
            </w:r>
          </w:p>
        </w:tc>
        <w:tc>
          <w:tcPr>
            <w:tcW w:w="2268" w:type="dxa"/>
            <w:gridSpan w:val="2"/>
            <w:shd w:val="clear" w:color="auto" w:fill="auto"/>
            <w:noWrap/>
            <w:vAlign w:val="bottom"/>
          </w:tcPr>
          <w:p w14:paraId="5AA1F414"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0.14</w:t>
            </w:r>
          </w:p>
        </w:tc>
      </w:tr>
      <w:tr w:rsidR="002F116A" w:rsidRPr="006E5A00" w14:paraId="405AE4A2" w14:textId="77777777" w:rsidTr="007C3584">
        <w:trPr>
          <w:trHeight w:val="255"/>
          <w:jc w:val="center"/>
        </w:trPr>
        <w:tc>
          <w:tcPr>
            <w:tcW w:w="2376" w:type="dxa"/>
            <w:shd w:val="clear" w:color="auto" w:fill="auto"/>
            <w:noWrap/>
          </w:tcPr>
          <w:p w14:paraId="1451B893" w14:textId="77777777" w:rsidR="002F116A" w:rsidRPr="006E5A00" w:rsidRDefault="002F116A" w:rsidP="002F116A">
            <w:pPr>
              <w:rPr>
                <w:rFonts w:cs="Arial"/>
                <w:b/>
                <w:sz w:val="22"/>
                <w:szCs w:val="22"/>
              </w:rPr>
            </w:pPr>
            <w:r w:rsidRPr="006E5A00">
              <w:rPr>
                <w:rFonts w:cs="Arial"/>
                <w:b/>
                <w:sz w:val="22"/>
                <w:szCs w:val="22"/>
              </w:rPr>
              <w:t>Potatoes</w:t>
            </w:r>
          </w:p>
        </w:tc>
        <w:tc>
          <w:tcPr>
            <w:tcW w:w="993" w:type="dxa"/>
            <w:shd w:val="clear" w:color="auto" w:fill="auto"/>
            <w:noWrap/>
          </w:tcPr>
          <w:p w14:paraId="1E228D43" w14:textId="77777777" w:rsidR="002F116A" w:rsidRPr="006E5A00" w:rsidRDefault="002F116A" w:rsidP="002F116A">
            <w:pPr>
              <w:jc w:val="right"/>
              <w:rPr>
                <w:rFonts w:cs="Arial"/>
                <w:sz w:val="22"/>
                <w:szCs w:val="22"/>
              </w:rPr>
            </w:pPr>
            <w:r w:rsidRPr="006E5A00">
              <w:rPr>
                <w:rFonts w:cs="Arial"/>
                <w:sz w:val="22"/>
                <w:szCs w:val="22"/>
              </w:rPr>
              <w:t>690</w:t>
            </w:r>
          </w:p>
        </w:tc>
        <w:tc>
          <w:tcPr>
            <w:tcW w:w="885" w:type="dxa"/>
            <w:shd w:val="clear" w:color="auto" w:fill="auto"/>
            <w:noWrap/>
          </w:tcPr>
          <w:p w14:paraId="2E91FD1C" w14:textId="77777777" w:rsidR="002F116A" w:rsidRPr="006E5A00" w:rsidRDefault="002F116A" w:rsidP="002F116A">
            <w:pPr>
              <w:jc w:val="right"/>
              <w:rPr>
                <w:rFonts w:cs="Arial"/>
                <w:sz w:val="22"/>
                <w:szCs w:val="22"/>
              </w:rPr>
            </w:pPr>
            <w:r w:rsidRPr="006E5A00">
              <w:rPr>
                <w:rFonts w:cs="Arial"/>
                <w:sz w:val="22"/>
                <w:szCs w:val="22"/>
              </w:rPr>
              <w:t>1.15</w:t>
            </w:r>
          </w:p>
        </w:tc>
        <w:tc>
          <w:tcPr>
            <w:tcW w:w="885" w:type="dxa"/>
            <w:shd w:val="clear" w:color="auto" w:fill="auto"/>
            <w:noWrap/>
          </w:tcPr>
          <w:p w14:paraId="31A7F6BC" w14:textId="77777777" w:rsidR="002F116A" w:rsidRPr="006E5A00" w:rsidRDefault="002F116A" w:rsidP="002F116A">
            <w:pPr>
              <w:jc w:val="right"/>
              <w:rPr>
                <w:rFonts w:cs="Arial"/>
                <w:sz w:val="22"/>
                <w:szCs w:val="22"/>
              </w:rPr>
            </w:pPr>
            <w:r w:rsidRPr="006E5A00">
              <w:rPr>
                <w:rFonts w:cs="Arial"/>
                <w:sz w:val="22"/>
                <w:szCs w:val="22"/>
              </w:rPr>
              <w:t>0.90</w:t>
            </w:r>
          </w:p>
        </w:tc>
        <w:tc>
          <w:tcPr>
            <w:tcW w:w="885" w:type="dxa"/>
            <w:shd w:val="clear" w:color="auto" w:fill="auto"/>
            <w:noWrap/>
          </w:tcPr>
          <w:p w14:paraId="13B162CA" w14:textId="77777777" w:rsidR="002F116A" w:rsidRPr="006E5A00" w:rsidRDefault="002F116A" w:rsidP="002F116A">
            <w:pPr>
              <w:jc w:val="right"/>
              <w:rPr>
                <w:rFonts w:cs="Arial"/>
                <w:sz w:val="22"/>
                <w:szCs w:val="22"/>
              </w:rPr>
            </w:pPr>
            <w:r w:rsidRPr="006E5A00">
              <w:rPr>
                <w:rFonts w:cs="Arial"/>
                <w:sz w:val="22"/>
                <w:szCs w:val="22"/>
              </w:rPr>
              <w:t>0.75</w:t>
            </w:r>
          </w:p>
        </w:tc>
        <w:tc>
          <w:tcPr>
            <w:tcW w:w="660" w:type="dxa"/>
            <w:shd w:val="clear" w:color="auto" w:fill="auto"/>
          </w:tcPr>
          <w:p w14:paraId="1727A6B8" w14:textId="77777777" w:rsidR="002F116A" w:rsidRPr="006E5A00" w:rsidRDefault="002F116A" w:rsidP="002F116A">
            <w:pPr>
              <w:jc w:val="center"/>
              <w:rPr>
                <w:rFonts w:cs="Arial"/>
                <w:sz w:val="22"/>
                <w:szCs w:val="22"/>
              </w:rPr>
            </w:pPr>
            <w:r w:rsidRPr="006E5A00">
              <w:rPr>
                <w:rFonts w:cs="Arial"/>
                <w:sz w:val="22"/>
                <w:szCs w:val="22"/>
              </w:rPr>
              <w:t>fn. 11</w:t>
            </w:r>
          </w:p>
        </w:tc>
        <w:tc>
          <w:tcPr>
            <w:tcW w:w="2268" w:type="dxa"/>
            <w:gridSpan w:val="2"/>
            <w:shd w:val="clear" w:color="auto" w:fill="auto"/>
            <w:noWrap/>
            <w:vAlign w:val="bottom"/>
          </w:tcPr>
          <w:p w14:paraId="67339152"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2.29</w:t>
            </w:r>
          </w:p>
        </w:tc>
      </w:tr>
      <w:tr w:rsidR="002F116A" w:rsidRPr="006E5A00" w14:paraId="7DA51E1A" w14:textId="77777777" w:rsidTr="007C3584">
        <w:trPr>
          <w:trHeight w:val="255"/>
          <w:jc w:val="center"/>
        </w:trPr>
        <w:tc>
          <w:tcPr>
            <w:tcW w:w="2376" w:type="dxa"/>
            <w:shd w:val="clear" w:color="auto" w:fill="auto"/>
            <w:noWrap/>
          </w:tcPr>
          <w:p w14:paraId="7A01FFA0" w14:textId="77777777" w:rsidR="002F116A" w:rsidRPr="006E5A00" w:rsidRDefault="002F116A" w:rsidP="002F116A">
            <w:pPr>
              <w:rPr>
                <w:rFonts w:cs="Arial"/>
                <w:b/>
                <w:sz w:val="22"/>
                <w:szCs w:val="22"/>
              </w:rPr>
            </w:pPr>
            <w:r w:rsidRPr="006E5A00">
              <w:rPr>
                <w:rFonts w:cs="Arial"/>
                <w:b/>
                <w:sz w:val="22"/>
                <w:szCs w:val="22"/>
              </w:rPr>
              <w:t>Lard</w:t>
            </w:r>
          </w:p>
        </w:tc>
        <w:tc>
          <w:tcPr>
            <w:tcW w:w="993" w:type="dxa"/>
            <w:shd w:val="clear" w:color="auto" w:fill="auto"/>
            <w:noWrap/>
          </w:tcPr>
          <w:p w14:paraId="39B8A917" w14:textId="77777777" w:rsidR="002F116A" w:rsidRPr="006E5A00" w:rsidRDefault="002F116A" w:rsidP="002F116A">
            <w:pPr>
              <w:jc w:val="right"/>
              <w:rPr>
                <w:rFonts w:cs="Arial"/>
                <w:sz w:val="22"/>
                <w:szCs w:val="22"/>
              </w:rPr>
            </w:pPr>
            <w:r w:rsidRPr="006E5A00">
              <w:rPr>
                <w:rFonts w:cs="Arial"/>
                <w:sz w:val="22"/>
                <w:szCs w:val="22"/>
              </w:rPr>
              <w:t>9,020</w:t>
            </w:r>
          </w:p>
        </w:tc>
        <w:tc>
          <w:tcPr>
            <w:tcW w:w="885" w:type="dxa"/>
            <w:shd w:val="clear" w:color="auto" w:fill="auto"/>
            <w:noWrap/>
          </w:tcPr>
          <w:p w14:paraId="7C3BBCE1" w14:textId="77777777" w:rsidR="002F116A" w:rsidRPr="006E5A00" w:rsidRDefault="002F116A" w:rsidP="002F116A">
            <w:pPr>
              <w:jc w:val="right"/>
              <w:rPr>
                <w:rFonts w:cs="Arial"/>
                <w:sz w:val="22"/>
                <w:szCs w:val="22"/>
              </w:rPr>
            </w:pPr>
            <w:r w:rsidRPr="006E5A00">
              <w:rPr>
                <w:rFonts w:cs="Arial"/>
                <w:sz w:val="22"/>
                <w:szCs w:val="22"/>
              </w:rPr>
              <w:t>0.21</w:t>
            </w:r>
          </w:p>
        </w:tc>
        <w:tc>
          <w:tcPr>
            <w:tcW w:w="885" w:type="dxa"/>
            <w:shd w:val="clear" w:color="auto" w:fill="auto"/>
            <w:noWrap/>
          </w:tcPr>
          <w:p w14:paraId="1ACA08AA" w14:textId="77777777" w:rsidR="002F116A" w:rsidRPr="006E5A00" w:rsidRDefault="002F116A" w:rsidP="002F116A">
            <w:pPr>
              <w:jc w:val="right"/>
              <w:rPr>
                <w:rFonts w:cs="Arial"/>
                <w:sz w:val="22"/>
                <w:szCs w:val="22"/>
              </w:rPr>
            </w:pPr>
            <w:r w:rsidRPr="006E5A00">
              <w:rPr>
                <w:rFonts w:cs="Arial"/>
                <w:sz w:val="22"/>
                <w:szCs w:val="22"/>
              </w:rPr>
              <w:t>0.13</w:t>
            </w:r>
          </w:p>
        </w:tc>
        <w:tc>
          <w:tcPr>
            <w:tcW w:w="885" w:type="dxa"/>
            <w:shd w:val="clear" w:color="auto" w:fill="auto"/>
            <w:noWrap/>
          </w:tcPr>
          <w:p w14:paraId="53BB1E39" w14:textId="77777777" w:rsidR="002F116A" w:rsidRPr="006E5A00" w:rsidRDefault="002F116A" w:rsidP="002F116A">
            <w:pPr>
              <w:jc w:val="right"/>
              <w:rPr>
                <w:rFonts w:cs="Arial"/>
                <w:sz w:val="22"/>
                <w:szCs w:val="22"/>
              </w:rPr>
            </w:pPr>
            <w:r w:rsidRPr="006E5A00">
              <w:rPr>
                <w:rFonts w:cs="Arial"/>
                <w:sz w:val="22"/>
                <w:szCs w:val="22"/>
              </w:rPr>
              <w:t>0.09</w:t>
            </w:r>
          </w:p>
        </w:tc>
        <w:tc>
          <w:tcPr>
            <w:tcW w:w="660" w:type="dxa"/>
            <w:shd w:val="clear" w:color="auto" w:fill="auto"/>
          </w:tcPr>
          <w:p w14:paraId="4C8360F3"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t>=</w:t>
            </w:r>
          </w:p>
        </w:tc>
        <w:tc>
          <w:tcPr>
            <w:tcW w:w="2268" w:type="dxa"/>
            <w:gridSpan w:val="2"/>
            <w:shd w:val="clear" w:color="auto" w:fill="auto"/>
            <w:noWrap/>
            <w:vAlign w:val="bottom"/>
          </w:tcPr>
          <w:p w14:paraId="672B27DC"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0.09</w:t>
            </w:r>
          </w:p>
        </w:tc>
      </w:tr>
      <w:tr w:rsidR="002F116A" w:rsidRPr="006E5A00" w14:paraId="796D773F" w14:textId="77777777" w:rsidTr="007C3584">
        <w:trPr>
          <w:trHeight w:val="255"/>
          <w:jc w:val="center"/>
        </w:trPr>
        <w:tc>
          <w:tcPr>
            <w:tcW w:w="2376" w:type="dxa"/>
            <w:shd w:val="clear" w:color="auto" w:fill="auto"/>
            <w:noWrap/>
          </w:tcPr>
          <w:p w14:paraId="4280BCF6" w14:textId="77777777" w:rsidR="002F116A" w:rsidRPr="006E5A00" w:rsidRDefault="002F116A" w:rsidP="002F116A">
            <w:pPr>
              <w:rPr>
                <w:rFonts w:cs="Arial"/>
                <w:b/>
                <w:sz w:val="22"/>
                <w:szCs w:val="22"/>
              </w:rPr>
            </w:pPr>
            <w:r w:rsidRPr="006E5A00">
              <w:rPr>
                <w:rFonts w:cs="Arial"/>
                <w:b/>
                <w:sz w:val="22"/>
                <w:szCs w:val="22"/>
              </w:rPr>
              <w:t>Meat</w:t>
            </w:r>
          </w:p>
        </w:tc>
        <w:tc>
          <w:tcPr>
            <w:tcW w:w="993" w:type="dxa"/>
            <w:shd w:val="clear" w:color="auto" w:fill="auto"/>
            <w:noWrap/>
          </w:tcPr>
          <w:p w14:paraId="5FDE0A66" w14:textId="77777777" w:rsidR="002F116A" w:rsidRPr="006E5A00" w:rsidRDefault="002F116A" w:rsidP="002F116A">
            <w:pPr>
              <w:jc w:val="right"/>
              <w:rPr>
                <w:rFonts w:cs="Arial"/>
                <w:sz w:val="22"/>
                <w:szCs w:val="22"/>
              </w:rPr>
            </w:pPr>
            <w:r w:rsidRPr="006E5A00">
              <w:rPr>
                <w:rFonts w:cs="Arial"/>
                <w:sz w:val="22"/>
                <w:szCs w:val="22"/>
              </w:rPr>
              <w:t>2,780</w:t>
            </w:r>
          </w:p>
        </w:tc>
        <w:tc>
          <w:tcPr>
            <w:tcW w:w="885" w:type="dxa"/>
            <w:shd w:val="clear" w:color="auto" w:fill="auto"/>
            <w:noWrap/>
          </w:tcPr>
          <w:p w14:paraId="6441CD82" w14:textId="77777777" w:rsidR="002F116A" w:rsidRPr="006E5A00" w:rsidRDefault="002F116A" w:rsidP="002F116A">
            <w:pPr>
              <w:jc w:val="right"/>
              <w:rPr>
                <w:rFonts w:cs="Arial"/>
                <w:sz w:val="22"/>
                <w:szCs w:val="22"/>
              </w:rPr>
            </w:pPr>
            <w:r w:rsidRPr="006E5A00">
              <w:rPr>
                <w:rFonts w:cs="Arial"/>
                <w:sz w:val="22"/>
                <w:szCs w:val="22"/>
              </w:rPr>
              <w:t>0.01</w:t>
            </w:r>
          </w:p>
        </w:tc>
        <w:tc>
          <w:tcPr>
            <w:tcW w:w="885" w:type="dxa"/>
            <w:shd w:val="clear" w:color="auto" w:fill="auto"/>
            <w:noWrap/>
          </w:tcPr>
          <w:p w14:paraId="4B75E7FE" w14:textId="77777777" w:rsidR="002F116A" w:rsidRPr="006E5A00" w:rsidRDefault="002F116A" w:rsidP="002F116A">
            <w:pPr>
              <w:jc w:val="right"/>
              <w:rPr>
                <w:rFonts w:cs="Arial"/>
                <w:sz w:val="22"/>
                <w:szCs w:val="22"/>
              </w:rPr>
            </w:pPr>
            <w:r w:rsidRPr="006E5A00">
              <w:rPr>
                <w:rFonts w:cs="Arial"/>
                <w:sz w:val="22"/>
                <w:szCs w:val="22"/>
              </w:rPr>
              <w:t>0.33</w:t>
            </w:r>
          </w:p>
        </w:tc>
        <w:tc>
          <w:tcPr>
            <w:tcW w:w="885" w:type="dxa"/>
            <w:shd w:val="clear" w:color="auto" w:fill="auto"/>
            <w:noWrap/>
          </w:tcPr>
          <w:p w14:paraId="0551C71B" w14:textId="77777777" w:rsidR="002F116A" w:rsidRPr="006E5A00" w:rsidRDefault="002F116A" w:rsidP="002F116A">
            <w:pPr>
              <w:jc w:val="right"/>
              <w:rPr>
                <w:rFonts w:cs="Arial"/>
                <w:sz w:val="22"/>
                <w:szCs w:val="22"/>
              </w:rPr>
            </w:pPr>
            <w:r w:rsidRPr="006E5A00">
              <w:rPr>
                <w:rFonts w:cs="Arial"/>
                <w:sz w:val="22"/>
                <w:szCs w:val="22"/>
              </w:rPr>
              <w:t>0.50</w:t>
            </w:r>
          </w:p>
        </w:tc>
        <w:tc>
          <w:tcPr>
            <w:tcW w:w="660" w:type="dxa"/>
            <w:shd w:val="clear" w:color="auto" w:fill="auto"/>
          </w:tcPr>
          <w:p w14:paraId="2D500364"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3"/>
            </w:r>
          </w:p>
        </w:tc>
        <w:tc>
          <w:tcPr>
            <w:tcW w:w="2268" w:type="dxa"/>
            <w:gridSpan w:val="2"/>
            <w:shd w:val="clear" w:color="auto" w:fill="auto"/>
            <w:noWrap/>
            <w:vAlign w:val="bottom"/>
          </w:tcPr>
          <w:p w14:paraId="719EF016"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0.18</w:t>
            </w:r>
          </w:p>
        </w:tc>
      </w:tr>
      <w:tr w:rsidR="002F116A" w:rsidRPr="006E5A00" w14:paraId="2EA98146" w14:textId="77777777" w:rsidTr="007C3584">
        <w:trPr>
          <w:trHeight w:val="255"/>
          <w:jc w:val="center"/>
        </w:trPr>
        <w:tc>
          <w:tcPr>
            <w:tcW w:w="2376" w:type="dxa"/>
            <w:shd w:val="clear" w:color="auto" w:fill="auto"/>
            <w:noWrap/>
          </w:tcPr>
          <w:p w14:paraId="7784A471" w14:textId="77777777" w:rsidR="002F116A" w:rsidRPr="006E5A00" w:rsidRDefault="002F116A" w:rsidP="002F116A">
            <w:pPr>
              <w:rPr>
                <w:rFonts w:cs="Arial"/>
                <w:b/>
                <w:sz w:val="22"/>
                <w:szCs w:val="22"/>
              </w:rPr>
            </w:pPr>
            <w:r w:rsidRPr="006E5A00">
              <w:rPr>
                <w:rFonts w:cs="Arial"/>
                <w:b/>
                <w:sz w:val="22"/>
                <w:szCs w:val="22"/>
              </w:rPr>
              <w:t>Stockfish</w:t>
            </w:r>
          </w:p>
        </w:tc>
        <w:tc>
          <w:tcPr>
            <w:tcW w:w="993" w:type="dxa"/>
            <w:shd w:val="clear" w:color="auto" w:fill="auto"/>
            <w:noWrap/>
          </w:tcPr>
          <w:p w14:paraId="36A58D4B" w14:textId="77777777" w:rsidR="002F116A" w:rsidRPr="006E5A00" w:rsidRDefault="002F116A" w:rsidP="002F116A">
            <w:pPr>
              <w:jc w:val="right"/>
              <w:rPr>
                <w:rFonts w:cs="Arial"/>
                <w:sz w:val="22"/>
                <w:szCs w:val="22"/>
              </w:rPr>
            </w:pPr>
            <w:r w:rsidRPr="006E5A00">
              <w:rPr>
                <w:rFonts w:cs="Arial"/>
                <w:sz w:val="22"/>
                <w:szCs w:val="22"/>
              </w:rPr>
              <w:t>2,900</w:t>
            </w:r>
          </w:p>
        </w:tc>
        <w:tc>
          <w:tcPr>
            <w:tcW w:w="885" w:type="dxa"/>
            <w:shd w:val="clear" w:color="auto" w:fill="auto"/>
            <w:noWrap/>
          </w:tcPr>
          <w:p w14:paraId="082A5509" w14:textId="77777777" w:rsidR="002F116A" w:rsidRPr="006E5A00" w:rsidRDefault="002F116A" w:rsidP="002F116A">
            <w:pPr>
              <w:jc w:val="right"/>
              <w:rPr>
                <w:rFonts w:cs="Arial"/>
                <w:sz w:val="22"/>
                <w:szCs w:val="22"/>
              </w:rPr>
            </w:pPr>
            <w:r w:rsidRPr="006E5A00">
              <w:rPr>
                <w:rFonts w:cs="Arial"/>
                <w:sz w:val="22"/>
                <w:szCs w:val="22"/>
              </w:rPr>
              <w:t>0.30</w:t>
            </w:r>
          </w:p>
        </w:tc>
        <w:tc>
          <w:tcPr>
            <w:tcW w:w="885" w:type="dxa"/>
            <w:shd w:val="clear" w:color="auto" w:fill="auto"/>
            <w:noWrap/>
          </w:tcPr>
          <w:p w14:paraId="5B0CE521" w14:textId="77777777" w:rsidR="002F116A" w:rsidRPr="006E5A00" w:rsidRDefault="002F116A" w:rsidP="002F116A">
            <w:pPr>
              <w:jc w:val="right"/>
              <w:rPr>
                <w:rFonts w:cs="Arial"/>
                <w:sz w:val="22"/>
                <w:szCs w:val="22"/>
              </w:rPr>
            </w:pPr>
            <w:r w:rsidRPr="006E5A00">
              <w:rPr>
                <w:rFonts w:cs="Arial"/>
                <w:sz w:val="22"/>
                <w:szCs w:val="22"/>
              </w:rPr>
              <w:t>0.20</w:t>
            </w:r>
          </w:p>
        </w:tc>
        <w:tc>
          <w:tcPr>
            <w:tcW w:w="885" w:type="dxa"/>
            <w:shd w:val="clear" w:color="auto" w:fill="auto"/>
            <w:noWrap/>
          </w:tcPr>
          <w:p w14:paraId="18BEF8EF" w14:textId="77777777" w:rsidR="002F116A" w:rsidRPr="006E5A00" w:rsidRDefault="002F116A" w:rsidP="002F116A">
            <w:pPr>
              <w:jc w:val="right"/>
              <w:rPr>
                <w:rFonts w:cs="Arial"/>
                <w:sz w:val="22"/>
                <w:szCs w:val="22"/>
              </w:rPr>
            </w:pPr>
            <w:r w:rsidRPr="006E5A00">
              <w:rPr>
                <w:rFonts w:cs="Arial"/>
                <w:sz w:val="22"/>
                <w:szCs w:val="22"/>
              </w:rPr>
              <w:t>0.15</w:t>
            </w:r>
          </w:p>
        </w:tc>
        <w:tc>
          <w:tcPr>
            <w:tcW w:w="660" w:type="dxa"/>
            <w:shd w:val="clear" w:color="auto" w:fill="auto"/>
          </w:tcPr>
          <w:p w14:paraId="7160A969"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4"/>
            </w:r>
          </w:p>
        </w:tc>
        <w:tc>
          <w:tcPr>
            <w:tcW w:w="2268" w:type="dxa"/>
            <w:gridSpan w:val="2"/>
            <w:shd w:val="clear" w:color="auto" w:fill="auto"/>
            <w:noWrap/>
            <w:vAlign w:val="bottom"/>
          </w:tcPr>
          <w:p w14:paraId="24501104"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0.18</w:t>
            </w:r>
          </w:p>
        </w:tc>
      </w:tr>
      <w:tr w:rsidR="002F116A" w:rsidRPr="006E5A00" w14:paraId="389DBDD0" w14:textId="77777777" w:rsidTr="007C3584">
        <w:trPr>
          <w:trHeight w:val="255"/>
          <w:jc w:val="center"/>
        </w:trPr>
        <w:tc>
          <w:tcPr>
            <w:tcW w:w="2376" w:type="dxa"/>
            <w:shd w:val="clear" w:color="auto" w:fill="auto"/>
            <w:noWrap/>
          </w:tcPr>
          <w:p w14:paraId="37D12476" w14:textId="77777777" w:rsidR="002F116A" w:rsidRPr="006E5A00" w:rsidRDefault="002F116A" w:rsidP="002F116A">
            <w:pPr>
              <w:rPr>
                <w:rFonts w:cs="Arial"/>
                <w:b/>
                <w:sz w:val="22"/>
                <w:szCs w:val="22"/>
              </w:rPr>
            </w:pPr>
            <w:r w:rsidRPr="006E5A00">
              <w:rPr>
                <w:rFonts w:cs="Arial"/>
                <w:b/>
                <w:sz w:val="22"/>
                <w:szCs w:val="22"/>
              </w:rPr>
              <w:t>Oil</w:t>
            </w:r>
          </w:p>
        </w:tc>
        <w:tc>
          <w:tcPr>
            <w:tcW w:w="993" w:type="dxa"/>
            <w:shd w:val="clear" w:color="auto" w:fill="auto"/>
            <w:noWrap/>
          </w:tcPr>
          <w:p w14:paraId="6D708806" w14:textId="77777777" w:rsidR="002F116A" w:rsidRPr="006E5A00" w:rsidRDefault="002F116A" w:rsidP="002F116A">
            <w:pPr>
              <w:jc w:val="right"/>
              <w:rPr>
                <w:rFonts w:cs="Arial"/>
                <w:sz w:val="22"/>
                <w:szCs w:val="22"/>
              </w:rPr>
            </w:pPr>
            <w:r w:rsidRPr="006E5A00">
              <w:rPr>
                <w:rFonts w:cs="Arial"/>
                <w:sz w:val="22"/>
                <w:szCs w:val="22"/>
              </w:rPr>
              <w:t>8,840</w:t>
            </w:r>
          </w:p>
        </w:tc>
        <w:tc>
          <w:tcPr>
            <w:tcW w:w="885" w:type="dxa"/>
            <w:shd w:val="clear" w:color="auto" w:fill="auto"/>
            <w:noWrap/>
          </w:tcPr>
          <w:p w14:paraId="111F411F" w14:textId="77777777" w:rsidR="002F116A" w:rsidRPr="006E5A00" w:rsidRDefault="002F116A" w:rsidP="002F116A">
            <w:pPr>
              <w:jc w:val="right"/>
              <w:rPr>
                <w:rFonts w:cs="Arial"/>
                <w:sz w:val="22"/>
                <w:szCs w:val="22"/>
              </w:rPr>
            </w:pPr>
            <w:r w:rsidRPr="006E5A00">
              <w:rPr>
                <w:rFonts w:cs="Arial"/>
                <w:sz w:val="22"/>
                <w:szCs w:val="22"/>
              </w:rPr>
              <w:t>0.02</w:t>
            </w:r>
          </w:p>
        </w:tc>
        <w:tc>
          <w:tcPr>
            <w:tcW w:w="885" w:type="dxa"/>
            <w:shd w:val="clear" w:color="auto" w:fill="auto"/>
            <w:noWrap/>
          </w:tcPr>
          <w:p w14:paraId="77120E50" w14:textId="77777777" w:rsidR="002F116A" w:rsidRPr="006E5A00" w:rsidRDefault="002F116A" w:rsidP="002F116A">
            <w:pPr>
              <w:jc w:val="right"/>
              <w:rPr>
                <w:rFonts w:cs="Arial"/>
                <w:sz w:val="22"/>
                <w:szCs w:val="22"/>
              </w:rPr>
            </w:pPr>
            <w:r w:rsidRPr="006E5A00">
              <w:rPr>
                <w:rFonts w:cs="Arial"/>
                <w:sz w:val="22"/>
                <w:szCs w:val="22"/>
              </w:rPr>
              <w:t>0.15</w:t>
            </w:r>
          </w:p>
        </w:tc>
        <w:tc>
          <w:tcPr>
            <w:tcW w:w="885" w:type="dxa"/>
            <w:shd w:val="clear" w:color="auto" w:fill="auto"/>
            <w:noWrap/>
          </w:tcPr>
          <w:p w14:paraId="0ABBFAEB" w14:textId="77777777" w:rsidR="002F116A" w:rsidRPr="006E5A00" w:rsidRDefault="002F116A" w:rsidP="002F116A">
            <w:pPr>
              <w:jc w:val="right"/>
              <w:rPr>
                <w:rFonts w:cs="Arial"/>
                <w:sz w:val="22"/>
                <w:szCs w:val="22"/>
              </w:rPr>
            </w:pPr>
            <w:r w:rsidRPr="006E5A00">
              <w:rPr>
                <w:rFonts w:cs="Arial"/>
                <w:sz w:val="22"/>
                <w:szCs w:val="22"/>
              </w:rPr>
              <w:t>0.20</w:t>
            </w:r>
          </w:p>
        </w:tc>
        <w:tc>
          <w:tcPr>
            <w:tcW w:w="660" w:type="dxa"/>
            <w:shd w:val="clear" w:color="auto" w:fill="auto"/>
          </w:tcPr>
          <w:p w14:paraId="6895B38E"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3"/>
            </w:r>
          </w:p>
        </w:tc>
        <w:tc>
          <w:tcPr>
            <w:tcW w:w="2268" w:type="dxa"/>
            <w:gridSpan w:val="2"/>
            <w:shd w:val="clear" w:color="auto" w:fill="auto"/>
            <w:noWrap/>
            <w:vAlign w:val="bottom"/>
          </w:tcPr>
          <w:p w14:paraId="5216328A"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0.16</w:t>
            </w:r>
          </w:p>
        </w:tc>
      </w:tr>
      <w:tr w:rsidR="002F116A" w:rsidRPr="006E5A00" w14:paraId="111A0079" w14:textId="77777777" w:rsidTr="007C3584">
        <w:trPr>
          <w:trHeight w:val="255"/>
          <w:jc w:val="center"/>
        </w:trPr>
        <w:tc>
          <w:tcPr>
            <w:tcW w:w="2376" w:type="dxa"/>
            <w:shd w:val="clear" w:color="auto" w:fill="auto"/>
            <w:noWrap/>
          </w:tcPr>
          <w:p w14:paraId="16879AB3" w14:textId="77777777" w:rsidR="002F116A" w:rsidRPr="006E5A00" w:rsidRDefault="002F116A" w:rsidP="002F116A">
            <w:pPr>
              <w:rPr>
                <w:rFonts w:cs="Arial"/>
                <w:b/>
                <w:sz w:val="22"/>
                <w:szCs w:val="22"/>
              </w:rPr>
            </w:pPr>
            <w:r w:rsidRPr="006E5A00">
              <w:rPr>
                <w:rFonts w:cs="Arial"/>
                <w:b/>
                <w:sz w:val="22"/>
                <w:szCs w:val="22"/>
              </w:rPr>
              <w:t>Sugar</w:t>
            </w:r>
          </w:p>
        </w:tc>
        <w:tc>
          <w:tcPr>
            <w:tcW w:w="993" w:type="dxa"/>
            <w:shd w:val="clear" w:color="auto" w:fill="auto"/>
            <w:noWrap/>
          </w:tcPr>
          <w:p w14:paraId="6B46791A" w14:textId="77777777" w:rsidR="002F116A" w:rsidRPr="006E5A00" w:rsidRDefault="002F116A" w:rsidP="002F116A">
            <w:pPr>
              <w:jc w:val="right"/>
              <w:rPr>
                <w:rFonts w:cs="Arial"/>
                <w:sz w:val="22"/>
                <w:szCs w:val="22"/>
              </w:rPr>
            </w:pPr>
            <w:r w:rsidRPr="006E5A00">
              <w:rPr>
                <w:rFonts w:cs="Arial"/>
                <w:sz w:val="22"/>
                <w:szCs w:val="22"/>
              </w:rPr>
              <w:t>3,870</w:t>
            </w:r>
          </w:p>
        </w:tc>
        <w:tc>
          <w:tcPr>
            <w:tcW w:w="885" w:type="dxa"/>
            <w:shd w:val="clear" w:color="auto" w:fill="auto"/>
            <w:noWrap/>
          </w:tcPr>
          <w:p w14:paraId="09A0BD81" w14:textId="77777777" w:rsidR="002F116A" w:rsidRPr="006E5A00" w:rsidRDefault="002F116A" w:rsidP="002F116A">
            <w:pPr>
              <w:jc w:val="right"/>
              <w:rPr>
                <w:rFonts w:cs="Arial"/>
                <w:sz w:val="22"/>
                <w:szCs w:val="22"/>
              </w:rPr>
            </w:pPr>
            <w:r w:rsidRPr="006E5A00">
              <w:rPr>
                <w:rFonts w:cs="Arial"/>
                <w:sz w:val="22"/>
                <w:szCs w:val="22"/>
              </w:rPr>
              <w:t>0.03</w:t>
            </w:r>
          </w:p>
        </w:tc>
        <w:tc>
          <w:tcPr>
            <w:tcW w:w="885" w:type="dxa"/>
            <w:shd w:val="clear" w:color="auto" w:fill="auto"/>
            <w:noWrap/>
          </w:tcPr>
          <w:p w14:paraId="7692B66E" w14:textId="77777777" w:rsidR="002F116A" w:rsidRPr="006E5A00" w:rsidRDefault="002F116A" w:rsidP="002F116A">
            <w:pPr>
              <w:jc w:val="right"/>
              <w:rPr>
                <w:rFonts w:cs="Arial"/>
                <w:sz w:val="22"/>
                <w:szCs w:val="22"/>
              </w:rPr>
            </w:pPr>
            <w:r w:rsidRPr="006E5A00">
              <w:rPr>
                <w:rFonts w:cs="Arial"/>
                <w:sz w:val="22"/>
                <w:szCs w:val="22"/>
              </w:rPr>
              <w:t>0.10</w:t>
            </w:r>
          </w:p>
        </w:tc>
        <w:tc>
          <w:tcPr>
            <w:tcW w:w="885" w:type="dxa"/>
            <w:shd w:val="clear" w:color="auto" w:fill="auto"/>
            <w:noWrap/>
          </w:tcPr>
          <w:p w14:paraId="756D9F7B" w14:textId="77777777" w:rsidR="002F116A" w:rsidRPr="006E5A00" w:rsidRDefault="002F116A" w:rsidP="002F116A">
            <w:pPr>
              <w:jc w:val="right"/>
              <w:rPr>
                <w:rFonts w:cs="Arial"/>
                <w:sz w:val="22"/>
                <w:szCs w:val="22"/>
              </w:rPr>
            </w:pPr>
            <w:r w:rsidRPr="006E5A00">
              <w:rPr>
                <w:rFonts w:cs="Arial"/>
                <w:sz w:val="22"/>
                <w:szCs w:val="22"/>
              </w:rPr>
              <w:t>0.15</w:t>
            </w:r>
          </w:p>
        </w:tc>
        <w:tc>
          <w:tcPr>
            <w:tcW w:w="660" w:type="dxa"/>
            <w:shd w:val="clear" w:color="auto" w:fill="auto"/>
          </w:tcPr>
          <w:p w14:paraId="098C25E7"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t>~</w:t>
            </w:r>
          </w:p>
        </w:tc>
        <w:tc>
          <w:tcPr>
            <w:tcW w:w="2268" w:type="dxa"/>
            <w:gridSpan w:val="2"/>
            <w:shd w:val="clear" w:color="auto" w:fill="auto"/>
            <w:noWrap/>
            <w:vAlign w:val="bottom"/>
          </w:tcPr>
          <w:p w14:paraId="6096B7E7"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0.16</w:t>
            </w:r>
          </w:p>
        </w:tc>
      </w:tr>
      <w:tr w:rsidR="002F116A" w:rsidRPr="006E5A00" w14:paraId="68A305D7" w14:textId="77777777" w:rsidTr="007C3584">
        <w:trPr>
          <w:trHeight w:val="255"/>
          <w:jc w:val="center"/>
        </w:trPr>
        <w:tc>
          <w:tcPr>
            <w:tcW w:w="2376" w:type="dxa"/>
            <w:shd w:val="clear" w:color="auto" w:fill="auto"/>
            <w:noWrap/>
          </w:tcPr>
          <w:p w14:paraId="2D90D67C" w14:textId="77777777" w:rsidR="002F116A" w:rsidRPr="006E5A00" w:rsidRDefault="002F116A" w:rsidP="002F116A">
            <w:pPr>
              <w:rPr>
                <w:rFonts w:cs="Arial"/>
                <w:b/>
                <w:sz w:val="22"/>
                <w:szCs w:val="22"/>
              </w:rPr>
            </w:pPr>
            <w:r w:rsidRPr="006E5A00">
              <w:rPr>
                <w:rFonts w:cs="Arial"/>
                <w:b/>
                <w:sz w:val="22"/>
                <w:szCs w:val="22"/>
              </w:rPr>
              <w:t>Eggs</w:t>
            </w:r>
          </w:p>
        </w:tc>
        <w:tc>
          <w:tcPr>
            <w:tcW w:w="993" w:type="dxa"/>
            <w:shd w:val="clear" w:color="auto" w:fill="auto"/>
            <w:noWrap/>
          </w:tcPr>
          <w:p w14:paraId="28811330" w14:textId="77777777" w:rsidR="002F116A" w:rsidRPr="006E5A00" w:rsidRDefault="002F116A" w:rsidP="002F116A">
            <w:pPr>
              <w:jc w:val="right"/>
              <w:rPr>
                <w:rFonts w:cs="Arial"/>
                <w:sz w:val="22"/>
                <w:szCs w:val="22"/>
              </w:rPr>
            </w:pPr>
            <w:r w:rsidRPr="006E5A00">
              <w:rPr>
                <w:rFonts w:cs="Arial"/>
                <w:sz w:val="22"/>
                <w:szCs w:val="22"/>
              </w:rPr>
              <w:t>756</w:t>
            </w:r>
          </w:p>
        </w:tc>
        <w:tc>
          <w:tcPr>
            <w:tcW w:w="885" w:type="dxa"/>
            <w:shd w:val="clear" w:color="auto" w:fill="auto"/>
            <w:noWrap/>
          </w:tcPr>
          <w:p w14:paraId="7AC9DE7E" w14:textId="77777777" w:rsidR="002F116A" w:rsidRPr="006E5A00" w:rsidRDefault="002F116A" w:rsidP="002F116A">
            <w:pPr>
              <w:jc w:val="right"/>
              <w:rPr>
                <w:rFonts w:cs="Arial"/>
                <w:sz w:val="22"/>
                <w:szCs w:val="22"/>
              </w:rPr>
            </w:pPr>
            <w:r w:rsidRPr="006E5A00">
              <w:rPr>
                <w:rFonts w:cs="Arial"/>
                <w:sz w:val="22"/>
                <w:szCs w:val="22"/>
              </w:rPr>
              <w:t>0.03</w:t>
            </w:r>
          </w:p>
        </w:tc>
        <w:tc>
          <w:tcPr>
            <w:tcW w:w="885" w:type="dxa"/>
            <w:shd w:val="clear" w:color="auto" w:fill="auto"/>
            <w:noWrap/>
          </w:tcPr>
          <w:p w14:paraId="2D69819C" w14:textId="77777777" w:rsidR="002F116A" w:rsidRPr="006E5A00" w:rsidRDefault="002F116A" w:rsidP="002F116A">
            <w:pPr>
              <w:jc w:val="right"/>
              <w:rPr>
                <w:rFonts w:cs="Arial"/>
                <w:sz w:val="22"/>
                <w:szCs w:val="22"/>
              </w:rPr>
            </w:pPr>
            <w:r w:rsidRPr="006E5A00">
              <w:rPr>
                <w:rFonts w:cs="Arial"/>
                <w:sz w:val="22"/>
                <w:szCs w:val="22"/>
              </w:rPr>
              <w:t>0.10</w:t>
            </w:r>
          </w:p>
        </w:tc>
        <w:tc>
          <w:tcPr>
            <w:tcW w:w="885" w:type="dxa"/>
            <w:shd w:val="clear" w:color="auto" w:fill="auto"/>
            <w:noWrap/>
          </w:tcPr>
          <w:p w14:paraId="439DFEA3" w14:textId="77777777" w:rsidR="002F116A" w:rsidRPr="006E5A00" w:rsidRDefault="002F116A" w:rsidP="002F116A">
            <w:pPr>
              <w:jc w:val="right"/>
              <w:rPr>
                <w:rFonts w:cs="Arial"/>
                <w:sz w:val="22"/>
                <w:szCs w:val="22"/>
              </w:rPr>
            </w:pPr>
            <w:r w:rsidRPr="006E5A00">
              <w:rPr>
                <w:rFonts w:cs="Arial"/>
                <w:sz w:val="22"/>
                <w:szCs w:val="22"/>
              </w:rPr>
              <w:t>0.20</w:t>
            </w:r>
          </w:p>
        </w:tc>
        <w:tc>
          <w:tcPr>
            <w:tcW w:w="660" w:type="dxa"/>
            <w:shd w:val="clear" w:color="auto" w:fill="auto"/>
          </w:tcPr>
          <w:p w14:paraId="1F3E7933"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3"/>
            </w:r>
          </w:p>
        </w:tc>
        <w:tc>
          <w:tcPr>
            <w:tcW w:w="2268" w:type="dxa"/>
            <w:gridSpan w:val="2"/>
            <w:shd w:val="clear" w:color="auto" w:fill="auto"/>
            <w:noWrap/>
            <w:vAlign w:val="bottom"/>
          </w:tcPr>
          <w:p w14:paraId="3ABC6608"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0.06</w:t>
            </w:r>
          </w:p>
        </w:tc>
      </w:tr>
      <w:tr w:rsidR="002F116A" w:rsidRPr="006E5A00" w14:paraId="3B584CF4" w14:textId="77777777" w:rsidTr="007C3584">
        <w:trPr>
          <w:trHeight w:val="255"/>
          <w:jc w:val="center"/>
        </w:trPr>
        <w:tc>
          <w:tcPr>
            <w:tcW w:w="2376" w:type="dxa"/>
            <w:shd w:val="clear" w:color="auto" w:fill="auto"/>
            <w:noWrap/>
          </w:tcPr>
          <w:p w14:paraId="5123E724" w14:textId="77777777" w:rsidR="002F116A" w:rsidRPr="006E5A00" w:rsidRDefault="002F116A" w:rsidP="002F116A">
            <w:pPr>
              <w:rPr>
                <w:rFonts w:cs="Arial"/>
                <w:b/>
                <w:sz w:val="22"/>
                <w:szCs w:val="22"/>
              </w:rPr>
            </w:pPr>
            <w:r w:rsidRPr="006E5A00">
              <w:rPr>
                <w:rFonts w:cs="Arial"/>
                <w:b/>
                <w:sz w:val="22"/>
                <w:szCs w:val="22"/>
              </w:rPr>
              <w:t>Sardines</w:t>
            </w:r>
          </w:p>
        </w:tc>
        <w:tc>
          <w:tcPr>
            <w:tcW w:w="993" w:type="dxa"/>
            <w:shd w:val="clear" w:color="auto" w:fill="auto"/>
            <w:noWrap/>
          </w:tcPr>
          <w:p w14:paraId="69672857" w14:textId="77777777" w:rsidR="002F116A" w:rsidRPr="006E5A00" w:rsidRDefault="002F116A" w:rsidP="002F116A">
            <w:pPr>
              <w:jc w:val="right"/>
              <w:rPr>
                <w:rFonts w:cs="Arial"/>
                <w:sz w:val="22"/>
                <w:szCs w:val="22"/>
              </w:rPr>
            </w:pPr>
            <w:r w:rsidRPr="006E5A00">
              <w:rPr>
                <w:rFonts w:cs="Arial"/>
                <w:sz w:val="22"/>
                <w:szCs w:val="22"/>
              </w:rPr>
              <w:t>888</w:t>
            </w:r>
          </w:p>
        </w:tc>
        <w:tc>
          <w:tcPr>
            <w:tcW w:w="885" w:type="dxa"/>
            <w:shd w:val="clear" w:color="auto" w:fill="auto"/>
            <w:noWrap/>
          </w:tcPr>
          <w:p w14:paraId="358390C2" w14:textId="77777777" w:rsidR="002F116A" w:rsidRPr="006E5A00" w:rsidRDefault="002F116A" w:rsidP="002F116A">
            <w:pPr>
              <w:jc w:val="right"/>
              <w:rPr>
                <w:rFonts w:cs="Arial"/>
                <w:sz w:val="22"/>
                <w:szCs w:val="22"/>
              </w:rPr>
            </w:pPr>
            <w:r w:rsidRPr="006E5A00">
              <w:rPr>
                <w:rFonts w:cs="Arial"/>
                <w:sz w:val="22"/>
                <w:szCs w:val="22"/>
              </w:rPr>
              <w:t>0.10</w:t>
            </w:r>
          </w:p>
        </w:tc>
        <w:tc>
          <w:tcPr>
            <w:tcW w:w="885" w:type="dxa"/>
            <w:shd w:val="clear" w:color="auto" w:fill="auto"/>
            <w:noWrap/>
          </w:tcPr>
          <w:p w14:paraId="135545AF" w14:textId="77777777" w:rsidR="002F116A" w:rsidRPr="006E5A00" w:rsidRDefault="002F116A" w:rsidP="002F116A">
            <w:pPr>
              <w:jc w:val="right"/>
              <w:rPr>
                <w:rFonts w:cs="Arial"/>
                <w:sz w:val="22"/>
                <w:szCs w:val="22"/>
              </w:rPr>
            </w:pPr>
            <w:r w:rsidRPr="006E5A00">
              <w:rPr>
                <w:rFonts w:cs="Arial"/>
                <w:sz w:val="22"/>
                <w:szCs w:val="22"/>
              </w:rPr>
              <w:t>0.30</w:t>
            </w:r>
          </w:p>
        </w:tc>
        <w:tc>
          <w:tcPr>
            <w:tcW w:w="885" w:type="dxa"/>
            <w:shd w:val="clear" w:color="auto" w:fill="auto"/>
            <w:noWrap/>
          </w:tcPr>
          <w:p w14:paraId="495F10EF" w14:textId="77777777" w:rsidR="002F116A" w:rsidRPr="006E5A00" w:rsidRDefault="002F116A" w:rsidP="002F116A">
            <w:pPr>
              <w:jc w:val="right"/>
              <w:rPr>
                <w:rFonts w:cs="Arial"/>
                <w:sz w:val="22"/>
                <w:szCs w:val="22"/>
              </w:rPr>
            </w:pPr>
            <w:r w:rsidRPr="006E5A00">
              <w:rPr>
                <w:rFonts w:cs="Arial"/>
                <w:sz w:val="22"/>
                <w:szCs w:val="22"/>
              </w:rPr>
              <w:t>0.45</w:t>
            </w:r>
          </w:p>
        </w:tc>
        <w:tc>
          <w:tcPr>
            <w:tcW w:w="660" w:type="dxa"/>
            <w:shd w:val="clear" w:color="auto" w:fill="auto"/>
          </w:tcPr>
          <w:p w14:paraId="5F1969CE"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3"/>
            </w:r>
          </w:p>
        </w:tc>
        <w:tc>
          <w:tcPr>
            <w:tcW w:w="2268" w:type="dxa"/>
            <w:gridSpan w:val="2"/>
            <w:shd w:val="clear" w:color="auto" w:fill="auto"/>
            <w:noWrap/>
            <w:vAlign w:val="bottom"/>
          </w:tcPr>
          <w:p w14:paraId="6CFCDA87"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0.00</w:t>
            </w:r>
          </w:p>
        </w:tc>
      </w:tr>
      <w:tr w:rsidR="002F116A" w:rsidRPr="006E5A00" w14:paraId="7454BE2E" w14:textId="77777777" w:rsidTr="007C3584">
        <w:trPr>
          <w:trHeight w:val="255"/>
          <w:jc w:val="center"/>
        </w:trPr>
        <w:tc>
          <w:tcPr>
            <w:tcW w:w="2376" w:type="dxa"/>
            <w:shd w:val="clear" w:color="auto" w:fill="auto"/>
            <w:noWrap/>
          </w:tcPr>
          <w:p w14:paraId="458CF34C" w14:textId="77777777" w:rsidR="002F116A" w:rsidRPr="006E5A00" w:rsidRDefault="002F116A" w:rsidP="002F116A">
            <w:pPr>
              <w:rPr>
                <w:rFonts w:cs="Arial"/>
                <w:b/>
                <w:sz w:val="22"/>
                <w:szCs w:val="22"/>
              </w:rPr>
            </w:pPr>
            <w:r w:rsidRPr="006E5A00">
              <w:rPr>
                <w:rFonts w:cs="Arial"/>
                <w:b/>
                <w:sz w:val="22"/>
                <w:szCs w:val="22"/>
              </w:rPr>
              <w:t>Wine</w:t>
            </w:r>
          </w:p>
        </w:tc>
        <w:tc>
          <w:tcPr>
            <w:tcW w:w="993" w:type="dxa"/>
            <w:shd w:val="clear" w:color="auto" w:fill="auto"/>
            <w:noWrap/>
          </w:tcPr>
          <w:p w14:paraId="4B5E8F76" w14:textId="77777777" w:rsidR="002F116A" w:rsidRPr="006E5A00" w:rsidRDefault="002F116A" w:rsidP="002F116A">
            <w:pPr>
              <w:jc w:val="right"/>
              <w:rPr>
                <w:rFonts w:cs="Arial"/>
                <w:sz w:val="22"/>
                <w:szCs w:val="22"/>
              </w:rPr>
            </w:pPr>
            <w:r w:rsidRPr="006E5A00">
              <w:rPr>
                <w:rFonts w:cs="Arial"/>
                <w:sz w:val="22"/>
                <w:szCs w:val="22"/>
              </w:rPr>
              <w:t>830</w:t>
            </w:r>
          </w:p>
        </w:tc>
        <w:tc>
          <w:tcPr>
            <w:tcW w:w="885" w:type="dxa"/>
            <w:shd w:val="clear" w:color="auto" w:fill="auto"/>
            <w:noWrap/>
          </w:tcPr>
          <w:p w14:paraId="05B28E71" w14:textId="77777777" w:rsidR="002F116A" w:rsidRPr="006E5A00" w:rsidRDefault="002F116A" w:rsidP="002F116A">
            <w:pPr>
              <w:jc w:val="right"/>
              <w:rPr>
                <w:rFonts w:cs="Arial"/>
                <w:sz w:val="22"/>
                <w:szCs w:val="22"/>
              </w:rPr>
            </w:pPr>
            <w:r w:rsidRPr="006E5A00">
              <w:rPr>
                <w:rFonts w:cs="Arial"/>
                <w:sz w:val="22"/>
                <w:szCs w:val="22"/>
              </w:rPr>
              <w:t>1.40</w:t>
            </w:r>
          </w:p>
        </w:tc>
        <w:tc>
          <w:tcPr>
            <w:tcW w:w="885" w:type="dxa"/>
            <w:shd w:val="clear" w:color="auto" w:fill="auto"/>
            <w:noWrap/>
          </w:tcPr>
          <w:p w14:paraId="2E0F4018" w14:textId="77777777" w:rsidR="002F116A" w:rsidRPr="006E5A00" w:rsidRDefault="002F116A" w:rsidP="002F116A">
            <w:pPr>
              <w:jc w:val="right"/>
              <w:rPr>
                <w:rFonts w:cs="Arial"/>
                <w:sz w:val="22"/>
                <w:szCs w:val="22"/>
              </w:rPr>
            </w:pPr>
            <w:r w:rsidRPr="006E5A00">
              <w:rPr>
                <w:rFonts w:cs="Arial"/>
                <w:sz w:val="22"/>
                <w:szCs w:val="22"/>
              </w:rPr>
              <w:t>1.00</w:t>
            </w:r>
          </w:p>
        </w:tc>
        <w:tc>
          <w:tcPr>
            <w:tcW w:w="885" w:type="dxa"/>
            <w:shd w:val="clear" w:color="auto" w:fill="auto"/>
            <w:noWrap/>
          </w:tcPr>
          <w:p w14:paraId="1A1AB7A8" w14:textId="77777777" w:rsidR="002F116A" w:rsidRPr="006E5A00" w:rsidRDefault="002F116A" w:rsidP="002F116A">
            <w:pPr>
              <w:jc w:val="right"/>
              <w:rPr>
                <w:rFonts w:cs="Arial"/>
                <w:sz w:val="22"/>
                <w:szCs w:val="22"/>
              </w:rPr>
            </w:pPr>
            <w:r w:rsidRPr="006E5A00">
              <w:rPr>
                <w:rFonts w:cs="Arial"/>
                <w:sz w:val="22"/>
                <w:szCs w:val="22"/>
              </w:rPr>
              <w:t>0.80</w:t>
            </w:r>
          </w:p>
        </w:tc>
        <w:tc>
          <w:tcPr>
            <w:tcW w:w="660" w:type="dxa"/>
            <w:shd w:val="clear" w:color="auto" w:fill="auto"/>
          </w:tcPr>
          <w:p w14:paraId="0E0460D5" w14:textId="77777777" w:rsidR="002F116A" w:rsidRPr="006E5A00" w:rsidRDefault="002F116A" w:rsidP="002F116A">
            <w:pPr>
              <w:jc w:val="center"/>
              <w:rPr>
                <w:rFonts w:ascii="Arial" w:hAnsi="Arial" w:cs="Arial"/>
                <w:b/>
                <w:sz w:val="22"/>
                <w:szCs w:val="22"/>
              </w:rPr>
            </w:pPr>
            <w:r w:rsidRPr="006E5A00">
              <w:rPr>
                <w:rFonts w:ascii="Arial" w:hAnsi="Arial" w:cs="Arial"/>
                <w:b/>
                <w:sz w:val="22"/>
                <w:szCs w:val="22"/>
              </w:rPr>
              <w:sym w:font="Wingdings" w:char="F044"/>
            </w:r>
          </w:p>
        </w:tc>
        <w:tc>
          <w:tcPr>
            <w:tcW w:w="2268" w:type="dxa"/>
            <w:gridSpan w:val="2"/>
            <w:shd w:val="clear" w:color="auto" w:fill="auto"/>
            <w:noWrap/>
            <w:vAlign w:val="bottom"/>
          </w:tcPr>
          <w:p w14:paraId="590372B7" w14:textId="77777777" w:rsidR="002F116A" w:rsidRPr="006E5A00" w:rsidRDefault="002F116A" w:rsidP="002F116A">
            <w:pPr>
              <w:jc w:val="center"/>
              <w:rPr>
                <w:rFonts w:ascii="Arial" w:hAnsi="Arial" w:cs="Arial"/>
                <w:sz w:val="22"/>
                <w:szCs w:val="22"/>
              </w:rPr>
            </w:pPr>
            <w:r w:rsidRPr="006E5A00">
              <w:rPr>
                <w:rFonts w:ascii="Arial" w:hAnsi="Arial" w:cs="Arial"/>
                <w:sz w:val="22"/>
                <w:szCs w:val="22"/>
              </w:rPr>
              <w:t>1.09</w:t>
            </w:r>
          </w:p>
        </w:tc>
      </w:tr>
      <w:tr w:rsidR="002F116A" w:rsidRPr="006E5A00" w14:paraId="2531EBA8" w14:textId="77777777" w:rsidTr="007C3584">
        <w:trPr>
          <w:trHeight w:val="255"/>
          <w:jc w:val="center"/>
        </w:trPr>
        <w:tc>
          <w:tcPr>
            <w:tcW w:w="2376" w:type="dxa"/>
            <w:shd w:val="clear" w:color="auto" w:fill="auto"/>
            <w:noWrap/>
          </w:tcPr>
          <w:p w14:paraId="7210D388" w14:textId="77777777" w:rsidR="002F116A" w:rsidRPr="006E5A00" w:rsidRDefault="002F116A" w:rsidP="002F116A">
            <w:pPr>
              <w:rPr>
                <w:rFonts w:cs="Arial"/>
                <w:b/>
                <w:sz w:val="22"/>
                <w:szCs w:val="22"/>
              </w:rPr>
            </w:pPr>
            <w:r w:rsidRPr="006E5A00">
              <w:rPr>
                <w:rFonts w:cs="Arial"/>
                <w:b/>
                <w:sz w:val="22"/>
                <w:szCs w:val="22"/>
              </w:rPr>
              <w:t>Milk</w:t>
            </w:r>
          </w:p>
        </w:tc>
        <w:tc>
          <w:tcPr>
            <w:tcW w:w="993" w:type="dxa"/>
            <w:shd w:val="clear" w:color="auto" w:fill="auto"/>
            <w:noWrap/>
          </w:tcPr>
          <w:p w14:paraId="0A900D1C" w14:textId="77777777" w:rsidR="002F116A" w:rsidRPr="006E5A00" w:rsidRDefault="002F116A" w:rsidP="002F116A">
            <w:pPr>
              <w:jc w:val="right"/>
              <w:rPr>
                <w:rFonts w:cs="Arial"/>
                <w:sz w:val="22"/>
                <w:szCs w:val="22"/>
              </w:rPr>
            </w:pPr>
            <w:r w:rsidRPr="006E5A00">
              <w:rPr>
                <w:rFonts w:cs="Arial"/>
                <w:sz w:val="22"/>
                <w:szCs w:val="22"/>
              </w:rPr>
              <w:t>610</w:t>
            </w:r>
          </w:p>
        </w:tc>
        <w:tc>
          <w:tcPr>
            <w:tcW w:w="885" w:type="dxa"/>
            <w:shd w:val="clear" w:color="auto" w:fill="auto"/>
            <w:noWrap/>
          </w:tcPr>
          <w:p w14:paraId="535392A9" w14:textId="77777777" w:rsidR="002F116A" w:rsidRPr="006E5A00" w:rsidRDefault="002F116A" w:rsidP="002F116A">
            <w:pPr>
              <w:jc w:val="right"/>
              <w:rPr>
                <w:rFonts w:cs="Arial"/>
                <w:sz w:val="22"/>
                <w:szCs w:val="22"/>
              </w:rPr>
            </w:pPr>
            <w:r w:rsidRPr="006E5A00">
              <w:rPr>
                <w:rFonts w:cs="Arial"/>
                <w:sz w:val="22"/>
                <w:szCs w:val="22"/>
              </w:rPr>
              <w:t>0.46</w:t>
            </w:r>
          </w:p>
        </w:tc>
        <w:tc>
          <w:tcPr>
            <w:tcW w:w="885" w:type="dxa"/>
            <w:shd w:val="clear" w:color="auto" w:fill="auto"/>
            <w:noWrap/>
          </w:tcPr>
          <w:p w14:paraId="482E2CAB" w14:textId="77777777" w:rsidR="002F116A" w:rsidRPr="006E5A00" w:rsidRDefault="002F116A" w:rsidP="002F116A">
            <w:pPr>
              <w:jc w:val="right"/>
              <w:rPr>
                <w:rFonts w:cs="Arial"/>
                <w:sz w:val="22"/>
                <w:szCs w:val="22"/>
              </w:rPr>
            </w:pPr>
            <w:r w:rsidRPr="006E5A00">
              <w:rPr>
                <w:rFonts w:cs="Arial"/>
                <w:sz w:val="22"/>
                <w:szCs w:val="22"/>
              </w:rPr>
              <w:t>1.00</w:t>
            </w:r>
          </w:p>
        </w:tc>
        <w:tc>
          <w:tcPr>
            <w:tcW w:w="885" w:type="dxa"/>
            <w:shd w:val="clear" w:color="auto" w:fill="auto"/>
            <w:noWrap/>
          </w:tcPr>
          <w:p w14:paraId="2E747CB4" w14:textId="77777777" w:rsidR="002F116A" w:rsidRPr="006E5A00" w:rsidRDefault="002F116A" w:rsidP="002F116A">
            <w:pPr>
              <w:jc w:val="right"/>
              <w:rPr>
                <w:rFonts w:cs="Arial"/>
                <w:sz w:val="22"/>
                <w:szCs w:val="22"/>
              </w:rPr>
            </w:pPr>
            <w:r w:rsidRPr="006E5A00">
              <w:rPr>
                <w:rFonts w:cs="Arial"/>
                <w:sz w:val="22"/>
                <w:szCs w:val="22"/>
              </w:rPr>
              <w:t>1.50</w:t>
            </w:r>
          </w:p>
        </w:tc>
        <w:tc>
          <w:tcPr>
            <w:tcW w:w="660" w:type="dxa"/>
            <w:shd w:val="clear" w:color="auto" w:fill="auto"/>
          </w:tcPr>
          <w:p w14:paraId="45E0E466" w14:textId="77777777" w:rsidR="002F116A" w:rsidRPr="006E5A00" w:rsidRDefault="002F116A" w:rsidP="002F116A">
            <w:pPr>
              <w:jc w:val="center"/>
              <w:rPr>
                <w:rFonts w:cs="Arial"/>
                <w:b/>
                <w:sz w:val="22"/>
                <w:szCs w:val="22"/>
              </w:rPr>
            </w:pPr>
            <w:r w:rsidRPr="006E5A00">
              <w:rPr>
                <w:rFonts w:cs="Arial"/>
                <w:b/>
                <w:sz w:val="22"/>
                <w:szCs w:val="22"/>
              </w:rPr>
              <w:sym w:font="Wingdings" w:char="F043"/>
            </w:r>
          </w:p>
        </w:tc>
        <w:tc>
          <w:tcPr>
            <w:tcW w:w="2268" w:type="dxa"/>
            <w:gridSpan w:val="2"/>
            <w:shd w:val="clear" w:color="auto" w:fill="auto"/>
            <w:noWrap/>
          </w:tcPr>
          <w:p w14:paraId="5FA7032E" w14:textId="77777777" w:rsidR="002F116A" w:rsidRPr="006E5A00" w:rsidRDefault="002F116A" w:rsidP="002F116A">
            <w:pPr>
              <w:jc w:val="center"/>
              <w:rPr>
                <w:rFonts w:cs="Arial"/>
                <w:sz w:val="22"/>
                <w:szCs w:val="22"/>
              </w:rPr>
            </w:pPr>
            <w:r w:rsidRPr="006E5A00">
              <w:rPr>
                <w:rFonts w:cs="Arial"/>
                <w:sz w:val="22"/>
                <w:szCs w:val="22"/>
              </w:rPr>
              <w:t>0.74</w:t>
            </w:r>
          </w:p>
        </w:tc>
      </w:tr>
      <w:tr w:rsidR="002F116A" w:rsidRPr="006E5A00" w14:paraId="4C900008" w14:textId="77777777" w:rsidTr="007C3584">
        <w:trPr>
          <w:trHeight w:val="255"/>
          <w:jc w:val="center"/>
        </w:trPr>
        <w:tc>
          <w:tcPr>
            <w:tcW w:w="2376" w:type="dxa"/>
            <w:shd w:val="clear" w:color="auto" w:fill="auto"/>
            <w:noWrap/>
          </w:tcPr>
          <w:p w14:paraId="072A4DBF" w14:textId="77777777" w:rsidR="002F116A" w:rsidRPr="006E5A00" w:rsidRDefault="002F116A" w:rsidP="002F116A">
            <w:pPr>
              <w:rPr>
                <w:rFonts w:cs="Arial"/>
                <w:b/>
                <w:sz w:val="22"/>
                <w:szCs w:val="22"/>
              </w:rPr>
            </w:pPr>
            <w:r w:rsidRPr="006E5A00">
              <w:rPr>
                <w:rFonts w:cs="Arial"/>
                <w:b/>
                <w:sz w:val="22"/>
                <w:szCs w:val="22"/>
              </w:rPr>
              <w:t>Family Kcalories</w:t>
            </w:r>
          </w:p>
        </w:tc>
        <w:tc>
          <w:tcPr>
            <w:tcW w:w="993" w:type="dxa"/>
            <w:shd w:val="clear" w:color="auto" w:fill="auto"/>
            <w:noWrap/>
          </w:tcPr>
          <w:p w14:paraId="7CF55753" w14:textId="77777777" w:rsidR="002F116A" w:rsidRPr="006E5A00" w:rsidRDefault="002F116A" w:rsidP="002F116A">
            <w:pPr>
              <w:jc w:val="right"/>
              <w:rPr>
                <w:rFonts w:cs="Arial"/>
                <w:sz w:val="22"/>
                <w:szCs w:val="22"/>
              </w:rPr>
            </w:pPr>
          </w:p>
        </w:tc>
        <w:tc>
          <w:tcPr>
            <w:tcW w:w="885" w:type="dxa"/>
            <w:shd w:val="clear" w:color="auto" w:fill="auto"/>
            <w:noWrap/>
          </w:tcPr>
          <w:p w14:paraId="6B23FB2B" w14:textId="77777777" w:rsidR="002F116A" w:rsidRPr="006E5A00" w:rsidRDefault="002F116A" w:rsidP="002F116A">
            <w:pPr>
              <w:jc w:val="right"/>
              <w:rPr>
                <w:rFonts w:cs="Arial"/>
                <w:sz w:val="22"/>
                <w:szCs w:val="22"/>
              </w:rPr>
            </w:pPr>
            <w:r w:rsidRPr="006E5A00">
              <w:rPr>
                <w:rFonts w:cs="Arial"/>
                <w:sz w:val="22"/>
                <w:szCs w:val="22"/>
              </w:rPr>
              <w:t>13,460</w:t>
            </w:r>
          </w:p>
        </w:tc>
        <w:tc>
          <w:tcPr>
            <w:tcW w:w="885" w:type="dxa"/>
            <w:shd w:val="clear" w:color="auto" w:fill="auto"/>
            <w:noWrap/>
          </w:tcPr>
          <w:p w14:paraId="5E678FBD" w14:textId="77777777" w:rsidR="002F116A" w:rsidRPr="006E5A00" w:rsidRDefault="002F116A" w:rsidP="002F116A">
            <w:pPr>
              <w:jc w:val="right"/>
              <w:rPr>
                <w:rFonts w:cs="Arial"/>
                <w:sz w:val="22"/>
                <w:szCs w:val="22"/>
              </w:rPr>
            </w:pPr>
            <w:r w:rsidRPr="006E5A00">
              <w:rPr>
                <w:rFonts w:cs="Arial"/>
                <w:sz w:val="22"/>
                <w:szCs w:val="22"/>
              </w:rPr>
              <w:t>13,460</w:t>
            </w:r>
          </w:p>
        </w:tc>
        <w:tc>
          <w:tcPr>
            <w:tcW w:w="885" w:type="dxa"/>
            <w:shd w:val="clear" w:color="auto" w:fill="auto"/>
            <w:noWrap/>
          </w:tcPr>
          <w:p w14:paraId="46022DE3" w14:textId="77777777" w:rsidR="002F116A" w:rsidRPr="006E5A00" w:rsidRDefault="002F116A" w:rsidP="002F116A">
            <w:pPr>
              <w:jc w:val="right"/>
              <w:rPr>
                <w:rFonts w:cs="Arial"/>
                <w:sz w:val="22"/>
                <w:szCs w:val="22"/>
              </w:rPr>
            </w:pPr>
            <w:r w:rsidRPr="006E5A00">
              <w:rPr>
                <w:rFonts w:cs="Arial"/>
                <w:sz w:val="22"/>
                <w:szCs w:val="22"/>
              </w:rPr>
              <w:t>13,460</w:t>
            </w:r>
          </w:p>
        </w:tc>
        <w:tc>
          <w:tcPr>
            <w:tcW w:w="660" w:type="dxa"/>
            <w:shd w:val="clear" w:color="auto" w:fill="auto"/>
          </w:tcPr>
          <w:p w14:paraId="5CA72A57" w14:textId="77777777" w:rsidR="002F116A" w:rsidRPr="006E5A00" w:rsidRDefault="002F116A" w:rsidP="002F116A">
            <w:pPr>
              <w:jc w:val="center"/>
              <w:rPr>
                <w:rFonts w:cs="Arial"/>
                <w:sz w:val="22"/>
                <w:szCs w:val="22"/>
              </w:rPr>
            </w:pPr>
          </w:p>
        </w:tc>
        <w:tc>
          <w:tcPr>
            <w:tcW w:w="2268" w:type="dxa"/>
            <w:gridSpan w:val="2"/>
            <w:shd w:val="clear" w:color="auto" w:fill="auto"/>
            <w:noWrap/>
          </w:tcPr>
          <w:p w14:paraId="14103362" w14:textId="77777777" w:rsidR="002F116A" w:rsidRPr="006E5A00" w:rsidRDefault="002F116A" w:rsidP="002F116A">
            <w:pPr>
              <w:jc w:val="center"/>
              <w:rPr>
                <w:rFonts w:cs="Arial"/>
                <w:sz w:val="22"/>
                <w:szCs w:val="22"/>
              </w:rPr>
            </w:pPr>
          </w:p>
        </w:tc>
      </w:tr>
      <w:tr w:rsidR="002F116A" w:rsidRPr="006E5A00" w14:paraId="37F89515" w14:textId="77777777" w:rsidTr="007C3584">
        <w:trPr>
          <w:trHeight w:val="255"/>
          <w:jc w:val="center"/>
        </w:trPr>
        <w:tc>
          <w:tcPr>
            <w:tcW w:w="2376" w:type="dxa"/>
            <w:shd w:val="clear" w:color="auto" w:fill="auto"/>
            <w:noWrap/>
          </w:tcPr>
          <w:p w14:paraId="4B5E0D0B" w14:textId="77777777" w:rsidR="002F116A" w:rsidRPr="006E5A00" w:rsidRDefault="002F116A" w:rsidP="002F116A">
            <w:pPr>
              <w:rPr>
                <w:rFonts w:cs="Arial"/>
                <w:b/>
                <w:sz w:val="22"/>
                <w:szCs w:val="22"/>
              </w:rPr>
            </w:pPr>
            <w:r w:rsidRPr="006E5A00">
              <w:rPr>
                <w:rFonts w:cs="Arial"/>
                <w:b/>
                <w:sz w:val="22"/>
                <w:szCs w:val="22"/>
              </w:rPr>
              <w:t>Man Kcalories</w:t>
            </w:r>
          </w:p>
        </w:tc>
        <w:tc>
          <w:tcPr>
            <w:tcW w:w="993" w:type="dxa"/>
            <w:shd w:val="clear" w:color="auto" w:fill="auto"/>
            <w:noWrap/>
          </w:tcPr>
          <w:p w14:paraId="72274C8A" w14:textId="77777777" w:rsidR="002F116A" w:rsidRPr="006E5A00" w:rsidRDefault="002F116A" w:rsidP="002F116A">
            <w:pPr>
              <w:jc w:val="right"/>
              <w:rPr>
                <w:rFonts w:cs="Arial"/>
                <w:sz w:val="22"/>
                <w:szCs w:val="22"/>
              </w:rPr>
            </w:pPr>
          </w:p>
        </w:tc>
        <w:tc>
          <w:tcPr>
            <w:tcW w:w="885" w:type="dxa"/>
            <w:shd w:val="clear" w:color="auto" w:fill="auto"/>
            <w:noWrap/>
          </w:tcPr>
          <w:p w14:paraId="68B03966" w14:textId="77777777" w:rsidR="002F116A" w:rsidRPr="006E5A00" w:rsidRDefault="002F116A" w:rsidP="002F116A">
            <w:pPr>
              <w:jc w:val="right"/>
              <w:rPr>
                <w:rFonts w:cs="Arial"/>
                <w:sz w:val="22"/>
                <w:szCs w:val="22"/>
              </w:rPr>
            </w:pPr>
            <w:r w:rsidRPr="006E5A00">
              <w:rPr>
                <w:rFonts w:cs="Arial"/>
                <w:sz w:val="22"/>
                <w:szCs w:val="22"/>
              </w:rPr>
              <w:t>4,000</w:t>
            </w:r>
          </w:p>
        </w:tc>
        <w:tc>
          <w:tcPr>
            <w:tcW w:w="885" w:type="dxa"/>
            <w:shd w:val="clear" w:color="auto" w:fill="auto"/>
            <w:noWrap/>
          </w:tcPr>
          <w:p w14:paraId="4B96F437" w14:textId="77777777" w:rsidR="002F116A" w:rsidRPr="006E5A00" w:rsidRDefault="002F116A" w:rsidP="002F116A">
            <w:pPr>
              <w:jc w:val="right"/>
              <w:rPr>
                <w:rFonts w:cs="Arial"/>
                <w:sz w:val="22"/>
                <w:szCs w:val="22"/>
              </w:rPr>
            </w:pPr>
            <w:r w:rsidRPr="006E5A00">
              <w:rPr>
                <w:rFonts w:cs="Arial"/>
                <w:sz w:val="22"/>
                <w:szCs w:val="22"/>
              </w:rPr>
              <w:t>4,000</w:t>
            </w:r>
          </w:p>
        </w:tc>
        <w:tc>
          <w:tcPr>
            <w:tcW w:w="885" w:type="dxa"/>
            <w:shd w:val="clear" w:color="auto" w:fill="auto"/>
            <w:noWrap/>
          </w:tcPr>
          <w:p w14:paraId="7923CCFA" w14:textId="77777777" w:rsidR="002F116A" w:rsidRPr="006E5A00" w:rsidRDefault="002F116A" w:rsidP="002F116A">
            <w:pPr>
              <w:jc w:val="right"/>
              <w:rPr>
                <w:rFonts w:cs="Arial"/>
                <w:sz w:val="22"/>
                <w:szCs w:val="22"/>
              </w:rPr>
            </w:pPr>
            <w:r w:rsidRPr="006E5A00">
              <w:rPr>
                <w:rFonts w:cs="Arial"/>
                <w:sz w:val="22"/>
                <w:szCs w:val="22"/>
              </w:rPr>
              <w:t>4,000</w:t>
            </w:r>
          </w:p>
        </w:tc>
        <w:tc>
          <w:tcPr>
            <w:tcW w:w="660" w:type="dxa"/>
            <w:shd w:val="clear" w:color="auto" w:fill="auto"/>
          </w:tcPr>
          <w:p w14:paraId="6D7B7B58" w14:textId="77777777" w:rsidR="002F116A" w:rsidRPr="006E5A00" w:rsidRDefault="002F116A" w:rsidP="002F116A">
            <w:pPr>
              <w:jc w:val="center"/>
              <w:rPr>
                <w:rFonts w:cs="Arial"/>
                <w:sz w:val="22"/>
                <w:szCs w:val="22"/>
              </w:rPr>
            </w:pPr>
          </w:p>
        </w:tc>
        <w:tc>
          <w:tcPr>
            <w:tcW w:w="2268" w:type="dxa"/>
            <w:gridSpan w:val="2"/>
            <w:shd w:val="clear" w:color="auto" w:fill="auto"/>
            <w:noWrap/>
          </w:tcPr>
          <w:p w14:paraId="3537C7CB" w14:textId="77777777" w:rsidR="002F116A" w:rsidRPr="006E5A00" w:rsidRDefault="002F116A" w:rsidP="002F116A">
            <w:pPr>
              <w:jc w:val="center"/>
              <w:rPr>
                <w:rFonts w:cs="Arial"/>
                <w:sz w:val="22"/>
                <w:szCs w:val="22"/>
              </w:rPr>
            </w:pPr>
          </w:p>
        </w:tc>
      </w:tr>
      <w:tr w:rsidR="002F116A" w:rsidRPr="006E5A00" w14:paraId="7F481EA0" w14:textId="77777777" w:rsidTr="007C3584">
        <w:trPr>
          <w:trHeight w:val="255"/>
          <w:jc w:val="center"/>
        </w:trPr>
        <w:tc>
          <w:tcPr>
            <w:tcW w:w="2376" w:type="dxa"/>
            <w:shd w:val="clear" w:color="auto" w:fill="auto"/>
            <w:noWrap/>
          </w:tcPr>
          <w:p w14:paraId="567C1467" w14:textId="77777777" w:rsidR="002F116A" w:rsidRPr="006E5A00" w:rsidRDefault="002F116A" w:rsidP="002F116A">
            <w:pPr>
              <w:spacing w:after="120"/>
              <w:rPr>
                <w:rFonts w:cs="Arial"/>
                <w:b/>
                <w:sz w:val="22"/>
                <w:szCs w:val="22"/>
              </w:rPr>
            </w:pPr>
            <w:r w:rsidRPr="006E5A00">
              <w:rPr>
                <w:rFonts w:cs="Arial"/>
                <w:b/>
                <w:sz w:val="22"/>
                <w:szCs w:val="22"/>
              </w:rPr>
              <w:t>Average Kcalories</w:t>
            </w:r>
          </w:p>
        </w:tc>
        <w:tc>
          <w:tcPr>
            <w:tcW w:w="993" w:type="dxa"/>
            <w:shd w:val="clear" w:color="auto" w:fill="auto"/>
            <w:noWrap/>
          </w:tcPr>
          <w:p w14:paraId="7127A216" w14:textId="77777777" w:rsidR="002F116A" w:rsidRPr="006E5A00" w:rsidRDefault="002F116A" w:rsidP="002F116A">
            <w:pPr>
              <w:spacing w:after="120"/>
              <w:jc w:val="right"/>
              <w:rPr>
                <w:rFonts w:cs="Arial"/>
                <w:sz w:val="22"/>
                <w:szCs w:val="22"/>
              </w:rPr>
            </w:pPr>
          </w:p>
        </w:tc>
        <w:tc>
          <w:tcPr>
            <w:tcW w:w="885" w:type="dxa"/>
            <w:shd w:val="clear" w:color="auto" w:fill="auto"/>
            <w:noWrap/>
          </w:tcPr>
          <w:p w14:paraId="18820AB3" w14:textId="77777777" w:rsidR="002F116A" w:rsidRPr="006E5A00" w:rsidRDefault="002F116A" w:rsidP="002F116A">
            <w:pPr>
              <w:spacing w:after="120"/>
              <w:jc w:val="right"/>
              <w:rPr>
                <w:rFonts w:cs="Arial"/>
                <w:sz w:val="22"/>
                <w:szCs w:val="22"/>
              </w:rPr>
            </w:pPr>
            <w:r w:rsidRPr="006E5A00">
              <w:rPr>
                <w:rFonts w:cs="Arial"/>
                <w:sz w:val="22"/>
                <w:szCs w:val="22"/>
              </w:rPr>
              <w:t>2,690</w:t>
            </w:r>
          </w:p>
        </w:tc>
        <w:tc>
          <w:tcPr>
            <w:tcW w:w="885" w:type="dxa"/>
            <w:shd w:val="clear" w:color="auto" w:fill="auto"/>
            <w:noWrap/>
          </w:tcPr>
          <w:p w14:paraId="4FE12D4C" w14:textId="77777777" w:rsidR="002F116A" w:rsidRPr="006E5A00" w:rsidRDefault="002F116A" w:rsidP="002F116A">
            <w:pPr>
              <w:spacing w:after="120"/>
              <w:jc w:val="right"/>
              <w:rPr>
                <w:rFonts w:cs="Arial"/>
                <w:sz w:val="22"/>
                <w:szCs w:val="22"/>
              </w:rPr>
            </w:pPr>
            <w:r w:rsidRPr="006E5A00">
              <w:rPr>
                <w:rFonts w:cs="Arial"/>
                <w:sz w:val="22"/>
                <w:szCs w:val="22"/>
              </w:rPr>
              <w:t>2,690</w:t>
            </w:r>
          </w:p>
        </w:tc>
        <w:tc>
          <w:tcPr>
            <w:tcW w:w="885" w:type="dxa"/>
            <w:shd w:val="clear" w:color="auto" w:fill="auto"/>
            <w:noWrap/>
          </w:tcPr>
          <w:p w14:paraId="0C93A643" w14:textId="77777777" w:rsidR="002F116A" w:rsidRPr="006E5A00" w:rsidRDefault="002F116A" w:rsidP="002F116A">
            <w:pPr>
              <w:spacing w:after="120"/>
              <w:jc w:val="right"/>
              <w:rPr>
                <w:rFonts w:cs="Arial"/>
                <w:sz w:val="22"/>
                <w:szCs w:val="22"/>
              </w:rPr>
            </w:pPr>
            <w:r w:rsidRPr="006E5A00">
              <w:rPr>
                <w:rFonts w:cs="Arial"/>
                <w:sz w:val="22"/>
                <w:szCs w:val="22"/>
              </w:rPr>
              <w:t>2,690</w:t>
            </w:r>
          </w:p>
        </w:tc>
        <w:tc>
          <w:tcPr>
            <w:tcW w:w="660" w:type="dxa"/>
            <w:shd w:val="clear" w:color="auto" w:fill="auto"/>
          </w:tcPr>
          <w:p w14:paraId="175E102A" w14:textId="77777777" w:rsidR="002F116A" w:rsidRPr="006E5A00" w:rsidRDefault="002F116A" w:rsidP="002F116A">
            <w:pPr>
              <w:spacing w:after="120"/>
              <w:jc w:val="center"/>
              <w:rPr>
                <w:rFonts w:cs="Arial"/>
                <w:sz w:val="22"/>
                <w:szCs w:val="22"/>
              </w:rPr>
            </w:pPr>
          </w:p>
        </w:tc>
        <w:tc>
          <w:tcPr>
            <w:tcW w:w="2268" w:type="dxa"/>
            <w:gridSpan w:val="2"/>
            <w:shd w:val="clear" w:color="auto" w:fill="auto"/>
            <w:noWrap/>
          </w:tcPr>
          <w:p w14:paraId="0E9EDB1A" w14:textId="77777777" w:rsidR="002F116A" w:rsidRPr="006E5A00" w:rsidRDefault="002F116A" w:rsidP="002F116A">
            <w:pPr>
              <w:spacing w:after="120"/>
              <w:jc w:val="center"/>
              <w:rPr>
                <w:rFonts w:cs="Arial"/>
                <w:sz w:val="22"/>
                <w:szCs w:val="22"/>
              </w:rPr>
            </w:pPr>
            <w:r w:rsidRPr="006E5A00">
              <w:rPr>
                <w:rFonts w:cs="Arial"/>
                <w:sz w:val="22"/>
                <w:szCs w:val="22"/>
              </w:rPr>
              <w:t>2,426 - 2,854</w:t>
            </w:r>
          </w:p>
        </w:tc>
      </w:tr>
    </w:tbl>
    <w:p w14:paraId="0CCBEA72" w14:textId="77777777" w:rsidR="002F116A" w:rsidRPr="006E5A00" w:rsidRDefault="002F116A" w:rsidP="002F116A">
      <w:pPr>
        <w:autoSpaceDE w:val="0"/>
        <w:autoSpaceDN w:val="0"/>
        <w:adjustRightInd w:val="0"/>
        <w:ind w:left="340" w:hanging="340"/>
        <w:jc w:val="both"/>
        <w:rPr>
          <w:sz w:val="16"/>
          <w:szCs w:val="16"/>
        </w:rPr>
      </w:pPr>
      <w:r w:rsidRPr="006E5A00">
        <w:rPr>
          <w:sz w:val="16"/>
          <w:szCs w:val="16"/>
        </w:rPr>
        <w:t xml:space="preserve">Sources: Calories - USDA National Nutrient Database and Simpson (1989). Average consumption Spain 1930 is calculated using average harvests 1929-1932 in Simpson (1989). </w:t>
      </w:r>
    </w:p>
    <w:p w14:paraId="05EDD6E2" w14:textId="77777777" w:rsidR="002F116A" w:rsidRPr="006E5A00" w:rsidRDefault="002F116A" w:rsidP="002F116A">
      <w:pPr>
        <w:autoSpaceDE w:val="0"/>
        <w:autoSpaceDN w:val="0"/>
        <w:adjustRightInd w:val="0"/>
        <w:ind w:left="340" w:hanging="340"/>
        <w:jc w:val="both"/>
        <w:rPr>
          <w:sz w:val="16"/>
          <w:szCs w:val="16"/>
        </w:rPr>
      </w:pPr>
      <w:r w:rsidRPr="006E5A00">
        <w:rPr>
          <w:sz w:val="16"/>
          <w:szCs w:val="16"/>
        </w:rPr>
        <w:t>Note:  last column, last row: 2,426-2,854 kcal average cal per person per day in Spain using Simpson’s estimations of average consumption clearly point at high seasonality of heavy workloads and unaccounted for food complements in family diets in most of rural Spain. Both sources of underestimating family energy balances are less relevant in an industrial urban context where workload is regular and complementing diets more difficult to come by.</w:t>
      </w:r>
    </w:p>
    <w:p w14:paraId="105949D0" w14:textId="77777777" w:rsidR="002F116A" w:rsidRPr="006E5A00" w:rsidRDefault="002F116A" w:rsidP="00973E10">
      <w:pPr>
        <w:autoSpaceDE w:val="0"/>
        <w:autoSpaceDN w:val="0"/>
        <w:adjustRightInd w:val="0"/>
        <w:ind w:firstLine="340"/>
        <w:jc w:val="both"/>
        <w:rPr>
          <w:lang w:val="en-US"/>
        </w:rPr>
      </w:pPr>
    </w:p>
    <w:p w14:paraId="4C715C65" w14:textId="77777777" w:rsidR="00A57AD9" w:rsidRPr="006E5A00" w:rsidRDefault="00A57AD9" w:rsidP="00A57AD9">
      <w:pPr>
        <w:autoSpaceDE w:val="0"/>
        <w:autoSpaceDN w:val="0"/>
        <w:adjustRightInd w:val="0"/>
        <w:ind w:firstLine="340"/>
        <w:jc w:val="both"/>
        <w:rPr>
          <w:lang w:val="en-US"/>
        </w:rPr>
      </w:pPr>
      <w:r w:rsidRPr="006E5A00">
        <w:rPr>
          <w:lang w:val="en-US"/>
        </w:rPr>
        <w:t>The central 1914 basket is key to the exercises we are to perform. It compares well to the average consumption of food items in northern Spain reported for 1885/1913 by Pujol-Andreu and Cussó (2014: table 7). Higher consumption of fish, wine and fats, slightly reducing the consumption of bread, potatoes and legumes is justified, as Bilbao will be further advanced in its nutritional transition, as is including milk at 104 litres per person per year (see Hernández Adell, 2012: table 4.8). Market availability is coherent with Gallego Martínez (2016). Other adjustments, such as considering nutrients (proteins, calcium, iron and vitamins) or a linear programming adjustment to price changes, is beyond the present scope of our analysis (see Cussó Segura, 2005; Cussó Segura et al., 2018; and Zegarra, 2021).</w:t>
      </w:r>
    </w:p>
    <w:p w14:paraId="33F2727F" w14:textId="77777777" w:rsidR="00973E10" w:rsidRPr="006E5A00" w:rsidRDefault="00973E10" w:rsidP="00973E10">
      <w:pPr>
        <w:autoSpaceDE w:val="0"/>
        <w:autoSpaceDN w:val="0"/>
        <w:adjustRightInd w:val="0"/>
        <w:ind w:firstLine="340"/>
        <w:jc w:val="both"/>
      </w:pPr>
      <w:r w:rsidRPr="006E5A00">
        <w:t>A few words need to be said to explain why we choose families as consumption and production units in our comparisons. Our work-horse</w:t>
      </w:r>
      <w:r w:rsidR="003E4A76" w:rsidRPr="006E5A00">
        <w:t xml:space="preserve"> for the analysis</w:t>
      </w:r>
      <w:r w:rsidRPr="006E5A00">
        <w:t xml:space="preserve"> is a </w:t>
      </w:r>
      <w:r w:rsidR="00AB2200" w:rsidRPr="006E5A00">
        <w:t>nuclear</w:t>
      </w:r>
      <w:r w:rsidRPr="006E5A00">
        <w:t xml:space="preserve"> famil</w:t>
      </w:r>
      <w:r w:rsidR="003E4A76" w:rsidRPr="006E5A00">
        <w:t xml:space="preserve">y whose </w:t>
      </w:r>
      <w:r w:rsidR="00AB2200" w:rsidRPr="006E5A00">
        <w:t>male parent</w:t>
      </w:r>
      <w:r w:rsidRPr="006E5A00">
        <w:t xml:space="preserve"> works for the wages collected </w:t>
      </w:r>
      <w:r w:rsidR="003E4A76" w:rsidRPr="006E5A00">
        <w:t>from</w:t>
      </w:r>
      <w:r w:rsidRPr="006E5A00">
        <w:t xml:space="preserve"> Altos Hornos de Vizcaya. Very consciously we have chosen a wage earner working at the blast furnace. We calibrate the family basket to this high energy worker. Th</w:t>
      </w:r>
      <w:r w:rsidR="001B7C10" w:rsidRPr="006E5A00">
        <w:t>e</w:t>
      </w:r>
      <w:r w:rsidRPr="006E5A00">
        <w:t xml:space="preserve"> </w:t>
      </w:r>
      <w:r w:rsidR="001B7C10" w:rsidRPr="006E5A00">
        <w:t>ene</w:t>
      </w:r>
      <w:r w:rsidRPr="006E5A00">
        <w:t xml:space="preserve">rgy </w:t>
      </w:r>
      <w:r w:rsidR="001B7C10" w:rsidRPr="006E5A00">
        <w:t xml:space="preserve">in the </w:t>
      </w:r>
      <w:r w:rsidRPr="006E5A00">
        <w:t xml:space="preserve">basket compared to the energy the high-effort nominal wages can buy, will tell us when the family is over or under its energy level. Our assumption of course is that other </w:t>
      </w:r>
      <w:r w:rsidR="001B7C10" w:rsidRPr="006E5A00">
        <w:t xml:space="preserve">worker’s </w:t>
      </w:r>
      <w:r w:rsidRPr="006E5A00">
        <w:t>famil</w:t>
      </w:r>
      <w:r w:rsidR="001B7C10" w:rsidRPr="006E5A00">
        <w:t>y</w:t>
      </w:r>
      <w:r w:rsidRPr="006E5A00">
        <w:t xml:space="preserve"> baskets and wages moved proportionally —nominal wages reflect energy effort in a high-energy setting (loading and unloading at docks, open-cast mining, transport, iron and steel mills, ship-building, metallurgic trade). Thereby when our work-horse nominal wage moves below the nominal price of the family energy basket, we presume all families to move closer to energy sustenance levels. We are interested in seeing </w:t>
      </w:r>
      <w:r w:rsidR="00382C8B" w:rsidRPr="006E5A00">
        <w:t>this energy balance</w:t>
      </w:r>
      <w:r w:rsidRPr="006E5A00">
        <w:t xml:space="preserve"> as a thermometer of family wellbeing or family stress.</w:t>
      </w:r>
    </w:p>
    <w:p w14:paraId="771F49E0" w14:textId="77777777" w:rsidR="00973E10" w:rsidRPr="006E5A00" w:rsidRDefault="00973E10" w:rsidP="00973E10">
      <w:pPr>
        <w:autoSpaceDE w:val="0"/>
        <w:autoSpaceDN w:val="0"/>
        <w:adjustRightInd w:val="0"/>
        <w:ind w:firstLine="340"/>
        <w:jc w:val="both"/>
      </w:pPr>
      <w:r w:rsidRPr="006E5A00">
        <w:t xml:space="preserve">The vast majority of families over this time </w:t>
      </w:r>
      <w:r w:rsidR="001164CD" w:rsidRPr="006E5A00">
        <w:t>are register</w:t>
      </w:r>
      <w:r w:rsidR="007C5230" w:rsidRPr="006E5A00">
        <w:t>e</w:t>
      </w:r>
      <w:r w:rsidR="001164CD" w:rsidRPr="006E5A00">
        <w:t>d</w:t>
      </w:r>
      <w:r w:rsidRPr="006E5A00">
        <w:t xml:space="preserve"> a male</w:t>
      </w:r>
      <w:r w:rsidR="00703C77" w:rsidRPr="006E5A00">
        <w:t>-</w:t>
      </w:r>
      <w:r w:rsidR="001164CD" w:rsidRPr="006E5A00">
        <w:t>wage</w:t>
      </w:r>
      <w:r w:rsidRPr="006E5A00">
        <w:t xml:space="preserve"> family system. </w:t>
      </w:r>
      <w:r w:rsidR="00D00264" w:rsidRPr="006E5A00">
        <w:t>According to municipal registries o</w:t>
      </w:r>
      <w:r w:rsidRPr="006E5A00">
        <w:t xml:space="preserve">nly 9.41 % of married women </w:t>
      </w:r>
      <w:r w:rsidR="001B7C10" w:rsidRPr="006E5A00">
        <w:t xml:space="preserve">in Bilbao </w:t>
      </w:r>
      <w:r w:rsidRPr="006E5A00">
        <w:t>worked contractually in 1900 and by 1935 this had decreased to 3.71 %.</w:t>
      </w:r>
      <w:r w:rsidRPr="006E5A00">
        <w:rPr>
          <w:vertAlign w:val="superscript"/>
        </w:rPr>
        <w:footnoteReference w:id="20"/>
      </w:r>
      <w:r w:rsidRPr="006E5A00">
        <w:t xml:space="preserve"> </w:t>
      </w:r>
      <w:r w:rsidR="00382C8B" w:rsidRPr="006E5A00">
        <w:t>Traditionally</w:t>
      </w:r>
      <w:r w:rsidRPr="006E5A00">
        <w:t xml:space="preserve"> Bilbao had developed a low-pressure nuclear</w:t>
      </w:r>
      <w:r w:rsidR="00382C8B" w:rsidRPr="006E5A00">
        <w:t>-</w:t>
      </w:r>
      <w:r w:rsidRPr="006E5A00">
        <w:t xml:space="preserve">family system before industrialization, similar to that of north-western Europe. In Bilbao the majority of non-inheriting rural migrants and urban population, both men and women, engaged as apprentices and life cycle servants between the ages of 10 and </w:t>
      </w:r>
      <w:smartTag w:uri="urn:schemas-microsoft-com:office:smarttags" w:element="metricconverter">
        <w:smartTagPr>
          <w:attr w:name="ProductID" w:val="25 in"/>
        </w:smartTagPr>
        <w:r w:rsidRPr="006E5A00">
          <w:t>25 in</w:t>
        </w:r>
      </w:smartTag>
      <w:r w:rsidRPr="006E5A00">
        <w:t xml:space="preserve"> guilds, commerce and households. Thereby they accumulated expertise, skills and, most important, dowries and assets for founding family units. The mining boom, iron and steel and metallurgic trade altered this demographic model only slightly. Immigrants </w:t>
      </w:r>
      <w:r w:rsidR="007C5230" w:rsidRPr="006E5A00">
        <w:t>were pushed into</w:t>
      </w:r>
      <w:r w:rsidRPr="006E5A00">
        <w:t xml:space="preserve"> </w:t>
      </w:r>
      <w:r w:rsidR="007C5230" w:rsidRPr="006E5A00">
        <w:t>p</w:t>
      </w:r>
      <w:r w:rsidRPr="006E5A00">
        <w:t>atterns of late marriage given the low wages they received which obliged them to save or work themselves up to higher incomes before creating a family.</w:t>
      </w:r>
    </w:p>
    <w:p w14:paraId="06620B1E" w14:textId="77777777" w:rsidR="00973E10" w:rsidRPr="006E5A00" w:rsidRDefault="007C5230" w:rsidP="00973E10">
      <w:pPr>
        <w:autoSpaceDE w:val="0"/>
        <w:autoSpaceDN w:val="0"/>
        <w:adjustRightInd w:val="0"/>
        <w:ind w:firstLine="340"/>
        <w:jc w:val="both"/>
      </w:pPr>
      <w:r w:rsidRPr="006E5A00">
        <w:t>A common narrative for reconciling registered women’s work</w:t>
      </w:r>
      <w:r w:rsidR="00973E10" w:rsidRPr="006E5A00">
        <w:t xml:space="preserve"> </w:t>
      </w:r>
      <w:r w:rsidRPr="006E5A00">
        <w:t>is that th</w:t>
      </w:r>
      <w:r w:rsidR="00973E10" w:rsidRPr="006E5A00">
        <w:t xml:space="preserve">e physical strain involved in the new job opportunities </w:t>
      </w:r>
      <w:r w:rsidR="00973E10" w:rsidRPr="006E5A00">
        <w:rPr>
          <w:rFonts w:cs="Calibri"/>
        </w:rPr>
        <w:t>—</w:t>
      </w:r>
      <w:r w:rsidR="00973E10" w:rsidRPr="006E5A00">
        <w:t>open-cast iron ore mining, transport, dock work, iron and steel factories, ship-building, and other metallurgic transformation industries</w:t>
      </w:r>
      <w:r w:rsidR="00973E10" w:rsidRPr="006E5A00">
        <w:rPr>
          <w:rFonts w:cs="Calibri"/>
        </w:rPr>
        <w:t>—</w:t>
      </w:r>
      <w:r w:rsidR="00973E10" w:rsidRPr="006E5A00">
        <w:t xml:space="preserve"> </w:t>
      </w:r>
      <w:r w:rsidRPr="006E5A00">
        <w:t xml:space="preserve">made </w:t>
      </w:r>
      <w:r w:rsidR="00973E10" w:rsidRPr="006E5A00">
        <w:t xml:space="preserve">the two-parent breadwinner nuclear family evolved into a male-breadwinner nuclear family unit in which women were increasingly excluded from labour markets. </w:t>
      </w:r>
      <w:r w:rsidRPr="006E5A00">
        <w:t>Surely</w:t>
      </w:r>
      <w:r w:rsidR="00973E10" w:rsidRPr="006E5A00">
        <w:t xml:space="preserve"> they lost opportunities for </w:t>
      </w:r>
      <w:r w:rsidR="00F11C9D" w:rsidRPr="006E5A00">
        <w:t xml:space="preserve">contractual </w:t>
      </w:r>
      <w:r w:rsidR="00973E10" w:rsidRPr="006E5A00">
        <w:t xml:space="preserve">economic participation </w:t>
      </w:r>
      <w:r w:rsidR="00973E10" w:rsidRPr="006E5A00">
        <w:rPr>
          <w:rFonts w:cs="Calibri"/>
        </w:rPr>
        <w:t>—</w:t>
      </w:r>
      <w:r w:rsidR="00973E10" w:rsidRPr="006E5A00">
        <w:t>female</w:t>
      </w:r>
      <w:r w:rsidR="00F11C9D" w:rsidRPr="006E5A00">
        <w:t xml:space="preserve"> contract labour</w:t>
      </w:r>
      <w:r w:rsidR="00973E10" w:rsidRPr="006E5A00">
        <w:t xml:space="preserve"> </w:t>
      </w:r>
      <w:r w:rsidR="00F11C9D" w:rsidRPr="006E5A00">
        <w:t>was</w:t>
      </w:r>
      <w:r w:rsidR="00973E10" w:rsidRPr="006E5A00">
        <w:t xml:space="preserve"> reserved to single women who could work without restrictions and the demand for these jobs grew less than proportionally to immigration (for ex. services in middle and upper class households).  </w:t>
      </w:r>
      <w:r w:rsidRPr="006E5A00">
        <w:t xml:space="preserve">Informal and temporary jobs became more prevalent for married women. </w:t>
      </w:r>
      <w:r w:rsidR="00973E10" w:rsidRPr="006E5A00">
        <w:t xml:space="preserve">Pushed out of </w:t>
      </w:r>
      <w:r w:rsidRPr="006E5A00">
        <w:t xml:space="preserve">contractual </w:t>
      </w:r>
      <w:r w:rsidR="00973E10" w:rsidRPr="006E5A00">
        <w:t>labour markets</w:t>
      </w:r>
      <w:r w:rsidRPr="006E5A00">
        <w:t xml:space="preserve"> by masculi</w:t>
      </w:r>
      <w:r w:rsidR="004663FE">
        <w:t>s</w:t>
      </w:r>
      <w:r w:rsidRPr="006E5A00">
        <w:t>ation of labour markets,</w:t>
      </w:r>
      <w:r w:rsidR="00973E10" w:rsidRPr="006E5A00">
        <w:t xml:space="preserve"> i</w:t>
      </w:r>
      <w:r w:rsidRPr="006E5A00">
        <w:t>n-</w:t>
      </w:r>
      <w:r w:rsidR="00973E10" w:rsidRPr="006E5A00">
        <w:t xml:space="preserve">migrant women conceived marriage as </w:t>
      </w:r>
      <w:r w:rsidRPr="006E5A00">
        <w:t>an important</w:t>
      </w:r>
      <w:r w:rsidR="00973E10" w:rsidRPr="006E5A00">
        <w:t xml:space="preserve"> survival strategy. B</w:t>
      </w:r>
      <w:r w:rsidR="00F11C9D" w:rsidRPr="006E5A00">
        <w:t>ut</w:t>
      </w:r>
      <w:r w:rsidR="00973E10" w:rsidRPr="006E5A00">
        <w:t xml:space="preserve"> this way</w:t>
      </w:r>
      <w:r w:rsidR="0036787D" w:rsidRPr="006E5A00">
        <w:t xml:space="preserve"> married</w:t>
      </w:r>
      <w:r w:rsidR="00973E10" w:rsidRPr="006E5A00">
        <w:t xml:space="preserve"> women were forced</w:t>
      </w:r>
      <w:r w:rsidR="0036787D" w:rsidRPr="006E5A00">
        <w:t xml:space="preserve"> to provide informal extra income especially during the part of the family life cycle when their children were too small to contribute to family income</w:t>
      </w:r>
      <w:r w:rsidR="00973E10" w:rsidRPr="006E5A00">
        <w:t>.</w:t>
      </w:r>
      <w:r w:rsidR="00973E10" w:rsidRPr="006E5A00">
        <w:rPr>
          <w:vertAlign w:val="superscript"/>
        </w:rPr>
        <w:footnoteReference w:id="21"/>
      </w:r>
      <w:r w:rsidR="00973E10" w:rsidRPr="006E5A00">
        <w:t xml:space="preserve"> The average family size </w:t>
      </w:r>
      <w:r w:rsidR="0036787D" w:rsidRPr="006E5A00">
        <w:t xml:space="preserve">was quite constant </w:t>
      </w:r>
      <w:r w:rsidR="00973E10" w:rsidRPr="006E5A00">
        <w:t>in Bilbao</w:t>
      </w:r>
      <w:r w:rsidR="0036787D" w:rsidRPr="006E5A00">
        <w:t xml:space="preserve"> and</w:t>
      </w:r>
      <w:r w:rsidR="000D5A04" w:rsidRPr="006E5A00">
        <w:t xml:space="preserve"> in 1935 was </w:t>
      </w:r>
      <w:r w:rsidR="0036787D" w:rsidRPr="006E5A00">
        <w:t xml:space="preserve">around </w:t>
      </w:r>
      <w:r w:rsidR="000D5A04" w:rsidRPr="006E5A00">
        <w:t>4.5; in the metropolitan area</w:t>
      </w:r>
      <w:r w:rsidR="00973E10" w:rsidRPr="006E5A00">
        <w:t xml:space="preserve"> between 1920 and 1935 </w:t>
      </w:r>
      <w:r w:rsidR="000D5A04" w:rsidRPr="006E5A00">
        <w:t xml:space="preserve">it </w:t>
      </w:r>
      <w:r w:rsidR="00973E10" w:rsidRPr="006E5A00">
        <w:t>was</w:t>
      </w:r>
      <w:r w:rsidR="0036787D" w:rsidRPr="006E5A00">
        <w:t xml:space="preserve"> near</w:t>
      </w:r>
      <w:r w:rsidR="00973E10" w:rsidRPr="006E5A00">
        <w:t xml:space="preserve"> 5.</w:t>
      </w:r>
      <w:r w:rsidR="0036787D" w:rsidRPr="006E5A00">
        <w:t>2</w:t>
      </w:r>
      <w:r w:rsidR="00973E10" w:rsidRPr="006E5A00">
        <w:t xml:space="preserve">, </w:t>
      </w:r>
      <w:r w:rsidR="00BC14B4" w:rsidRPr="006E5A00">
        <w:t>so</w:t>
      </w:r>
      <w:r w:rsidR="00973E10" w:rsidRPr="006E5A00">
        <w:t xml:space="preserve"> </w:t>
      </w:r>
      <w:r w:rsidR="0036787D" w:rsidRPr="006E5A00">
        <w:t xml:space="preserve">for our contrasts we </w:t>
      </w:r>
      <w:r w:rsidR="00BC14B4" w:rsidRPr="006E5A00">
        <w:t>assume a family composed of</w:t>
      </w:r>
      <w:r w:rsidR="00973E10" w:rsidRPr="006E5A00">
        <w:t xml:space="preserve"> mother</w:t>
      </w:r>
      <w:r w:rsidR="00BC14B4" w:rsidRPr="006E5A00">
        <w:t>, father</w:t>
      </w:r>
      <w:r w:rsidR="00973E10" w:rsidRPr="006E5A00">
        <w:t xml:space="preserve"> and three children (González Portilla, </w:t>
      </w:r>
      <w:r w:rsidR="000D5A04" w:rsidRPr="006E5A00">
        <w:t xml:space="preserve">1995: 272 &amp; </w:t>
      </w:r>
      <w:r w:rsidR="00973E10" w:rsidRPr="006E5A00">
        <w:t xml:space="preserve">2001: 403). </w:t>
      </w:r>
    </w:p>
    <w:p w14:paraId="7A51315F" w14:textId="77777777" w:rsidR="00973E10" w:rsidRPr="006E5A00" w:rsidRDefault="00973E10" w:rsidP="00973E10">
      <w:pPr>
        <w:ind w:firstLine="340"/>
        <w:jc w:val="both"/>
      </w:pPr>
      <w:r w:rsidRPr="006E5A00">
        <w:t>Following reports and handbooks on human food and energy requirements</w:t>
      </w:r>
      <w:r w:rsidR="00703C77" w:rsidRPr="006E5A00">
        <w:t>,</w:t>
      </w:r>
      <w:r w:rsidRPr="006E5A00">
        <w:t xml:space="preserve"> we have calibrated a blast-furnace steel worker’s calorie requirements at 4,000 kcal, women working within the adverse industrializing urban environment with child-bearing and child-rearing, family nutrition, family care and hygiene at 3,000 kcal and an average 2,150 kcal for each of the three children. This gives us a total of 13,450 kcal for the family unit. Male steel workers energy balance is coherent with other references to exceptionally active occupations.</w:t>
      </w:r>
      <w:r w:rsidRPr="006E5A00">
        <w:rPr>
          <w:rStyle w:val="FootnoteReference"/>
        </w:rPr>
        <w:footnoteReference w:id="22"/>
      </w:r>
      <w:r w:rsidRPr="006E5A00">
        <w:t xml:space="preserve"> We have set the level slightly higher —</w:t>
      </w:r>
      <w:r w:rsidR="0036787D" w:rsidRPr="006E5A00">
        <w:t xml:space="preserve">plus </w:t>
      </w:r>
      <w:r w:rsidRPr="006E5A00">
        <w:t>200 kcal— to compensate for the lower degrees of mechanization at the time we are observing, the higher exposure to heat and piecework bonus schemes.</w:t>
      </w:r>
      <w:r w:rsidRPr="006E5A00">
        <w:rPr>
          <w:rStyle w:val="FootnoteReference"/>
        </w:rPr>
        <w:footnoteReference w:id="23"/>
      </w:r>
      <w:r w:rsidRPr="006E5A00">
        <w:t xml:space="preserve"> </w:t>
      </w:r>
    </w:p>
    <w:p w14:paraId="17E0018D" w14:textId="77777777" w:rsidR="00973E10" w:rsidRPr="006E5A00" w:rsidRDefault="00973E10" w:rsidP="00973E10">
      <w:pPr>
        <w:ind w:firstLine="340"/>
        <w:jc w:val="both"/>
      </w:pPr>
      <w:r w:rsidRPr="006E5A00">
        <w:t xml:space="preserve">Energy requirements for women providing for children, </w:t>
      </w:r>
      <w:r w:rsidR="0036787D" w:rsidRPr="006E5A00">
        <w:t xml:space="preserve">water, food, </w:t>
      </w:r>
      <w:r w:rsidRPr="006E5A00">
        <w:t>cloth</w:t>
      </w:r>
      <w:r w:rsidR="0036787D" w:rsidRPr="006E5A00">
        <w:t>ing</w:t>
      </w:r>
      <w:r w:rsidRPr="006E5A00">
        <w:t xml:space="preserve">, hygiene, heating material, and home may seem high, but we </w:t>
      </w:r>
      <w:r w:rsidR="00030FD3" w:rsidRPr="006E5A00">
        <w:t>assume non-contractual work especially for women in the early child-bearing stage of the family life-cycle</w:t>
      </w:r>
      <w:r w:rsidRPr="006E5A00">
        <w:t>. Providing food and water, heating, waste disposal, washing, cleaning and child rearing were physically more demanding than what we may register in more recent times or in rural environments.</w:t>
      </w:r>
      <w:r w:rsidRPr="006E5A00">
        <w:rPr>
          <w:rStyle w:val="FootnoteReference"/>
        </w:rPr>
        <w:footnoteReference w:id="24"/>
      </w:r>
      <w:r w:rsidRPr="006E5A00">
        <w:t xml:space="preserve">  The 2,150 kcal</w:t>
      </w:r>
      <w:r w:rsidR="0036787D" w:rsidRPr="006E5A00">
        <w:t xml:space="preserve"> for each of the three children</w:t>
      </w:r>
      <w:r w:rsidRPr="006E5A00">
        <w:t xml:space="preserve"> is obtained as an average for infants, children and adolescents between 0 and 1</w:t>
      </w:r>
      <w:r w:rsidR="006737C1" w:rsidRPr="006E5A00">
        <w:t xml:space="preserve">8 </w:t>
      </w:r>
      <w:r w:rsidRPr="006E5A00">
        <w:t>years, taking into account the different metabolisms in girls and boys and assuming medium</w:t>
      </w:r>
      <w:r w:rsidR="00703C77" w:rsidRPr="006E5A00">
        <w:t>-</w:t>
      </w:r>
      <w:r w:rsidRPr="006E5A00">
        <w:t>hard physical exercise from age 12 on.</w:t>
      </w:r>
      <w:r w:rsidRPr="006E5A00">
        <w:rPr>
          <w:rStyle w:val="FootnoteReference"/>
        </w:rPr>
        <w:footnoteReference w:id="25"/>
      </w:r>
    </w:p>
    <w:p w14:paraId="07A83167" w14:textId="77777777" w:rsidR="00973E10" w:rsidRPr="006E5A00" w:rsidRDefault="00973E10" w:rsidP="00973E10">
      <w:pPr>
        <w:ind w:firstLine="340"/>
        <w:jc w:val="both"/>
      </w:pPr>
      <w:r w:rsidRPr="006E5A00">
        <w:t xml:space="preserve">Figure </w:t>
      </w:r>
      <w:r w:rsidR="00382C8B" w:rsidRPr="006E5A00">
        <w:t>1 in the publication</w:t>
      </w:r>
      <w:r w:rsidRPr="006E5A00">
        <w:t xml:space="preserve"> shows the monthly upper and lower bound cost in pesetas for the </w:t>
      </w:r>
      <w:r w:rsidR="000301D2" w:rsidRPr="006E5A00">
        <w:t>five</w:t>
      </w:r>
      <w:r w:rsidRPr="006E5A00">
        <w:t>-member blast furnace worker’s family bundle which varies in composition month by month. We have calculated Laspeyres and Paasche type bundles for ea</w:t>
      </w:r>
      <w:r w:rsidR="00D515E7" w:rsidRPr="006E5A00">
        <w:t xml:space="preserve">ch month and the bundles shown </w:t>
      </w:r>
      <w:r w:rsidRPr="006E5A00">
        <w:t xml:space="preserve">are a geometric average </w:t>
      </w:r>
      <w:r w:rsidRPr="006E5A00">
        <w:rPr>
          <w:i/>
        </w:rPr>
        <w:t>á la Fisher</w:t>
      </w:r>
      <w:r w:rsidRPr="006E5A00">
        <w:t xml:space="preserve">. The prices used for the upper bound are the highest prices registered on the Bilbao market and the lower bound uses the lowest prices. If we look at the best possible scenario first, the lower bound cost-of-living shows a sharp and constant increase throughout the First World War and the immediate post-war years up to </w:t>
      </w:r>
      <w:smartTag w:uri="urn:schemas-microsoft-com:office:smarttags" w:element="metricconverter">
        <w:smartTagPr>
          <w:attr w:name="ProductID" w:val="1920, a"/>
        </w:smartTagPr>
        <w:r w:rsidRPr="006E5A00">
          <w:t>1920, a</w:t>
        </w:r>
      </w:smartTag>
      <w:r w:rsidRPr="006E5A00">
        <w:t xml:space="preserve"> downward trend between 1921 and 1923 followed by a very gradual increase up to </w:t>
      </w:r>
      <w:smartTag w:uri="urn:schemas-microsoft-com:office:smarttags" w:element="metricconverter">
        <w:smartTagPr>
          <w:attr w:name="ProductID" w:val="1930. A"/>
        </w:smartTagPr>
        <w:r w:rsidRPr="006E5A00">
          <w:t>1930. A</w:t>
        </w:r>
      </w:smartTag>
      <w:r w:rsidRPr="006E5A00">
        <w:t xml:space="preserve"> second sharp increase is observed between 1930 and 1931, followed by certain stability and a slow decrease between 1932 and 1934, further stability in 1935 and a renewed increase in 1936. </w:t>
      </w:r>
    </w:p>
    <w:p w14:paraId="5A7BF237" w14:textId="77777777" w:rsidR="00A57AD9" w:rsidRDefault="00A57AD9" w:rsidP="0007500F">
      <w:pPr>
        <w:jc w:val="both"/>
        <w:rPr>
          <w:rFonts w:cs="Calibri"/>
          <w:b/>
          <w:sz w:val="28"/>
          <w:szCs w:val="28"/>
        </w:rPr>
      </w:pPr>
    </w:p>
    <w:p w14:paraId="600811DA" w14:textId="77777777" w:rsidR="002F1041" w:rsidRPr="006E5A00" w:rsidRDefault="007720EF" w:rsidP="0007500F">
      <w:pPr>
        <w:jc w:val="both"/>
        <w:rPr>
          <w:rFonts w:cs="Calibri"/>
          <w:b/>
          <w:sz w:val="28"/>
          <w:szCs w:val="28"/>
        </w:rPr>
      </w:pPr>
      <w:r w:rsidRPr="006E5A00">
        <w:rPr>
          <w:rFonts w:cs="Calibri"/>
          <w:b/>
          <w:sz w:val="28"/>
          <w:szCs w:val="28"/>
        </w:rPr>
        <w:t>Discussion of c</w:t>
      </w:r>
      <w:r w:rsidR="002F1041" w:rsidRPr="006E5A00">
        <w:rPr>
          <w:rFonts w:cs="Calibri"/>
          <w:b/>
          <w:sz w:val="28"/>
          <w:szCs w:val="28"/>
        </w:rPr>
        <w:t>omplementary data</w:t>
      </w:r>
    </w:p>
    <w:p w14:paraId="30A1CB49" w14:textId="77777777" w:rsidR="0007500F" w:rsidRPr="006E5A00" w:rsidRDefault="0007500F" w:rsidP="0007500F">
      <w:pPr>
        <w:jc w:val="both"/>
        <w:rPr>
          <w:rFonts w:cs="Calibri"/>
          <w:b/>
        </w:rPr>
      </w:pPr>
      <w:r w:rsidRPr="006E5A00">
        <w:rPr>
          <w:rFonts w:cs="Calibri"/>
          <w:b/>
        </w:rPr>
        <w:t>Poor relief in Bilbao</w:t>
      </w:r>
    </w:p>
    <w:p w14:paraId="4A00895C" w14:textId="77777777" w:rsidR="0007500F" w:rsidRPr="006E5A00" w:rsidRDefault="0007500F" w:rsidP="0007500F">
      <w:pPr>
        <w:jc w:val="both"/>
        <w:rPr>
          <w:rFonts w:cs="Calibri"/>
        </w:rPr>
      </w:pPr>
      <w:r w:rsidRPr="006E5A00">
        <w:rPr>
          <w:rFonts w:cs="Calibri"/>
        </w:rPr>
        <w:t>The organization of an efficient system of poor relief could have mitigated the positive check between real income and mortality, as Kelly and Ó Gráda have shown for preindustrial England in the 17</w:t>
      </w:r>
      <w:r w:rsidRPr="006E5A00">
        <w:rPr>
          <w:rFonts w:cs="Calibri"/>
          <w:vertAlign w:val="superscript"/>
        </w:rPr>
        <w:t>th</w:t>
      </w:r>
      <w:r w:rsidRPr="006E5A00">
        <w:rPr>
          <w:rFonts w:cs="Calibri"/>
        </w:rPr>
        <w:t xml:space="preserve"> century.</w:t>
      </w:r>
      <w:r w:rsidRPr="006E5A00">
        <w:rPr>
          <w:rStyle w:val="FootnoteReference"/>
          <w:rFonts w:cs="Calibri"/>
        </w:rPr>
        <w:footnoteReference w:id="26"/>
      </w:r>
      <w:r w:rsidRPr="006E5A00">
        <w:rPr>
          <w:rFonts w:cs="Calibri"/>
        </w:rPr>
        <w:t xml:space="preserve"> If the authorities and public institutions had reasons to enforce poor relief in order to prevent social unrest, we would think that the incentives to do so were even greater in a district with a very well</w:t>
      </w:r>
      <w:r w:rsidR="00382C8B" w:rsidRPr="006E5A00">
        <w:rPr>
          <w:rFonts w:cs="Calibri"/>
        </w:rPr>
        <w:t>-</w:t>
      </w:r>
      <w:r w:rsidRPr="006E5A00">
        <w:rPr>
          <w:rFonts w:cs="Calibri"/>
        </w:rPr>
        <w:t>organised working-class movement in the first third of the 20</w:t>
      </w:r>
      <w:r w:rsidRPr="006E5A00">
        <w:rPr>
          <w:rFonts w:cs="Calibri"/>
          <w:vertAlign w:val="superscript"/>
        </w:rPr>
        <w:t>th</w:t>
      </w:r>
      <w:r w:rsidRPr="006E5A00">
        <w:rPr>
          <w:rFonts w:cs="Calibri"/>
        </w:rPr>
        <w:t xml:space="preserve"> century.  Nonetheless a careful review of what we know about the system of poor relief in Bilbao reveals it as strongly underfunded and laggardly adaptive. The detailed study of the relief system suggests that it had a limited response capacity to overcome situations of extreme distress caused by </w:t>
      </w:r>
      <w:r w:rsidR="00382C8B" w:rsidRPr="006E5A00">
        <w:rPr>
          <w:rFonts w:cs="Calibri"/>
        </w:rPr>
        <w:t xml:space="preserve">the </w:t>
      </w:r>
      <w:r w:rsidRPr="006E5A00">
        <w:rPr>
          <w:rFonts w:cs="Calibri"/>
        </w:rPr>
        <w:t>sudden drops in real wages, at least up into the 1930s.</w:t>
      </w:r>
      <w:r w:rsidR="009F3EB1" w:rsidRPr="009F3EB1">
        <w:rPr>
          <w:rFonts w:cs="Calibri"/>
        </w:rPr>
        <w:t xml:space="preserve"> </w:t>
      </w:r>
      <w:r w:rsidR="009F3EB1" w:rsidRPr="00C41AF1">
        <w:rPr>
          <w:rFonts w:cs="Calibri"/>
        </w:rPr>
        <w:t>Self-financing was introduced in some cases.</w:t>
      </w:r>
      <w:r w:rsidR="009F3EB1" w:rsidRPr="00C41AF1">
        <w:rPr>
          <w:rStyle w:val="FootnoteReference"/>
          <w:rFonts w:cs="Calibri"/>
        </w:rPr>
        <w:footnoteReference w:id="27"/>
      </w:r>
    </w:p>
    <w:p w14:paraId="11A26019" w14:textId="77777777" w:rsidR="0007500F" w:rsidRPr="006E5A00" w:rsidRDefault="0007500F" w:rsidP="0007500F">
      <w:pPr>
        <w:ind w:firstLine="340"/>
        <w:jc w:val="both"/>
        <w:rPr>
          <w:rFonts w:cs="Calibri"/>
        </w:rPr>
      </w:pPr>
      <w:r w:rsidRPr="006E5A00">
        <w:rPr>
          <w:rFonts w:cs="Calibri"/>
        </w:rPr>
        <w:t>As other regions in Spain, Bilbao had begun to organize an integrated system of poor relief in the second half of the 18th century. This is when the main indoor institution, the hospice La Santa Casa de Misericordia, which gave a home to children and elderly was created. Once industrialization picked up, other hospices such as the Casa Provincial de Expósitos, supported by the regional government were added. Their statistics show short-term reactions in the number of children abandoned to homes in reaction</w:t>
      </w:r>
      <w:r w:rsidR="000301D2" w:rsidRPr="006E5A00">
        <w:rPr>
          <w:rFonts w:cs="Calibri"/>
        </w:rPr>
        <w:t xml:space="preserve"> to</w:t>
      </w:r>
      <w:r w:rsidRPr="006E5A00">
        <w:rPr>
          <w:rFonts w:cs="Calibri"/>
        </w:rPr>
        <w:t xml:space="preserve"> sharp falls in real incomes, especially in 1915-1917 and 1930-1932</w:t>
      </w:r>
      <w:r w:rsidR="000301D2" w:rsidRPr="006E5A00">
        <w:rPr>
          <w:rFonts w:cs="Calibri"/>
        </w:rPr>
        <w:t>.</w:t>
      </w:r>
      <w:r w:rsidRPr="006E5A00">
        <w:rPr>
          <w:rFonts w:cs="Calibri"/>
        </w:rPr>
        <w:t xml:space="preserve"> </w:t>
      </w:r>
      <w:r w:rsidR="000301D2" w:rsidRPr="006E5A00">
        <w:rPr>
          <w:rFonts w:cs="Calibri"/>
        </w:rPr>
        <w:t>I</w:t>
      </w:r>
      <w:r w:rsidRPr="006E5A00">
        <w:rPr>
          <w:rFonts w:cs="Calibri"/>
        </w:rPr>
        <w:t>n the same way</w:t>
      </w:r>
      <w:r w:rsidR="000301D2" w:rsidRPr="006E5A00">
        <w:rPr>
          <w:rFonts w:cs="Calibri"/>
        </w:rPr>
        <w:t>,</w:t>
      </w:r>
      <w:r w:rsidRPr="006E5A00">
        <w:rPr>
          <w:rFonts w:cs="Calibri"/>
        </w:rPr>
        <w:t xml:space="preserve"> child abandoning fell drastically as incomes increased over the 192</w:t>
      </w:r>
      <w:r w:rsidR="00530518" w:rsidRPr="006E5A00">
        <w:rPr>
          <w:rFonts w:cs="Calibri"/>
        </w:rPr>
        <w:t>0s</w:t>
      </w:r>
      <w:r w:rsidRPr="006E5A00">
        <w:rPr>
          <w:rFonts w:cs="Calibri"/>
        </w:rPr>
        <w:t>.</w:t>
      </w:r>
      <w:r w:rsidRPr="006E5A00">
        <w:rPr>
          <w:rStyle w:val="FootnoteReference"/>
          <w:rFonts w:cs="Calibri"/>
        </w:rPr>
        <w:footnoteReference w:id="28"/>
      </w:r>
      <w:r w:rsidRPr="006E5A00">
        <w:rPr>
          <w:rFonts w:cs="Calibri"/>
        </w:rPr>
        <w:t xml:space="preserve"> </w:t>
      </w:r>
    </w:p>
    <w:p w14:paraId="1D4D521C" w14:textId="77777777" w:rsidR="0007500F" w:rsidRPr="006E5A00" w:rsidRDefault="0007500F" w:rsidP="0007500F">
      <w:pPr>
        <w:ind w:firstLine="340"/>
        <w:jc w:val="both"/>
        <w:rPr>
          <w:rFonts w:cs="Calibri"/>
        </w:rPr>
      </w:pPr>
      <w:r w:rsidRPr="006E5A00">
        <w:rPr>
          <w:rFonts w:cs="Calibri"/>
        </w:rPr>
        <w:t>Private and public spending on poor relief channelled into three</w:t>
      </w:r>
      <w:r w:rsidR="005228F4" w:rsidRPr="006E5A00">
        <w:rPr>
          <w:rFonts w:cs="Calibri"/>
        </w:rPr>
        <w:t xml:space="preserve"> other</w:t>
      </w:r>
      <w:r w:rsidRPr="006E5A00">
        <w:rPr>
          <w:rFonts w:cs="Calibri"/>
        </w:rPr>
        <w:t xml:space="preserve"> lines of action: the creation of sanatoriums and hospitals for the working class, especially to combat tuberculosis; the creation of school canteens to improve child nutrition; and outdoor poor relief. Tuberculosis centres followed the Western European model, a dispensary (1915) in the centre of the city to make a first-hand evaluation of each case and hospitals or sanatoriums for long-run treatment outside the cities.</w:t>
      </w:r>
      <w:r w:rsidRPr="006E5A00">
        <w:rPr>
          <w:rStyle w:val="FootnoteReference"/>
          <w:rFonts w:cs="Calibri"/>
        </w:rPr>
        <w:footnoteReference w:id="29"/>
      </w:r>
      <w:r w:rsidRPr="006E5A00">
        <w:rPr>
          <w:rFonts w:cs="Calibri"/>
        </w:rPr>
        <w:t xml:space="preserve"> Between 1919 and the mid-1920s, two seaside sanatoriums were completed for children and another in the mountains for adults.</w:t>
      </w:r>
      <w:r w:rsidRPr="006E5A00">
        <w:rPr>
          <w:rStyle w:val="FootnoteReference"/>
          <w:rFonts w:cs="Calibri"/>
        </w:rPr>
        <w:footnoteReference w:id="30"/>
      </w:r>
      <w:r w:rsidRPr="006E5A00">
        <w:rPr>
          <w:rFonts w:cs="Calibri"/>
        </w:rPr>
        <w:t xml:space="preserve"> The first school canteens were opened in 1912-1913</w:t>
      </w:r>
      <w:r w:rsidR="000A7AAB" w:rsidRPr="006E5A00">
        <w:rPr>
          <w:rFonts w:cs="Calibri"/>
        </w:rPr>
        <w:t>.</w:t>
      </w:r>
      <w:r w:rsidRPr="006E5A00">
        <w:rPr>
          <w:rFonts w:cs="Calibri"/>
        </w:rPr>
        <w:t xml:space="preserve"> </w:t>
      </w:r>
      <w:r w:rsidR="000A7AAB" w:rsidRPr="006E5A00">
        <w:rPr>
          <w:rFonts w:cs="Calibri"/>
        </w:rPr>
        <w:t>They</w:t>
      </w:r>
      <w:r w:rsidRPr="006E5A00">
        <w:rPr>
          <w:rFonts w:cs="Calibri"/>
        </w:rPr>
        <w:t xml:space="preserve"> offered cheap meals to poor and weak children. By the 1930 they had grown and served meals to some 2.000 children.</w:t>
      </w:r>
      <w:r w:rsidRPr="006E5A00">
        <w:rPr>
          <w:rStyle w:val="FootnoteReference"/>
          <w:rFonts w:cs="Calibri"/>
        </w:rPr>
        <w:footnoteReference w:id="31"/>
      </w:r>
    </w:p>
    <w:p w14:paraId="3A53CA66" w14:textId="77777777" w:rsidR="0007500F" w:rsidRPr="006E5A00" w:rsidRDefault="0007500F" w:rsidP="0007500F">
      <w:pPr>
        <w:ind w:firstLine="340"/>
        <w:jc w:val="both"/>
        <w:rPr>
          <w:rFonts w:cs="Calibri"/>
          <w:szCs w:val="24"/>
        </w:rPr>
      </w:pPr>
      <w:r w:rsidRPr="006E5A00">
        <w:rPr>
          <w:rFonts w:cs="Calibri"/>
          <w:szCs w:val="24"/>
        </w:rPr>
        <w:t>Outdoor poor relief was the third tier in the struggle against poverty.</w:t>
      </w:r>
      <w:r w:rsidRPr="006E5A00">
        <w:rPr>
          <w:rStyle w:val="FootnoteReference"/>
          <w:rFonts w:cs="Calibri"/>
          <w:szCs w:val="24"/>
        </w:rPr>
        <w:footnoteReference w:id="32"/>
      </w:r>
      <w:r w:rsidRPr="006E5A00">
        <w:rPr>
          <w:rFonts w:cs="Calibri"/>
          <w:szCs w:val="24"/>
        </w:rPr>
        <w:t xml:space="preserve"> This form of relief had a number of advantages. It was cheaper than </w:t>
      </w:r>
      <w:r w:rsidR="005228F4" w:rsidRPr="006E5A00">
        <w:rPr>
          <w:rFonts w:cs="Calibri"/>
          <w:szCs w:val="24"/>
        </w:rPr>
        <w:t xml:space="preserve">putting </w:t>
      </w:r>
      <w:r w:rsidRPr="006E5A00">
        <w:rPr>
          <w:rFonts w:cs="Calibri"/>
          <w:szCs w:val="24"/>
        </w:rPr>
        <w:t>persons in</w:t>
      </w:r>
      <w:r w:rsidR="005228F4" w:rsidRPr="006E5A00">
        <w:rPr>
          <w:rFonts w:cs="Calibri"/>
          <w:szCs w:val="24"/>
        </w:rPr>
        <w:t>to</w:t>
      </w:r>
      <w:r w:rsidRPr="006E5A00">
        <w:rPr>
          <w:rFonts w:cs="Calibri"/>
          <w:szCs w:val="24"/>
        </w:rPr>
        <w:t xml:space="preserve"> homes and it could be co</w:t>
      </w:r>
      <w:r w:rsidRPr="006E5A00">
        <w:rPr>
          <w:rFonts w:cs="Calibri"/>
        </w:rPr>
        <w:t>-</w:t>
      </w:r>
      <w:r w:rsidRPr="006E5A00">
        <w:rPr>
          <w:rFonts w:cs="Calibri"/>
          <w:szCs w:val="24"/>
        </w:rPr>
        <w:t xml:space="preserve">financed by the person receiving aid. It was more flexible and responsive to emergency situations. It also increased the perimeter of the area which could be attended to. Bilbao established its outdoor poor relief in 1882, financed by </w:t>
      </w:r>
      <w:r w:rsidR="000A7AAB" w:rsidRPr="006E5A00">
        <w:rPr>
          <w:rFonts w:cs="Calibri"/>
          <w:szCs w:val="24"/>
        </w:rPr>
        <w:t xml:space="preserve">the local </w:t>
      </w:r>
      <w:r w:rsidRPr="006E5A00">
        <w:rPr>
          <w:rFonts w:cs="Calibri"/>
          <w:szCs w:val="24"/>
        </w:rPr>
        <w:t xml:space="preserve">town hall. It distributed food rations, milk and coal. The </w:t>
      </w:r>
      <w:r w:rsidRPr="006E5A00">
        <w:rPr>
          <w:rFonts w:cs="Calibri"/>
        </w:rPr>
        <w:t>beneficiaries</w:t>
      </w:r>
      <w:r w:rsidRPr="006E5A00">
        <w:rPr>
          <w:rFonts w:cs="Calibri"/>
          <w:szCs w:val="24"/>
        </w:rPr>
        <w:t xml:space="preserve"> were unemployed or illness-stricken working-class families</w:t>
      </w:r>
      <w:r w:rsidR="005228F4" w:rsidRPr="006E5A00">
        <w:rPr>
          <w:rFonts w:cs="Calibri"/>
          <w:szCs w:val="24"/>
        </w:rPr>
        <w:t xml:space="preserve"> (</w:t>
      </w:r>
      <w:r w:rsidR="005228F4" w:rsidRPr="006E5A00">
        <w:t>Roda, 1931: 153)</w:t>
      </w:r>
      <w:r w:rsidRPr="006E5A00">
        <w:rPr>
          <w:rFonts w:cs="Calibri"/>
          <w:szCs w:val="24"/>
        </w:rPr>
        <w:t xml:space="preserve">. </w:t>
      </w:r>
    </w:p>
    <w:p w14:paraId="3B8876CF" w14:textId="77777777" w:rsidR="0007500F" w:rsidRPr="006E5A00" w:rsidRDefault="0007500F" w:rsidP="0007500F">
      <w:pPr>
        <w:ind w:firstLine="340"/>
        <w:jc w:val="both"/>
        <w:rPr>
          <w:rFonts w:cs="Calibri"/>
          <w:szCs w:val="24"/>
        </w:rPr>
      </w:pPr>
      <w:r w:rsidRPr="006E5A00">
        <w:rPr>
          <w:rFonts w:cs="Calibri"/>
          <w:szCs w:val="24"/>
        </w:rPr>
        <w:t>The existing institutions (indoor and outdoor) were unable to attend the needs during massive labour conflicts or times of extreme economic strife. Provisional soup kitchens were installed to face the food shortages arising from those situations.</w:t>
      </w:r>
      <w:r w:rsidRPr="006E5A00">
        <w:rPr>
          <w:rStyle w:val="FootnoteReference"/>
          <w:rFonts w:cs="Calibri"/>
          <w:szCs w:val="24"/>
        </w:rPr>
        <w:footnoteReference w:id="33"/>
      </w:r>
      <w:r w:rsidRPr="006E5A00">
        <w:rPr>
          <w:rFonts w:cs="Calibri"/>
          <w:szCs w:val="24"/>
        </w:rPr>
        <w:t xml:space="preserve"> Permanent soup kitchens were </w:t>
      </w:r>
      <w:r w:rsidR="005228F4" w:rsidRPr="006E5A00">
        <w:rPr>
          <w:rFonts w:cs="Calibri"/>
          <w:szCs w:val="24"/>
        </w:rPr>
        <w:t xml:space="preserve">also </w:t>
      </w:r>
      <w:r w:rsidRPr="006E5A00">
        <w:rPr>
          <w:rFonts w:cs="Calibri"/>
          <w:szCs w:val="24"/>
        </w:rPr>
        <w:t xml:space="preserve">promoted and installed by the Asociación Vizcaína de Caridad created in 1903 by Count Aresti, and other </w:t>
      </w:r>
      <w:r w:rsidRPr="006E5A00">
        <w:rPr>
          <w:rFonts w:cs="Calibri"/>
        </w:rPr>
        <w:t>philanthropic</w:t>
      </w:r>
      <w:r w:rsidRPr="006E5A00">
        <w:rPr>
          <w:rFonts w:cs="Calibri"/>
          <w:szCs w:val="24"/>
        </w:rPr>
        <w:t xml:space="preserve"> businessmen. </w:t>
      </w:r>
    </w:p>
    <w:p w14:paraId="7D42AF2C" w14:textId="77777777" w:rsidR="00D20DF4" w:rsidRPr="006E5A00" w:rsidRDefault="00D20DF4" w:rsidP="00D26CD6">
      <w:pPr>
        <w:jc w:val="both"/>
        <w:rPr>
          <w:rFonts w:cs="Calibri"/>
          <w:b/>
          <w:i/>
          <w:szCs w:val="24"/>
        </w:rPr>
      </w:pPr>
    </w:p>
    <w:p w14:paraId="0247323C" w14:textId="77777777" w:rsidR="00947A82" w:rsidRPr="00947A82" w:rsidRDefault="00947A82" w:rsidP="00947A82">
      <w:pPr>
        <w:jc w:val="center"/>
        <w:rPr>
          <w:rFonts w:cs="Calibri"/>
          <w:szCs w:val="24"/>
        </w:rPr>
      </w:pPr>
      <w:r w:rsidRPr="00947A82">
        <w:rPr>
          <w:rFonts w:cs="Calibri"/>
          <w:szCs w:val="24"/>
        </w:rPr>
        <w:t xml:space="preserve">FIGURE </w:t>
      </w:r>
      <w:r w:rsidR="00CC285B" w:rsidRPr="00947A82">
        <w:rPr>
          <w:rFonts w:cs="Calibri"/>
          <w:szCs w:val="24"/>
        </w:rPr>
        <w:t>E</w:t>
      </w:r>
    </w:p>
    <w:p w14:paraId="005ED608" w14:textId="77777777" w:rsidR="00D26CD6" w:rsidRPr="00947A82" w:rsidRDefault="00D26CD6" w:rsidP="006813B8">
      <w:pPr>
        <w:spacing w:after="240"/>
        <w:jc w:val="center"/>
        <w:rPr>
          <w:rFonts w:cs="Calibri"/>
          <w:szCs w:val="24"/>
        </w:rPr>
      </w:pPr>
      <w:r w:rsidRPr="00947A82">
        <w:rPr>
          <w:rFonts w:cs="Calibri"/>
          <w:szCs w:val="24"/>
        </w:rPr>
        <w:t>Outdoor poor relief: meals served in soup kitchens (Asociación Vizcaína de Caridad) and á domicile (Beneficencia Domiciliaria), compared to real wage</w:t>
      </w:r>
    </w:p>
    <w:p w14:paraId="5145A728" w14:textId="77777777" w:rsidR="00D26CD6" w:rsidRPr="006E5A00" w:rsidRDefault="00D26CD6" w:rsidP="00D26CD6">
      <w:pPr>
        <w:ind w:firstLine="340"/>
        <w:jc w:val="both"/>
        <w:rPr>
          <w:rFonts w:cs="Calibri"/>
          <w:szCs w:val="24"/>
        </w:rPr>
      </w:pPr>
      <w:r w:rsidRPr="006E5A00">
        <w:rPr>
          <w:noProof/>
          <w:lang w:val="es-ES" w:eastAsia="es-ES"/>
        </w:rPr>
        <w:drawing>
          <wp:inline distT="0" distB="0" distL="0" distR="0" wp14:anchorId="7D258516" wp14:editId="236F9122">
            <wp:extent cx="5715000" cy="3276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14:paraId="782A877C" w14:textId="77777777" w:rsidR="003065AC" w:rsidRPr="006E5A00" w:rsidRDefault="003065AC"/>
    <w:p w14:paraId="129C8773" w14:textId="77777777" w:rsidR="00A57AD9" w:rsidRDefault="00A57AD9" w:rsidP="0007500F">
      <w:pPr>
        <w:rPr>
          <w:b/>
        </w:rPr>
      </w:pPr>
    </w:p>
    <w:p w14:paraId="1A0513BB" w14:textId="77777777" w:rsidR="00A57AD9" w:rsidRDefault="00A57AD9" w:rsidP="0007500F">
      <w:pPr>
        <w:rPr>
          <w:b/>
        </w:rPr>
      </w:pPr>
    </w:p>
    <w:p w14:paraId="4FD2B550" w14:textId="77777777" w:rsidR="00A57AD9" w:rsidRDefault="00A57AD9" w:rsidP="0007500F">
      <w:pPr>
        <w:rPr>
          <w:b/>
        </w:rPr>
      </w:pPr>
    </w:p>
    <w:p w14:paraId="6182A9BC" w14:textId="77777777" w:rsidR="00A57AD9" w:rsidRDefault="00A57AD9" w:rsidP="0007500F">
      <w:pPr>
        <w:rPr>
          <w:b/>
        </w:rPr>
      </w:pPr>
    </w:p>
    <w:p w14:paraId="6CB66BCF" w14:textId="77777777" w:rsidR="006813B8" w:rsidRDefault="006813B8" w:rsidP="0007500F">
      <w:pPr>
        <w:rPr>
          <w:b/>
        </w:rPr>
      </w:pPr>
    </w:p>
    <w:p w14:paraId="2D52CE39" w14:textId="77777777" w:rsidR="0007500F" w:rsidRPr="006E5A00" w:rsidRDefault="0007500F" w:rsidP="0007500F">
      <w:pPr>
        <w:rPr>
          <w:b/>
        </w:rPr>
      </w:pPr>
      <w:r w:rsidRPr="006E5A00">
        <w:rPr>
          <w:b/>
        </w:rPr>
        <w:t>Tuberculosis</w:t>
      </w:r>
    </w:p>
    <w:p w14:paraId="5CBE3B72" w14:textId="77777777" w:rsidR="0007500F" w:rsidRPr="006E5A00" w:rsidRDefault="0007500F" w:rsidP="0007500F">
      <w:pPr>
        <w:ind w:firstLine="340"/>
        <w:jc w:val="both"/>
      </w:pPr>
      <w:r w:rsidRPr="006E5A00">
        <w:t xml:space="preserve">Tuberculosis is caused by bacteria (Mycobacterium tuberculosis). It spreads from person to person through the air when people with lung tuberculosis cough, sneeze or spit. The contagion rate increases with overcrowding. </w:t>
      </w:r>
      <w:r w:rsidR="001F04BC" w:rsidRPr="006E5A00">
        <w:t xml:space="preserve">The risk of being infected is higher for </w:t>
      </w:r>
      <w:r w:rsidRPr="006E5A00">
        <w:t xml:space="preserve">persons with compromised immune systems, </w:t>
      </w:r>
      <w:r w:rsidR="001F04BC" w:rsidRPr="006E5A00">
        <w:t>those suffering</w:t>
      </w:r>
      <w:r w:rsidRPr="006E5A00">
        <w:t xml:space="preserve"> malnutrition, </w:t>
      </w:r>
      <w:r w:rsidR="001F04BC" w:rsidRPr="006E5A00">
        <w:t>heavy smokers</w:t>
      </w:r>
      <w:r w:rsidRPr="006E5A00">
        <w:t xml:space="preserve">, </w:t>
      </w:r>
      <w:r w:rsidR="001F04BC" w:rsidRPr="006E5A00">
        <w:t>and people who have suffered</w:t>
      </w:r>
      <w:r w:rsidRPr="006E5A00">
        <w:t xml:space="preserve"> alcohol abuse (WHO 2014a: 12 and 2014b: xi &amp; 1). </w:t>
      </w:r>
    </w:p>
    <w:p w14:paraId="08FB5CFC" w14:textId="77777777" w:rsidR="00887918" w:rsidRPr="006E5A00" w:rsidRDefault="0007500F" w:rsidP="00887918">
      <w:pPr>
        <w:ind w:firstLine="340"/>
        <w:jc w:val="both"/>
      </w:pPr>
      <w:r w:rsidRPr="006E5A00">
        <w:t>Over the late 19</w:t>
      </w:r>
      <w:r w:rsidRPr="006E5A00">
        <w:rPr>
          <w:vertAlign w:val="superscript"/>
        </w:rPr>
        <w:t>th</w:t>
      </w:r>
      <w:r w:rsidRPr="006E5A00">
        <w:t xml:space="preserve"> century and the beginning of the 20</w:t>
      </w:r>
      <w:r w:rsidRPr="006E5A00">
        <w:rPr>
          <w:vertAlign w:val="superscript"/>
        </w:rPr>
        <w:t>th</w:t>
      </w:r>
      <w:r w:rsidR="001F04BC" w:rsidRPr="006E5A00">
        <w:t xml:space="preserve">, </w:t>
      </w:r>
      <w:r w:rsidRPr="006E5A00">
        <w:t xml:space="preserve">the vast majority of tuberculosis cases </w:t>
      </w:r>
      <w:r w:rsidR="001F04BC" w:rsidRPr="006E5A00">
        <w:t xml:space="preserve">in Spain </w:t>
      </w:r>
      <w:r w:rsidRPr="006E5A00">
        <w:t xml:space="preserve">occurred in ages between 15 and 35 years. Contemporary </w:t>
      </w:r>
      <w:r w:rsidR="001F04BC" w:rsidRPr="006E5A00">
        <w:t>doctors</w:t>
      </w:r>
      <w:r w:rsidRPr="006E5A00">
        <w:t xml:space="preserve"> attributed </w:t>
      </w:r>
      <w:r w:rsidR="00265CCC" w:rsidRPr="006E5A00">
        <w:t xml:space="preserve">falling ill with tuberculosis </w:t>
      </w:r>
      <w:r w:rsidRPr="006E5A00">
        <w:t>to insufficient food</w:t>
      </w:r>
      <w:r w:rsidR="00265CCC" w:rsidRPr="006E5A00">
        <w:t xml:space="preserve"> intake</w:t>
      </w:r>
      <w:r w:rsidRPr="006E5A00">
        <w:t>, long working days, living in unhealthy dwellings and alcoholism (</w:t>
      </w:r>
      <w:r w:rsidRPr="006E5A00">
        <w:rPr>
          <w:lang w:val="en-US"/>
        </w:rPr>
        <w:t>Molero Mesa, 2010: 171)</w:t>
      </w:r>
      <w:r w:rsidRPr="006E5A00">
        <w:t xml:space="preserve">. The </w:t>
      </w:r>
      <w:r w:rsidR="000D4A23" w:rsidRPr="006E5A00">
        <w:t xml:space="preserve">contemporary </w:t>
      </w:r>
      <w:r w:rsidRPr="006E5A00">
        <w:t>epidemiological studies carried out in Madrid and Barcelona reported poor living conditions and inadequate diets as the causes of high tuberculosis mortality rates. Vicente Álvarez Rodríguez-Villamil, a pulmonologist and city counsel</w:t>
      </w:r>
      <w:r w:rsidR="00265CCC" w:rsidRPr="006E5A00">
        <w:t>l</w:t>
      </w:r>
      <w:r w:rsidRPr="006E5A00">
        <w:t>or</w:t>
      </w:r>
      <w:r w:rsidR="00265CCC" w:rsidRPr="006E5A00">
        <w:t>,</w:t>
      </w:r>
      <w:r w:rsidR="006E5A00">
        <w:t xml:space="preserve"> analys</w:t>
      </w:r>
      <w:r w:rsidRPr="006E5A00">
        <w:t>ed income and spending of average famil</w:t>
      </w:r>
      <w:r w:rsidR="005228F4" w:rsidRPr="006E5A00">
        <w:t>ies</w:t>
      </w:r>
      <w:r w:rsidRPr="006E5A00">
        <w:t xml:space="preserve"> in Madrid at the beginning of the 20</w:t>
      </w:r>
      <w:r w:rsidRPr="006E5A00">
        <w:rPr>
          <w:vertAlign w:val="superscript"/>
        </w:rPr>
        <w:t>th</w:t>
      </w:r>
      <w:r w:rsidRPr="006E5A00">
        <w:t xml:space="preserve"> </w:t>
      </w:r>
      <w:r w:rsidR="005228F4" w:rsidRPr="006E5A00">
        <w:t xml:space="preserve">century </w:t>
      </w:r>
      <w:r w:rsidRPr="006E5A00">
        <w:t xml:space="preserve">and concluded that workers did not have </w:t>
      </w:r>
      <w:r w:rsidR="005228F4" w:rsidRPr="006E5A00">
        <w:t>the</w:t>
      </w:r>
      <w:r w:rsidRPr="006E5A00">
        <w:t xml:space="preserve"> sufficient intake of calories to keep a balanced </w:t>
      </w:r>
      <w:r w:rsidR="00265CCC" w:rsidRPr="006E5A00">
        <w:t xml:space="preserve">state of </w:t>
      </w:r>
      <w:r w:rsidRPr="006E5A00">
        <w:t>energy</w:t>
      </w:r>
      <w:r w:rsidR="00265CCC" w:rsidRPr="006E5A00">
        <w:t xml:space="preserve"> making </w:t>
      </w:r>
      <w:r w:rsidRPr="006E5A00">
        <w:t>them especially vulnerable to tuberculosis (</w:t>
      </w:r>
      <w:r w:rsidRPr="006E5A00">
        <w:rPr>
          <w:lang w:val="en-US"/>
        </w:rPr>
        <w:t>Molero Mesa, 2010: 174 &amp; 1989: 202-17)</w:t>
      </w:r>
      <w:r w:rsidRPr="006E5A00">
        <w:t>.</w:t>
      </w:r>
    </w:p>
    <w:p w14:paraId="2E2AD77C" w14:textId="77777777" w:rsidR="00D20DF4" w:rsidRPr="006E5A00" w:rsidRDefault="00F92A4C" w:rsidP="0007500F">
      <w:pPr>
        <w:ind w:firstLine="340"/>
        <w:jc w:val="both"/>
      </w:pPr>
      <w:r w:rsidRPr="006E5A00">
        <w:t xml:space="preserve">The risk of transmission was greater during late-winter and early-spring months, when the reduction of ultraviolet light </w:t>
      </w:r>
      <w:r w:rsidR="000D4A23" w:rsidRPr="006E5A00">
        <w:t>worsened the</w:t>
      </w:r>
      <w:r w:rsidRPr="006E5A00">
        <w:t xml:space="preserve"> low levels of </w:t>
      </w:r>
      <w:r w:rsidR="000D4A23" w:rsidRPr="006E5A00">
        <w:t xml:space="preserve">accumulated </w:t>
      </w:r>
      <w:r w:rsidRPr="006E5A00">
        <w:t xml:space="preserve">Vitamin D. The predominance of the iron-and-steel industry combined with the estuary being located in a narrow valley perpetuated the accumulation of industrial smog that aggravated this condition. Indoor confinement due to cold weather and frequent rainfall enhanced contagion. This was further aggravated by ill-ventilated and overcrowded working-class housing. This morbidity cocktail was magnified by economic stress i.e. </w:t>
      </w:r>
      <w:r w:rsidR="000D4A23" w:rsidRPr="006E5A00">
        <w:t xml:space="preserve">lower real income leading to </w:t>
      </w:r>
      <w:r w:rsidRPr="006E5A00">
        <w:t xml:space="preserve">malnutrition. </w:t>
      </w:r>
    </w:p>
    <w:p w14:paraId="3C9982C5" w14:textId="77777777" w:rsidR="00F92A4C" w:rsidRPr="006E5A00" w:rsidRDefault="00F92A4C" w:rsidP="00D20DF4">
      <w:pPr>
        <w:rPr>
          <w:b/>
          <w:i/>
        </w:rPr>
      </w:pPr>
    </w:p>
    <w:p w14:paraId="683A876C" w14:textId="77777777" w:rsidR="00947A82" w:rsidRPr="00947A82" w:rsidRDefault="00947A82" w:rsidP="00947A82">
      <w:pPr>
        <w:jc w:val="center"/>
      </w:pPr>
      <w:r w:rsidRPr="00947A82">
        <w:t xml:space="preserve">FIGURE </w:t>
      </w:r>
      <w:r w:rsidR="00CC285B" w:rsidRPr="00947A82">
        <w:t>F</w:t>
      </w:r>
      <w:r w:rsidRPr="00947A82">
        <w:t>.</w:t>
      </w:r>
    </w:p>
    <w:p w14:paraId="286A1B7E" w14:textId="77777777" w:rsidR="00D20DF4" w:rsidRDefault="00D20DF4" w:rsidP="00947A82">
      <w:pPr>
        <w:jc w:val="center"/>
      </w:pPr>
      <w:r w:rsidRPr="00947A82">
        <w:t>Seasonality of tuberculosis in Bilbao, Jan 19</w:t>
      </w:r>
      <w:r w:rsidR="00F92A4C" w:rsidRPr="00947A82">
        <w:t>14</w:t>
      </w:r>
      <w:r w:rsidRPr="00947A82">
        <w:t xml:space="preserve"> – </w:t>
      </w:r>
      <w:r w:rsidR="0016264A" w:rsidRPr="00947A82">
        <w:t>Dec</w:t>
      </w:r>
      <w:r w:rsidRPr="00947A82">
        <w:t xml:space="preserve"> 193</w:t>
      </w:r>
      <w:r w:rsidR="00F92A4C" w:rsidRPr="00947A82">
        <w:t>6</w:t>
      </w:r>
      <w:r w:rsidR="0016264A" w:rsidRPr="00947A82">
        <w:t xml:space="preserve"> (deaths per thousand)</w:t>
      </w:r>
    </w:p>
    <w:p w14:paraId="09AD81C6" w14:textId="77777777" w:rsidR="00947A82" w:rsidRPr="00947A82" w:rsidRDefault="00947A82" w:rsidP="00947A82">
      <w:pPr>
        <w:jc w:val="center"/>
      </w:pPr>
    </w:p>
    <w:p w14:paraId="605849F7" w14:textId="77777777" w:rsidR="00D20DF4" w:rsidRPr="006E5A00" w:rsidRDefault="0073076B" w:rsidP="00947A82">
      <w:pPr>
        <w:jc w:val="center"/>
      </w:pPr>
      <w:r w:rsidRPr="006E5A00">
        <w:rPr>
          <w:noProof/>
          <w:lang w:val="es-ES" w:eastAsia="es-ES"/>
        </w:rPr>
        <w:drawing>
          <wp:inline distT="0" distB="0" distL="0" distR="0" wp14:anchorId="0A1F8DD0" wp14:editId="77900A79">
            <wp:extent cx="3929865" cy="1897380"/>
            <wp:effectExtent l="19050" t="19050" r="13970" b="266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2808" cy="1927769"/>
                    </a:xfrm>
                    <a:prstGeom prst="rect">
                      <a:avLst/>
                    </a:prstGeom>
                    <a:noFill/>
                    <a:ln w="12700">
                      <a:solidFill>
                        <a:schemeClr val="tx1"/>
                      </a:solidFill>
                    </a:ln>
                  </pic:spPr>
                </pic:pic>
              </a:graphicData>
            </a:graphic>
          </wp:inline>
        </w:drawing>
      </w:r>
    </w:p>
    <w:p w14:paraId="361A7C0C" w14:textId="77777777" w:rsidR="005A6F95" w:rsidRPr="006E5A00" w:rsidRDefault="005A6F95" w:rsidP="00D20DF4">
      <w:pPr>
        <w:ind w:firstLine="340"/>
      </w:pPr>
    </w:p>
    <w:p w14:paraId="3115A0BE" w14:textId="77777777" w:rsidR="00CD0C36" w:rsidRDefault="00F92A4C" w:rsidP="00CD0C36">
      <w:pPr>
        <w:ind w:firstLine="340"/>
        <w:jc w:val="both"/>
      </w:pPr>
      <w:r w:rsidRPr="006E5A00">
        <w:t xml:space="preserve">As we can see in Figure </w:t>
      </w:r>
      <w:r w:rsidR="00CC285B">
        <w:t>G</w:t>
      </w:r>
      <w:r w:rsidRPr="006E5A00">
        <w:t>, there was an inverse relation both in annualized trends and lagged peaks-troughs between real wages and tuberculosis death rates, accentuated during strong falls and alleviated during increased in real wages.</w:t>
      </w:r>
    </w:p>
    <w:p w14:paraId="25C45E56" w14:textId="77777777" w:rsidR="00CD0C36" w:rsidRDefault="00CD0C36" w:rsidP="00CD0C36">
      <w:pPr>
        <w:ind w:firstLine="340"/>
        <w:jc w:val="both"/>
      </w:pPr>
      <w:r w:rsidRPr="006E5A00">
        <w:t xml:space="preserve">The distributed lag regressions show a significant inverse impact of real wage variation with a delay of six months on TB death incidence, similar to the impact on mortality rates. Figure </w:t>
      </w:r>
      <w:r w:rsidR="00CC285B">
        <w:t>H</w:t>
      </w:r>
      <w:r w:rsidRPr="006E5A00">
        <w:t xml:space="preserve"> shows overall lung disease death rates and real wages. In the case of overall lung disease deaths regressions again show significant inverse impacts with lags 5 and 6, exactly as in the case of mortality rates. </w:t>
      </w:r>
    </w:p>
    <w:p w14:paraId="7963BD64" w14:textId="77777777" w:rsidR="006813B8" w:rsidRDefault="006813B8" w:rsidP="00947A82">
      <w:pPr>
        <w:jc w:val="center"/>
      </w:pPr>
    </w:p>
    <w:p w14:paraId="02658F5B" w14:textId="77777777" w:rsidR="00947A82" w:rsidRPr="00947A82" w:rsidRDefault="00947A82" w:rsidP="00947A82">
      <w:pPr>
        <w:jc w:val="center"/>
      </w:pPr>
      <w:r w:rsidRPr="00947A82">
        <w:t xml:space="preserve">FIGURE </w:t>
      </w:r>
      <w:r w:rsidR="00CC285B" w:rsidRPr="00947A82">
        <w:t>G</w:t>
      </w:r>
    </w:p>
    <w:p w14:paraId="0D394A70" w14:textId="77777777" w:rsidR="00D20DF4" w:rsidRPr="00947A82" w:rsidRDefault="00D20DF4" w:rsidP="00947A82">
      <w:pPr>
        <w:jc w:val="center"/>
      </w:pPr>
      <w:r w:rsidRPr="00947A82">
        <w:t xml:space="preserve">Real wages and annualized monthly </w:t>
      </w:r>
      <w:r w:rsidR="00A5504B" w:rsidRPr="00947A82">
        <w:t>tuberculosis</w:t>
      </w:r>
      <w:r w:rsidRPr="00947A82">
        <w:t xml:space="preserve"> death rates (per thousand)</w:t>
      </w:r>
    </w:p>
    <w:p w14:paraId="69E95CE4" w14:textId="77777777" w:rsidR="004A58DF" w:rsidRPr="006E5A00" w:rsidRDefault="00F92A4C">
      <w:pPr>
        <w:spacing w:after="160" w:line="259" w:lineRule="auto"/>
      </w:pPr>
      <w:r w:rsidRPr="006E5A00">
        <w:rPr>
          <w:noProof/>
          <w:lang w:val="es-ES" w:eastAsia="es-ES"/>
        </w:rPr>
        <w:drawing>
          <wp:inline distT="0" distB="0" distL="0" distR="0" wp14:anchorId="6BEEC0B6" wp14:editId="4163F097">
            <wp:extent cx="6051792" cy="3014980"/>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4836" cy="3026460"/>
                    </a:xfrm>
                    <a:prstGeom prst="rect">
                      <a:avLst/>
                    </a:prstGeom>
                    <a:noFill/>
                    <a:ln>
                      <a:noFill/>
                    </a:ln>
                  </pic:spPr>
                </pic:pic>
              </a:graphicData>
            </a:graphic>
          </wp:inline>
        </w:drawing>
      </w:r>
    </w:p>
    <w:p w14:paraId="389D7C1F" w14:textId="77777777" w:rsidR="00947A82" w:rsidRPr="00947A82" w:rsidRDefault="00947A82" w:rsidP="00947A82">
      <w:pPr>
        <w:jc w:val="center"/>
      </w:pPr>
      <w:r w:rsidRPr="00947A82">
        <w:t xml:space="preserve">FIGURE </w:t>
      </w:r>
      <w:r w:rsidR="00CC285B" w:rsidRPr="00947A82">
        <w:t>H</w:t>
      </w:r>
    </w:p>
    <w:p w14:paraId="0CAF91FF" w14:textId="77777777" w:rsidR="00A5504B" w:rsidRPr="00947A82" w:rsidRDefault="00A5504B" w:rsidP="00947A82">
      <w:pPr>
        <w:jc w:val="center"/>
      </w:pPr>
      <w:r w:rsidRPr="00947A82">
        <w:t>Real wages and annualized monthly lung disease death rates (per thousand)</w:t>
      </w:r>
    </w:p>
    <w:p w14:paraId="4680AA38" w14:textId="77777777" w:rsidR="00070DE0" w:rsidRPr="006E5A00" w:rsidRDefault="00A5504B" w:rsidP="005A6F95">
      <w:pPr>
        <w:jc w:val="both"/>
        <w:rPr>
          <w:b/>
        </w:rPr>
      </w:pPr>
      <w:r w:rsidRPr="006E5A00">
        <w:rPr>
          <w:noProof/>
          <w:lang w:val="es-ES" w:eastAsia="es-ES"/>
        </w:rPr>
        <w:drawing>
          <wp:inline distT="0" distB="0" distL="0" distR="0" wp14:anchorId="3211AF0B" wp14:editId="6B74F8D5">
            <wp:extent cx="6261197" cy="3116580"/>
            <wp:effectExtent l="0" t="0" r="635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7827" cy="3134813"/>
                    </a:xfrm>
                    <a:prstGeom prst="rect">
                      <a:avLst/>
                    </a:prstGeom>
                    <a:noFill/>
                    <a:ln>
                      <a:noFill/>
                    </a:ln>
                  </pic:spPr>
                </pic:pic>
              </a:graphicData>
            </a:graphic>
          </wp:inline>
        </w:drawing>
      </w:r>
    </w:p>
    <w:p w14:paraId="510F043A" w14:textId="77777777" w:rsidR="00A5504B" w:rsidRPr="006E5A00" w:rsidRDefault="00A5504B" w:rsidP="005A6F95">
      <w:pPr>
        <w:jc w:val="both"/>
        <w:rPr>
          <w:b/>
        </w:rPr>
      </w:pPr>
    </w:p>
    <w:p w14:paraId="482215C3" w14:textId="77777777" w:rsidR="00A57AD9" w:rsidRDefault="00A57AD9" w:rsidP="005A6F95">
      <w:pPr>
        <w:jc w:val="both"/>
        <w:rPr>
          <w:b/>
        </w:rPr>
      </w:pPr>
    </w:p>
    <w:p w14:paraId="5EA9BADF" w14:textId="77777777" w:rsidR="00A57AD9" w:rsidRDefault="00A57AD9" w:rsidP="005A6F95">
      <w:pPr>
        <w:jc w:val="both"/>
        <w:rPr>
          <w:b/>
        </w:rPr>
      </w:pPr>
    </w:p>
    <w:p w14:paraId="3072DF78" w14:textId="77777777" w:rsidR="005A6F95" w:rsidRPr="006E5A00" w:rsidRDefault="005A6F95" w:rsidP="005A6F95">
      <w:pPr>
        <w:jc w:val="both"/>
        <w:rPr>
          <w:b/>
        </w:rPr>
      </w:pPr>
      <w:r w:rsidRPr="006E5A00">
        <w:rPr>
          <w:b/>
        </w:rPr>
        <w:t>Nuptiality</w:t>
      </w:r>
    </w:p>
    <w:p w14:paraId="41F3CBFF" w14:textId="77777777" w:rsidR="004A58DF" w:rsidRPr="006E5A00" w:rsidRDefault="004A58DF" w:rsidP="004A58DF">
      <w:pPr>
        <w:ind w:firstLine="340"/>
        <w:jc w:val="both"/>
      </w:pPr>
      <w:r w:rsidRPr="006E5A00">
        <w:t xml:space="preserve">Nuptiality rates can supplement </w:t>
      </w:r>
      <w:r w:rsidR="005A6F95" w:rsidRPr="006E5A00">
        <w:t>for</w:t>
      </w:r>
      <w:r w:rsidRPr="006E5A00">
        <w:t xml:space="preserve"> missing data on underemployment and unemployment. Unemployment and underemployment rates </w:t>
      </w:r>
      <w:r w:rsidR="0093496C" w:rsidRPr="006E5A00">
        <w:t xml:space="preserve">as we know them today </w:t>
      </w:r>
      <w:r w:rsidRPr="006E5A00">
        <w:t xml:space="preserve">were not registered </w:t>
      </w:r>
      <w:r w:rsidR="002A619C" w:rsidRPr="006E5A00">
        <w:t>over the complete</w:t>
      </w:r>
      <w:r w:rsidRPr="006E5A00">
        <w:t xml:space="preserve"> period.</w:t>
      </w:r>
      <w:r w:rsidR="00530518" w:rsidRPr="006E5A00">
        <w:rPr>
          <w:rStyle w:val="FootnoteReference"/>
        </w:rPr>
        <w:footnoteReference w:id="34"/>
      </w:r>
      <w:r w:rsidR="002A619C" w:rsidRPr="006E5A00">
        <w:t xml:space="preserve"> </w:t>
      </w:r>
      <w:r w:rsidR="00C618FA" w:rsidRPr="006E5A00">
        <w:t>A</w:t>
      </w:r>
      <w:r w:rsidRPr="006E5A00">
        <w:t xml:space="preserve"> close correlation between nuptiality and unemployment was found by Southall and Gilbert (1996) for England and Wales, and </w:t>
      </w:r>
      <w:r w:rsidR="007538F9" w:rsidRPr="006E5A00">
        <w:t xml:space="preserve">by </w:t>
      </w:r>
      <w:r w:rsidRPr="006E5A00">
        <w:t>Kirk (1960) for the interwar period in the United States.  Wales, England and the United States were industrial forerunners and also share</w:t>
      </w:r>
      <w:r w:rsidR="00530518" w:rsidRPr="006E5A00">
        <w:t xml:space="preserve"> some</w:t>
      </w:r>
      <w:r w:rsidRPr="006E5A00">
        <w:t xml:space="preserve"> common demographic patterns. Outdoor poor-relief, for which we have data and which should be highly correlated with under</w:t>
      </w:r>
      <w:r w:rsidR="005A6F95" w:rsidRPr="006E5A00">
        <w:t>-</w:t>
      </w:r>
      <w:r w:rsidRPr="006E5A00">
        <w:t>employment and unemployment, moves in unison with nuptiality rates.</w:t>
      </w:r>
      <w:r w:rsidRPr="006E5A00">
        <w:rPr>
          <w:rStyle w:val="FootnoteReference"/>
        </w:rPr>
        <w:footnoteReference w:id="35"/>
      </w:r>
      <w:r w:rsidRPr="006E5A00">
        <w:t xml:space="preserve">  Figure </w:t>
      </w:r>
      <w:r w:rsidR="00CC285B">
        <w:t>I</w:t>
      </w:r>
      <w:r w:rsidRPr="006E5A00">
        <w:t xml:space="preserve"> would identify the episodes of nuptiality</w:t>
      </w:r>
      <w:r w:rsidR="00070DE0" w:rsidRPr="006E5A00">
        <w:t xml:space="preserve"> (in red)</w:t>
      </w:r>
      <w:r w:rsidRPr="006E5A00">
        <w:t xml:space="preserve"> contraction pointing at the prevalence of underemployment and unemployment we do not capture with the movement of real incomes —the</w:t>
      </w:r>
      <w:r w:rsidR="008F2D8C" w:rsidRPr="006E5A00">
        <w:t>se</w:t>
      </w:r>
      <w:r w:rsidRPr="006E5A00">
        <w:t xml:space="preserve"> show only the changes of income of those fully employed. This is the case in the first half of the 192</w:t>
      </w:r>
      <w:r w:rsidR="00530518" w:rsidRPr="006E5A00">
        <w:t>0s</w:t>
      </w:r>
      <w:r w:rsidRPr="006E5A00">
        <w:t xml:space="preserve"> and the beginning of the 193</w:t>
      </w:r>
      <w:r w:rsidR="00530518" w:rsidRPr="006E5A00">
        <w:t>0s</w:t>
      </w:r>
      <w:r w:rsidR="00070DE0" w:rsidRPr="006E5A00">
        <w:t>,</w:t>
      </w:r>
      <w:r w:rsidRPr="006E5A00">
        <w:t xml:space="preserve"> with the difference that the contraction of nuptiality persists throughout the 193</w:t>
      </w:r>
      <w:r w:rsidR="00530518" w:rsidRPr="006E5A00">
        <w:t>0s</w:t>
      </w:r>
      <w:r w:rsidRPr="006E5A00">
        <w:t xml:space="preserve"> whereas it recovers in the second half of the 192</w:t>
      </w:r>
      <w:r w:rsidR="00530518" w:rsidRPr="006E5A00">
        <w:t>0s</w:t>
      </w:r>
      <w:r w:rsidRPr="006E5A00">
        <w:t xml:space="preserve">. We could therefore assume that underemployment and unemployment are aggravating the economic stress we are able to measure via changes in real income and energy imbalances. </w:t>
      </w:r>
    </w:p>
    <w:p w14:paraId="40E5C177" w14:textId="77777777" w:rsidR="004A58DF" w:rsidRPr="006E5A00" w:rsidRDefault="004A58DF" w:rsidP="004A58DF">
      <w:pPr>
        <w:jc w:val="both"/>
        <w:rPr>
          <w:rFonts w:cs="Calibri"/>
          <w:b/>
          <w:i/>
        </w:rPr>
      </w:pPr>
    </w:p>
    <w:p w14:paraId="493BC52D" w14:textId="77777777" w:rsidR="00947A82" w:rsidRPr="00947A82" w:rsidRDefault="00947A82" w:rsidP="00947A82">
      <w:pPr>
        <w:jc w:val="center"/>
        <w:rPr>
          <w:rFonts w:cs="Calibri"/>
        </w:rPr>
      </w:pPr>
      <w:r w:rsidRPr="00947A82">
        <w:rPr>
          <w:rFonts w:cs="Calibri"/>
        </w:rPr>
        <w:t xml:space="preserve">FIGURE </w:t>
      </w:r>
      <w:r w:rsidR="00CC285B" w:rsidRPr="00947A82">
        <w:rPr>
          <w:rFonts w:cs="Calibri"/>
        </w:rPr>
        <w:t>I</w:t>
      </w:r>
    </w:p>
    <w:p w14:paraId="15082C1D" w14:textId="77777777" w:rsidR="004A58DF" w:rsidRPr="00947A82" w:rsidRDefault="004A58DF" w:rsidP="006813B8">
      <w:pPr>
        <w:spacing w:after="240"/>
        <w:jc w:val="center"/>
        <w:rPr>
          <w:rFonts w:cs="Calibri"/>
        </w:rPr>
      </w:pPr>
      <w:r w:rsidRPr="00947A82">
        <w:rPr>
          <w:rFonts w:cs="Calibri"/>
        </w:rPr>
        <w:t>Nup</w:t>
      </w:r>
      <w:r w:rsidR="00947A82" w:rsidRPr="00947A82">
        <w:rPr>
          <w:rFonts w:cs="Calibri"/>
        </w:rPr>
        <w:t>tiality rates and real incomes</w:t>
      </w:r>
    </w:p>
    <w:p w14:paraId="75910310" w14:textId="77777777" w:rsidR="004A58DF" w:rsidRPr="006E5A00" w:rsidRDefault="004A58DF" w:rsidP="004A58DF">
      <w:pPr>
        <w:jc w:val="both"/>
        <w:rPr>
          <w:rFonts w:cs="Calibri"/>
        </w:rPr>
      </w:pPr>
      <w:r w:rsidRPr="006E5A00">
        <w:rPr>
          <w:noProof/>
          <w:lang w:val="es-ES" w:eastAsia="es-ES"/>
        </w:rPr>
        <w:drawing>
          <wp:inline distT="0" distB="0" distL="0" distR="0" wp14:anchorId="017AFA4B" wp14:editId="65E0CCE9">
            <wp:extent cx="6111240" cy="278892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1240" cy="2788920"/>
                    </a:xfrm>
                    <a:prstGeom prst="rect">
                      <a:avLst/>
                    </a:prstGeom>
                    <a:noFill/>
                    <a:ln>
                      <a:noFill/>
                    </a:ln>
                  </pic:spPr>
                </pic:pic>
              </a:graphicData>
            </a:graphic>
          </wp:inline>
        </w:drawing>
      </w:r>
    </w:p>
    <w:p w14:paraId="572F754C" w14:textId="77777777" w:rsidR="004A58DF" w:rsidRDefault="004A58DF" w:rsidP="004A58DF">
      <w:pPr>
        <w:ind w:firstLine="340"/>
        <w:jc w:val="both"/>
      </w:pPr>
    </w:p>
    <w:p w14:paraId="52B3C172" w14:textId="77777777" w:rsidR="00CD0C36" w:rsidRPr="006E5A00" w:rsidRDefault="00CD0C36" w:rsidP="00CD0C36">
      <w:pPr>
        <w:jc w:val="both"/>
        <w:rPr>
          <w:lang w:val="en-US"/>
        </w:rPr>
      </w:pPr>
      <w:r w:rsidRPr="00CC285B">
        <w:rPr>
          <w:lang w:val="es-ES"/>
        </w:rPr>
        <w:t xml:space="preserve">Figure </w:t>
      </w:r>
      <w:r w:rsidR="00CC285B" w:rsidRPr="00CC285B">
        <w:rPr>
          <w:lang w:val="es-ES"/>
        </w:rPr>
        <w:t>J</w:t>
      </w:r>
      <w:r w:rsidRPr="00CC285B">
        <w:rPr>
          <w:lang w:val="es-ES"/>
        </w:rPr>
        <w:t xml:space="preserve"> shows nuptiality rates and the variation in the number of signed-up unemployed (evolución de la lista de obreros en paro completo inscritos en la Bolsa de Bilbao —data before March 1934 from Bolsa Municipal de Trabajo de Bilbao afterwards from Oficina Local de Colocación Obrera, Etxaniz and Ipiña (2017): tabla 5. </w:t>
      </w:r>
      <w:r w:rsidRPr="006E5A00">
        <w:rPr>
          <w:lang w:val="en-US"/>
        </w:rPr>
        <w:t xml:space="preserve">These are some of the few data observations we have as an approximation to unemployment in Bilbao for the 1930s. The 12-month moving averages reflect a very nice inverse relation to nuptiality rates.     </w:t>
      </w:r>
    </w:p>
    <w:p w14:paraId="55110E46" w14:textId="77777777" w:rsidR="00A57AD9" w:rsidRDefault="00A57AD9" w:rsidP="00686BCD">
      <w:pPr>
        <w:jc w:val="both"/>
        <w:rPr>
          <w:rFonts w:cs="Calibri"/>
          <w:b/>
          <w:i/>
        </w:rPr>
      </w:pPr>
    </w:p>
    <w:p w14:paraId="0A5D87CC" w14:textId="77777777" w:rsidR="00947A82" w:rsidRPr="00947A82" w:rsidRDefault="00947A82" w:rsidP="00947A82">
      <w:pPr>
        <w:jc w:val="center"/>
        <w:rPr>
          <w:rFonts w:cs="Calibri"/>
        </w:rPr>
      </w:pPr>
      <w:r w:rsidRPr="00947A82">
        <w:rPr>
          <w:rFonts w:cs="Calibri"/>
        </w:rPr>
        <w:t xml:space="preserve">FIGURE </w:t>
      </w:r>
      <w:r w:rsidR="00CC285B" w:rsidRPr="00947A82">
        <w:rPr>
          <w:rFonts w:cs="Calibri"/>
        </w:rPr>
        <w:t>J</w:t>
      </w:r>
    </w:p>
    <w:p w14:paraId="412F53F5" w14:textId="77777777" w:rsidR="00686BCD" w:rsidRPr="00947A82" w:rsidRDefault="00686BCD" w:rsidP="00947A82">
      <w:pPr>
        <w:jc w:val="center"/>
        <w:rPr>
          <w:rFonts w:cs="Calibri"/>
        </w:rPr>
      </w:pPr>
      <w:r w:rsidRPr="00947A82">
        <w:rPr>
          <w:rFonts w:cs="Calibri"/>
        </w:rPr>
        <w:t>Nuptiality rates and variation in signed-up unemployed</w:t>
      </w:r>
      <w:r w:rsidR="000360F7" w:rsidRPr="00947A82">
        <w:rPr>
          <w:rFonts w:cs="Calibri"/>
        </w:rPr>
        <w:t xml:space="preserve"> Bilbao, Jul 1932-Jul 1936</w:t>
      </w:r>
    </w:p>
    <w:p w14:paraId="4FB4B658" w14:textId="77777777" w:rsidR="00DF3BA3" w:rsidRPr="006E5A00" w:rsidRDefault="00DF3BA3" w:rsidP="00686BCD">
      <w:pPr>
        <w:jc w:val="both"/>
      </w:pPr>
    </w:p>
    <w:p w14:paraId="62C42DBA" w14:textId="77777777" w:rsidR="00DF3BA3" w:rsidRPr="006E5A00" w:rsidRDefault="00686BCD" w:rsidP="00686BCD">
      <w:pPr>
        <w:jc w:val="both"/>
      </w:pPr>
      <w:r w:rsidRPr="006E5A00">
        <w:rPr>
          <w:noProof/>
          <w:lang w:val="es-ES" w:eastAsia="es-ES"/>
        </w:rPr>
        <w:drawing>
          <wp:inline distT="0" distB="0" distL="0" distR="0" wp14:anchorId="7C21F34A" wp14:editId="3D7F51B9">
            <wp:extent cx="6135554" cy="309880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66074" cy="3164720"/>
                    </a:xfrm>
                    <a:prstGeom prst="rect">
                      <a:avLst/>
                    </a:prstGeom>
                    <a:noFill/>
                    <a:ln>
                      <a:noFill/>
                    </a:ln>
                  </pic:spPr>
                </pic:pic>
              </a:graphicData>
            </a:graphic>
          </wp:inline>
        </w:drawing>
      </w:r>
    </w:p>
    <w:p w14:paraId="1B1B17A8" w14:textId="77777777" w:rsidR="00DF3BA3" w:rsidRPr="006E5A00" w:rsidRDefault="00DF3BA3" w:rsidP="004A58DF">
      <w:pPr>
        <w:ind w:firstLine="340"/>
        <w:jc w:val="both"/>
        <w:rPr>
          <w:lang w:val="en-US"/>
        </w:rPr>
      </w:pPr>
    </w:p>
    <w:p w14:paraId="79674EC3" w14:textId="77777777" w:rsidR="004A58DF" w:rsidRPr="006E5A00" w:rsidRDefault="004A58DF" w:rsidP="004A58DF">
      <w:pPr>
        <w:jc w:val="both"/>
        <w:rPr>
          <w:b/>
        </w:rPr>
      </w:pPr>
      <w:r w:rsidRPr="006E5A00">
        <w:rPr>
          <w:b/>
        </w:rPr>
        <w:t>Theft</w:t>
      </w:r>
    </w:p>
    <w:p w14:paraId="0B457AAA" w14:textId="77777777" w:rsidR="004A58DF" w:rsidRPr="006E5A00" w:rsidRDefault="004A58DF" w:rsidP="004A58DF">
      <w:pPr>
        <w:ind w:firstLine="340"/>
        <w:jc w:val="both"/>
      </w:pPr>
      <w:r w:rsidRPr="006E5A00">
        <w:t>In a previous publication</w:t>
      </w:r>
      <w:r w:rsidR="00C618FA" w:rsidRPr="006E5A00">
        <w:t xml:space="preserve"> </w:t>
      </w:r>
      <w:r w:rsidR="00C618FA" w:rsidRPr="006E5A00">
        <w:rPr>
          <w:lang w:val="en-US"/>
        </w:rPr>
        <w:t>—Houpt and Rojo Cagigal (2014)—</w:t>
      </w:r>
      <w:r w:rsidRPr="006E5A00">
        <w:t xml:space="preserve"> we have established the relationship between the interwar economic hardships and theft. Previous literature has found a close correlation between poverty and theft. According to the theoretical work developed by Becker (1968), people resort to crime only if the expected costs of committing the crime are lower than the benefits gained. Those living with less have more to gain and have a much greater inclination to committing theft constrained by their moral thresholds. For the link between economic conditions and crime, see the summary of Johnson (2002: 137-141) for pre-1914 Germany, Bignon et al. (2011) for 19th century France, the work of Mehlum et al. (2006) for 19th century Bav</w:t>
      </w:r>
      <w:r w:rsidR="006E5A00">
        <w:t>a</w:t>
      </w:r>
      <w:r w:rsidRPr="006E5A00">
        <w:t>r</w:t>
      </w:r>
      <w:r w:rsidR="006E5A00">
        <w:t>i</w:t>
      </w:r>
      <w:r w:rsidRPr="006E5A00">
        <w:t xml:space="preserve">a and Traxler and Burhop (2010) for Prussia. The latter two show a strong correlation between real wages and crime rates. </w:t>
      </w:r>
    </w:p>
    <w:p w14:paraId="037F8DEC" w14:textId="77777777" w:rsidR="004A58DF" w:rsidRPr="006E5A00" w:rsidRDefault="004A58DF" w:rsidP="004A58DF">
      <w:pPr>
        <w:ind w:firstLine="340"/>
        <w:jc w:val="both"/>
      </w:pPr>
      <w:r w:rsidRPr="006E5A00">
        <w:t xml:space="preserve">Additional support for the economic strife of families in Bilbao over the interwar period would be finding decreases in real family income systematically related to increases in property crime.  </w:t>
      </w:r>
      <w:r w:rsidR="002D25BF" w:rsidRPr="006E5A00">
        <w:t>W</w:t>
      </w:r>
      <w:r w:rsidRPr="006E5A00">
        <w:t xml:space="preserve">e </w:t>
      </w:r>
      <w:r w:rsidR="002D25BF" w:rsidRPr="006E5A00">
        <w:t>showed</w:t>
      </w:r>
      <w:r w:rsidRPr="006E5A00">
        <w:t xml:space="preserve"> that property crime showed a high negative relation to lagged real wages. We had found that a decrease in workers’ income is followed by a strong proportional increase in property crime five months later, coinciding with the strongest moment of impact on mortality. At this point of time, desperate situations would lead to desperate solutions.  The hypothesis that social disruption in the form of property crime may be driven by short-term variation in earnings as a consequence of price increases cannot be rejected with these results. The significant and strong inverse relation to changes in income levels support the hypothesis that</w:t>
      </w:r>
      <w:r w:rsidR="002D25BF" w:rsidRPr="006E5A00">
        <w:t xml:space="preserve"> higher incidence of</w:t>
      </w:r>
      <w:r w:rsidRPr="006E5A00">
        <w:t xml:space="preserve"> property crime may </w:t>
      </w:r>
      <w:r w:rsidR="002D25BF" w:rsidRPr="006E5A00">
        <w:t xml:space="preserve">be </w:t>
      </w:r>
      <w:r w:rsidRPr="006E5A00">
        <w:t>codetermined by short-term economic hardship.</w:t>
      </w:r>
    </w:p>
    <w:p w14:paraId="4F74591F" w14:textId="77777777" w:rsidR="00837DDB" w:rsidRPr="006E5A00" w:rsidRDefault="00837DDB">
      <w:pPr>
        <w:spacing w:after="160" w:line="259" w:lineRule="auto"/>
      </w:pPr>
    </w:p>
    <w:p w14:paraId="3D8BD18E" w14:textId="77777777" w:rsidR="00947A82" w:rsidRPr="00947A82" w:rsidRDefault="00947A82" w:rsidP="00947A82">
      <w:pPr>
        <w:jc w:val="center"/>
        <w:rPr>
          <w:rFonts w:cs="Calibri"/>
        </w:rPr>
      </w:pPr>
      <w:r w:rsidRPr="00947A82">
        <w:rPr>
          <w:rFonts w:cs="Calibri"/>
        </w:rPr>
        <w:t xml:space="preserve">FIGURE </w:t>
      </w:r>
      <w:r w:rsidR="00CC285B" w:rsidRPr="00947A82">
        <w:rPr>
          <w:rFonts w:cs="Calibri"/>
        </w:rPr>
        <w:t>K</w:t>
      </w:r>
    </w:p>
    <w:p w14:paraId="37F2FF84" w14:textId="77777777" w:rsidR="004F54D0" w:rsidRPr="00947A82" w:rsidRDefault="00947A82" w:rsidP="006813B8">
      <w:pPr>
        <w:spacing w:after="240"/>
        <w:jc w:val="center"/>
        <w:rPr>
          <w:rFonts w:cs="Calibri"/>
        </w:rPr>
      </w:pPr>
      <w:r w:rsidRPr="00947A82">
        <w:rPr>
          <w:rFonts w:cs="Calibri"/>
        </w:rPr>
        <w:t>Thefts and real incomes</w:t>
      </w:r>
    </w:p>
    <w:p w14:paraId="00413702" w14:textId="77777777" w:rsidR="0048036F" w:rsidRPr="006E5A00" w:rsidRDefault="00837DDB">
      <w:pPr>
        <w:spacing w:after="160" w:line="259" w:lineRule="auto"/>
      </w:pPr>
      <w:r w:rsidRPr="006E5A00">
        <w:rPr>
          <w:noProof/>
          <w:lang w:val="es-ES" w:eastAsia="es-ES"/>
        </w:rPr>
        <w:drawing>
          <wp:inline distT="0" distB="0" distL="0" distR="0" wp14:anchorId="586EF927" wp14:editId="345929EE">
            <wp:extent cx="6162675" cy="2623185"/>
            <wp:effectExtent l="0" t="0" r="952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6332" cy="2628998"/>
                    </a:xfrm>
                    <a:prstGeom prst="rect">
                      <a:avLst/>
                    </a:prstGeom>
                    <a:noFill/>
                    <a:ln>
                      <a:noFill/>
                    </a:ln>
                  </pic:spPr>
                </pic:pic>
              </a:graphicData>
            </a:graphic>
          </wp:inline>
        </w:drawing>
      </w:r>
    </w:p>
    <w:p w14:paraId="60E80936" w14:textId="77777777" w:rsidR="00070DE0" w:rsidRPr="006E5A00" w:rsidRDefault="00070DE0">
      <w:pPr>
        <w:rPr>
          <w:b/>
        </w:rPr>
      </w:pPr>
    </w:p>
    <w:p w14:paraId="40B65361" w14:textId="77777777" w:rsidR="002D3ABB" w:rsidRPr="006E5A00" w:rsidRDefault="002D3ABB">
      <w:pPr>
        <w:rPr>
          <w:b/>
        </w:rPr>
      </w:pPr>
    </w:p>
    <w:p w14:paraId="2DA994A5" w14:textId="77777777" w:rsidR="000F5C32" w:rsidRPr="006E5A00" w:rsidRDefault="0020274C" w:rsidP="000F5C32">
      <w:pPr>
        <w:autoSpaceDE w:val="0"/>
        <w:autoSpaceDN w:val="0"/>
        <w:adjustRightInd w:val="0"/>
        <w:jc w:val="both"/>
        <w:rPr>
          <w:b/>
          <w:lang w:val="en-US"/>
        </w:rPr>
      </w:pPr>
      <w:r>
        <w:rPr>
          <w:b/>
          <w:lang w:val="en-US"/>
        </w:rPr>
        <w:t xml:space="preserve">Additional </w:t>
      </w:r>
      <w:r w:rsidR="000F5C32" w:rsidRPr="006E5A00">
        <w:rPr>
          <w:b/>
          <w:lang w:val="en-US"/>
        </w:rPr>
        <w:t>References:</w:t>
      </w:r>
    </w:p>
    <w:p w14:paraId="5DB840B3" w14:textId="77777777" w:rsidR="00420463" w:rsidRPr="006E5A00" w:rsidRDefault="00CD4673" w:rsidP="00420463">
      <w:pPr>
        <w:autoSpaceDE w:val="0"/>
        <w:autoSpaceDN w:val="0"/>
        <w:adjustRightInd w:val="0"/>
        <w:spacing w:line="240" w:lineRule="auto"/>
        <w:ind w:left="454" w:hanging="454"/>
        <w:jc w:val="both"/>
        <w:rPr>
          <w:lang w:val="es-ES"/>
        </w:rPr>
      </w:pPr>
      <w:r w:rsidRPr="006E5A00">
        <w:t>ARBAIZA</w:t>
      </w:r>
      <w:r w:rsidR="00420463" w:rsidRPr="006E5A00">
        <w:t>, M. (1998)</w:t>
      </w:r>
      <w:r w:rsidR="00FD13F3" w:rsidRPr="006E5A00">
        <w:t>:</w:t>
      </w:r>
      <w:r w:rsidR="00420463" w:rsidRPr="006E5A00">
        <w:t xml:space="preserve"> </w:t>
      </w:r>
      <w:r w:rsidR="004D71A4" w:rsidRPr="006E5A00">
        <w:t>“</w:t>
      </w:r>
      <w:r w:rsidR="00420463" w:rsidRPr="006E5A00">
        <w:t>Labor migration during the first phase of Basque industrialization: The labor market and family motivations,</w:t>
      </w:r>
      <w:r w:rsidR="004D71A4" w:rsidRPr="006E5A00">
        <w:t>”</w:t>
      </w:r>
      <w:r w:rsidR="00420463" w:rsidRPr="006E5A00">
        <w:t xml:space="preserve"> </w:t>
      </w:r>
      <w:r w:rsidR="00420463" w:rsidRPr="006E5A00">
        <w:rPr>
          <w:i/>
        </w:rPr>
        <w:t xml:space="preserve">The History of the Family. </w:t>
      </w:r>
      <w:r w:rsidR="00420463" w:rsidRPr="006E5A00">
        <w:rPr>
          <w:i/>
          <w:lang w:val="es-ES"/>
        </w:rPr>
        <w:t>An International Quarter</w:t>
      </w:r>
      <w:r w:rsidR="00420463" w:rsidRPr="00A57AD9">
        <w:rPr>
          <w:i/>
          <w:lang w:val="es-ES"/>
        </w:rPr>
        <w:t>ly</w:t>
      </w:r>
      <w:r w:rsidR="00420463" w:rsidRPr="006E5A00">
        <w:rPr>
          <w:lang w:val="es-ES"/>
        </w:rPr>
        <w:t xml:space="preserve"> 3 (2)</w:t>
      </w:r>
      <w:r w:rsidR="00FD13F3" w:rsidRPr="006E5A00">
        <w:rPr>
          <w:lang w:val="es-ES"/>
        </w:rPr>
        <w:t>,</w:t>
      </w:r>
      <w:r w:rsidR="006A4F57" w:rsidRPr="006E5A00">
        <w:rPr>
          <w:lang w:val="es-ES"/>
        </w:rPr>
        <w:t xml:space="preserve"> </w:t>
      </w:r>
      <w:r w:rsidR="00FD13F3" w:rsidRPr="006E5A00">
        <w:rPr>
          <w:lang w:val="es-ES"/>
        </w:rPr>
        <w:t>pp.  199-219</w:t>
      </w:r>
      <w:r w:rsidR="00420463" w:rsidRPr="006E5A00">
        <w:rPr>
          <w:lang w:val="es-ES"/>
        </w:rPr>
        <w:t xml:space="preserve"> </w:t>
      </w:r>
    </w:p>
    <w:p w14:paraId="00970D2A"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ARBAIZA VILLALONGA</w:t>
      </w:r>
      <w:r w:rsidR="00420463" w:rsidRPr="006E5A00">
        <w:rPr>
          <w:lang w:val="es-ES"/>
        </w:rPr>
        <w:t xml:space="preserve">, M. (1999): “Urbanización y condiciones de vida en Vizcaya (1877-1930): Aproximación a las causas sociales de la mortalidad infantil y juvenil,” </w:t>
      </w:r>
      <w:r w:rsidR="00420463" w:rsidRPr="006E5A00">
        <w:rPr>
          <w:i/>
          <w:lang w:val="es-ES"/>
        </w:rPr>
        <w:t>Historia Contemporánea</w:t>
      </w:r>
      <w:r w:rsidR="00420463" w:rsidRPr="006E5A00">
        <w:rPr>
          <w:lang w:val="es-ES"/>
        </w:rPr>
        <w:t>, 18, pp. 209-51</w:t>
      </w:r>
    </w:p>
    <w:p w14:paraId="3DE0BA95"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ARBAIZA</w:t>
      </w:r>
      <w:r w:rsidR="00420463" w:rsidRPr="006E5A00">
        <w:rPr>
          <w:lang w:val="es-ES"/>
        </w:rPr>
        <w:t>, M. (2000)</w:t>
      </w:r>
      <w:r w:rsidR="00FD13F3" w:rsidRPr="006E5A00">
        <w:rPr>
          <w:lang w:val="es-ES"/>
        </w:rPr>
        <w:t>:</w:t>
      </w:r>
      <w:r w:rsidR="00420463" w:rsidRPr="006E5A00">
        <w:rPr>
          <w:lang w:val="es-ES"/>
        </w:rPr>
        <w:t xml:space="preserve"> </w:t>
      </w:r>
      <w:r w:rsidR="006A4F57" w:rsidRPr="006E5A00">
        <w:rPr>
          <w:lang w:val="es-ES"/>
        </w:rPr>
        <w:t>“</w:t>
      </w:r>
      <w:r w:rsidR="00420463" w:rsidRPr="006E5A00">
        <w:rPr>
          <w:lang w:val="es-ES"/>
        </w:rPr>
        <w:t>La cuestión social como cuestión de género. Feminidad y trabajo en España (1860-1930),</w:t>
      </w:r>
      <w:r w:rsidR="006A4F57" w:rsidRPr="006E5A00">
        <w:rPr>
          <w:lang w:val="es-ES"/>
        </w:rPr>
        <w:t>”</w:t>
      </w:r>
      <w:r w:rsidR="00420463" w:rsidRPr="006E5A00">
        <w:rPr>
          <w:lang w:val="es-ES"/>
        </w:rPr>
        <w:t xml:space="preserve"> </w:t>
      </w:r>
      <w:r w:rsidR="00420463" w:rsidRPr="006E5A00">
        <w:rPr>
          <w:i/>
          <w:lang w:val="es-ES"/>
        </w:rPr>
        <w:t>Historia Contemporánea</w:t>
      </w:r>
      <w:r w:rsidR="00FD13F3" w:rsidRPr="006E5A00">
        <w:rPr>
          <w:i/>
          <w:lang w:val="es-ES"/>
        </w:rPr>
        <w:t>,</w:t>
      </w:r>
      <w:r w:rsidR="00420463" w:rsidRPr="006E5A00">
        <w:rPr>
          <w:lang w:val="es-ES"/>
        </w:rPr>
        <w:t xml:space="preserve"> 21</w:t>
      </w:r>
      <w:r w:rsidR="00FD13F3" w:rsidRPr="006E5A00">
        <w:rPr>
          <w:lang w:val="es-ES"/>
        </w:rPr>
        <w:t>,</w:t>
      </w:r>
      <w:r w:rsidR="00420463" w:rsidRPr="006E5A00">
        <w:rPr>
          <w:lang w:val="es-ES"/>
        </w:rPr>
        <w:t xml:space="preserve"> </w:t>
      </w:r>
      <w:r w:rsidR="00FD13F3" w:rsidRPr="006E5A00">
        <w:rPr>
          <w:lang w:val="es-ES"/>
        </w:rPr>
        <w:t xml:space="preserve">pp. </w:t>
      </w:r>
      <w:r w:rsidR="00420463" w:rsidRPr="006E5A00">
        <w:rPr>
          <w:lang w:val="es-ES"/>
        </w:rPr>
        <w:t>395-458</w:t>
      </w:r>
    </w:p>
    <w:p w14:paraId="7162B40E" w14:textId="77777777" w:rsidR="000F5C32" w:rsidRPr="006E5A00" w:rsidRDefault="00CD4673" w:rsidP="000F5C32">
      <w:pPr>
        <w:ind w:left="340" w:hanging="340"/>
        <w:jc w:val="both"/>
        <w:rPr>
          <w:rFonts w:cs="Arial"/>
          <w:lang w:val="es-ES"/>
        </w:rPr>
      </w:pPr>
      <w:r w:rsidRPr="006E5A00">
        <w:rPr>
          <w:rFonts w:cs="Arial"/>
          <w:lang w:val="es-ES"/>
        </w:rPr>
        <w:t>BALLESTEROS</w:t>
      </w:r>
      <w:r w:rsidR="000F5C32" w:rsidRPr="006E5A00">
        <w:rPr>
          <w:rFonts w:cs="Arial"/>
          <w:lang w:val="es-ES"/>
        </w:rPr>
        <w:t xml:space="preserve">, E. (1997): </w:t>
      </w:r>
      <w:r w:rsidR="004D71A4" w:rsidRPr="006E5A00">
        <w:rPr>
          <w:rFonts w:cs="Arial"/>
          <w:lang w:val="es-ES"/>
        </w:rPr>
        <w:t>“</w:t>
      </w:r>
      <w:r w:rsidR="000F5C32" w:rsidRPr="006E5A00">
        <w:rPr>
          <w:rFonts w:cs="Arial"/>
          <w:lang w:val="es-ES"/>
        </w:rPr>
        <w:t>Una estimación del coste de la vida en España, 1861-1936,</w:t>
      </w:r>
      <w:r w:rsidR="004D71A4" w:rsidRPr="006E5A00">
        <w:rPr>
          <w:rFonts w:cs="Arial"/>
          <w:lang w:val="es-ES"/>
        </w:rPr>
        <w:t>”</w:t>
      </w:r>
      <w:r w:rsidR="000F5C32" w:rsidRPr="006E5A00">
        <w:rPr>
          <w:rFonts w:cs="Arial"/>
          <w:lang w:val="es-ES"/>
        </w:rPr>
        <w:t xml:space="preserve"> </w:t>
      </w:r>
      <w:r w:rsidR="000F5C32" w:rsidRPr="006E5A00">
        <w:rPr>
          <w:rFonts w:cs="Arial"/>
          <w:i/>
          <w:iCs/>
          <w:lang w:val="es-ES"/>
        </w:rPr>
        <w:t xml:space="preserve">Revista de Historia Económica, </w:t>
      </w:r>
      <w:r w:rsidR="000F5C32" w:rsidRPr="006E5A00">
        <w:rPr>
          <w:rFonts w:cs="Arial"/>
          <w:iCs/>
          <w:lang w:val="es-ES"/>
        </w:rPr>
        <w:t>15</w:t>
      </w:r>
      <w:r w:rsidR="000F5C32" w:rsidRPr="006E5A00">
        <w:rPr>
          <w:rFonts w:cs="Arial"/>
          <w:lang w:val="es-ES"/>
        </w:rPr>
        <w:t xml:space="preserve"> (2), pp. 363-395 </w:t>
      </w:r>
      <w:r w:rsidR="000F5C32" w:rsidRPr="006E5A00">
        <w:rPr>
          <w:rFonts w:cs="Arial"/>
          <w:b/>
          <w:lang w:val="es-ES"/>
        </w:rPr>
        <w:t xml:space="preserve"> </w:t>
      </w:r>
    </w:p>
    <w:p w14:paraId="72A25ECA"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BARONA</w:t>
      </w:r>
      <w:r w:rsidR="00420463" w:rsidRPr="006E5A00">
        <w:rPr>
          <w:lang w:val="es-ES"/>
        </w:rPr>
        <w:t>, J</w:t>
      </w:r>
      <w:r w:rsidR="00287F35" w:rsidRPr="006E5A00">
        <w:rPr>
          <w:lang w:val="es-ES"/>
        </w:rPr>
        <w:t>.</w:t>
      </w:r>
      <w:r w:rsidR="00420463" w:rsidRPr="006E5A00">
        <w:rPr>
          <w:lang w:val="es-ES"/>
        </w:rPr>
        <w:t xml:space="preserve"> Ll</w:t>
      </w:r>
      <w:r w:rsidR="00287F35" w:rsidRPr="006E5A00">
        <w:rPr>
          <w:lang w:val="es-ES"/>
        </w:rPr>
        <w:t>.</w:t>
      </w:r>
      <w:r w:rsidR="00420463" w:rsidRPr="006E5A00">
        <w:rPr>
          <w:lang w:val="es-ES"/>
        </w:rPr>
        <w:t xml:space="preserve">, </w:t>
      </w:r>
      <w:r w:rsidR="007C3584" w:rsidRPr="006E5A00">
        <w:rPr>
          <w:lang w:val="es-ES"/>
        </w:rPr>
        <w:t>BERNABEU</w:t>
      </w:r>
      <w:r w:rsidR="00420463" w:rsidRPr="006E5A00">
        <w:rPr>
          <w:lang w:val="es-ES"/>
        </w:rPr>
        <w:t>-</w:t>
      </w:r>
      <w:r w:rsidR="007C3584" w:rsidRPr="006E5A00">
        <w:rPr>
          <w:lang w:val="es-ES"/>
        </w:rPr>
        <w:t>MESTRE</w:t>
      </w:r>
      <w:r w:rsidR="00934FB4">
        <w:rPr>
          <w:lang w:val="es-ES"/>
        </w:rPr>
        <w:t>,</w:t>
      </w:r>
      <w:r w:rsidR="007C3584" w:rsidRPr="006E5A00">
        <w:rPr>
          <w:lang w:val="es-ES"/>
        </w:rPr>
        <w:t xml:space="preserve"> </w:t>
      </w:r>
      <w:r w:rsidR="00934FB4" w:rsidRPr="006E5A00">
        <w:rPr>
          <w:lang w:val="es-ES"/>
        </w:rPr>
        <w:t xml:space="preserve">J. </w:t>
      </w:r>
      <w:r w:rsidR="00420463" w:rsidRPr="006E5A00">
        <w:rPr>
          <w:lang w:val="es-ES"/>
        </w:rPr>
        <w:t xml:space="preserve">and </w:t>
      </w:r>
      <w:r w:rsidR="007C3584" w:rsidRPr="006E5A00">
        <w:rPr>
          <w:lang w:val="es-ES"/>
        </w:rPr>
        <w:t>GALIANA</w:t>
      </w:r>
      <w:r w:rsidR="00420463" w:rsidRPr="006E5A00">
        <w:rPr>
          <w:lang w:val="es-ES"/>
        </w:rPr>
        <w:t>-</w:t>
      </w:r>
      <w:r w:rsidR="007C3584" w:rsidRPr="006E5A00">
        <w:rPr>
          <w:lang w:val="es-ES"/>
        </w:rPr>
        <w:t>SÁNCHEZ</w:t>
      </w:r>
      <w:r w:rsidR="001E006D">
        <w:rPr>
          <w:lang w:val="es-ES"/>
        </w:rPr>
        <w:t>,</w:t>
      </w:r>
      <w:r w:rsidR="007C3584" w:rsidRPr="006E5A00">
        <w:rPr>
          <w:lang w:val="es-ES"/>
        </w:rPr>
        <w:t xml:space="preserve"> </w:t>
      </w:r>
      <w:r w:rsidR="00934FB4" w:rsidRPr="006E5A00">
        <w:rPr>
          <w:lang w:val="es-ES"/>
        </w:rPr>
        <w:t xml:space="preserve">M. E. </w:t>
      </w:r>
      <w:r w:rsidR="00420463" w:rsidRPr="006E5A00">
        <w:rPr>
          <w:lang w:val="es-ES"/>
        </w:rPr>
        <w:t xml:space="preserve">(2014): </w:t>
      </w:r>
      <w:r w:rsidR="006A4F57" w:rsidRPr="006E5A00">
        <w:rPr>
          <w:lang w:val="es-ES"/>
        </w:rPr>
        <w:t>“</w:t>
      </w:r>
      <w:r w:rsidR="00420463" w:rsidRPr="006E5A00">
        <w:rPr>
          <w:lang w:val="es-ES"/>
        </w:rPr>
        <w:t>La urban penalty y el deterioro de la salud nutricional de la población: la respuesta higiénica-sanitaria</w:t>
      </w:r>
      <w:r w:rsidR="006A4F57" w:rsidRPr="006E5A00">
        <w:rPr>
          <w:lang w:val="es-ES"/>
        </w:rPr>
        <w:t>,”</w:t>
      </w:r>
      <w:r w:rsidR="00420463" w:rsidRPr="006E5A00">
        <w:rPr>
          <w:lang w:val="es-ES"/>
        </w:rPr>
        <w:t xml:space="preserve"> </w:t>
      </w:r>
      <w:r w:rsidR="00420463" w:rsidRPr="006E5A00">
        <w:rPr>
          <w:i/>
          <w:lang w:val="es-ES"/>
        </w:rPr>
        <w:t>Historia Social</w:t>
      </w:r>
      <w:r w:rsidR="00420463" w:rsidRPr="006E5A00">
        <w:rPr>
          <w:lang w:val="es-ES"/>
        </w:rPr>
        <w:t>, 80 Ciudades, salud y alimentación en España (Siglos XIX y XX), pp. 59-75</w:t>
      </w:r>
    </w:p>
    <w:p w14:paraId="5A1B6630" w14:textId="77777777" w:rsidR="00420463" w:rsidRPr="006E5A00" w:rsidRDefault="00CD4673" w:rsidP="00420463">
      <w:pPr>
        <w:autoSpaceDE w:val="0"/>
        <w:autoSpaceDN w:val="0"/>
        <w:adjustRightInd w:val="0"/>
        <w:spacing w:line="240" w:lineRule="auto"/>
        <w:ind w:left="454" w:hanging="454"/>
        <w:jc w:val="both"/>
        <w:rPr>
          <w:lang w:val="en-US"/>
        </w:rPr>
      </w:pPr>
      <w:r w:rsidRPr="006E5A00">
        <w:t xml:space="preserve">BELTRÁN </w:t>
      </w:r>
      <w:r w:rsidR="007C3584" w:rsidRPr="006E5A00">
        <w:t>TAPIA</w:t>
      </w:r>
      <w:r w:rsidR="00934FB4">
        <w:t>, F.</w:t>
      </w:r>
      <w:r w:rsidR="00420463" w:rsidRPr="006E5A00">
        <w:t xml:space="preserve">J. and </w:t>
      </w:r>
      <w:r w:rsidR="007C3584" w:rsidRPr="006E5A00">
        <w:t>GALLEGO MARTÍNEZ</w:t>
      </w:r>
      <w:r w:rsidR="00934FB4">
        <w:t>, D</w:t>
      </w:r>
      <w:r w:rsidR="007C3584" w:rsidRPr="006E5A00">
        <w:t xml:space="preserve"> </w:t>
      </w:r>
      <w:r w:rsidR="00420463" w:rsidRPr="006E5A00">
        <w:t xml:space="preserve">(2020): </w:t>
      </w:r>
      <w:r w:rsidR="006A4F57" w:rsidRPr="006E5A00">
        <w:t>“</w:t>
      </w:r>
      <w:r w:rsidR="00420463" w:rsidRPr="006E5A00">
        <w:t>What explains the missing girls in nineteenth-century Spain?</w:t>
      </w:r>
      <w:r w:rsidR="006A4F57" w:rsidRPr="006E5A00">
        <w:t>”</w:t>
      </w:r>
      <w:r w:rsidR="00420463" w:rsidRPr="006E5A00">
        <w:t xml:space="preserve"> </w:t>
      </w:r>
      <w:r w:rsidR="00420463" w:rsidRPr="006E5A00">
        <w:rPr>
          <w:i/>
          <w:lang w:val="en-US"/>
        </w:rPr>
        <w:t>Economic History Review</w:t>
      </w:r>
      <w:r w:rsidR="00420463" w:rsidRPr="006E5A00">
        <w:rPr>
          <w:lang w:val="en-US"/>
        </w:rPr>
        <w:t>, 73 (1)</w:t>
      </w:r>
      <w:r w:rsidR="006A4F57" w:rsidRPr="006E5A00">
        <w:rPr>
          <w:lang w:val="en-US"/>
        </w:rPr>
        <w:t>, pp.</w:t>
      </w:r>
      <w:r w:rsidR="00420463" w:rsidRPr="006E5A00">
        <w:rPr>
          <w:lang w:val="en-US"/>
        </w:rPr>
        <w:t xml:space="preserve"> 59-77</w:t>
      </w:r>
    </w:p>
    <w:p w14:paraId="682C348C" w14:textId="77777777" w:rsidR="00003742" w:rsidRPr="006E5A00" w:rsidRDefault="00CD4673" w:rsidP="00003742">
      <w:pPr>
        <w:autoSpaceDE w:val="0"/>
        <w:autoSpaceDN w:val="0"/>
        <w:adjustRightInd w:val="0"/>
        <w:ind w:left="340" w:hanging="340"/>
        <w:jc w:val="both"/>
        <w:rPr>
          <w:rFonts w:cs="Calibri"/>
        </w:rPr>
      </w:pPr>
      <w:bookmarkStart w:id="0" w:name="_heading=h.gjdgxs" w:colFirst="0" w:colLast="0"/>
      <w:bookmarkEnd w:id="0"/>
      <w:r w:rsidRPr="006E5A00">
        <w:rPr>
          <w:rFonts w:cs="Calibri"/>
          <w:bCs w:val="0"/>
        </w:rPr>
        <w:t>BENGTSSON</w:t>
      </w:r>
      <w:r w:rsidR="00003742" w:rsidRPr="006E5A00">
        <w:rPr>
          <w:rFonts w:cs="Calibri"/>
          <w:bCs w:val="0"/>
        </w:rPr>
        <w:t xml:space="preserve">, T. and </w:t>
      </w:r>
      <w:r w:rsidR="007C3584" w:rsidRPr="006E5A00">
        <w:rPr>
          <w:rFonts w:cs="Calibri"/>
          <w:bCs w:val="0"/>
        </w:rPr>
        <w:t>BROSTROM</w:t>
      </w:r>
      <w:r w:rsidR="00003742" w:rsidRPr="006E5A00">
        <w:rPr>
          <w:rFonts w:cs="Calibri"/>
          <w:bCs w:val="0"/>
        </w:rPr>
        <w:t xml:space="preserve">, G. (1997): “Distinguishing time-series models by impulse response,” </w:t>
      </w:r>
      <w:r w:rsidR="00003742" w:rsidRPr="006E5A00">
        <w:rPr>
          <w:rFonts w:cs="Calibri"/>
          <w:i/>
          <w:iCs/>
        </w:rPr>
        <w:t>Historical Methods</w:t>
      </w:r>
      <w:r w:rsidR="00003742" w:rsidRPr="006E5A00">
        <w:rPr>
          <w:rFonts w:cs="Calibri"/>
        </w:rPr>
        <w:t xml:space="preserve"> 30 (4), pp. 165-71</w:t>
      </w:r>
    </w:p>
    <w:p w14:paraId="02E8DB65" w14:textId="77777777" w:rsidR="00410631" w:rsidRPr="006E5A00" w:rsidRDefault="00CD4673" w:rsidP="000F5C32">
      <w:pPr>
        <w:ind w:left="340" w:hanging="340"/>
        <w:jc w:val="both"/>
      </w:pPr>
      <w:r w:rsidRPr="006E5A00">
        <w:t>BENGTSSON</w:t>
      </w:r>
      <w:r w:rsidR="00410631" w:rsidRPr="006E5A00">
        <w:t xml:space="preserve">, T., </w:t>
      </w:r>
      <w:r w:rsidR="007C3584" w:rsidRPr="006E5A00">
        <w:t>SAITO</w:t>
      </w:r>
      <w:r w:rsidR="00410631" w:rsidRPr="006E5A00">
        <w:t xml:space="preserve">, O., </w:t>
      </w:r>
      <w:r w:rsidR="007C3584" w:rsidRPr="006E5A00">
        <w:t>REHER</w:t>
      </w:r>
      <w:r w:rsidR="007C3584">
        <w:t>, D. a</w:t>
      </w:r>
      <w:r w:rsidR="00410631" w:rsidRPr="006E5A00">
        <w:t xml:space="preserve">nd </w:t>
      </w:r>
      <w:r w:rsidR="007C3584" w:rsidRPr="006E5A00">
        <w:t>CAMPBELL</w:t>
      </w:r>
      <w:r w:rsidR="00410631" w:rsidRPr="006E5A00">
        <w:t>, C. (1998): “Population and the Economy: From Hunger to Modern Economic Growth,” Proceedings World Economic History Conference, Madrid, pp. 69-143</w:t>
      </w:r>
    </w:p>
    <w:p w14:paraId="3A3560D2" w14:textId="77777777" w:rsidR="000F5C32" w:rsidRPr="006E5A00" w:rsidRDefault="00CD4673" w:rsidP="000F5C32">
      <w:pPr>
        <w:ind w:left="340" w:hanging="340"/>
        <w:jc w:val="both"/>
        <w:rPr>
          <w:lang w:val="es-ES"/>
        </w:rPr>
      </w:pPr>
      <w:r w:rsidRPr="006E5A00">
        <w:t xml:space="preserve">BIGNON </w:t>
      </w:r>
      <w:r w:rsidR="000F5C32" w:rsidRPr="006E5A00">
        <w:t xml:space="preserve">V., </w:t>
      </w:r>
      <w:r w:rsidR="007C3584" w:rsidRPr="006E5A00">
        <w:t>CAROLI</w:t>
      </w:r>
      <w:r w:rsidR="00934FB4">
        <w:t>,</w:t>
      </w:r>
      <w:r w:rsidR="007C3584" w:rsidRPr="006E5A00">
        <w:t xml:space="preserve"> </w:t>
      </w:r>
      <w:r w:rsidR="00934FB4" w:rsidRPr="006E5A00">
        <w:t xml:space="preserve">E. </w:t>
      </w:r>
      <w:r w:rsidR="000F5C32" w:rsidRPr="006E5A00">
        <w:t xml:space="preserve">and </w:t>
      </w:r>
      <w:r w:rsidR="007C3584" w:rsidRPr="006E5A00">
        <w:t>GALBIATI</w:t>
      </w:r>
      <w:r w:rsidR="00934FB4">
        <w:t>,</w:t>
      </w:r>
      <w:r w:rsidR="007C3584" w:rsidRPr="006E5A00">
        <w:t xml:space="preserve"> </w:t>
      </w:r>
      <w:r w:rsidR="00934FB4" w:rsidRPr="006E5A00">
        <w:t xml:space="preserve">R. </w:t>
      </w:r>
      <w:r w:rsidR="000F5C32" w:rsidRPr="006E5A00">
        <w:t xml:space="preserve">(2011): Stealing to survive: crime and income shocks in 19th century France. </w:t>
      </w:r>
      <w:r w:rsidR="000F5C32" w:rsidRPr="006E5A00">
        <w:rPr>
          <w:lang w:val="es-ES"/>
        </w:rPr>
        <w:t>Paris School of Economics WP 2011-33</w:t>
      </w:r>
    </w:p>
    <w:p w14:paraId="2CD03BCC"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BORDERÍAS</w:t>
      </w:r>
      <w:r w:rsidR="00420463" w:rsidRPr="006E5A00">
        <w:rPr>
          <w:lang w:val="es-ES"/>
        </w:rPr>
        <w:t xml:space="preserve">, C., </w:t>
      </w:r>
      <w:r w:rsidR="007C3584" w:rsidRPr="006E5A00">
        <w:rPr>
          <w:lang w:val="es-ES"/>
        </w:rPr>
        <w:t>PÉREZ</w:t>
      </w:r>
      <w:r w:rsidR="00420463" w:rsidRPr="006E5A00">
        <w:rPr>
          <w:lang w:val="es-ES"/>
        </w:rPr>
        <w:t>-</w:t>
      </w:r>
      <w:r w:rsidR="007C3584" w:rsidRPr="006E5A00">
        <w:rPr>
          <w:lang w:val="es-ES"/>
        </w:rPr>
        <w:t>FUENTES</w:t>
      </w:r>
      <w:r w:rsidR="00420463" w:rsidRPr="006E5A00">
        <w:rPr>
          <w:lang w:val="es-ES"/>
        </w:rPr>
        <w:t xml:space="preserve">, P., </w:t>
      </w:r>
      <w:r w:rsidR="007C3584" w:rsidRPr="006E5A00">
        <w:rPr>
          <w:lang w:val="es-ES"/>
        </w:rPr>
        <w:t>SARASÚA</w:t>
      </w:r>
      <w:r w:rsidR="00420463" w:rsidRPr="006E5A00">
        <w:rPr>
          <w:lang w:val="es-ES"/>
        </w:rPr>
        <w:t>, C. (2014)</w:t>
      </w:r>
      <w:r w:rsidR="00FD13F3" w:rsidRPr="006E5A00">
        <w:rPr>
          <w:lang w:val="es-ES"/>
        </w:rPr>
        <w:t>:</w:t>
      </w:r>
      <w:r w:rsidR="00420463" w:rsidRPr="006E5A00">
        <w:rPr>
          <w:lang w:val="es-ES"/>
        </w:rPr>
        <w:t xml:space="preserve"> </w:t>
      </w:r>
      <w:r w:rsidR="006A4F57" w:rsidRPr="006E5A00">
        <w:rPr>
          <w:lang w:val="es-ES"/>
        </w:rPr>
        <w:t>“</w:t>
      </w:r>
      <w:r w:rsidR="00420463" w:rsidRPr="006E5A00">
        <w:rPr>
          <w:lang w:val="es-ES"/>
        </w:rPr>
        <w:t>La desigualdad en el consumo familiar. Diferencias de género en la España contemporánea (1850-1930)</w:t>
      </w:r>
      <w:r w:rsidR="006A4F57" w:rsidRPr="006E5A00">
        <w:rPr>
          <w:lang w:val="es-ES"/>
        </w:rPr>
        <w:t>,”</w:t>
      </w:r>
      <w:r w:rsidR="00420463" w:rsidRPr="006E5A00">
        <w:rPr>
          <w:lang w:val="es-ES"/>
        </w:rPr>
        <w:t xml:space="preserve"> </w:t>
      </w:r>
      <w:r w:rsidR="00420463" w:rsidRPr="006E5A00">
        <w:rPr>
          <w:i/>
          <w:lang w:val="es-ES"/>
        </w:rPr>
        <w:t>Areas. Revista Internacional de Ciencias Sociales</w:t>
      </w:r>
      <w:r w:rsidR="006A4F57" w:rsidRPr="006E5A00">
        <w:rPr>
          <w:lang w:val="es-ES"/>
        </w:rPr>
        <w:t>,</w:t>
      </w:r>
      <w:r w:rsidR="00420463" w:rsidRPr="006E5A00">
        <w:rPr>
          <w:lang w:val="es-ES"/>
        </w:rPr>
        <w:t xml:space="preserve"> 33</w:t>
      </w:r>
      <w:r w:rsidR="006A4F57" w:rsidRPr="006E5A00">
        <w:rPr>
          <w:lang w:val="es-ES"/>
        </w:rPr>
        <w:t>, pp.</w:t>
      </w:r>
      <w:r w:rsidR="00420463" w:rsidRPr="006E5A00">
        <w:rPr>
          <w:lang w:val="es-ES"/>
        </w:rPr>
        <w:t xml:space="preserve"> 105-120 </w:t>
      </w:r>
    </w:p>
    <w:p w14:paraId="4B92D3FB" w14:textId="77777777" w:rsidR="000F5C32" w:rsidRPr="006E5A00" w:rsidRDefault="00CD4673" w:rsidP="000F5C32">
      <w:pPr>
        <w:autoSpaceDE w:val="0"/>
        <w:autoSpaceDN w:val="0"/>
        <w:adjustRightInd w:val="0"/>
        <w:spacing w:line="240" w:lineRule="auto"/>
        <w:ind w:left="454" w:hanging="454"/>
        <w:jc w:val="both"/>
      </w:pPr>
      <w:r w:rsidRPr="006E5A00">
        <w:t>BUSETTI</w:t>
      </w:r>
      <w:r w:rsidR="000F5C32" w:rsidRPr="006E5A00">
        <w:t xml:space="preserve">, F. and </w:t>
      </w:r>
      <w:r w:rsidR="007C3584" w:rsidRPr="006E5A00">
        <w:t>HARVEY</w:t>
      </w:r>
      <w:r w:rsidR="00934FB4">
        <w:t>,</w:t>
      </w:r>
      <w:r w:rsidR="007C3584" w:rsidRPr="006E5A00">
        <w:t xml:space="preserve"> </w:t>
      </w:r>
      <w:r w:rsidR="00934FB4" w:rsidRPr="006E5A00">
        <w:t xml:space="preserve">A.C. </w:t>
      </w:r>
      <w:r w:rsidR="000F5C32" w:rsidRPr="006E5A00">
        <w:t>(2001): “Testing for the presence of a random walk in series with structural breaks</w:t>
      </w:r>
      <w:r w:rsidR="004D71A4" w:rsidRPr="006E5A00">
        <w:t>,</w:t>
      </w:r>
      <w:r w:rsidR="000F5C32" w:rsidRPr="006E5A00">
        <w:t xml:space="preserve">” </w:t>
      </w:r>
      <w:r w:rsidR="000F5C32" w:rsidRPr="006E5A00">
        <w:rPr>
          <w:i/>
        </w:rPr>
        <w:t>Journal of Time Series Analysis</w:t>
      </w:r>
      <w:r w:rsidR="000F5C32" w:rsidRPr="006E5A00">
        <w:t>, 22</w:t>
      </w:r>
      <w:r w:rsidR="006A4F57" w:rsidRPr="006E5A00">
        <w:t xml:space="preserve"> (</w:t>
      </w:r>
      <w:r w:rsidR="000F5C32" w:rsidRPr="006E5A00">
        <w:t>2</w:t>
      </w:r>
      <w:r w:rsidR="006A4F57" w:rsidRPr="006E5A00">
        <w:t xml:space="preserve">), pp. </w:t>
      </w:r>
      <w:r w:rsidR="000F5C32" w:rsidRPr="006E5A00">
        <w:t>128-50</w:t>
      </w:r>
    </w:p>
    <w:p w14:paraId="5ADB19FA" w14:textId="77777777" w:rsidR="00420463" w:rsidRPr="006E5A00" w:rsidRDefault="00CD4673" w:rsidP="00420463">
      <w:pPr>
        <w:autoSpaceDE w:val="0"/>
        <w:autoSpaceDN w:val="0"/>
        <w:adjustRightInd w:val="0"/>
        <w:spacing w:line="240" w:lineRule="auto"/>
        <w:ind w:left="454" w:hanging="454"/>
        <w:jc w:val="both"/>
      </w:pPr>
      <w:r w:rsidRPr="006E5A00">
        <w:t>CAMPS</w:t>
      </w:r>
      <w:r w:rsidR="00420463" w:rsidRPr="006E5A00">
        <w:t>, E. (1998)</w:t>
      </w:r>
      <w:r w:rsidR="00FD13F3" w:rsidRPr="006E5A00">
        <w:t>:</w:t>
      </w:r>
      <w:r w:rsidR="00420463" w:rsidRPr="006E5A00">
        <w:t xml:space="preserve"> </w:t>
      </w:r>
      <w:r w:rsidR="006A4F57" w:rsidRPr="006E5A00">
        <w:t>“</w:t>
      </w:r>
      <w:r w:rsidR="00420463" w:rsidRPr="006E5A00">
        <w:t>Transitions in women’s and children’s work patterns and implications for the study of family income and household structure: A case study from the Catalan textile sector (1850-1925),</w:t>
      </w:r>
      <w:r w:rsidR="006A4F57" w:rsidRPr="006E5A00">
        <w:t>”</w:t>
      </w:r>
      <w:r w:rsidR="00420463" w:rsidRPr="006E5A00">
        <w:t xml:space="preserve"> </w:t>
      </w:r>
      <w:r w:rsidR="00420463" w:rsidRPr="006E5A00">
        <w:rPr>
          <w:i/>
        </w:rPr>
        <w:t>The History of the Family</w:t>
      </w:r>
      <w:r w:rsidR="006A4F57" w:rsidRPr="006E5A00">
        <w:rPr>
          <w:i/>
        </w:rPr>
        <w:t>,</w:t>
      </w:r>
      <w:r w:rsidR="00420463" w:rsidRPr="006E5A00">
        <w:t xml:space="preserve"> 3 (2)</w:t>
      </w:r>
      <w:r w:rsidR="006A4F57" w:rsidRPr="006E5A00">
        <w:t>, pp.</w:t>
      </w:r>
      <w:r w:rsidR="00420463" w:rsidRPr="006E5A00">
        <w:t xml:space="preserve"> 137-153</w:t>
      </w:r>
    </w:p>
    <w:p w14:paraId="228064D6" w14:textId="77777777" w:rsidR="000F5C32" w:rsidRPr="006E5A00" w:rsidRDefault="00CD4673" w:rsidP="000F5C32">
      <w:pPr>
        <w:ind w:left="340" w:hanging="340"/>
        <w:jc w:val="both"/>
      </w:pPr>
      <w:r w:rsidRPr="006E5A00">
        <w:t>CONSOLAZIO</w:t>
      </w:r>
      <w:r w:rsidR="000F5C32" w:rsidRPr="006E5A00">
        <w:t xml:space="preserve">, F.C., </w:t>
      </w:r>
      <w:r w:rsidR="006813B8" w:rsidRPr="006E5A00">
        <w:t>SHAPIRO</w:t>
      </w:r>
      <w:r w:rsidR="000F5C32" w:rsidRPr="006E5A00">
        <w:t xml:space="preserve">, </w:t>
      </w:r>
      <w:r w:rsidR="00934FB4" w:rsidRPr="006E5A00">
        <w:t xml:space="preserve">R. </w:t>
      </w:r>
      <w:r w:rsidR="006813B8" w:rsidRPr="006E5A00">
        <w:t>MASTERSON</w:t>
      </w:r>
      <w:r w:rsidR="00934FB4">
        <w:t>,</w:t>
      </w:r>
      <w:r w:rsidR="006813B8" w:rsidRPr="006E5A00">
        <w:t xml:space="preserve"> </w:t>
      </w:r>
      <w:r w:rsidR="00934FB4" w:rsidRPr="006E5A00">
        <w:t xml:space="preserve">J.E. </w:t>
      </w:r>
      <w:r w:rsidR="000F5C32" w:rsidRPr="006E5A00">
        <w:t xml:space="preserve">and </w:t>
      </w:r>
      <w:r w:rsidR="006813B8" w:rsidRPr="006E5A00">
        <w:t>MCKINZIE</w:t>
      </w:r>
      <w:r w:rsidR="00934FB4">
        <w:t>,</w:t>
      </w:r>
      <w:r w:rsidR="006813B8" w:rsidRPr="006E5A00">
        <w:t xml:space="preserve"> </w:t>
      </w:r>
      <w:r w:rsidR="00934FB4" w:rsidRPr="006E5A00">
        <w:t xml:space="preserve">P.S.L. </w:t>
      </w:r>
      <w:r w:rsidR="000F5C32" w:rsidRPr="006E5A00">
        <w:t xml:space="preserve">(1961): </w:t>
      </w:r>
      <w:r w:rsidR="004D71A4" w:rsidRPr="006E5A00">
        <w:t>“</w:t>
      </w:r>
      <w:r w:rsidR="000F5C32" w:rsidRPr="006E5A00">
        <w:t xml:space="preserve">Energy Requirements of Men in Extreme Heat,” </w:t>
      </w:r>
      <w:r w:rsidR="000F5C32" w:rsidRPr="006E5A00">
        <w:rPr>
          <w:i/>
        </w:rPr>
        <w:t>Journal of Nutrition</w:t>
      </w:r>
      <w:r w:rsidR="000F5C32" w:rsidRPr="006E5A00">
        <w:t>, 73, pp. 126-134</w:t>
      </w:r>
    </w:p>
    <w:p w14:paraId="32A9377D" w14:textId="77777777" w:rsidR="00E65FA6" w:rsidRPr="006E5A00" w:rsidRDefault="00CD4673" w:rsidP="000F5C32">
      <w:pPr>
        <w:ind w:left="340" w:hanging="340"/>
        <w:jc w:val="both"/>
        <w:rPr>
          <w:lang w:val="es-ES"/>
        </w:rPr>
      </w:pPr>
      <w:r w:rsidRPr="006E5A00">
        <w:rPr>
          <w:lang w:val="es-ES"/>
        </w:rPr>
        <w:t xml:space="preserve">CUSSÓ </w:t>
      </w:r>
      <w:r w:rsidR="007C3584" w:rsidRPr="006E5A00">
        <w:rPr>
          <w:lang w:val="es-ES"/>
        </w:rPr>
        <w:t>SEGURA</w:t>
      </w:r>
      <w:r w:rsidR="00E65FA6" w:rsidRPr="006E5A00">
        <w:rPr>
          <w:lang w:val="es-ES"/>
        </w:rPr>
        <w:t xml:space="preserve">, X. (2005): “El estado nutritivo de la población española 1900-1970. Análisis de las necesidades y las disponibilidades de nutrientes,” </w:t>
      </w:r>
      <w:r w:rsidR="00E65FA6" w:rsidRPr="006E5A00">
        <w:rPr>
          <w:i/>
          <w:lang w:val="es-ES"/>
        </w:rPr>
        <w:t>Historia Agraria</w:t>
      </w:r>
      <w:r w:rsidR="00E65FA6" w:rsidRPr="006E5A00">
        <w:rPr>
          <w:lang w:val="es-ES"/>
        </w:rPr>
        <w:t>, 36, pp. 329-358</w:t>
      </w:r>
    </w:p>
    <w:p w14:paraId="20C296C5" w14:textId="77777777" w:rsidR="000F5C32" w:rsidRPr="006E5A00" w:rsidRDefault="00CD4673" w:rsidP="000F5C32">
      <w:pPr>
        <w:ind w:left="340" w:hanging="340"/>
        <w:jc w:val="both"/>
        <w:rPr>
          <w:lang w:val="es-ES"/>
        </w:rPr>
      </w:pPr>
      <w:r w:rsidRPr="006E5A00">
        <w:rPr>
          <w:lang w:val="es-ES"/>
        </w:rPr>
        <w:t xml:space="preserve">CUSSÓ </w:t>
      </w:r>
      <w:r w:rsidR="007C3584" w:rsidRPr="006E5A00">
        <w:rPr>
          <w:lang w:val="es-ES"/>
        </w:rPr>
        <w:t>I SEGURA</w:t>
      </w:r>
      <w:r w:rsidR="000F5C32" w:rsidRPr="006E5A00">
        <w:rPr>
          <w:lang w:val="es-ES"/>
        </w:rPr>
        <w:t xml:space="preserve">, X. (2010): “Transición nutricional y globalización de la dieta en España en los siglos XIX y XX: Un análisis comparado con el caso francés,” en Gerard Chastagneret, Jean Claude Daumas, Antonio Escudero Gutiérrez, y Olivier Raveux (eds.), </w:t>
      </w:r>
      <w:r w:rsidR="000F5C32" w:rsidRPr="006E5A00">
        <w:rPr>
          <w:i/>
          <w:lang w:val="es-ES"/>
        </w:rPr>
        <w:t>Los niveles de vida en España y Francia (siglos XVIII-XX): In memoriam Gérard Gayot (1941-2009)</w:t>
      </w:r>
      <w:r w:rsidR="000F5C32" w:rsidRPr="006E5A00">
        <w:rPr>
          <w:lang w:val="es-ES"/>
        </w:rPr>
        <w:t xml:space="preserve">, </w:t>
      </w:r>
      <w:r w:rsidR="000F5C32" w:rsidRPr="006E5A00">
        <w:rPr>
          <w:rStyle w:val="a-list-item"/>
          <w:lang w:val="es-ES"/>
        </w:rPr>
        <w:t>Publicaciones de la Universidad de Alicante,</w:t>
      </w:r>
      <w:r w:rsidR="000F5C32" w:rsidRPr="006E5A00">
        <w:rPr>
          <w:lang w:val="es-ES"/>
        </w:rPr>
        <w:t xml:space="preserve"> pp. 105-27</w:t>
      </w:r>
    </w:p>
    <w:p w14:paraId="641ECDAB"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CUSSÓ</w:t>
      </w:r>
      <w:r w:rsidR="00420463" w:rsidRPr="006E5A00">
        <w:rPr>
          <w:lang w:val="es-ES"/>
        </w:rPr>
        <w:t>, X. (2010a)</w:t>
      </w:r>
      <w:r w:rsidR="00FD13F3" w:rsidRPr="006E5A00">
        <w:rPr>
          <w:lang w:val="es-ES"/>
        </w:rPr>
        <w:t>:</w:t>
      </w:r>
      <w:r w:rsidR="00420463" w:rsidRPr="006E5A00">
        <w:rPr>
          <w:lang w:val="es-ES"/>
        </w:rPr>
        <w:t xml:space="preserve"> “Algunas reflexiones sobre la transición nutricional moderna y otras transiciones y revoluciones en la España contemporánea”. En Sistema alimentario y transición nutricional. Debate SEHA. http://seha.info/FILE/debates/xaviercusso.pdf</w:t>
      </w:r>
    </w:p>
    <w:p w14:paraId="0CC50B9D"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CUSSÓ </w:t>
      </w:r>
      <w:r w:rsidR="007C3584" w:rsidRPr="006E5A00">
        <w:rPr>
          <w:lang w:val="es-ES"/>
        </w:rPr>
        <w:t>SEGURA</w:t>
      </w:r>
      <w:r w:rsidR="00420463" w:rsidRPr="006E5A00">
        <w:rPr>
          <w:lang w:val="es-ES"/>
        </w:rPr>
        <w:t xml:space="preserve">, X., </w:t>
      </w:r>
      <w:r w:rsidR="006813B8" w:rsidRPr="006E5A00">
        <w:rPr>
          <w:lang w:val="es-ES"/>
        </w:rPr>
        <w:t>GAMBOA</w:t>
      </w:r>
      <w:r w:rsidR="00420463" w:rsidRPr="006E5A00">
        <w:rPr>
          <w:lang w:val="es-ES"/>
        </w:rPr>
        <w:t xml:space="preserve">, </w:t>
      </w:r>
      <w:r w:rsidR="00934FB4" w:rsidRPr="006E5A00">
        <w:rPr>
          <w:lang w:val="es-ES"/>
        </w:rPr>
        <w:t xml:space="preserve">G. </w:t>
      </w:r>
      <w:r w:rsidR="00420463" w:rsidRPr="006E5A00">
        <w:rPr>
          <w:lang w:val="es-ES"/>
        </w:rPr>
        <w:t xml:space="preserve">and </w:t>
      </w:r>
      <w:r w:rsidR="006813B8" w:rsidRPr="006E5A00">
        <w:rPr>
          <w:lang w:val="es-ES"/>
        </w:rPr>
        <w:t>PUJOL</w:t>
      </w:r>
      <w:r w:rsidR="00420463" w:rsidRPr="006E5A00">
        <w:rPr>
          <w:lang w:val="es-ES"/>
        </w:rPr>
        <w:t>-</w:t>
      </w:r>
      <w:r w:rsidR="006813B8" w:rsidRPr="006E5A00">
        <w:rPr>
          <w:lang w:val="es-ES"/>
        </w:rPr>
        <w:t>ANDREU</w:t>
      </w:r>
      <w:r w:rsidR="00934FB4">
        <w:rPr>
          <w:lang w:val="es-ES"/>
        </w:rPr>
        <w:t>,</w:t>
      </w:r>
      <w:r w:rsidR="006813B8" w:rsidRPr="006E5A00">
        <w:rPr>
          <w:lang w:val="es-ES"/>
        </w:rPr>
        <w:t xml:space="preserve"> </w:t>
      </w:r>
      <w:r w:rsidR="00934FB4" w:rsidRPr="006E5A00">
        <w:rPr>
          <w:lang w:val="es-ES"/>
        </w:rPr>
        <w:t xml:space="preserve">J. </w:t>
      </w:r>
      <w:r w:rsidR="00420463" w:rsidRPr="006E5A00">
        <w:rPr>
          <w:lang w:val="es-ES"/>
        </w:rPr>
        <w:t>(2018)</w:t>
      </w:r>
      <w:r w:rsidR="00FD13F3" w:rsidRPr="006E5A00">
        <w:rPr>
          <w:lang w:val="es-ES"/>
        </w:rPr>
        <w:t>:</w:t>
      </w:r>
      <w:r w:rsidR="00420463" w:rsidRPr="006E5A00">
        <w:rPr>
          <w:lang w:val="es-ES"/>
        </w:rPr>
        <w:t xml:space="preserve"> “El estado nutritivo de la población española. 1860-2010: una aproximación a las diferencias de género y generacionales,” </w:t>
      </w:r>
      <w:r w:rsidR="00420463" w:rsidRPr="006E5A00">
        <w:rPr>
          <w:i/>
          <w:lang w:val="es-ES"/>
        </w:rPr>
        <w:t>Nutrición Hospitalaria</w:t>
      </w:r>
      <w:r w:rsidR="00420463" w:rsidRPr="006E5A00">
        <w:rPr>
          <w:lang w:val="es-ES"/>
        </w:rPr>
        <w:t>, 35 (Nº Extra 5), pp. 11-18</w:t>
      </w:r>
    </w:p>
    <w:p w14:paraId="7E5B4E7D"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CUSSÓ</w:t>
      </w:r>
      <w:r w:rsidR="00420463" w:rsidRPr="006E5A00">
        <w:rPr>
          <w:lang w:val="es-ES"/>
        </w:rPr>
        <w:t xml:space="preserve">, X. and </w:t>
      </w:r>
      <w:r w:rsidR="006813B8" w:rsidRPr="006E5A00">
        <w:rPr>
          <w:lang w:val="es-ES"/>
        </w:rPr>
        <w:t>GARRABOU</w:t>
      </w:r>
      <w:r w:rsidR="00542FE0">
        <w:rPr>
          <w:lang w:val="es-ES"/>
        </w:rPr>
        <w:t>,</w:t>
      </w:r>
      <w:r w:rsidR="006813B8" w:rsidRPr="006E5A00">
        <w:rPr>
          <w:lang w:val="es-ES"/>
        </w:rPr>
        <w:t xml:space="preserve"> </w:t>
      </w:r>
      <w:r w:rsidR="00542FE0" w:rsidRPr="006E5A00">
        <w:rPr>
          <w:lang w:val="es-ES"/>
        </w:rPr>
        <w:t xml:space="preserve">R. </w:t>
      </w:r>
      <w:r w:rsidR="00420463" w:rsidRPr="006E5A00">
        <w:rPr>
          <w:lang w:val="es-ES"/>
        </w:rPr>
        <w:t>(2007)</w:t>
      </w:r>
      <w:r w:rsidR="00FD13F3" w:rsidRPr="006E5A00">
        <w:rPr>
          <w:lang w:val="es-ES"/>
        </w:rPr>
        <w:t>:</w:t>
      </w:r>
      <w:r w:rsidR="00420463" w:rsidRPr="006E5A00">
        <w:rPr>
          <w:lang w:val="es-ES"/>
        </w:rPr>
        <w:t xml:space="preserve"> “La transición nutricional en la España contemporánea: las variaciones en el consumo de pan, patatas y legumbres (1850- 2000),</w:t>
      </w:r>
      <w:r w:rsidR="00745D27" w:rsidRPr="006E5A00">
        <w:rPr>
          <w:lang w:val="es-ES"/>
        </w:rPr>
        <w:t>”</w:t>
      </w:r>
      <w:r w:rsidR="00420463" w:rsidRPr="006E5A00">
        <w:rPr>
          <w:lang w:val="es-ES"/>
        </w:rPr>
        <w:t xml:space="preserve"> </w:t>
      </w:r>
      <w:r w:rsidR="00420463" w:rsidRPr="006E5A00">
        <w:rPr>
          <w:i/>
          <w:lang w:val="es-ES"/>
        </w:rPr>
        <w:t>Investigaciones de Historia Económica</w:t>
      </w:r>
      <w:r w:rsidR="00420463" w:rsidRPr="006E5A00">
        <w:rPr>
          <w:lang w:val="es-ES"/>
        </w:rPr>
        <w:t>, 7, pp. 69-100</w:t>
      </w:r>
    </w:p>
    <w:p w14:paraId="0FDF040E" w14:textId="77777777" w:rsidR="00420463" w:rsidRPr="006E5A00" w:rsidRDefault="00CD4673" w:rsidP="00420463">
      <w:pPr>
        <w:autoSpaceDE w:val="0"/>
        <w:autoSpaceDN w:val="0"/>
        <w:adjustRightInd w:val="0"/>
        <w:spacing w:line="240" w:lineRule="auto"/>
        <w:ind w:left="454" w:hanging="454"/>
        <w:jc w:val="both"/>
        <w:rPr>
          <w:lang w:val="en-US"/>
        </w:rPr>
      </w:pPr>
      <w:r w:rsidRPr="006E5A00">
        <w:rPr>
          <w:lang w:val="es-ES"/>
        </w:rPr>
        <w:t>CUSSÓ</w:t>
      </w:r>
      <w:r w:rsidR="00542FE0">
        <w:rPr>
          <w:lang w:val="es-ES"/>
        </w:rPr>
        <w:t>, X.</w:t>
      </w:r>
      <w:r w:rsidR="00420463" w:rsidRPr="006E5A00">
        <w:rPr>
          <w:lang w:val="es-ES"/>
        </w:rPr>
        <w:t xml:space="preserve"> and </w:t>
      </w:r>
      <w:r w:rsidR="006813B8" w:rsidRPr="006E5A00">
        <w:rPr>
          <w:lang w:val="es-ES"/>
        </w:rPr>
        <w:t>NICOLAU</w:t>
      </w:r>
      <w:r w:rsidR="00542FE0">
        <w:rPr>
          <w:lang w:val="es-ES"/>
        </w:rPr>
        <w:t xml:space="preserve">, </w:t>
      </w:r>
      <w:r w:rsidR="006813B8" w:rsidRPr="006E5A00">
        <w:rPr>
          <w:lang w:val="es-ES"/>
        </w:rPr>
        <w:t xml:space="preserve"> </w:t>
      </w:r>
      <w:r w:rsidR="00542FE0" w:rsidRPr="006E5A00">
        <w:rPr>
          <w:lang w:val="es-ES"/>
        </w:rPr>
        <w:t xml:space="preserve">R. </w:t>
      </w:r>
      <w:r w:rsidR="00420463" w:rsidRPr="006E5A00">
        <w:rPr>
          <w:lang w:val="es-ES"/>
        </w:rPr>
        <w:t>(2000)</w:t>
      </w:r>
      <w:r w:rsidR="00FD13F3" w:rsidRPr="006E5A00">
        <w:rPr>
          <w:lang w:val="es-ES"/>
        </w:rPr>
        <w:t>:</w:t>
      </w:r>
      <w:r w:rsidR="00420463" w:rsidRPr="006E5A00">
        <w:rPr>
          <w:lang w:val="es-ES"/>
        </w:rPr>
        <w:t xml:space="preserve"> </w:t>
      </w:r>
      <w:r w:rsidR="00745D27" w:rsidRPr="006E5A00">
        <w:rPr>
          <w:lang w:val="es-ES"/>
        </w:rPr>
        <w:t>“</w:t>
      </w:r>
      <w:r w:rsidR="00420463" w:rsidRPr="006E5A00">
        <w:rPr>
          <w:lang w:val="es-ES"/>
        </w:rPr>
        <w:t xml:space="preserve">La mortalidad antes de entrar en la vida activa en España. </w:t>
      </w:r>
      <w:r w:rsidR="00420463" w:rsidRPr="006E5A00">
        <w:rPr>
          <w:lang w:val="en-US"/>
        </w:rPr>
        <w:t>Comparaciones regionales e internacionales, 1860-1960</w:t>
      </w:r>
      <w:r w:rsidR="00745D27" w:rsidRPr="006E5A00">
        <w:rPr>
          <w:lang w:val="en-US"/>
        </w:rPr>
        <w:t>,”</w:t>
      </w:r>
      <w:r w:rsidR="00420463" w:rsidRPr="006E5A00">
        <w:rPr>
          <w:lang w:val="en-US"/>
        </w:rPr>
        <w:t xml:space="preserve"> </w:t>
      </w:r>
      <w:r w:rsidR="00420463" w:rsidRPr="006E5A00">
        <w:rPr>
          <w:i/>
          <w:lang w:val="en-US"/>
        </w:rPr>
        <w:t>Revista de Historia Económica</w:t>
      </w:r>
      <w:r w:rsidR="00745D27" w:rsidRPr="006E5A00">
        <w:rPr>
          <w:i/>
          <w:lang w:val="en-US"/>
        </w:rPr>
        <w:t>,</w:t>
      </w:r>
      <w:r w:rsidR="00420463" w:rsidRPr="006E5A00">
        <w:rPr>
          <w:lang w:val="en-US"/>
        </w:rPr>
        <w:t xml:space="preserve"> 18 (3)</w:t>
      </w:r>
      <w:r w:rsidR="00745D27" w:rsidRPr="006E5A00">
        <w:rPr>
          <w:lang w:val="en-US"/>
        </w:rPr>
        <w:t>, pp.</w:t>
      </w:r>
      <w:r w:rsidR="00420463" w:rsidRPr="006E5A00">
        <w:rPr>
          <w:lang w:val="en-US"/>
        </w:rPr>
        <w:t xml:space="preserve"> 525-51 </w:t>
      </w:r>
    </w:p>
    <w:p w14:paraId="79AB3D43" w14:textId="77777777" w:rsidR="000F5C32" w:rsidRPr="006E5A00" w:rsidRDefault="00CD4673" w:rsidP="000F5C32">
      <w:pPr>
        <w:ind w:left="340" w:hanging="340"/>
        <w:jc w:val="both"/>
      </w:pPr>
      <w:r w:rsidRPr="006E5A00">
        <w:t>DOMÈNECH</w:t>
      </w:r>
      <w:r w:rsidR="000F5C32" w:rsidRPr="006E5A00">
        <w:t>, J. (2007): “Working hours in the European periphery: The length of the working day in Spain, 1885-1920</w:t>
      </w:r>
      <w:r w:rsidR="00745D27" w:rsidRPr="006E5A00">
        <w:t>,</w:t>
      </w:r>
      <w:r w:rsidR="000F5C32" w:rsidRPr="006E5A00">
        <w:t xml:space="preserve">” </w:t>
      </w:r>
      <w:r w:rsidR="000F5C32" w:rsidRPr="006E5A00">
        <w:rPr>
          <w:i/>
        </w:rPr>
        <w:t>Explorations in Economic History</w:t>
      </w:r>
      <w:r w:rsidR="000F5C32" w:rsidRPr="006E5A00">
        <w:t>, 44 (3), pp. 469-486</w:t>
      </w:r>
    </w:p>
    <w:p w14:paraId="395A2BAD"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DOPICO</w:t>
      </w:r>
      <w:r w:rsidR="00420463" w:rsidRPr="006E5A00">
        <w:rPr>
          <w:lang w:val="es-ES"/>
        </w:rPr>
        <w:t xml:space="preserve">, F., </w:t>
      </w:r>
      <w:r w:rsidR="007C3584" w:rsidRPr="006E5A00">
        <w:rPr>
          <w:lang w:val="es-ES"/>
        </w:rPr>
        <w:t>REHER</w:t>
      </w:r>
      <w:r w:rsidR="00420463" w:rsidRPr="006E5A00">
        <w:rPr>
          <w:lang w:val="es-ES"/>
        </w:rPr>
        <w:t>, D.S. (1998)</w:t>
      </w:r>
      <w:r w:rsidR="00FD13F3" w:rsidRPr="006E5A00">
        <w:rPr>
          <w:lang w:val="es-ES"/>
        </w:rPr>
        <w:t>:</w:t>
      </w:r>
      <w:r w:rsidR="00420463" w:rsidRPr="006E5A00">
        <w:rPr>
          <w:lang w:val="es-ES"/>
        </w:rPr>
        <w:t xml:space="preserve"> </w:t>
      </w:r>
      <w:r w:rsidR="00420463" w:rsidRPr="006E5A00">
        <w:rPr>
          <w:i/>
          <w:lang w:val="es-ES"/>
        </w:rPr>
        <w:t>El declive de la mortalidad en España, 1860-1930</w:t>
      </w:r>
      <w:r w:rsidR="004D71A4" w:rsidRPr="006E5A00">
        <w:rPr>
          <w:lang w:val="es-ES"/>
        </w:rPr>
        <w:t>.</w:t>
      </w:r>
      <w:r w:rsidR="00420463" w:rsidRPr="006E5A00">
        <w:rPr>
          <w:lang w:val="es-ES"/>
        </w:rPr>
        <w:t xml:space="preserve"> Zaragoza: Prensas Universitarias de Zaragoza </w:t>
      </w:r>
    </w:p>
    <w:p w14:paraId="534A5AE5" w14:textId="77777777" w:rsidR="00610AE5" w:rsidRPr="006E5A00" w:rsidRDefault="00CD4673" w:rsidP="000F5C32">
      <w:pPr>
        <w:autoSpaceDE w:val="0"/>
        <w:autoSpaceDN w:val="0"/>
        <w:adjustRightInd w:val="0"/>
        <w:ind w:left="340" w:hanging="340"/>
        <w:jc w:val="both"/>
        <w:rPr>
          <w:rFonts w:cs="TimesNewRoman,Bold"/>
          <w:bCs w:val="0"/>
          <w:lang w:val="es-ES"/>
        </w:rPr>
      </w:pPr>
      <w:r w:rsidRPr="006E5A00">
        <w:rPr>
          <w:rFonts w:cs="TimesNewRoman,Bold"/>
          <w:bCs w:val="0"/>
          <w:lang w:val="es-ES"/>
        </w:rPr>
        <w:t>ERKOREKA</w:t>
      </w:r>
      <w:r w:rsidR="00610AE5" w:rsidRPr="006E5A00">
        <w:rPr>
          <w:rFonts w:cs="TimesNewRoman,Bold"/>
          <w:bCs w:val="0"/>
          <w:lang w:val="es-ES"/>
        </w:rPr>
        <w:t>, A</w:t>
      </w:r>
      <w:r w:rsidR="00534DB2" w:rsidRPr="006E5A00">
        <w:rPr>
          <w:rFonts w:cs="TimesNewRoman,Bold"/>
          <w:bCs w:val="0"/>
          <w:lang w:val="es-ES"/>
        </w:rPr>
        <w:t>.</w:t>
      </w:r>
      <w:r w:rsidR="00610AE5" w:rsidRPr="006E5A00">
        <w:rPr>
          <w:rFonts w:cs="TimesNewRoman,Bold"/>
          <w:bCs w:val="0"/>
          <w:lang w:val="es-ES"/>
        </w:rPr>
        <w:t xml:space="preserve"> and </w:t>
      </w:r>
      <w:r w:rsidR="007C3584" w:rsidRPr="006E5A00">
        <w:rPr>
          <w:rFonts w:cs="TimesNewRoman,Bold"/>
          <w:bCs w:val="0"/>
          <w:lang w:val="es-ES"/>
        </w:rPr>
        <w:t>ERKOREKA</w:t>
      </w:r>
      <w:r w:rsidR="00542FE0">
        <w:rPr>
          <w:rFonts w:cs="TimesNewRoman,Bold"/>
          <w:bCs w:val="0"/>
          <w:lang w:val="es-ES"/>
        </w:rPr>
        <w:t>,</w:t>
      </w:r>
      <w:r w:rsidR="007C3584" w:rsidRPr="006E5A00">
        <w:rPr>
          <w:rFonts w:cs="TimesNewRoman,Bold"/>
          <w:bCs w:val="0"/>
          <w:lang w:val="es-ES"/>
        </w:rPr>
        <w:t xml:space="preserve"> </w:t>
      </w:r>
      <w:r w:rsidR="00542FE0" w:rsidRPr="006E5A00">
        <w:rPr>
          <w:rFonts w:cs="TimesNewRoman,Bold"/>
          <w:bCs w:val="0"/>
          <w:lang w:val="es-ES"/>
        </w:rPr>
        <w:t xml:space="preserve">M. </w:t>
      </w:r>
      <w:r w:rsidR="00610AE5" w:rsidRPr="006E5A00">
        <w:rPr>
          <w:rFonts w:cs="TimesNewRoman,Bold"/>
          <w:bCs w:val="0"/>
          <w:lang w:val="es-ES"/>
        </w:rPr>
        <w:t xml:space="preserve">(2021): “El papel de las haciendas locales en el progreso de la salud pública: el caso del Ayuntamiento de Bilbao (1890-1936),” In L. E. Otero Carvajal and S. de Miguel Salanova (eds.), </w:t>
      </w:r>
      <w:r w:rsidR="00610AE5" w:rsidRPr="006E5A00">
        <w:rPr>
          <w:rFonts w:cs="TimesNewRoman,Bold"/>
          <w:bCs w:val="0"/>
          <w:i/>
          <w:lang w:val="es-ES"/>
        </w:rPr>
        <w:t>Sociedad urbana y salud pública: España, 1860-1936</w:t>
      </w:r>
      <w:r w:rsidR="00610AE5" w:rsidRPr="006E5A00">
        <w:rPr>
          <w:rFonts w:cs="TimesNewRoman,Bold"/>
          <w:bCs w:val="0"/>
          <w:lang w:val="es-ES"/>
        </w:rPr>
        <w:t>, pp. 294-310</w:t>
      </w:r>
    </w:p>
    <w:p w14:paraId="668DF53B"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ESCUDERO</w:t>
      </w:r>
      <w:r w:rsidR="00420463" w:rsidRPr="006E5A00">
        <w:rPr>
          <w:lang w:val="es-ES"/>
        </w:rPr>
        <w:t>, A</w:t>
      </w:r>
      <w:r w:rsidR="00287F35" w:rsidRPr="006E5A00">
        <w:rPr>
          <w:lang w:val="es-ES"/>
        </w:rPr>
        <w:t>.</w:t>
      </w:r>
      <w:r w:rsidR="00420463" w:rsidRPr="006E5A00">
        <w:rPr>
          <w:lang w:val="es-ES"/>
        </w:rPr>
        <w:t xml:space="preserve"> and </w:t>
      </w:r>
      <w:r w:rsidR="007C3584" w:rsidRPr="006E5A00">
        <w:rPr>
          <w:lang w:val="es-ES"/>
        </w:rPr>
        <w:t>NICOLAU</w:t>
      </w:r>
      <w:r w:rsidR="00542FE0">
        <w:rPr>
          <w:lang w:val="es-ES"/>
        </w:rPr>
        <w:t>,</w:t>
      </w:r>
      <w:r w:rsidR="007C3584" w:rsidRPr="006E5A00">
        <w:rPr>
          <w:lang w:val="es-ES"/>
        </w:rPr>
        <w:t xml:space="preserve"> </w:t>
      </w:r>
      <w:r w:rsidR="00542FE0" w:rsidRPr="006E5A00">
        <w:rPr>
          <w:lang w:val="es-ES"/>
        </w:rPr>
        <w:t xml:space="preserve">R. </w:t>
      </w:r>
      <w:r w:rsidR="00420463" w:rsidRPr="006E5A00">
        <w:rPr>
          <w:lang w:val="es-ES"/>
        </w:rPr>
        <w:t xml:space="preserve">(2014): “Urban penalties: nuevas hipótesis y caso español (1860-1920),” </w:t>
      </w:r>
      <w:r w:rsidR="00420463" w:rsidRPr="006E5A00">
        <w:rPr>
          <w:i/>
          <w:lang w:val="es-ES"/>
        </w:rPr>
        <w:t>Historia Social</w:t>
      </w:r>
      <w:r w:rsidR="00420463" w:rsidRPr="006E5A00">
        <w:rPr>
          <w:lang w:val="es-ES"/>
        </w:rPr>
        <w:t>, 80 número especial Ciudades, salud y alimentación en España (Siglos XIX y XX), pp. 9-33</w:t>
      </w:r>
    </w:p>
    <w:p w14:paraId="6F05C3CE" w14:textId="77777777" w:rsidR="000F5C32" w:rsidRPr="006E5A00" w:rsidRDefault="000F5C32" w:rsidP="000F5C32">
      <w:pPr>
        <w:autoSpaceDE w:val="0"/>
        <w:autoSpaceDN w:val="0"/>
        <w:adjustRightInd w:val="0"/>
        <w:ind w:left="340" w:hanging="340"/>
        <w:jc w:val="both"/>
        <w:rPr>
          <w:rFonts w:cs="TT382O00"/>
          <w:lang w:val="en-US"/>
        </w:rPr>
      </w:pPr>
      <w:r w:rsidRPr="006E5A00">
        <w:rPr>
          <w:rFonts w:cs="TT382O00"/>
          <w:lang w:val="en-US"/>
        </w:rPr>
        <w:t xml:space="preserve">FAO (1964) [Assessment by R. Passmore]: </w:t>
      </w:r>
      <w:r w:rsidRPr="006E5A00">
        <w:rPr>
          <w:rFonts w:cs="TT382O00"/>
          <w:i/>
          <w:lang w:val="en-US"/>
        </w:rPr>
        <w:t xml:space="preserve">An Assessment of the Second Committee on Calorie Requirements </w:t>
      </w:r>
      <w:r w:rsidRPr="006E5A00">
        <w:rPr>
          <w:rFonts w:cs="TT382O00"/>
          <w:lang w:val="en-US"/>
        </w:rPr>
        <w:t>(FAO 1957). Rome</w:t>
      </w:r>
    </w:p>
    <w:p w14:paraId="4B359AD7" w14:textId="77777777" w:rsidR="000F5C32" w:rsidRPr="006E5A00" w:rsidRDefault="000F5C32" w:rsidP="000F5C32">
      <w:pPr>
        <w:autoSpaceDE w:val="0"/>
        <w:autoSpaceDN w:val="0"/>
        <w:adjustRightInd w:val="0"/>
        <w:ind w:left="340" w:hanging="340"/>
        <w:jc w:val="both"/>
        <w:rPr>
          <w:rFonts w:cs="TT382O00"/>
          <w:lang w:val="en-US"/>
        </w:rPr>
      </w:pPr>
      <w:r w:rsidRPr="006E5A00">
        <w:rPr>
          <w:rFonts w:cs="TT382O00"/>
          <w:lang w:val="en-US"/>
        </w:rPr>
        <w:t xml:space="preserve">FAO (2001): “Human energy requirements. Report of a joint FAO/WHO/UNU Expert Consultation.” </w:t>
      </w:r>
      <w:r w:rsidRPr="006E5A00">
        <w:rPr>
          <w:rFonts w:cs="TT382O00"/>
          <w:i/>
          <w:lang w:val="en-US"/>
        </w:rPr>
        <w:t>Food and Nutritional Technical Report Series</w:t>
      </w:r>
      <w:r w:rsidRPr="006E5A00">
        <w:rPr>
          <w:rFonts w:cs="TT382O00"/>
          <w:lang w:val="en-US"/>
        </w:rPr>
        <w:t xml:space="preserve"> 1. Rome  </w:t>
      </w:r>
    </w:p>
    <w:p w14:paraId="6281FE40" w14:textId="77777777" w:rsidR="000F5C32" w:rsidRPr="006E5A00" w:rsidRDefault="00CD4673" w:rsidP="000F5C32">
      <w:pPr>
        <w:autoSpaceDE w:val="0"/>
        <w:autoSpaceDN w:val="0"/>
        <w:adjustRightInd w:val="0"/>
        <w:ind w:left="340" w:hanging="340"/>
        <w:jc w:val="both"/>
      </w:pPr>
      <w:r w:rsidRPr="006E5A00">
        <w:rPr>
          <w:rFonts w:ascii="Verdana" w:hAnsi="Verdana"/>
          <w:sz w:val="20"/>
          <w:lang w:val="en-US" w:eastAsia="en-US"/>
        </w:rPr>
        <w:t>FERNIHOUGH</w:t>
      </w:r>
      <w:r w:rsidR="000F5C32" w:rsidRPr="006E5A00">
        <w:rPr>
          <w:rFonts w:ascii="Verdana" w:hAnsi="Verdana"/>
          <w:sz w:val="20"/>
          <w:lang w:val="en-US" w:eastAsia="en-US"/>
        </w:rPr>
        <w:t xml:space="preserve">, A. (2010): </w:t>
      </w:r>
      <w:r w:rsidR="000F5C32" w:rsidRPr="006E5A00">
        <w:rPr>
          <w:rFonts w:ascii="Verdana" w:hAnsi="Verdana"/>
          <w:bCs w:val="0"/>
          <w:sz w:val="20"/>
          <w:lang w:val="en-US" w:eastAsia="en-US"/>
        </w:rPr>
        <w:t xml:space="preserve">Malthusian Dynamics in a Diverging Europe: Northern Italy 1650-1881. </w:t>
      </w:r>
      <w:r w:rsidR="000F5C32" w:rsidRPr="006E5A00">
        <w:rPr>
          <w:rFonts w:ascii="Verdana" w:hAnsi="Verdana"/>
          <w:sz w:val="20"/>
          <w:lang w:val="en-US" w:eastAsia="en-US"/>
        </w:rPr>
        <w:t>Working Paper University College Dublin, # WP10/37</w:t>
      </w:r>
    </w:p>
    <w:p w14:paraId="3003B66A" w14:textId="77777777" w:rsidR="000F5C32" w:rsidRPr="006E5A00" w:rsidRDefault="00CD4673" w:rsidP="000F5C32">
      <w:pPr>
        <w:autoSpaceDE w:val="0"/>
        <w:autoSpaceDN w:val="0"/>
        <w:adjustRightInd w:val="0"/>
        <w:ind w:left="340" w:hanging="340"/>
        <w:jc w:val="both"/>
        <w:rPr>
          <w:rFonts w:cs="Times-Roman"/>
          <w:lang w:val="en-US"/>
        </w:rPr>
      </w:pPr>
      <w:r w:rsidRPr="006E5A00">
        <w:rPr>
          <w:rFonts w:cs="Times-Roman"/>
          <w:lang w:val="en-US"/>
        </w:rPr>
        <w:t>FRIEDLANDER</w:t>
      </w:r>
      <w:r w:rsidR="000F5C32" w:rsidRPr="006E5A00">
        <w:rPr>
          <w:rFonts w:cs="Times-Roman"/>
          <w:lang w:val="en-US"/>
        </w:rPr>
        <w:t>, D. (1992): “British depression and nuptiality: 1873-1896</w:t>
      </w:r>
      <w:r w:rsidR="00745D27" w:rsidRPr="006E5A00">
        <w:rPr>
          <w:rFonts w:cs="Times-Roman"/>
          <w:lang w:val="en-US"/>
        </w:rPr>
        <w:t>,</w:t>
      </w:r>
      <w:r w:rsidR="000F5C32" w:rsidRPr="006E5A00">
        <w:rPr>
          <w:rFonts w:cs="Times-Roman"/>
          <w:lang w:val="en-US"/>
        </w:rPr>
        <w:t xml:space="preserve">” </w:t>
      </w:r>
      <w:r w:rsidR="000F5C32" w:rsidRPr="006E5A00">
        <w:rPr>
          <w:rFonts w:cs="Times-Roman"/>
          <w:i/>
          <w:lang w:val="en-US"/>
        </w:rPr>
        <w:t xml:space="preserve">Journal </w:t>
      </w:r>
      <w:proofErr w:type="gramStart"/>
      <w:r w:rsidR="000F5C32" w:rsidRPr="006E5A00">
        <w:rPr>
          <w:rFonts w:cs="Times-Roman"/>
          <w:i/>
          <w:lang w:val="en-US"/>
        </w:rPr>
        <w:t>of  Interdisciplinary</w:t>
      </w:r>
      <w:proofErr w:type="gramEnd"/>
      <w:r w:rsidR="000F5C32" w:rsidRPr="006E5A00">
        <w:rPr>
          <w:rFonts w:cs="Times-Roman"/>
          <w:i/>
          <w:lang w:val="en-US"/>
        </w:rPr>
        <w:t xml:space="preserve"> History</w:t>
      </w:r>
      <w:r w:rsidR="000F5C32" w:rsidRPr="006E5A00">
        <w:rPr>
          <w:rFonts w:cs="Times-Roman"/>
          <w:lang w:val="en-US"/>
        </w:rPr>
        <w:t>, 23, pp. 19-37</w:t>
      </w:r>
    </w:p>
    <w:p w14:paraId="1979E032"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GALLEGO </w:t>
      </w:r>
      <w:r w:rsidR="007C3584" w:rsidRPr="006E5A00">
        <w:rPr>
          <w:lang w:val="es-ES"/>
        </w:rPr>
        <w:t>MARTÍNEZ</w:t>
      </w:r>
      <w:r w:rsidR="00420463" w:rsidRPr="006E5A00">
        <w:rPr>
          <w:lang w:val="es-ES"/>
        </w:rPr>
        <w:t>, D</w:t>
      </w:r>
      <w:r w:rsidR="00287F35" w:rsidRPr="006E5A00">
        <w:rPr>
          <w:lang w:val="es-ES"/>
        </w:rPr>
        <w:t>.</w:t>
      </w:r>
      <w:r w:rsidR="00420463" w:rsidRPr="006E5A00">
        <w:rPr>
          <w:lang w:val="es-ES"/>
        </w:rPr>
        <w:t xml:space="preserve"> (2015): </w:t>
      </w:r>
      <w:r w:rsidR="00745D27" w:rsidRPr="006E5A00">
        <w:rPr>
          <w:lang w:val="es-ES"/>
        </w:rPr>
        <w:t>“</w:t>
      </w:r>
      <w:r w:rsidR="00420463" w:rsidRPr="006E5A00">
        <w:rPr>
          <w:lang w:val="es-ES"/>
        </w:rPr>
        <w:t>Los precios de las subsistencias en la España de comienzos de siglo XX</w:t>
      </w:r>
      <w:r w:rsidR="00745D27" w:rsidRPr="006E5A00">
        <w:rPr>
          <w:lang w:val="es-ES"/>
        </w:rPr>
        <w:t>,”</w:t>
      </w:r>
      <w:r w:rsidR="00420463" w:rsidRPr="006E5A00">
        <w:rPr>
          <w:lang w:val="es-ES"/>
        </w:rPr>
        <w:t xml:space="preserve"> </w:t>
      </w:r>
      <w:r w:rsidR="00745D27" w:rsidRPr="006E5A00">
        <w:rPr>
          <w:lang w:val="es-ES"/>
        </w:rPr>
        <w:t>i</w:t>
      </w:r>
      <w:r w:rsidR="00420463" w:rsidRPr="006E5A00">
        <w:rPr>
          <w:lang w:val="es-ES"/>
        </w:rPr>
        <w:t xml:space="preserve">n </w:t>
      </w:r>
      <w:r w:rsidR="00745D27" w:rsidRPr="006E5A00">
        <w:rPr>
          <w:lang w:val="es-ES"/>
        </w:rPr>
        <w:t>E. Llopis Agelán, E.C. San Román López (eds.),</w:t>
      </w:r>
      <w:r w:rsidR="00745D27" w:rsidRPr="006E5A00">
        <w:rPr>
          <w:i/>
          <w:lang w:val="es-ES"/>
        </w:rPr>
        <w:t xml:space="preserve"> </w:t>
      </w:r>
      <w:r w:rsidR="00420463" w:rsidRPr="006E5A00">
        <w:rPr>
          <w:i/>
          <w:lang w:val="es-ES"/>
        </w:rPr>
        <w:t>El legado de Gonzalo Anes (1931-2014): alumnos y discípulos</w:t>
      </w:r>
      <w:r w:rsidR="00420463" w:rsidRPr="006E5A00">
        <w:rPr>
          <w:lang w:val="es-ES"/>
        </w:rPr>
        <w:t>, p</w:t>
      </w:r>
      <w:r w:rsidR="00745D27" w:rsidRPr="006E5A00">
        <w:rPr>
          <w:lang w:val="es-ES"/>
        </w:rPr>
        <w:t>p</w:t>
      </w:r>
      <w:r w:rsidR="00420463" w:rsidRPr="006E5A00">
        <w:rPr>
          <w:lang w:val="es-ES"/>
        </w:rPr>
        <w:t>. 134-144</w:t>
      </w:r>
    </w:p>
    <w:p w14:paraId="739A8FEA"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GALLEGO </w:t>
      </w:r>
      <w:r w:rsidR="007C3584" w:rsidRPr="006E5A00">
        <w:rPr>
          <w:lang w:val="es-ES"/>
        </w:rPr>
        <w:t>MARTÍNEZ</w:t>
      </w:r>
      <w:r w:rsidR="00420463" w:rsidRPr="006E5A00">
        <w:rPr>
          <w:lang w:val="es-ES"/>
        </w:rPr>
        <w:t>, D</w:t>
      </w:r>
      <w:r w:rsidR="00287F35" w:rsidRPr="006E5A00">
        <w:rPr>
          <w:lang w:val="es-ES"/>
        </w:rPr>
        <w:t>.</w:t>
      </w:r>
      <w:r w:rsidR="00420463" w:rsidRPr="006E5A00">
        <w:rPr>
          <w:lang w:val="es-ES"/>
        </w:rPr>
        <w:t xml:space="preserve"> (2016): </w:t>
      </w:r>
      <w:r w:rsidR="00745D27" w:rsidRPr="006E5A00">
        <w:rPr>
          <w:lang w:val="es-ES"/>
        </w:rPr>
        <w:t>“</w:t>
      </w:r>
      <w:r w:rsidR="00420463" w:rsidRPr="006E5A00">
        <w:rPr>
          <w:lang w:val="es-ES"/>
        </w:rPr>
        <w:t xml:space="preserve">Obstáculos comerciales y salariales a la transición nutricional en la España de comienzos del siglo </w:t>
      </w:r>
      <w:r w:rsidR="00745D27" w:rsidRPr="006E5A00">
        <w:rPr>
          <w:lang w:val="es-ES"/>
        </w:rPr>
        <w:t>XX,”</w:t>
      </w:r>
      <w:r w:rsidR="00420463" w:rsidRPr="006E5A00">
        <w:rPr>
          <w:lang w:val="es-ES"/>
        </w:rPr>
        <w:t xml:space="preserve"> </w:t>
      </w:r>
      <w:r w:rsidR="00420463" w:rsidRPr="006E5A00">
        <w:rPr>
          <w:i/>
          <w:lang w:val="es-ES"/>
        </w:rPr>
        <w:t>Investigaciones de Historia Económica – Economic History Rearch</w:t>
      </w:r>
      <w:r w:rsidR="00420463" w:rsidRPr="006E5A00">
        <w:rPr>
          <w:lang w:val="es-ES"/>
        </w:rPr>
        <w:t>, 12, pp. 154-64</w:t>
      </w:r>
    </w:p>
    <w:p w14:paraId="0B8FF53A" w14:textId="77777777" w:rsidR="00420463" w:rsidRPr="006E5A00" w:rsidRDefault="000978EC" w:rsidP="00420463">
      <w:pPr>
        <w:autoSpaceDE w:val="0"/>
        <w:autoSpaceDN w:val="0"/>
        <w:adjustRightInd w:val="0"/>
        <w:spacing w:line="240" w:lineRule="auto"/>
        <w:ind w:left="454" w:hanging="454"/>
        <w:jc w:val="both"/>
        <w:rPr>
          <w:lang w:val="es-ES"/>
        </w:rPr>
      </w:pPr>
      <w:r>
        <w:rPr>
          <w:lang w:val="es-ES"/>
        </w:rPr>
        <w:t xml:space="preserve">GARCÍA </w:t>
      </w:r>
      <w:r w:rsidR="007C3584" w:rsidRPr="006E5A00">
        <w:rPr>
          <w:lang w:val="es-ES"/>
        </w:rPr>
        <w:t>ABAD</w:t>
      </w:r>
      <w:r w:rsidR="00420463" w:rsidRPr="006E5A00">
        <w:rPr>
          <w:lang w:val="es-ES"/>
        </w:rPr>
        <w:t>, R</w:t>
      </w:r>
      <w:r w:rsidR="00287F35" w:rsidRPr="006E5A00">
        <w:rPr>
          <w:lang w:val="es-ES"/>
        </w:rPr>
        <w:t>.</w:t>
      </w:r>
      <w:r w:rsidR="00420463" w:rsidRPr="006E5A00">
        <w:rPr>
          <w:lang w:val="es-ES"/>
        </w:rPr>
        <w:t xml:space="preserve"> (1999): “Mercado de trabajo y estrategias familiares durante la primera industrialización vizcaína: el hospedaje,” </w:t>
      </w:r>
      <w:r w:rsidR="00420463" w:rsidRPr="006E5A00">
        <w:rPr>
          <w:i/>
          <w:lang w:val="es-ES"/>
        </w:rPr>
        <w:t>Vasconia</w:t>
      </w:r>
      <w:r w:rsidR="00420463" w:rsidRPr="006E5A00">
        <w:rPr>
          <w:lang w:val="es-ES"/>
        </w:rPr>
        <w:t xml:space="preserve">, 28, pp. 93-115 </w:t>
      </w:r>
    </w:p>
    <w:p w14:paraId="2CBF773B"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GARCÍA </w:t>
      </w:r>
      <w:r w:rsidR="007C3584" w:rsidRPr="006E5A00">
        <w:rPr>
          <w:lang w:val="es-ES"/>
        </w:rPr>
        <w:t>ABAD</w:t>
      </w:r>
      <w:r w:rsidR="00420463" w:rsidRPr="006E5A00">
        <w:rPr>
          <w:lang w:val="es-ES"/>
        </w:rPr>
        <w:t>, R</w:t>
      </w:r>
      <w:r w:rsidR="00287F35" w:rsidRPr="006E5A00">
        <w:rPr>
          <w:lang w:val="es-ES"/>
        </w:rPr>
        <w:t>.</w:t>
      </w:r>
      <w:r w:rsidR="00420463" w:rsidRPr="006E5A00">
        <w:rPr>
          <w:lang w:val="es-ES"/>
        </w:rPr>
        <w:t xml:space="preserve"> (2012): “Migraciones en familia a Bizcaia de la primera industrialización (1877-1936),” </w:t>
      </w:r>
      <w:r w:rsidR="00420463" w:rsidRPr="006E5A00">
        <w:rPr>
          <w:i/>
          <w:lang w:val="es-ES"/>
        </w:rPr>
        <w:t>Vasconia</w:t>
      </w:r>
      <w:r w:rsidR="00420463" w:rsidRPr="006E5A00">
        <w:rPr>
          <w:lang w:val="es-ES"/>
        </w:rPr>
        <w:t>, 38</w:t>
      </w:r>
      <w:r w:rsidR="00745D27" w:rsidRPr="006E5A00">
        <w:rPr>
          <w:lang w:val="es-ES"/>
        </w:rPr>
        <w:t>, pp.</w:t>
      </w:r>
      <w:r w:rsidR="00420463" w:rsidRPr="006E5A00">
        <w:rPr>
          <w:lang w:val="es-ES"/>
        </w:rPr>
        <w:t xml:space="preserve"> 711-740</w:t>
      </w:r>
    </w:p>
    <w:p w14:paraId="484DDF03"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GARCÍA </w:t>
      </w:r>
      <w:r w:rsidR="007C3584" w:rsidRPr="006E5A00">
        <w:rPr>
          <w:lang w:val="es-ES"/>
        </w:rPr>
        <w:t>GÓMEZ</w:t>
      </w:r>
      <w:r w:rsidR="00420463" w:rsidRPr="006E5A00">
        <w:rPr>
          <w:lang w:val="es-ES"/>
        </w:rPr>
        <w:t>, J</w:t>
      </w:r>
      <w:r w:rsidR="00287F35" w:rsidRPr="006E5A00">
        <w:rPr>
          <w:lang w:val="es-ES"/>
        </w:rPr>
        <w:t>.</w:t>
      </w:r>
      <w:r w:rsidR="00420463" w:rsidRPr="006E5A00">
        <w:rPr>
          <w:lang w:val="es-ES"/>
        </w:rPr>
        <w:t xml:space="preserve"> J</w:t>
      </w:r>
      <w:r w:rsidR="00287F35" w:rsidRPr="006E5A00">
        <w:rPr>
          <w:lang w:val="es-ES"/>
        </w:rPr>
        <w:t>.</w:t>
      </w:r>
      <w:r w:rsidR="00420463" w:rsidRPr="006E5A00">
        <w:rPr>
          <w:lang w:val="es-ES"/>
        </w:rPr>
        <w:t xml:space="preserve"> </w:t>
      </w:r>
      <w:r w:rsidR="00542FE0">
        <w:rPr>
          <w:lang w:val="es-ES"/>
        </w:rPr>
        <w:t xml:space="preserve">and </w:t>
      </w:r>
      <w:r w:rsidR="007C3584" w:rsidRPr="006E5A00">
        <w:rPr>
          <w:lang w:val="es-ES"/>
        </w:rPr>
        <w:t>TRECASTRO LÓPEZ</w:t>
      </w:r>
      <w:r w:rsidR="00542FE0">
        <w:rPr>
          <w:lang w:val="es-ES"/>
        </w:rPr>
        <w:t>,</w:t>
      </w:r>
      <w:r w:rsidR="00542FE0" w:rsidRPr="006E5A00">
        <w:rPr>
          <w:lang w:val="es-ES"/>
        </w:rPr>
        <w:t xml:space="preserve"> E. M.</w:t>
      </w:r>
      <w:r w:rsidR="00542FE0">
        <w:rPr>
          <w:lang w:val="es-ES"/>
        </w:rPr>
        <w:t xml:space="preserve"> </w:t>
      </w:r>
      <w:r w:rsidR="00420463" w:rsidRPr="006E5A00">
        <w:rPr>
          <w:lang w:val="es-ES"/>
        </w:rPr>
        <w:t xml:space="preserve">(2017): </w:t>
      </w:r>
      <w:r w:rsidR="004D71A4" w:rsidRPr="006E5A00">
        <w:rPr>
          <w:lang w:val="es-ES"/>
        </w:rPr>
        <w:t>“</w:t>
      </w:r>
      <w:r w:rsidR="00420463" w:rsidRPr="006E5A00">
        <w:rPr>
          <w:lang w:val="es-ES"/>
        </w:rPr>
        <w:t>Transición nutricional, bienestar y salud: el caso de una ciudad industrial, Alcoy (1852-1928)</w:t>
      </w:r>
      <w:r w:rsidR="004D71A4" w:rsidRPr="006E5A00">
        <w:rPr>
          <w:lang w:val="es-ES"/>
        </w:rPr>
        <w:t>,”</w:t>
      </w:r>
      <w:r w:rsidR="00420463" w:rsidRPr="006E5A00">
        <w:rPr>
          <w:lang w:val="es-ES"/>
        </w:rPr>
        <w:t xml:space="preserve"> </w:t>
      </w:r>
      <w:r w:rsidR="00420463" w:rsidRPr="006E5A00">
        <w:rPr>
          <w:i/>
          <w:lang w:val="es-ES"/>
        </w:rPr>
        <w:t>Dynamis</w:t>
      </w:r>
      <w:r w:rsidR="00420463" w:rsidRPr="006E5A00">
        <w:rPr>
          <w:lang w:val="es-ES"/>
        </w:rPr>
        <w:t>, 37 (2)</w:t>
      </w:r>
      <w:r w:rsidR="00745D27" w:rsidRPr="006E5A00">
        <w:rPr>
          <w:lang w:val="es-ES"/>
        </w:rPr>
        <w:t>,</w:t>
      </w:r>
      <w:r w:rsidR="00420463" w:rsidRPr="006E5A00">
        <w:rPr>
          <w:lang w:val="es-ES"/>
        </w:rPr>
        <w:t xml:space="preserve"> </w:t>
      </w:r>
      <w:r w:rsidR="00745D27" w:rsidRPr="006E5A00">
        <w:rPr>
          <w:lang w:val="es-ES"/>
        </w:rPr>
        <w:t xml:space="preserve">pp. </w:t>
      </w:r>
      <w:r w:rsidR="00420463" w:rsidRPr="006E5A00">
        <w:rPr>
          <w:lang w:val="es-ES"/>
        </w:rPr>
        <w:t>389-411</w:t>
      </w:r>
    </w:p>
    <w:p w14:paraId="6E7141FD" w14:textId="77777777" w:rsidR="00420463" w:rsidRPr="006E5A00" w:rsidRDefault="00CD4673" w:rsidP="00420463">
      <w:pPr>
        <w:autoSpaceDE w:val="0"/>
        <w:autoSpaceDN w:val="0"/>
        <w:adjustRightInd w:val="0"/>
        <w:spacing w:line="240" w:lineRule="auto"/>
        <w:ind w:left="454" w:hanging="454"/>
        <w:jc w:val="both"/>
      </w:pPr>
      <w:r w:rsidRPr="006E5A00">
        <w:t>GARCÍA</w:t>
      </w:r>
      <w:r w:rsidR="00420463" w:rsidRPr="006E5A00">
        <w:t>-</w:t>
      </w:r>
      <w:r w:rsidR="007C3584" w:rsidRPr="006E5A00">
        <w:t>GÓMEZ</w:t>
      </w:r>
      <w:r w:rsidR="00420463" w:rsidRPr="006E5A00">
        <w:t xml:space="preserve">, J.J., </w:t>
      </w:r>
      <w:r w:rsidR="007C3584" w:rsidRPr="006E5A00">
        <w:t>ESCUDERO GUTIERREZ</w:t>
      </w:r>
      <w:r w:rsidR="00420463" w:rsidRPr="006E5A00">
        <w:t xml:space="preserve">, A. (2018): </w:t>
      </w:r>
      <w:r w:rsidR="004D71A4" w:rsidRPr="006E5A00">
        <w:t>“</w:t>
      </w:r>
      <w:r w:rsidR="00420463" w:rsidRPr="006E5A00">
        <w:t>Correction to: The Standard of Living of the Workers in a Spanish Industrial Town: Wages, Nutrition, Life Expectancy and Height in Alcoy (1870–1930)</w:t>
      </w:r>
      <w:r w:rsidR="004D71A4" w:rsidRPr="006E5A00">
        <w:t>,”</w:t>
      </w:r>
      <w:r w:rsidR="00420463" w:rsidRPr="006E5A00">
        <w:t xml:space="preserve"> </w:t>
      </w:r>
      <w:r w:rsidR="00420463" w:rsidRPr="006E5A00">
        <w:rPr>
          <w:i/>
        </w:rPr>
        <w:t>Social Indicators Research</w:t>
      </w:r>
      <w:r w:rsidR="00420463" w:rsidRPr="006E5A00">
        <w:t xml:space="preserve">, 140, 873–874 (2018). </w:t>
      </w:r>
      <w:hyperlink r:id="rId25">
        <w:r w:rsidR="00420463" w:rsidRPr="006E5A00">
          <w:t>https://doi.org/10.1007/s11205-017-1809-8</w:t>
        </w:r>
      </w:hyperlink>
    </w:p>
    <w:p w14:paraId="09FD8731" w14:textId="77777777" w:rsidR="00420463" w:rsidRPr="006E5A00" w:rsidRDefault="00CD4673" w:rsidP="00420463">
      <w:pPr>
        <w:autoSpaceDE w:val="0"/>
        <w:autoSpaceDN w:val="0"/>
        <w:adjustRightInd w:val="0"/>
        <w:spacing w:line="240" w:lineRule="auto"/>
        <w:ind w:left="454" w:hanging="454"/>
        <w:jc w:val="both"/>
        <w:rPr>
          <w:lang w:val="en-US"/>
        </w:rPr>
      </w:pPr>
      <w:r w:rsidRPr="006E5A00">
        <w:t>GARCÍA</w:t>
      </w:r>
      <w:r w:rsidR="00420463" w:rsidRPr="006E5A00">
        <w:t>-</w:t>
      </w:r>
      <w:r w:rsidR="000978EC" w:rsidRPr="006E5A00">
        <w:t>GÓMEZ</w:t>
      </w:r>
      <w:r w:rsidR="00420463" w:rsidRPr="006E5A00">
        <w:t xml:space="preserve">, J.J., </w:t>
      </w:r>
      <w:r w:rsidR="007C3584" w:rsidRPr="006E5A00">
        <w:t>ESCUDERO GUTIERREZ</w:t>
      </w:r>
      <w:r w:rsidR="00420463" w:rsidRPr="006E5A00">
        <w:t xml:space="preserve">, A. (2018): </w:t>
      </w:r>
      <w:r w:rsidR="004D71A4" w:rsidRPr="006E5A00">
        <w:t>“</w:t>
      </w:r>
      <w:r w:rsidR="00420463" w:rsidRPr="006E5A00">
        <w:t>The Standard of Living of the Workers in a Spanish Industrial Town: Wages, Nutrition, Life Expectancy and Height in Alcoy (1870–1930)</w:t>
      </w:r>
      <w:r w:rsidR="004D71A4" w:rsidRPr="006E5A00">
        <w:t>,”</w:t>
      </w:r>
      <w:r w:rsidR="00420463" w:rsidRPr="006E5A00">
        <w:t xml:space="preserve"> </w:t>
      </w:r>
      <w:r w:rsidR="00420463" w:rsidRPr="006E5A00">
        <w:rPr>
          <w:i/>
          <w:lang w:val="en-US"/>
        </w:rPr>
        <w:t>Social Indicators Research</w:t>
      </w:r>
      <w:r w:rsidR="00745D27" w:rsidRPr="006E5A00">
        <w:rPr>
          <w:lang w:val="en-US"/>
        </w:rPr>
        <w:t>,</w:t>
      </w:r>
      <w:r w:rsidR="00420463" w:rsidRPr="006E5A00">
        <w:rPr>
          <w:lang w:val="en-US"/>
        </w:rPr>
        <w:t xml:space="preserve"> 140, 347–367 (2018). https://doi.org/10.1007/s11205-017-1776-0</w:t>
      </w:r>
    </w:p>
    <w:p w14:paraId="5E381513"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GARCÍA</w:t>
      </w:r>
      <w:r w:rsidR="00420463" w:rsidRPr="006E5A00">
        <w:rPr>
          <w:lang w:val="es-ES"/>
        </w:rPr>
        <w:t>-</w:t>
      </w:r>
      <w:r w:rsidR="007C3584" w:rsidRPr="006E5A00">
        <w:rPr>
          <w:lang w:val="es-ES"/>
        </w:rPr>
        <w:t>GÓMEZ</w:t>
      </w:r>
      <w:r w:rsidR="00420463" w:rsidRPr="006E5A00">
        <w:rPr>
          <w:lang w:val="es-ES"/>
        </w:rPr>
        <w:t>, J</w:t>
      </w:r>
      <w:r w:rsidR="00287F35" w:rsidRPr="006E5A00">
        <w:rPr>
          <w:lang w:val="es-ES"/>
        </w:rPr>
        <w:t>.</w:t>
      </w:r>
      <w:r w:rsidR="00420463" w:rsidRPr="006E5A00">
        <w:rPr>
          <w:lang w:val="es-ES"/>
        </w:rPr>
        <w:t xml:space="preserve"> J</w:t>
      </w:r>
      <w:r w:rsidR="00287F35" w:rsidRPr="006E5A00">
        <w:rPr>
          <w:lang w:val="es-ES"/>
        </w:rPr>
        <w:t>.</w:t>
      </w:r>
      <w:r w:rsidR="00420463" w:rsidRPr="006E5A00">
        <w:rPr>
          <w:lang w:val="es-ES"/>
        </w:rPr>
        <w:t xml:space="preserve"> (2015): </w:t>
      </w:r>
      <w:r w:rsidR="004D71A4" w:rsidRPr="006E5A00">
        <w:rPr>
          <w:lang w:val="es-ES"/>
        </w:rPr>
        <w:t>“</w:t>
      </w:r>
      <w:r w:rsidR="00420463" w:rsidRPr="006E5A00">
        <w:rPr>
          <w:lang w:val="es-ES"/>
        </w:rPr>
        <w:t>El nivel de vida de los trabajadores de Alcoy: salarios, nutrición y reforma sanitaria (1836-1913)</w:t>
      </w:r>
      <w:r w:rsidR="004D71A4" w:rsidRPr="006E5A00">
        <w:rPr>
          <w:lang w:val="es-ES"/>
        </w:rPr>
        <w:t>,”</w:t>
      </w:r>
      <w:r w:rsidR="00420463" w:rsidRPr="006E5A00">
        <w:rPr>
          <w:lang w:val="es-ES"/>
        </w:rPr>
        <w:t xml:space="preserve"> </w:t>
      </w:r>
      <w:r w:rsidR="00420463" w:rsidRPr="006E5A00">
        <w:rPr>
          <w:i/>
          <w:lang w:val="es-ES"/>
        </w:rPr>
        <w:t>Investigaciones de Historia Económica – Economic History Research</w:t>
      </w:r>
      <w:r w:rsidR="00420463" w:rsidRPr="006E5A00">
        <w:rPr>
          <w:lang w:val="es-ES"/>
        </w:rPr>
        <w:t>, 11</w:t>
      </w:r>
      <w:r w:rsidR="00745D27" w:rsidRPr="006E5A00">
        <w:rPr>
          <w:lang w:val="es-ES"/>
        </w:rPr>
        <w:t xml:space="preserve">, pp. </w:t>
      </w:r>
      <w:r w:rsidR="00420463" w:rsidRPr="006E5A00">
        <w:rPr>
          <w:lang w:val="es-ES"/>
        </w:rPr>
        <w:t>164-173</w:t>
      </w:r>
    </w:p>
    <w:p w14:paraId="288D7589" w14:textId="77777777" w:rsidR="00096BEA" w:rsidRPr="006E5A00" w:rsidRDefault="00CD4673" w:rsidP="000F5C32">
      <w:pPr>
        <w:ind w:left="340" w:hanging="340"/>
        <w:jc w:val="both"/>
        <w:rPr>
          <w:lang w:val="es-ES"/>
        </w:rPr>
      </w:pPr>
      <w:r w:rsidRPr="006E5A00">
        <w:rPr>
          <w:lang w:val="es-ES"/>
        </w:rPr>
        <w:t xml:space="preserve">GARCÍA </w:t>
      </w:r>
      <w:r w:rsidR="007C3584" w:rsidRPr="006E5A00">
        <w:rPr>
          <w:lang w:val="es-ES"/>
        </w:rPr>
        <w:t>RUIPÉREZ</w:t>
      </w:r>
      <w:r w:rsidR="00096BEA" w:rsidRPr="006E5A00">
        <w:rPr>
          <w:lang w:val="es-ES"/>
        </w:rPr>
        <w:t>, M. (</w:t>
      </w:r>
      <w:r w:rsidR="00F51C8C" w:rsidRPr="006E5A00">
        <w:rPr>
          <w:lang w:val="es-ES"/>
        </w:rPr>
        <w:t>2015</w:t>
      </w:r>
      <w:r w:rsidR="00096BEA" w:rsidRPr="006E5A00">
        <w:rPr>
          <w:lang w:val="es-ES"/>
        </w:rPr>
        <w:t xml:space="preserve">): “Los ayuntamientos españoles y su prensa institucional: el Boletín de Información Municipal de Toledo,” </w:t>
      </w:r>
      <w:r w:rsidR="00F51C8C" w:rsidRPr="006E5A00">
        <w:rPr>
          <w:i/>
          <w:lang w:val="es-ES"/>
        </w:rPr>
        <w:t>Archivo secreto: revista cultural de Toledo</w:t>
      </w:r>
      <w:r w:rsidR="00F51C8C" w:rsidRPr="006E5A00">
        <w:rPr>
          <w:lang w:val="es-ES"/>
        </w:rPr>
        <w:t>, 6, pp. 8-41</w:t>
      </w:r>
    </w:p>
    <w:p w14:paraId="55E2D75E" w14:textId="77777777" w:rsidR="0020274C" w:rsidRPr="006E5A00" w:rsidRDefault="00CD4673" w:rsidP="0020274C">
      <w:pPr>
        <w:autoSpaceDE w:val="0"/>
        <w:autoSpaceDN w:val="0"/>
        <w:adjustRightInd w:val="0"/>
        <w:spacing w:line="240" w:lineRule="auto"/>
        <w:ind w:left="454" w:hanging="454"/>
        <w:jc w:val="both"/>
        <w:rPr>
          <w:lang w:val="es-ES"/>
        </w:rPr>
      </w:pPr>
      <w:r>
        <w:rPr>
          <w:lang w:val="es-ES"/>
        </w:rPr>
        <w:t xml:space="preserve">GERMÁN </w:t>
      </w:r>
      <w:r w:rsidR="007C3584" w:rsidRPr="006E5A00">
        <w:rPr>
          <w:lang w:val="es-ES"/>
        </w:rPr>
        <w:t>ZUBERO</w:t>
      </w:r>
      <w:r w:rsidR="0020274C" w:rsidRPr="006E5A00">
        <w:rPr>
          <w:lang w:val="es-ES"/>
        </w:rPr>
        <w:t xml:space="preserve">, </w:t>
      </w:r>
      <w:r w:rsidR="0020274C">
        <w:rPr>
          <w:lang w:val="es-ES"/>
        </w:rPr>
        <w:t xml:space="preserve">L. </w:t>
      </w:r>
      <w:r w:rsidR="0020274C" w:rsidRPr="006E5A00">
        <w:rPr>
          <w:lang w:val="es-ES"/>
        </w:rPr>
        <w:t xml:space="preserve">(2009): “Coste de la vida y poder adquisitivo de los trabajadores en Zaragoza durante el primer tercio del siglo XX,” in C. Forcadell Álvarez (Ed.), </w:t>
      </w:r>
      <w:r w:rsidR="0020274C" w:rsidRPr="006E5A00">
        <w:rPr>
          <w:i/>
          <w:lang w:val="es-ES"/>
        </w:rPr>
        <w:t xml:space="preserve">Razones de historiador: magisterio y presencia de Juan José Carreras, </w:t>
      </w:r>
      <w:r w:rsidR="0020274C" w:rsidRPr="006E5A00">
        <w:rPr>
          <w:lang w:val="es-ES"/>
        </w:rPr>
        <w:t>pp. 373-390</w:t>
      </w:r>
    </w:p>
    <w:p w14:paraId="7A6D1FBD" w14:textId="77777777" w:rsidR="0044545A" w:rsidRPr="006E5A00" w:rsidRDefault="00CD4673" w:rsidP="0044545A">
      <w:pPr>
        <w:ind w:left="340" w:hanging="340"/>
        <w:jc w:val="both"/>
        <w:rPr>
          <w:lang w:val="es-ES"/>
        </w:rPr>
      </w:pPr>
      <w:r w:rsidRPr="006E5A00">
        <w:rPr>
          <w:lang w:val="es-ES"/>
        </w:rPr>
        <w:t xml:space="preserve">GIL </w:t>
      </w:r>
      <w:r w:rsidR="007C3584" w:rsidRPr="006E5A00">
        <w:rPr>
          <w:lang w:val="es-ES"/>
        </w:rPr>
        <w:t>ALONSO</w:t>
      </w:r>
      <w:r w:rsidR="0044545A" w:rsidRPr="006E5A00">
        <w:rPr>
          <w:lang w:val="es-ES"/>
        </w:rPr>
        <w:t xml:space="preserve">, F. (2011): “Los estudios sobre el descenso histórico de la fecundidad en españa y sus pautas territoriales: un estado de la cuestión,” </w:t>
      </w:r>
      <w:r w:rsidR="00D21D10" w:rsidRPr="006E5A00">
        <w:rPr>
          <w:i/>
          <w:lang w:val="es-ES"/>
        </w:rPr>
        <w:t>Revista Bibliográfica de Geografía y Ciencias Sociales</w:t>
      </w:r>
      <w:r w:rsidR="0044545A" w:rsidRPr="006E5A00">
        <w:rPr>
          <w:lang w:val="es-ES"/>
        </w:rPr>
        <w:t>,</w:t>
      </w:r>
      <w:r w:rsidR="00D21D10" w:rsidRPr="006E5A00">
        <w:rPr>
          <w:lang w:val="es-ES"/>
        </w:rPr>
        <w:t xml:space="preserve"> 16</w:t>
      </w:r>
      <w:r w:rsidR="0044545A" w:rsidRPr="006E5A00">
        <w:rPr>
          <w:lang w:val="es-ES"/>
        </w:rPr>
        <w:t xml:space="preserve"> </w:t>
      </w:r>
      <w:r w:rsidR="00D21D10" w:rsidRPr="006E5A00">
        <w:rPr>
          <w:lang w:val="es-ES"/>
        </w:rPr>
        <w:t>(</w:t>
      </w:r>
      <w:r w:rsidR="0044545A" w:rsidRPr="006E5A00">
        <w:rPr>
          <w:lang w:val="es-ES"/>
        </w:rPr>
        <w:t>931</w:t>
      </w:r>
      <w:r w:rsidR="00D21D10" w:rsidRPr="006E5A00">
        <w:rPr>
          <w:lang w:val="es-ES"/>
        </w:rPr>
        <w:t>), http://www.ub.edu/geocrit/b3w-931.htm</w:t>
      </w:r>
    </w:p>
    <w:p w14:paraId="476799C2" w14:textId="77777777" w:rsidR="000F5C32" w:rsidRPr="006E5A00" w:rsidRDefault="00CD4673" w:rsidP="000F5C32">
      <w:pPr>
        <w:ind w:left="340" w:hanging="340"/>
        <w:jc w:val="both"/>
        <w:rPr>
          <w:lang w:val="es-ES"/>
        </w:rPr>
      </w:pPr>
      <w:r w:rsidRPr="006E5A00">
        <w:rPr>
          <w:lang w:val="es-ES"/>
        </w:rPr>
        <w:t xml:space="preserve">GONZÁLEZ </w:t>
      </w:r>
      <w:r w:rsidR="007C3584" w:rsidRPr="006E5A00">
        <w:rPr>
          <w:lang w:val="es-ES"/>
        </w:rPr>
        <w:t>PORTILLA</w:t>
      </w:r>
      <w:r w:rsidR="000F5C32" w:rsidRPr="006E5A00">
        <w:rPr>
          <w:lang w:val="es-ES"/>
        </w:rPr>
        <w:t xml:space="preserve">, M. (1995): </w:t>
      </w:r>
      <w:r w:rsidR="000F5C32" w:rsidRPr="006E5A00">
        <w:rPr>
          <w:i/>
          <w:lang w:val="es-ES"/>
        </w:rPr>
        <w:t>Bilbao en la formación del País Vasco contemporáneo</w:t>
      </w:r>
      <w:r w:rsidR="000F5C32" w:rsidRPr="006E5A00">
        <w:rPr>
          <w:lang w:val="es-ES"/>
        </w:rPr>
        <w:t>. Bilbao: Fundación BBVA</w:t>
      </w:r>
    </w:p>
    <w:p w14:paraId="6C828A4E"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GONZÁLEZ </w:t>
      </w:r>
      <w:r w:rsidR="007C3584" w:rsidRPr="006E5A00">
        <w:rPr>
          <w:lang w:val="es-ES"/>
        </w:rPr>
        <w:t>PORTILLA</w:t>
      </w:r>
      <w:r w:rsidR="00420463" w:rsidRPr="006E5A00">
        <w:rPr>
          <w:lang w:val="es-ES"/>
        </w:rPr>
        <w:t xml:space="preserve">, M. and </w:t>
      </w:r>
      <w:r w:rsidR="007C3584" w:rsidRPr="006E5A00">
        <w:rPr>
          <w:lang w:val="es-ES"/>
        </w:rPr>
        <w:t>GARCÍA ABAD</w:t>
      </w:r>
      <w:r w:rsidR="00542FE0">
        <w:rPr>
          <w:lang w:val="es-ES"/>
        </w:rPr>
        <w:t>,</w:t>
      </w:r>
      <w:r w:rsidR="007C3584" w:rsidRPr="006E5A00">
        <w:rPr>
          <w:lang w:val="es-ES"/>
        </w:rPr>
        <w:t xml:space="preserve"> </w:t>
      </w:r>
      <w:r w:rsidR="00542FE0" w:rsidRPr="006E5A00">
        <w:rPr>
          <w:lang w:val="es-ES"/>
        </w:rPr>
        <w:t xml:space="preserve">R. </w:t>
      </w:r>
      <w:r w:rsidR="00420463" w:rsidRPr="006E5A00">
        <w:rPr>
          <w:lang w:val="es-ES"/>
        </w:rPr>
        <w:t xml:space="preserve">(2006): </w:t>
      </w:r>
      <w:r w:rsidR="004D71A4" w:rsidRPr="006E5A00">
        <w:rPr>
          <w:lang w:val="es-ES"/>
        </w:rPr>
        <w:t>“</w:t>
      </w:r>
      <w:r w:rsidR="00420463" w:rsidRPr="006E5A00">
        <w:rPr>
          <w:lang w:val="es-ES"/>
        </w:rPr>
        <w:t>Migraciones interiores y migraciones en familia durante el ciclo industrial moderno.  El área metropolitana de la ría de Bilbao</w:t>
      </w:r>
      <w:r w:rsidR="004D71A4" w:rsidRPr="006E5A00">
        <w:rPr>
          <w:lang w:val="es-ES"/>
        </w:rPr>
        <w:t>,”</w:t>
      </w:r>
      <w:r w:rsidR="00420463" w:rsidRPr="006E5A00">
        <w:rPr>
          <w:lang w:val="es-ES"/>
        </w:rPr>
        <w:t xml:space="preserve"> </w:t>
      </w:r>
      <w:r w:rsidR="00420463" w:rsidRPr="006E5A00">
        <w:rPr>
          <w:i/>
          <w:lang w:val="es-ES"/>
        </w:rPr>
        <w:t>Scripta Nova,</w:t>
      </w:r>
      <w:r w:rsidR="00420463" w:rsidRPr="006E5A00">
        <w:rPr>
          <w:lang w:val="es-ES"/>
        </w:rPr>
        <w:t xml:space="preserve"> X,  218 (67). &lt;http://www.ub.es/geocrit/sn/sn-218-67.htm&gt; </w:t>
      </w:r>
    </w:p>
    <w:p w14:paraId="6700C294"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GONZÁLEZ </w:t>
      </w:r>
      <w:r w:rsidR="007C3584" w:rsidRPr="006E5A00">
        <w:rPr>
          <w:lang w:val="es-ES"/>
        </w:rPr>
        <w:t>PORTILLA</w:t>
      </w:r>
      <w:r w:rsidR="00420463" w:rsidRPr="006E5A00">
        <w:rPr>
          <w:lang w:val="es-ES"/>
        </w:rPr>
        <w:t>, M</w:t>
      </w:r>
      <w:r w:rsidR="00287F35" w:rsidRPr="006E5A00">
        <w:rPr>
          <w:lang w:val="es-ES"/>
        </w:rPr>
        <w:t>.</w:t>
      </w:r>
      <w:r w:rsidR="00420463" w:rsidRPr="006E5A00">
        <w:rPr>
          <w:lang w:val="es-ES"/>
        </w:rPr>
        <w:t xml:space="preserve">, </w:t>
      </w:r>
      <w:r w:rsidR="007C3584" w:rsidRPr="006E5A00">
        <w:rPr>
          <w:lang w:val="es-ES"/>
        </w:rPr>
        <w:t>HERNANDO PÉREZ</w:t>
      </w:r>
      <w:r w:rsidR="00542FE0">
        <w:rPr>
          <w:lang w:val="es-ES"/>
        </w:rPr>
        <w:t>,</w:t>
      </w:r>
      <w:r w:rsidR="007C3584" w:rsidRPr="006E5A00">
        <w:rPr>
          <w:lang w:val="es-ES"/>
        </w:rPr>
        <w:t xml:space="preserve"> </w:t>
      </w:r>
      <w:r w:rsidR="00542FE0" w:rsidRPr="006E5A00">
        <w:rPr>
          <w:lang w:val="es-ES"/>
        </w:rPr>
        <w:t xml:space="preserve">J. </w:t>
      </w:r>
      <w:r w:rsidR="00420463" w:rsidRPr="006E5A00">
        <w:rPr>
          <w:lang w:val="es-ES"/>
        </w:rPr>
        <w:t xml:space="preserve">and </w:t>
      </w:r>
      <w:r w:rsidR="007C3584" w:rsidRPr="006E5A00">
        <w:rPr>
          <w:lang w:val="es-ES"/>
        </w:rPr>
        <w:t>URRIKOETXEA LIZARRAGA</w:t>
      </w:r>
      <w:r w:rsidR="00542FE0">
        <w:rPr>
          <w:lang w:val="es-ES"/>
        </w:rPr>
        <w:t>,</w:t>
      </w:r>
      <w:r w:rsidR="007C3584" w:rsidRPr="006E5A00">
        <w:rPr>
          <w:lang w:val="es-ES"/>
        </w:rPr>
        <w:t xml:space="preserve"> </w:t>
      </w:r>
      <w:r w:rsidR="00542FE0" w:rsidRPr="006E5A00">
        <w:rPr>
          <w:lang w:val="es-ES"/>
        </w:rPr>
        <w:t xml:space="preserve">J. </w:t>
      </w:r>
      <w:r w:rsidR="00420463" w:rsidRPr="006E5A00">
        <w:rPr>
          <w:lang w:val="es-ES"/>
        </w:rPr>
        <w:t xml:space="preserve">(2017): </w:t>
      </w:r>
      <w:r w:rsidR="004D71A4" w:rsidRPr="006E5A00">
        <w:rPr>
          <w:lang w:val="es-ES"/>
        </w:rPr>
        <w:t>“</w:t>
      </w:r>
      <w:r w:rsidR="00420463" w:rsidRPr="006E5A00">
        <w:rPr>
          <w:lang w:val="es-ES"/>
        </w:rPr>
        <w:t>Desarrollo urbano y flujos migratorios: los desequilibrios regionales en el primer proceso modernizador español, 1860-1930</w:t>
      </w:r>
      <w:r w:rsidR="004D71A4" w:rsidRPr="006E5A00">
        <w:rPr>
          <w:lang w:val="es-ES"/>
        </w:rPr>
        <w:t>,”</w:t>
      </w:r>
      <w:r w:rsidR="00420463" w:rsidRPr="006E5A00">
        <w:rPr>
          <w:lang w:val="es-ES"/>
        </w:rPr>
        <w:t xml:space="preserve"> En Luis Enrique Otero Carvajal and Rubén Pallol Trigueros (eds.), </w:t>
      </w:r>
      <w:r w:rsidR="00420463" w:rsidRPr="006E5A00">
        <w:rPr>
          <w:i/>
          <w:lang w:val="es-ES"/>
        </w:rPr>
        <w:t>La sociedad urbana en España, 1900-1936: redes impulsoras de la modernidad</w:t>
      </w:r>
      <w:r w:rsidR="00420463" w:rsidRPr="006E5A00">
        <w:rPr>
          <w:lang w:val="es-ES"/>
        </w:rPr>
        <w:t>, p</w:t>
      </w:r>
      <w:r w:rsidR="00745D27" w:rsidRPr="006E5A00">
        <w:rPr>
          <w:lang w:val="es-ES"/>
        </w:rPr>
        <w:t>p</w:t>
      </w:r>
      <w:r w:rsidR="00420463" w:rsidRPr="006E5A00">
        <w:rPr>
          <w:lang w:val="es-ES"/>
        </w:rPr>
        <w:t>. 70-98</w:t>
      </w:r>
    </w:p>
    <w:p w14:paraId="23358581"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GONZÁLEZ </w:t>
      </w:r>
      <w:r w:rsidR="007C3584" w:rsidRPr="006E5A00">
        <w:rPr>
          <w:lang w:val="es-ES"/>
        </w:rPr>
        <w:t>PORTILLA</w:t>
      </w:r>
      <w:r w:rsidR="00420463" w:rsidRPr="006E5A00">
        <w:rPr>
          <w:lang w:val="es-ES"/>
        </w:rPr>
        <w:t xml:space="preserve">, M., </w:t>
      </w:r>
      <w:r w:rsidR="00542FE0" w:rsidRPr="006E5A00">
        <w:rPr>
          <w:lang w:val="es-ES"/>
        </w:rPr>
        <w:t>HERNANDO PÉREZ</w:t>
      </w:r>
      <w:r w:rsidR="00542FE0">
        <w:rPr>
          <w:lang w:val="es-ES"/>
        </w:rPr>
        <w:t>,</w:t>
      </w:r>
      <w:r w:rsidR="00542FE0" w:rsidRPr="006E5A00">
        <w:rPr>
          <w:lang w:val="es-ES"/>
        </w:rPr>
        <w:t xml:space="preserve"> J. </w:t>
      </w:r>
      <w:r w:rsidR="00420463" w:rsidRPr="006E5A00">
        <w:rPr>
          <w:lang w:val="es-ES"/>
        </w:rPr>
        <w:t xml:space="preserve">and </w:t>
      </w:r>
      <w:r w:rsidR="00542FE0" w:rsidRPr="006E5A00">
        <w:rPr>
          <w:lang w:val="es-ES"/>
        </w:rPr>
        <w:t>URRIKOETXEA LIZARRAGA</w:t>
      </w:r>
      <w:r w:rsidR="00542FE0">
        <w:rPr>
          <w:lang w:val="es-ES"/>
        </w:rPr>
        <w:t>,</w:t>
      </w:r>
      <w:r w:rsidR="00542FE0" w:rsidRPr="006E5A00">
        <w:rPr>
          <w:lang w:val="es-ES"/>
        </w:rPr>
        <w:t xml:space="preserve"> J. </w:t>
      </w:r>
      <w:r w:rsidR="00420463" w:rsidRPr="006E5A00">
        <w:rPr>
          <w:lang w:val="es-ES"/>
        </w:rPr>
        <w:t xml:space="preserve">(2019): </w:t>
      </w:r>
      <w:r w:rsidR="004D71A4" w:rsidRPr="006E5A00">
        <w:rPr>
          <w:lang w:val="es-ES"/>
        </w:rPr>
        <w:t>“</w:t>
      </w:r>
      <w:r w:rsidR="00420463" w:rsidRPr="006E5A00">
        <w:rPr>
          <w:lang w:val="es-ES"/>
        </w:rPr>
        <w:t>La diversidad de los modelos migratorios: un análisis desde las regiones y comarcas: España, 1860-1970</w:t>
      </w:r>
      <w:r w:rsidR="004D71A4" w:rsidRPr="006E5A00">
        <w:rPr>
          <w:lang w:val="es-ES"/>
        </w:rPr>
        <w:t xml:space="preserve">,” </w:t>
      </w:r>
      <w:r w:rsidR="00420463" w:rsidRPr="006E5A00">
        <w:rPr>
          <w:lang w:val="es-ES"/>
        </w:rPr>
        <w:t xml:space="preserve">In Manuel Montero García (ed.), </w:t>
      </w:r>
      <w:r w:rsidR="00420463" w:rsidRPr="006E5A00">
        <w:rPr>
          <w:i/>
          <w:lang w:val="es-ES"/>
        </w:rPr>
        <w:t>La ciudad y el progreso: la construcción de la modernidad urbana</w:t>
      </w:r>
      <w:r w:rsidR="00420463" w:rsidRPr="006E5A00">
        <w:rPr>
          <w:lang w:val="es-ES"/>
        </w:rPr>
        <w:t>, p</w:t>
      </w:r>
      <w:r w:rsidR="00745D27" w:rsidRPr="006E5A00">
        <w:rPr>
          <w:lang w:val="es-ES"/>
        </w:rPr>
        <w:t>p</w:t>
      </w:r>
      <w:r w:rsidR="00420463" w:rsidRPr="006E5A00">
        <w:rPr>
          <w:lang w:val="es-ES"/>
        </w:rPr>
        <w:t>. 3-27</w:t>
      </w:r>
    </w:p>
    <w:p w14:paraId="574F6241"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GONZÁLEZ </w:t>
      </w:r>
      <w:r w:rsidR="007C3584" w:rsidRPr="006E5A00">
        <w:rPr>
          <w:lang w:val="es-ES"/>
        </w:rPr>
        <w:t>PORTILLA</w:t>
      </w:r>
      <w:r w:rsidR="00420463" w:rsidRPr="006E5A00">
        <w:rPr>
          <w:lang w:val="es-ES"/>
        </w:rPr>
        <w:t xml:space="preserve">, M., </w:t>
      </w:r>
      <w:r w:rsidR="00542FE0" w:rsidRPr="006E5A00">
        <w:rPr>
          <w:lang w:val="es-ES"/>
        </w:rPr>
        <w:t>HERNANDO PÉREZ</w:t>
      </w:r>
      <w:r w:rsidR="00542FE0">
        <w:rPr>
          <w:lang w:val="es-ES"/>
        </w:rPr>
        <w:t>,</w:t>
      </w:r>
      <w:r w:rsidR="00542FE0" w:rsidRPr="006E5A00">
        <w:rPr>
          <w:lang w:val="es-ES"/>
        </w:rPr>
        <w:t xml:space="preserve"> J. </w:t>
      </w:r>
      <w:r w:rsidR="00420463" w:rsidRPr="006E5A00">
        <w:rPr>
          <w:lang w:val="es-ES"/>
        </w:rPr>
        <w:t xml:space="preserve">and </w:t>
      </w:r>
      <w:r w:rsidR="00542FE0" w:rsidRPr="006E5A00">
        <w:rPr>
          <w:lang w:val="es-ES"/>
        </w:rPr>
        <w:t>URRIKOETXEA LIZARRAGA</w:t>
      </w:r>
      <w:r w:rsidR="00542FE0">
        <w:rPr>
          <w:lang w:val="es-ES"/>
        </w:rPr>
        <w:t>,</w:t>
      </w:r>
      <w:r w:rsidR="00542FE0" w:rsidRPr="006E5A00">
        <w:rPr>
          <w:lang w:val="es-ES"/>
        </w:rPr>
        <w:t xml:space="preserve"> J. </w:t>
      </w:r>
      <w:r w:rsidR="00420463" w:rsidRPr="006E5A00">
        <w:rPr>
          <w:lang w:val="es-ES"/>
        </w:rPr>
        <w:t xml:space="preserve">(2020): </w:t>
      </w:r>
      <w:r w:rsidR="004D71A4" w:rsidRPr="006E5A00">
        <w:rPr>
          <w:lang w:val="es-ES"/>
        </w:rPr>
        <w:t>“</w:t>
      </w:r>
      <w:r w:rsidR="00420463" w:rsidRPr="006E5A00">
        <w:rPr>
          <w:lang w:val="es-ES"/>
        </w:rPr>
        <w:t>Los orígenes de la región metropolitana vasca, 1860-1930</w:t>
      </w:r>
      <w:r w:rsidR="004D71A4" w:rsidRPr="006E5A00">
        <w:rPr>
          <w:lang w:val="es-ES"/>
        </w:rPr>
        <w:t>,”</w:t>
      </w:r>
      <w:r w:rsidR="00420463" w:rsidRPr="006E5A00">
        <w:rPr>
          <w:lang w:val="es-ES"/>
        </w:rPr>
        <w:t xml:space="preserve"> In Manuel Montero García (ed.), </w:t>
      </w:r>
      <w:r w:rsidR="00420463" w:rsidRPr="006E5A00">
        <w:rPr>
          <w:i/>
          <w:lang w:val="es-ES"/>
        </w:rPr>
        <w:t>Construcción de la ciudad contemporánea: infraestructuras, sociedad y espacios urbanos</w:t>
      </w:r>
      <w:r w:rsidR="00420463" w:rsidRPr="006E5A00">
        <w:rPr>
          <w:lang w:val="es-ES"/>
        </w:rPr>
        <w:t>, p</w:t>
      </w:r>
      <w:r w:rsidR="00745D27" w:rsidRPr="006E5A00">
        <w:rPr>
          <w:lang w:val="es-ES"/>
        </w:rPr>
        <w:t>p</w:t>
      </w:r>
      <w:r w:rsidR="00420463" w:rsidRPr="006E5A00">
        <w:rPr>
          <w:lang w:val="es-ES"/>
        </w:rPr>
        <w:t>. 91-113</w:t>
      </w:r>
    </w:p>
    <w:p w14:paraId="1B7940E4"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GONZÁLEZ </w:t>
      </w:r>
      <w:r w:rsidR="007C3584" w:rsidRPr="006E5A00">
        <w:rPr>
          <w:lang w:val="es-ES"/>
        </w:rPr>
        <w:t>PORTILLA</w:t>
      </w:r>
      <w:r w:rsidR="00420463" w:rsidRPr="006E5A00">
        <w:rPr>
          <w:lang w:val="es-ES"/>
        </w:rPr>
        <w:t xml:space="preserve">, M., </w:t>
      </w:r>
      <w:r w:rsidR="007C3584" w:rsidRPr="006E5A00">
        <w:rPr>
          <w:lang w:val="es-ES"/>
        </w:rPr>
        <w:t>HERNANDO PÉREZ</w:t>
      </w:r>
      <w:r w:rsidR="00542FE0">
        <w:rPr>
          <w:lang w:val="es-ES"/>
        </w:rPr>
        <w:t>,</w:t>
      </w:r>
      <w:r w:rsidR="007C3584" w:rsidRPr="006E5A00">
        <w:rPr>
          <w:lang w:val="es-ES"/>
        </w:rPr>
        <w:t xml:space="preserve"> </w:t>
      </w:r>
      <w:r w:rsidR="00542FE0" w:rsidRPr="006E5A00">
        <w:rPr>
          <w:lang w:val="es-ES"/>
        </w:rPr>
        <w:t xml:space="preserve">J. </w:t>
      </w:r>
      <w:r w:rsidR="00420463" w:rsidRPr="006E5A00">
        <w:rPr>
          <w:lang w:val="es-ES"/>
        </w:rPr>
        <w:t xml:space="preserve">and </w:t>
      </w:r>
      <w:r w:rsidR="007C3584" w:rsidRPr="006E5A00">
        <w:rPr>
          <w:lang w:val="es-ES"/>
        </w:rPr>
        <w:t>URRIKOETXEA LIZARRAGA</w:t>
      </w:r>
      <w:r w:rsidR="00542FE0">
        <w:rPr>
          <w:lang w:val="es-ES"/>
        </w:rPr>
        <w:t>,</w:t>
      </w:r>
      <w:r w:rsidR="007C3584" w:rsidRPr="006E5A00">
        <w:rPr>
          <w:lang w:val="es-ES"/>
        </w:rPr>
        <w:t xml:space="preserve"> </w:t>
      </w:r>
      <w:r w:rsidR="00542FE0" w:rsidRPr="006E5A00">
        <w:rPr>
          <w:lang w:val="es-ES"/>
        </w:rPr>
        <w:t xml:space="preserve">J. </w:t>
      </w:r>
      <w:r w:rsidR="00420463" w:rsidRPr="006E5A00">
        <w:rPr>
          <w:lang w:val="es-ES"/>
        </w:rPr>
        <w:t>(2021)</w:t>
      </w:r>
      <w:r w:rsidR="00FD13F3" w:rsidRPr="006E5A00">
        <w:rPr>
          <w:lang w:val="es-ES"/>
        </w:rPr>
        <w:t>:</w:t>
      </w:r>
      <w:r w:rsidR="00420463" w:rsidRPr="006E5A00">
        <w:rPr>
          <w:lang w:val="es-ES"/>
        </w:rPr>
        <w:t xml:space="preserve"> </w:t>
      </w:r>
      <w:r w:rsidR="004D71A4" w:rsidRPr="006E5A00">
        <w:rPr>
          <w:lang w:val="es-ES"/>
        </w:rPr>
        <w:t>“</w:t>
      </w:r>
      <w:r w:rsidR="00420463" w:rsidRPr="006E5A00">
        <w:rPr>
          <w:lang w:val="es-ES"/>
        </w:rPr>
        <w:t>Urbanización y mortalidad en Bizkaia (1875-1930)</w:t>
      </w:r>
      <w:r w:rsidR="004D71A4" w:rsidRPr="006E5A00">
        <w:rPr>
          <w:lang w:val="es-ES"/>
        </w:rPr>
        <w:t>,”</w:t>
      </w:r>
      <w:r w:rsidR="00420463" w:rsidRPr="006E5A00">
        <w:rPr>
          <w:lang w:val="es-ES"/>
        </w:rPr>
        <w:t xml:space="preserve"> In Luis Enrique Otero Carvajal and Santiago de Miguel Salanova (eds.), </w:t>
      </w:r>
      <w:r w:rsidR="00420463" w:rsidRPr="006E5A00">
        <w:rPr>
          <w:i/>
          <w:lang w:val="es-ES"/>
        </w:rPr>
        <w:t>Sociedad urbana y salud pública: España, 1860-1936</w:t>
      </w:r>
      <w:r w:rsidR="00420463" w:rsidRPr="006E5A00">
        <w:rPr>
          <w:lang w:val="es-ES"/>
        </w:rPr>
        <w:t>, p</w:t>
      </w:r>
      <w:r w:rsidR="00745D27" w:rsidRPr="006E5A00">
        <w:rPr>
          <w:lang w:val="es-ES"/>
        </w:rPr>
        <w:t>p</w:t>
      </w:r>
      <w:r w:rsidR="00420463" w:rsidRPr="006E5A00">
        <w:rPr>
          <w:lang w:val="es-ES"/>
        </w:rPr>
        <w:t>. 294-310</w:t>
      </w:r>
    </w:p>
    <w:p w14:paraId="15BB262D" w14:textId="77777777" w:rsidR="002F116A" w:rsidRPr="006E5A00" w:rsidRDefault="00CD4673" w:rsidP="002F116A">
      <w:pPr>
        <w:autoSpaceDE w:val="0"/>
        <w:autoSpaceDN w:val="0"/>
        <w:adjustRightInd w:val="0"/>
        <w:spacing w:line="240" w:lineRule="auto"/>
        <w:ind w:left="454" w:hanging="454"/>
        <w:jc w:val="both"/>
        <w:rPr>
          <w:lang w:val="es-ES"/>
        </w:rPr>
      </w:pPr>
      <w:r w:rsidRPr="006E5A00">
        <w:rPr>
          <w:lang w:val="es-ES"/>
        </w:rPr>
        <w:t xml:space="preserve">HERNÁNDEZ </w:t>
      </w:r>
      <w:r w:rsidR="007C3584" w:rsidRPr="006E5A00">
        <w:rPr>
          <w:lang w:val="es-ES"/>
        </w:rPr>
        <w:t>ADELL</w:t>
      </w:r>
      <w:r w:rsidR="002F116A" w:rsidRPr="006E5A00">
        <w:rPr>
          <w:lang w:val="es-ES"/>
        </w:rPr>
        <w:t>, I. (2012): La difusión de un nuevo alimento: producción y consumo de leche en España, 1865-1936. Tesis doctoral. Universitat Autònoma de Barcelona. Departament d'Economia i d'Història Econòmica. http://hdl.handle.net/10803/96856</w:t>
      </w:r>
    </w:p>
    <w:p w14:paraId="47B43A6E"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HERNANDO </w:t>
      </w:r>
      <w:r w:rsidR="007C3584" w:rsidRPr="006E5A00">
        <w:rPr>
          <w:lang w:val="es-ES"/>
        </w:rPr>
        <w:t>PÉREZ</w:t>
      </w:r>
      <w:r w:rsidR="00420463" w:rsidRPr="006E5A00">
        <w:rPr>
          <w:lang w:val="es-ES"/>
        </w:rPr>
        <w:t xml:space="preserve">, J. (2020): </w:t>
      </w:r>
      <w:r w:rsidR="004D71A4" w:rsidRPr="006E5A00">
        <w:rPr>
          <w:lang w:val="es-ES"/>
        </w:rPr>
        <w:t>“</w:t>
      </w:r>
      <w:r w:rsidR="00420463" w:rsidRPr="006E5A00">
        <w:rPr>
          <w:lang w:val="es-ES"/>
        </w:rPr>
        <w:t>La evolución de la fecundidad en Euskadi (S.XX): Un análisis a partir de los censos de población</w:t>
      </w:r>
      <w:r w:rsidR="004D71A4" w:rsidRPr="006E5A00">
        <w:rPr>
          <w:lang w:val="es-ES"/>
        </w:rPr>
        <w:t>,”</w:t>
      </w:r>
      <w:r w:rsidR="00420463" w:rsidRPr="006E5A00">
        <w:rPr>
          <w:lang w:val="es-ES"/>
        </w:rPr>
        <w:t xml:space="preserve"> </w:t>
      </w:r>
      <w:r w:rsidR="00420463" w:rsidRPr="006E5A00">
        <w:rPr>
          <w:i/>
          <w:lang w:val="es-ES"/>
        </w:rPr>
        <w:t>Vasconia</w:t>
      </w:r>
      <w:r w:rsidR="00B71949" w:rsidRPr="006E5A00">
        <w:rPr>
          <w:i/>
          <w:lang w:val="es-ES"/>
        </w:rPr>
        <w:t>,</w:t>
      </w:r>
      <w:r w:rsidR="00420463" w:rsidRPr="006E5A00">
        <w:rPr>
          <w:i/>
          <w:lang w:val="es-ES"/>
        </w:rPr>
        <w:t xml:space="preserve"> </w:t>
      </w:r>
      <w:r w:rsidR="00420463" w:rsidRPr="006E5A00">
        <w:rPr>
          <w:lang w:val="es-ES"/>
        </w:rPr>
        <w:t>44</w:t>
      </w:r>
      <w:r w:rsidR="00B71949" w:rsidRPr="006E5A00">
        <w:rPr>
          <w:lang w:val="es-ES"/>
        </w:rPr>
        <w:t>, pp.</w:t>
      </w:r>
      <w:r w:rsidR="00420463" w:rsidRPr="006E5A00">
        <w:rPr>
          <w:lang w:val="es-ES"/>
        </w:rPr>
        <w:t xml:space="preserve"> 127-49</w:t>
      </w:r>
    </w:p>
    <w:p w14:paraId="68325CA2" w14:textId="77777777" w:rsidR="000F5C32" w:rsidRPr="006E5A00" w:rsidRDefault="00CD4673" w:rsidP="002F116A">
      <w:pPr>
        <w:autoSpaceDE w:val="0"/>
        <w:autoSpaceDN w:val="0"/>
        <w:adjustRightInd w:val="0"/>
        <w:spacing w:line="240" w:lineRule="auto"/>
        <w:ind w:left="454" w:hanging="454"/>
        <w:jc w:val="both"/>
      </w:pPr>
      <w:r w:rsidRPr="009F3EB1">
        <w:rPr>
          <w:lang w:val="en-US"/>
        </w:rPr>
        <w:t>IVANOV</w:t>
      </w:r>
      <w:r w:rsidR="000F5C32" w:rsidRPr="009F3EB1">
        <w:rPr>
          <w:lang w:val="en-US"/>
        </w:rPr>
        <w:t xml:space="preserve">, V. and </w:t>
      </w:r>
      <w:r w:rsidR="007C3584" w:rsidRPr="009F3EB1">
        <w:rPr>
          <w:lang w:val="en-US"/>
        </w:rPr>
        <w:t>KILIAN</w:t>
      </w:r>
      <w:r w:rsidR="00542FE0">
        <w:rPr>
          <w:lang w:val="en-US"/>
        </w:rPr>
        <w:t>,</w:t>
      </w:r>
      <w:r w:rsidR="007C3584" w:rsidRPr="009F3EB1">
        <w:rPr>
          <w:lang w:val="en-US"/>
        </w:rPr>
        <w:t xml:space="preserve"> </w:t>
      </w:r>
      <w:r w:rsidR="00542FE0" w:rsidRPr="009F3EB1">
        <w:rPr>
          <w:lang w:val="en-US"/>
        </w:rPr>
        <w:t xml:space="preserve">L. </w:t>
      </w:r>
      <w:r w:rsidR="000F5C32" w:rsidRPr="009F3EB1">
        <w:rPr>
          <w:lang w:val="en-US"/>
        </w:rPr>
        <w:t xml:space="preserve">(2005): “A Practitioner’s Guide to Lag Order Selection </w:t>
      </w:r>
      <w:r w:rsidR="00745D27" w:rsidRPr="009F3EB1">
        <w:rPr>
          <w:lang w:val="en-US"/>
        </w:rPr>
        <w:t>f</w:t>
      </w:r>
      <w:r w:rsidR="000F5C32" w:rsidRPr="009F3EB1">
        <w:rPr>
          <w:lang w:val="en-US"/>
        </w:rPr>
        <w:t xml:space="preserve">or VAR Impulse Response Analysis”. </w:t>
      </w:r>
      <w:r w:rsidR="000F5C32" w:rsidRPr="006E5A00">
        <w:rPr>
          <w:i/>
          <w:lang w:val="en-US"/>
        </w:rPr>
        <w:t>Studies i</w:t>
      </w:r>
      <w:r w:rsidR="000F5C32" w:rsidRPr="006E5A00">
        <w:rPr>
          <w:i/>
        </w:rPr>
        <w:t>n Nonlinear Dynamics &amp; Econometrics,</w:t>
      </w:r>
      <w:r w:rsidR="000F5C32" w:rsidRPr="006E5A00">
        <w:t xml:space="preserve"> 9 (1), pp. 1-34   </w:t>
      </w:r>
    </w:p>
    <w:p w14:paraId="6F18A869" w14:textId="77777777" w:rsidR="000F5C32" w:rsidRPr="006E5A00" w:rsidRDefault="00CD4673" w:rsidP="000F5C32">
      <w:pPr>
        <w:autoSpaceDE w:val="0"/>
        <w:autoSpaceDN w:val="0"/>
        <w:adjustRightInd w:val="0"/>
        <w:ind w:left="340" w:hanging="340"/>
        <w:jc w:val="both"/>
        <w:rPr>
          <w:rFonts w:cs="Calibri"/>
        </w:rPr>
      </w:pPr>
      <w:r w:rsidRPr="006E5A00">
        <w:rPr>
          <w:rFonts w:cs="Calibri"/>
        </w:rPr>
        <w:t>KIRK</w:t>
      </w:r>
      <w:r w:rsidR="000F5C32" w:rsidRPr="006E5A00">
        <w:rPr>
          <w:rFonts w:cs="Calibri"/>
        </w:rPr>
        <w:t xml:space="preserve">, D. (1960): The influence of business cycles on marriage and birth rates. In: </w:t>
      </w:r>
      <w:r w:rsidR="000F5C32" w:rsidRPr="006E5A00">
        <w:rPr>
          <w:rFonts w:cs="Calibri"/>
          <w:i/>
        </w:rPr>
        <w:t>Demographic and Economic Change in Developed Countries.</w:t>
      </w:r>
      <w:r w:rsidR="000F5C32" w:rsidRPr="006E5A00">
        <w:rPr>
          <w:rFonts w:cs="Calibri"/>
        </w:rPr>
        <w:t xml:space="preserve"> National Bureau of Economic Research, pp. 257-276 </w:t>
      </w:r>
    </w:p>
    <w:p w14:paraId="2001C420" w14:textId="77777777" w:rsidR="000F5C32" w:rsidRPr="006E5A00" w:rsidRDefault="00CD4673" w:rsidP="000F5C32">
      <w:pPr>
        <w:autoSpaceDE w:val="0"/>
        <w:autoSpaceDN w:val="0"/>
        <w:adjustRightInd w:val="0"/>
        <w:ind w:left="340" w:hanging="340"/>
        <w:jc w:val="both"/>
        <w:rPr>
          <w:rFonts w:cs="Calibri"/>
          <w:lang w:val="es-ES"/>
        </w:rPr>
      </w:pPr>
      <w:r w:rsidRPr="006E5A00">
        <w:rPr>
          <w:rFonts w:cs="Calibri"/>
          <w:lang w:val="es-ES"/>
        </w:rPr>
        <w:t xml:space="preserve">LANA </w:t>
      </w:r>
      <w:r w:rsidR="007C3584" w:rsidRPr="006E5A00">
        <w:rPr>
          <w:rFonts w:cs="Calibri"/>
          <w:lang w:val="es-ES"/>
        </w:rPr>
        <w:t>BERASAIN</w:t>
      </w:r>
      <w:r w:rsidR="000F5C32" w:rsidRPr="006E5A00">
        <w:rPr>
          <w:rFonts w:cs="Calibri"/>
          <w:lang w:val="es-ES"/>
        </w:rPr>
        <w:t xml:space="preserve">, J.M. (2007): “El poder de compra de jornaleros y criados. Salarios reales y mercados de trabajo en la Navarra rural, 1781-1936,” </w:t>
      </w:r>
      <w:r w:rsidR="000F5C32" w:rsidRPr="006E5A00">
        <w:rPr>
          <w:rFonts w:cs="Calibri"/>
          <w:i/>
          <w:lang w:val="es-ES"/>
        </w:rPr>
        <w:t>Investigaciones de Historia Económica</w:t>
      </w:r>
      <w:r w:rsidR="000F5C32" w:rsidRPr="006E5A00">
        <w:rPr>
          <w:rFonts w:cs="Calibri"/>
          <w:lang w:val="es-ES"/>
        </w:rPr>
        <w:t>, 7, pp. 37-68</w:t>
      </w:r>
    </w:p>
    <w:p w14:paraId="7ECDBC63" w14:textId="77777777" w:rsidR="000F5C32" w:rsidRPr="006E5A00" w:rsidRDefault="00CD4673" w:rsidP="000F5C32">
      <w:pPr>
        <w:autoSpaceDE w:val="0"/>
        <w:autoSpaceDN w:val="0"/>
        <w:adjustRightInd w:val="0"/>
        <w:ind w:left="340" w:hanging="340"/>
        <w:jc w:val="both"/>
        <w:rPr>
          <w:rStyle w:val="apple-style-span"/>
          <w:rFonts w:cs="Arial"/>
        </w:rPr>
      </w:pPr>
      <w:r w:rsidRPr="0020274C">
        <w:rPr>
          <w:rStyle w:val="Emphasis"/>
          <w:rFonts w:cs="Arial"/>
          <w:bCs w:val="0"/>
          <w:i w:val="0"/>
        </w:rPr>
        <w:t>LINDERT</w:t>
      </w:r>
      <w:r w:rsidR="000F5C32" w:rsidRPr="0020274C">
        <w:rPr>
          <w:rStyle w:val="apple-style-span"/>
          <w:rFonts w:cs="Arial"/>
          <w:i/>
        </w:rPr>
        <w:t>,</w:t>
      </w:r>
      <w:r w:rsidR="000F5C32" w:rsidRPr="006E5A00">
        <w:rPr>
          <w:rStyle w:val="apple-style-span"/>
          <w:rFonts w:cs="Arial"/>
        </w:rPr>
        <w:t xml:space="preserve"> P. H. (</w:t>
      </w:r>
      <w:r w:rsidR="000F5C32" w:rsidRPr="006E5A00">
        <w:rPr>
          <w:rStyle w:val="Emphasis"/>
          <w:rFonts w:cs="Arial"/>
          <w:bCs w:val="0"/>
        </w:rPr>
        <w:t>1998</w:t>
      </w:r>
      <w:r w:rsidR="000F5C32" w:rsidRPr="006E5A00">
        <w:rPr>
          <w:rStyle w:val="apple-style-span"/>
          <w:rFonts w:cs="Arial"/>
        </w:rPr>
        <w:t>): "Poor</w:t>
      </w:r>
      <w:r w:rsidR="000F5C32" w:rsidRPr="006E5A00">
        <w:rPr>
          <w:rStyle w:val="apple-converted-space"/>
          <w:rFonts w:cs="Arial"/>
        </w:rPr>
        <w:t> </w:t>
      </w:r>
      <w:r w:rsidR="000F5C32" w:rsidRPr="006E5A00">
        <w:rPr>
          <w:rStyle w:val="Emphasis"/>
          <w:rFonts w:cs="Arial"/>
          <w:bCs w:val="0"/>
          <w:i w:val="0"/>
        </w:rPr>
        <w:t>Relief</w:t>
      </w:r>
      <w:r w:rsidR="000F5C32" w:rsidRPr="006E5A00">
        <w:rPr>
          <w:rStyle w:val="apple-converted-space"/>
          <w:rFonts w:cs="Arial"/>
          <w:i/>
        </w:rPr>
        <w:t> </w:t>
      </w:r>
      <w:r w:rsidR="000F5C32" w:rsidRPr="006E5A00">
        <w:rPr>
          <w:rStyle w:val="apple-style-span"/>
          <w:rFonts w:cs="Arial"/>
        </w:rPr>
        <w:t xml:space="preserve">before the Welfare State: Britain versus the Continent, 1780- 1880", </w:t>
      </w:r>
      <w:r w:rsidR="000F5C32" w:rsidRPr="006E5A00">
        <w:rPr>
          <w:rStyle w:val="apple-style-span"/>
          <w:rFonts w:cs="Arial"/>
          <w:i/>
        </w:rPr>
        <w:t>European Review of Economic History</w:t>
      </w:r>
      <w:r w:rsidR="000F5C32" w:rsidRPr="006E5A00">
        <w:rPr>
          <w:rStyle w:val="apple-style-span"/>
          <w:rFonts w:cs="Arial"/>
        </w:rPr>
        <w:t xml:space="preserve"> 2, pp. 101–40 </w:t>
      </w:r>
    </w:p>
    <w:p w14:paraId="35C12E15" w14:textId="77777777" w:rsidR="000F5C32" w:rsidRPr="006E5A00" w:rsidRDefault="00CD4673" w:rsidP="000F5C32">
      <w:pPr>
        <w:autoSpaceDE w:val="0"/>
        <w:autoSpaceDN w:val="0"/>
        <w:adjustRightInd w:val="0"/>
        <w:ind w:left="340" w:hanging="340"/>
        <w:jc w:val="both"/>
        <w:rPr>
          <w:rFonts w:cs="Arial"/>
        </w:rPr>
      </w:pPr>
      <w:r w:rsidRPr="006E5A00">
        <w:rPr>
          <w:lang w:val="en-US"/>
        </w:rPr>
        <w:t xml:space="preserve">LUQUERO </w:t>
      </w:r>
      <w:r w:rsidR="000F5C32" w:rsidRPr="006E5A00">
        <w:rPr>
          <w:lang w:val="en-US"/>
        </w:rPr>
        <w:t xml:space="preserve">F.J., </w:t>
      </w:r>
      <w:r w:rsidR="000978EC" w:rsidRPr="006E5A00">
        <w:rPr>
          <w:lang w:val="en-US"/>
        </w:rPr>
        <w:t>SANCHEZ</w:t>
      </w:r>
      <w:r w:rsidR="000F5C32" w:rsidRPr="006E5A00">
        <w:rPr>
          <w:lang w:val="en-US"/>
        </w:rPr>
        <w:t>-</w:t>
      </w:r>
      <w:r w:rsidR="000978EC" w:rsidRPr="006E5A00">
        <w:rPr>
          <w:lang w:val="en-US"/>
        </w:rPr>
        <w:t>PADILLA</w:t>
      </w:r>
      <w:r w:rsidR="000F5C32" w:rsidRPr="006E5A00">
        <w:rPr>
          <w:lang w:val="en-US"/>
        </w:rPr>
        <w:t xml:space="preserve">, </w:t>
      </w:r>
      <w:r w:rsidR="00542FE0" w:rsidRPr="006E5A00">
        <w:rPr>
          <w:lang w:val="en-US"/>
        </w:rPr>
        <w:t>E.</w:t>
      </w:r>
      <w:r w:rsidR="00542FE0">
        <w:rPr>
          <w:lang w:val="en-US"/>
        </w:rPr>
        <w:t>,</w:t>
      </w:r>
      <w:r w:rsidR="00542FE0" w:rsidRPr="006E5A00">
        <w:rPr>
          <w:lang w:val="en-US"/>
        </w:rPr>
        <w:t xml:space="preserve"> </w:t>
      </w:r>
      <w:r w:rsidR="000978EC" w:rsidRPr="006E5A00">
        <w:rPr>
          <w:lang w:val="en-US"/>
        </w:rPr>
        <w:t>SIMON</w:t>
      </w:r>
      <w:r w:rsidR="000F5C32" w:rsidRPr="006E5A00">
        <w:rPr>
          <w:lang w:val="en-US"/>
        </w:rPr>
        <w:t>-</w:t>
      </w:r>
      <w:r w:rsidR="000978EC" w:rsidRPr="006E5A00">
        <w:rPr>
          <w:lang w:val="en-US"/>
        </w:rPr>
        <w:t>SORIA</w:t>
      </w:r>
      <w:r w:rsidR="000F5C32" w:rsidRPr="006E5A00">
        <w:rPr>
          <w:lang w:val="en-US"/>
        </w:rPr>
        <w:t xml:space="preserve">, </w:t>
      </w:r>
      <w:r w:rsidR="00542FE0" w:rsidRPr="006E5A00">
        <w:rPr>
          <w:lang w:val="en-US"/>
        </w:rPr>
        <w:t>F.</w:t>
      </w:r>
      <w:r w:rsidR="00542FE0">
        <w:rPr>
          <w:lang w:val="en-US"/>
        </w:rPr>
        <w:t>,</w:t>
      </w:r>
      <w:r w:rsidR="00542FE0" w:rsidRPr="006E5A00">
        <w:rPr>
          <w:lang w:val="en-US"/>
        </w:rPr>
        <w:t xml:space="preserve"> </w:t>
      </w:r>
      <w:r w:rsidR="000978EC" w:rsidRPr="006E5A00">
        <w:rPr>
          <w:lang w:val="en-US"/>
        </w:rPr>
        <w:t>EIROS</w:t>
      </w:r>
      <w:r w:rsidR="00542FE0">
        <w:rPr>
          <w:lang w:val="en-US"/>
        </w:rPr>
        <w:t>,</w:t>
      </w:r>
      <w:r w:rsidR="00542FE0" w:rsidRPr="00542FE0">
        <w:rPr>
          <w:lang w:val="en-US"/>
        </w:rPr>
        <w:t xml:space="preserve"> </w:t>
      </w:r>
      <w:r w:rsidR="00542FE0" w:rsidRPr="006E5A00">
        <w:rPr>
          <w:lang w:val="en-US"/>
        </w:rPr>
        <w:t>J.M.</w:t>
      </w:r>
      <w:r w:rsidR="000F5C32" w:rsidRPr="006E5A00">
        <w:rPr>
          <w:lang w:val="en-US"/>
        </w:rPr>
        <w:t xml:space="preserve">, and </w:t>
      </w:r>
      <w:r w:rsidR="000978EC" w:rsidRPr="006E5A00">
        <w:rPr>
          <w:lang w:val="en-US"/>
        </w:rPr>
        <w:t>GOLUB</w:t>
      </w:r>
      <w:r w:rsidR="00542FE0">
        <w:rPr>
          <w:lang w:val="en-US"/>
        </w:rPr>
        <w:t>,</w:t>
      </w:r>
      <w:r w:rsidR="000978EC" w:rsidRPr="006E5A00">
        <w:rPr>
          <w:lang w:val="en-US"/>
        </w:rPr>
        <w:t xml:space="preserve"> </w:t>
      </w:r>
      <w:r w:rsidR="00542FE0" w:rsidRPr="006E5A00">
        <w:rPr>
          <w:lang w:val="en-US"/>
        </w:rPr>
        <w:t xml:space="preserve">J.E. </w:t>
      </w:r>
      <w:r w:rsidR="000F5C32" w:rsidRPr="006E5A00">
        <w:rPr>
          <w:lang w:val="en-US"/>
        </w:rPr>
        <w:t>(2008): “</w:t>
      </w:r>
      <w:r w:rsidR="000F5C32" w:rsidRPr="006E5A00">
        <w:t xml:space="preserve">Trend and seasonality of tuberculosis in Spain, 1996-2004,” </w:t>
      </w:r>
      <w:r w:rsidR="000F5C32" w:rsidRPr="006E5A00">
        <w:rPr>
          <w:i/>
        </w:rPr>
        <w:t>International Journal of Tuberculosis and Lung Disease</w:t>
      </w:r>
      <w:r w:rsidR="000F5C32" w:rsidRPr="006E5A00">
        <w:t xml:space="preserve">, 12, pp. 221–4 </w:t>
      </w:r>
    </w:p>
    <w:p w14:paraId="4F11A8E1" w14:textId="77777777" w:rsidR="000F5C32" w:rsidRPr="006E5A00" w:rsidRDefault="00CD4673" w:rsidP="000F5C32">
      <w:pPr>
        <w:autoSpaceDE w:val="0"/>
        <w:autoSpaceDN w:val="0"/>
        <w:adjustRightInd w:val="0"/>
        <w:spacing w:line="240" w:lineRule="auto"/>
        <w:ind w:left="454" w:hanging="454"/>
        <w:jc w:val="both"/>
      </w:pPr>
      <w:r w:rsidRPr="006E5A00">
        <w:t>LÜTKEPOHL</w:t>
      </w:r>
      <w:r w:rsidR="000F5C32" w:rsidRPr="006E5A00">
        <w:t xml:space="preserve">, H. (2006): </w:t>
      </w:r>
      <w:r w:rsidR="000F5C32" w:rsidRPr="006E5A00">
        <w:rPr>
          <w:i/>
        </w:rPr>
        <w:t>New Introduction to Multiple Time Series Analysis</w:t>
      </w:r>
      <w:r w:rsidR="000F5C32" w:rsidRPr="006E5A00">
        <w:t>, New York: Springer</w:t>
      </w:r>
    </w:p>
    <w:p w14:paraId="7388A3FD" w14:textId="77777777" w:rsidR="000F5C32" w:rsidRPr="006E5A00" w:rsidRDefault="00CD4673" w:rsidP="000F5C32">
      <w:pPr>
        <w:autoSpaceDE w:val="0"/>
        <w:autoSpaceDN w:val="0"/>
        <w:adjustRightInd w:val="0"/>
        <w:ind w:left="340" w:hanging="340"/>
        <w:rPr>
          <w:rFonts w:cs="NewBaskerville-Italic"/>
          <w:iCs/>
          <w:lang w:val="es-ES" w:eastAsia="en-US"/>
        </w:rPr>
      </w:pPr>
      <w:r w:rsidRPr="006E5A00">
        <w:rPr>
          <w:rFonts w:cs="NewBaskerville-Italic"/>
          <w:iCs/>
          <w:lang w:val="es-ES" w:eastAsia="en-US"/>
        </w:rPr>
        <w:t xml:space="preserve">MALUQUER </w:t>
      </w:r>
      <w:r w:rsidR="007C3584" w:rsidRPr="006E5A00">
        <w:rPr>
          <w:rFonts w:cs="NewBaskerville-Italic"/>
          <w:iCs/>
          <w:lang w:val="es-ES" w:eastAsia="en-US"/>
        </w:rPr>
        <w:t>DE MOTES</w:t>
      </w:r>
      <w:r w:rsidR="000F5C32" w:rsidRPr="006E5A00">
        <w:rPr>
          <w:rFonts w:cs="NewBaskerville-Italic"/>
          <w:iCs/>
          <w:lang w:val="es-ES" w:eastAsia="en-US"/>
        </w:rPr>
        <w:t xml:space="preserve">, J. and </w:t>
      </w:r>
      <w:r w:rsidR="000978EC" w:rsidRPr="006E5A00">
        <w:rPr>
          <w:rFonts w:cs="NewBaskerville-Italic"/>
          <w:iCs/>
          <w:lang w:val="es-ES" w:eastAsia="en-US"/>
        </w:rPr>
        <w:t>LLONCH</w:t>
      </w:r>
      <w:r w:rsidR="00542FE0">
        <w:rPr>
          <w:rFonts w:cs="NewBaskerville-Italic"/>
          <w:iCs/>
          <w:lang w:val="es-ES" w:eastAsia="en-US"/>
        </w:rPr>
        <w:t>,</w:t>
      </w:r>
      <w:r w:rsidR="000978EC" w:rsidRPr="006E5A00">
        <w:rPr>
          <w:rFonts w:cs="NewBaskerville-Italic"/>
          <w:iCs/>
          <w:lang w:val="es-ES" w:eastAsia="en-US"/>
        </w:rPr>
        <w:t xml:space="preserve"> </w:t>
      </w:r>
      <w:r w:rsidR="00542FE0" w:rsidRPr="006E5A00">
        <w:rPr>
          <w:rFonts w:cs="NewBaskerville-Italic"/>
          <w:iCs/>
          <w:lang w:val="es-ES" w:eastAsia="en-US"/>
        </w:rPr>
        <w:t xml:space="preserve">M. </w:t>
      </w:r>
      <w:r w:rsidR="000F5C32" w:rsidRPr="006E5A00">
        <w:rPr>
          <w:rFonts w:cs="NewBaskerville-Italic"/>
          <w:iCs/>
          <w:lang w:val="es-ES" w:eastAsia="en-US"/>
        </w:rPr>
        <w:t xml:space="preserve">(2008): “Trabajo y relaciones laborales” in A. Carreras y X. Tafunell (coords.), </w:t>
      </w:r>
      <w:r w:rsidR="000F5C32" w:rsidRPr="006E5A00">
        <w:rPr>
          <w:rFonts w:cs="NewBaskerville-Italic"/>
          <w:i/>
          <w:iCs/>
          <w:lang w:val="es-ES" w:eastAsia="en-US"/>
        </w:rPr>
        <w:t>Estad</w:t>
      </w:r>
      <w:r w:rsidR="000F5C32" w:rsidRPr="006E5A00">
        <w:rPr>
          <w:rFonts w:cs="NewBaskerville-Italic"/>
          <w:i/>
          <w:iCs/>
          <w:lang w:val="es-ES_tradnl" w:eastAsia="en-US"/>
        </w:rPr>
        <w:t>ísticas históricas de España, Siglos XIX y XX.</w:t>
      </w:r>
      <w:r w:rsidR="000F5C32" w:rsidRPr="006E5A00">
        <w:rPr>
          <w:rFonts w:cs="NewBaskerville-Italic"/>
          <w:iCs/>
          <w:lang w:val="es-ES_tradnl" w:eastAsia="en-US"/>
        </w:rPr>
        <w:t xml:space="preserve"> </w:t>
      </w:r>
      <w:r w:rsidR="000F5C32" w:rsidRPr="006E5A00">
        <w:rPr>
          <w:rFonts w:cs="NewBaskerville-Italic"/>
          <w:iCs/>
          <w:lang w:val="es-ES" w:eastAsia="en-US"/>
        </w:rPr>
        <w:t>Bilbao: Fundación BBVA. Pp. 1155-1245</w:t>
      </w:r>
    </w:p>
    <w:p w14:paraId="5C082276"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MARTÍNEZ</w:t>
      </w:r>
      <w:r w:rsidR="00420463" w:rsidRPr="006E5A00">
        <w:rPr>
          <w:lang w:val="es-ES"/>
        </w:rPr>
        <w:t>-</w:t>
      </w:r>
      <w:r w:rsidR="007C3584" w:rsidRPr="006E5A00">
        <w:rPr>
          <w:lang w:val="es-ES"/>
        </w:rPr>
        <w:t>CARRIÓN</w:t>
      </w:r>
      <w:r w:rsidR="00420463" w:rsidRPr="006E5A00">
        <w:rPr>
          <w:lang w:val="es-ES"/>
        </w:rPr>
        <w:t xml:space="preserve">, J.M., </w:t>
      </w:r>
      <w:r w:rsidR="007C3584" w:rsidRPr="006E5A00">
        <w:rPr>
          <w:lang w:val="es-ES"/>
        </w:rPr>
        <w:t>PÉREZ</w:t>
      </w:r>
      <w:r w:rsidR="00420463" w:rsidRPr="006E5A00">
        <w:rPr>
          <w:lang w:val="es-ES"/>
        </w:rPr>
        <w:t>-</w:t>
      </w:r>
      <w:r w:rsidR="007C3584" w:rsidRPr="006E5A00">
        <w:rPr>
          <w:lang w:val="es-ES"/>
        </w:rPr>
        <w:t>CASTROVIEJO</w:t>
      </w:r>
      <w:r w:rsidR="00542FE0">
        <w:rPr>
          <w:lang w:val="es-ES"/>
        </w:rPr>
        <w:t>,</w:t>
      </w:r>
      <w:r w:rsidR="00542FE0" w:rsidRPr="00542FE0">
        <w:rPr>
          <w:lang w:val="es-ES"/>
        </w:rPr>
        <w:t xml:space="preserve"> </w:t>
      </w:r>
      <w:r w:rsidR="00542FE0" w:rsidRPr="006E5A00">
        <w:rPr>
          <w:lang w:val="es-ES"/>
        </w:rPr>
        <w:t>P.M.</w:t>
      </w:r>
      <w:r w:rsidR="00420463" w:rsidRPr="006E5A00">
        <w:rPr>
          <w:lang w:val="es-ES"/>
        </w:rPr>
        <w:t xml:space="preserve">, </w:t>
      </w:r>
      <w:r w:rsidR="00542FE0" w:rsidRPr="006E5A00">
        <w:rPr>
          <w:lang w:val="es-ES"/>
        </w:rPr>
        <w:t>PUCHE GIL</w:t>
      </w:r>
      <w:r w:rsidR="00542FE0">
        <w:rPr>
          <w:lang w:val="es-ES"/>
        </w:rPr>
        <w:t>,</w:t>
      </w:r>
      <w:r w:rsidR="00542FE0" w:rsidRPr="006E5A00">
        <w:rPr>
          <w:lang w:val="es-ES"/>
        </w:rPr>
        <w:t xml:space="preserve"> J. </w:t>
      </w:r>
      <w:r w:rsidR="00420463" w:rsidRPr="006E5A00">
        <w:rPr>
          <w:lang w:val="es-ES"/>
        </w:rPr>
        <w:t xml:space="preserve">and </w:t>
      </w:r>
      <w:r w:rsidR="00542FE0" w:rsidRPr="006E5A00">
        <w:rPr>
          <w:lang w:val="es-ES"/>
        </w:rPr>
        <w:t>RAMON-MUÑOZ</w:t>
      </w:r>
      <w:r w:rsidR="00542FE0">
        <w:rPr>
          <w:lang w:val="es-ES"/>
        </w:rPr>
        <w:t>,</w:t>
      </w:r>
      <w:r w:rsidR="00542FE0" w:rsidRPr="006E5A00">
        <w:rPr>
          <w:lang w:val="es-ES"/>
        </w:rPr>
        <w:t xml:space="preserve"> J.M. </w:t>
      </w:r>
      <w:r w:rsidR="00420463" w:rsidRPr="006E5A00">
        <w:rPr>
          <w:lang w:val="es-ES"/>
        </w:rPr>
        <w:t>(2014)</w:t>
      </w:r>
      <w:r w:rsidR="00287F35" w:rsidRPr="006E5A00">
        <w:rPr>
          <w:lang w:val="es-ES"/>
        </w:rPr>
        <w:t>:</w:t>
      </w:r>
      <w:r w:rsidR="00420463" w:rsidRPr="006E5A00">
        <w:rPr>
          <w:lang w:val="es-ES"/>
        </w:rPr>
        <w:t xml:space="preserve"> </w:t>
      </w:r>
      <w:r w:rsidR="004D71A4" w:rsidRPr="006E5A00">
        <w:rPr>
          <w:lang w:val="es-ES"/>
        </w:rPr>
        <w:t>“</w:t>
      </w:r>
      <w:r w:rsidR="00420463" w:rsidRPr="006E5A00">
        <w:rPr>
          <w:lang w:val="es-ES"/>
        </w:rPr>
        <w:t>La brecha rural-urbana de la estatura y el nivel de vida al comienzo de la industrialización española</w:t>
      </w:r>
      <w:r w:rsidR="004D71A4" w:rsidRPr="006E5A00">
        <w:rPr>
          <w:lang w:val="es-ES"/>
        </w:rPr>
        <w:t>,”</w:t>
      </w:r>
      <w:r w:rsidR="00420463" w:rsidRPr="006E5A00">
        <w:rPr>
          <w:lang w:val="es-ES"/>
        </w:rPr>
        <w:t xml:space="preserve"> </w:t>
      </w:r>
      <w:r w:rsidR="00420463" w:rsidRPr="006E5A00">
        <w:rPr>
          <w:i/>
          <w:lang w:val="es-ES"/>
        </w:rPr>
        <w:t>Historia Social</w:t>
      </w:r>
      <w:r w:rsidR="00420463" w:rsidRPr="006E5A00">
        <w:rPr>
          <w:lang w:val="es-ES"/>
        </w:rPr>
        <w:t xml:space="preserve">, 80 Ciudades, salud y alimentación en España (Siglos XIX y XX), pp. 35-57 </w:t>
      </w:r>
    </w:p>
    <w:p w14:paraId="3F1EE4F4" w14:textId="77777777" w:rsidR="002A3A55" w:rsidRPr="006E5A00" w:rsidRDefault="00CD4673" w:rsidP="002A3A55">
      <w:pPr>
        <w:autoSpaceDE w:val="0"/>
        <w:autoSpaceDN w:val="0"/>
        <w:adjustRightInd w:val="0"/>
        <w:ind w:left="340" w:hanging="340"/>
        <w:jc w:val="both"/>
        <w:rPr>
          <w:rStyle w:val="apple-style-span"/>
          <w:color w:val="auto"/>
          <w:szCs w:val="24"/>
          <w:lang w:val="en-US"/>
        </w:rPr>
      </w:pPr>
      <w:r w:rsidRPr="006E5A00">
        <w:rPr>
          <w:rStyle w:val="apple-style-span"/>
          <w:color w:val="auto"/>
          <w:szCs w:val="24"/>
          <w:lang w:val="en-US"/>
        </w:rPr>
        <w:t>MEDINA</w:t>
      </w:r>
      <w:r w:rsidR="002A3A55" w:rsidRPr="006E5A00">
        <w:rPr>
          <w:rStyle w:val="apple-style-span"/>
          <w:color w:val="auto"/>
          <w:szCs w:val="24"/>
          <w:lang w:val="en-US"/>
        </w:rPr>
        <w:t>-</w:t>
      </w:r>
      <w:r w:rsidR="007C3584" w:rsidRPr="006E5A00">
        <w:rPr>
          <w:rStyle w:val="apple-style-span"/>
          <w:color w:val="auto"/>
          <w:szCs w:val="24"/>
          <w:lang w:val="en-US"/>
        </w:rPr>
        <w:t>ALBALADEJO</w:t>
      </w:r>
      <w:r w:rsidR="002A3A55" w:rsidRPr="006E5A00">
        <w:rPr>
          <w:rStyle w:val="apple-style-span"/>
          <w:color w:val="auto"/>
          <w:szCs w:val="24"/>
          <w:lang w:val="en-US"/>
        </w:rPr>
        <w:t xml:space="preserve">, F.J. and </w:t>
      </w:r>
      <w:r w:rsidR="007C3584" w:rsidRPr="006E5A00">
        <w:rPr>
          <w:rStyle w:val="apple-style-span"/>
          <w:color w:val="auto"/>
          <w:szCs w:val="24"/>
          <w:lang w:val="en-US"/>
        </w:rPr>
        <w:t>CALATAYUD</w:t>
      </w:r>
      <w:r w:rsidR="00542FE0">
        <w:rPr>
          <w:rStyle w:val="apple-style-span"/>
          <w:color w:val="auto"/>
          <w:szCs w:val="24"/>
          <w:lang w:val="en-US"/>
        </w:rPr>
        <w:t>,</w:t>
      </w:r>
      <w:r w:rsidR="007C3584" w:rsidRPr="006E5A00">
        <w:rPr>
          <w:rStyle w:val="apple-style-span"/>
          <w:color w:val="auto"/>
          <w:szCs w:val="24"/>
          <w:lang w:val="en-US"/>
        </w:rPr>
        <w:t xml:space="preserve"> </w:t>
      </w:r>
      <w:r w:rsidR="00542FE0" w:rsidRPr="006E5A00">
        <w:rPr>
          <w:rStyle w:val="apple-style-span"/>
          <w:color w:val="auto"/>
          <w:szCs w:val="24"/>
          <w:lang w:val="en-US"/>
        </w:rPr>
        <w:t xml:space="preserve">S. </w:t>
      </w:r>
      <w:r w:rsidR="002A3A55" w:rsidRPr="006E5A00">
        <w:rPr>
          <w:rStyle w:val="apple-style-span"/>
          <w:color w:val="auto"/>
          <w:szCs w:val="24"/>
          <w:lang w:val="en-US"/>
        </w:rPr>
        <w:t xml:space="preserve">(2020): “Unequal access to food during the nutritional transition: evidence from Mediterranean Spain,” </w:t>
      </w:r>
      <w:r w:rsidR="002A3A55" w:rsidRPr="006E5A00">
        <w:rPr>
          <w:rStyle w:val="apple-style-span"/>
          <w:i/>
          <w:color w:val="auto"/>
          <w:szCs w:val="24"/>
          <w:lang w:val="en-US"/>
        </w:rPr>
        <w:t>Economic History Review</w:t>
      </w:r>
      <w:r w:rsidR="002A3A55" w:rsidRPr="006E5A00">
        <w:rPr>
          <w:rStyle w:val="apple-style-span"/>
          <w:color w:val="auto"/>
          <w:szCs w:val="24"/>
          <w:lang w:val="en-US"/>
        </w:rPr>
        <w:t>, 73 (4), pp. 1023-49</w:t>
      </w:r>
    </w:p>
    <w:p w14:paraId="1F42478C" w14:textId="77777777" w:rsidR="00420463" w:rsidRPr="006E5A00" w:rsidRDefault="00CD4673" w:rsidP="00420463">
      <w:pPr>
        <w:autoSpaceDE w:val="0"/>
        <w:autoSpaceDN w:val="0"/>
        <w:adjustRightInd w:val="0"/>
        <w:spacing w:line="240" w:lineRule="auto"/>
        <w:ind w:left="454" w:hanging="454"/>
        <w:jc w:val="both"/>
        <w:rPr>
          <w:lang w:val="en-US"/>
        </w:rPr>
      </w:pPr>
      <w:r w:rsidRPr="006E5A00">
        <w:rPr>
          <w:lang w:val="es-ES"/>
        </w:rPr>
        <w:t>MEES</w:t>
      </w:r>
      <w:r w:rsidR="00420463" w:rsidRPr="006E5A00">
        <w:rPr>
          <w:lang w:val="es-ES"/>
        </w:rPr>
        <w:t>,</w:t>
      </w:r>
      <w:r w:rsidR="00287F35" w:rsidRPr="006E5A00">
        <w:rPr>
          <w:lang w:val="es-ES"/>
        </w:rPr>
        <w:t xml:space="preserve"> L. </w:t>
      </w:r>
      <w:r w:rsidR="00420463" w:rsidRPr="006E5A00">
        <w:rPr>
          <w:lang w:val="es-ES"/>
        </w:rPr>
        <w:t xml:space="preserve"> </w:t>
      </w:r>
      <w:r w:rsidR="00287F35" w:rsidRPr="006E5A00">
        <w:rPr>
          <w:lang w:val="es-ES"/>
        </w:rPr>
        <w:t xml:space="preserve">(1992): </w:t>
      </w:r>
      <w:r w:rsidR="00420463" w:rsidRPr="006E5A00">
        <w:rPr>
          <w:i/>
          <w:lang w:val="es-ES"/>
        </w:rPr>
        <w:t>Nacionalismo vasco, movimiento obrero y cuestión social</w:t>
      </w:r>
      <w:r w:rsidR="00287F35" w:rsidRPr="006E5A00">
        <w:rPr>
          <w:i/>
          <w:lang w:val="es-ES"/>
        </w:rPr>
        <w:t xml:space="preserve"> (1903-1923)</w:t>
      </w:r>
      <w:r w:rsidR="00420463" w:rsidRPr="006E5A00">
        <w:rPr>
          <w:lang w:val="es-ES"/>
        </w:rPr>
        <w:t>.</w:t>
      </w:r>
      <w:r w:rsidR="00287F35" w:rsidRPr="006E5A00">
        <w:rPr>
          <w:lang w:val="es-ES"/>
        </w:rPr>
        <w:t xml:space="preserve"> </w:t>
      </w:r>
      <w:r w:rsidR="00287F35" w:rsidRPr="006E5A00">
        <w:rPr>
          <w:lang w:val="en-US"/>
        </w:rPr>
        <w:t>Bilbao: Fundación Sabino Arana</w:t>
      </w:r>
    </w:p>
    <w:p w14:paraId="4CBF96B5" w14:textId="77777777" w:rsidR="000F5C32" w:rsidRPr="006E5A00" w:rsidRDefault="00CD4673" w:rsidP="000F5C32">
      <w:pPr>
        <w:autoSpaceDE w:val="0"/>
        <w:autoSpaceDN w:val="0"/>
        <w:adjustRightInd w:val="0"/>
        <w:ind w:left="340" w:hanging="340"/>
        <w:jc w:val="both"/>
        <w:rPr>
          <w:rStyle w:val="apple-style-span"/>
          <w:color w:val="auto"/>
          <w:szCs w:val="24"/>
        </w:rPr>
      </w:pPr>
      <w:r w:rsidRPr="006E5A00">
        <w:rPr>
          <w:rStyle w:val="apple-style-span"/>
          <w:color w:val="auto"/>
          <w:szCs w:val="24"/>
        </w:rPr>
        <w:t>MEHLUM</w:t>
      </w:r>
      <w:r w:rsidR="000F5C32" w:rsidRPr="006E5A00">
        <w:rPr>
          <w:rStyle w:val="apple-style-span"/>
          <w:color w:val="auto"/>
          <w:szCs w:val="24"/>
        </w:rPr>
        <w:t xml:space="preserve">, H., </w:t>
      </w:r>
      <w:r w:rsidR="007C3584" w:rsidRPr="006E5A00">
        <w:rPr>
          <w:rStyle w:val="apple-style-span"/>
          <w:color w:val="auto"/>
          <w:szCs w:val="24"/>
        </w:rPr>
        <w:t>MIGUEL</w:t>
      </w:r>
      <w:r w:rsidR="0065382C">
        <w:rPr>
          <w:rStyle w:val="apple-style-span"/>
          <w:color w:val="auto"/>
          <w:szCs w:val="24"/>
        </w:rPr>
        <w:t>,</w:t>
      </w:r>
      <w:r w:rsidR="007C3584" w:rsidRPr="006E5A00">
        <w:rPr>
          <w:rStyle w:val="apple-style-span"/>
          <w:color w:val="auto"/>
          <w:szCs w:val="24"/>
        </w:rPr>
        <w:t xml:space="preserve"> </w:t>
      </w:r>
      <w:r w:rsidR="0065382C" w:rsidRPr="006E5A00">
        <w:rPr>
          <w:rStyle w:val="apple-style-span"/>
          <w:color w:val="auto"/>
          <w:szCs w:val="24"/>
        </w:rPr>
        <w:t xml:space="preserve">E. </w:t>
      </w:r>
      <w:r w:rsidR="000F5C32" w:rsidRPr="006E5A00">
        <w:rPr>
          <w:rStyle w:val="apple-style-span"/>
          <w:color w:val="auto"/>
          <w:szCs w:val="24"/>
        </w:rPr>
        <w:t xml:space="preserve">and </w:t>
      </w:r>
      <w:r w:rsidR="007C3584" w:rsidRPr="006E5A00">
        <w:rPr>
          <w:rStyle w:val="apple-style-span"/>
          <w:color w:val="auto"/>
          <w:szCs w:val="24"/>
        </w:rPr>
        <w:t>TORVIK</w:t>
      </w:r>
      <w:r w:rsidR="0065382C">
        <w:rPr>
          <w:rStyle w:val="apple-style-span"/>
          <w:color w:val="auto"/>
          <w:szCs w:val="24"/>
        </w:rPr>
        <w:t>,</w:t>
      </w:r>
      <w:r w:rsidR="007C3584" w:rsidRPr="006E5A00">
        <w:rPr>
          <w:rStyle w:val="apple-style-span"/>
          <w:color w:val="auto"/>
          <w:szCs w:val="24"/>
        </w:rPr>
        <w:t xml:space="preserve"> </w:t>
      </w:r>
      <w:r w:rsidR="0065382C" w:rsidRPr="006E5A00">
        <w:rPr>
          <w:rStyle w:val="apple-style-span"/>
          <w:color w:val="auto"/>
          <w:szCs w:val="24"/>
        </w:rPr>
        <w:t xml:space="preserve">R. </w:t>
      </w:r>
      <w:r w:rsidR="000F5C32" w:rsidRPr="006E5A00">
        <w:rPr>
          <w:rStyle w:val="apple-style-span"/>
          <w:color w:val="auto"/>
          <w:szCs w:val="24"/>
        </w:rPr>
        <w:t xml:space="preserve">(2006): “Poverty and crime in 19th century Germany,” </w:t>
      </w:r>
      <w:r w:rsidR="000F5C32" w:rsidRPr="006E5A00">
        <w:rPr>
          <w:rStyle w:val="apple-style-span"/>
          <w:i/>
          <w:color w:val="auto"/>
          <w:szCs w:val="24"/>
        </w:rPr>
        <w:t>Journal of Urban Economics</w:t>
      </w:r>
      <w:r w:rsidR="000F5C32" w:rsidRPr="006E5A00">
        <w:rPr>
          <w:rStyle w:val="apple-style-span"/>
          <w:color w:val="auto"/>
          <w:szCs w:val="24"/>
        </w:rPr>
        <w:t>, 59 (3), pp. 370-88</w:t>
      </w:r>
    </w:p>
    <w:p w14:paraId="6D057737" w14:textId="77777777" w:rsidR="000F5C32" w:rsidRPr="006E5A00" w:rsidRDefault="00CD4673" w:rsidP="000F5C32">
      <w:pPr>
        <w:autoSpaceDE w:val="0"/>
        <w:autoSpaceDN w:val="0"/>
        <w:adjustRightInd w:val="0"/>
        <w:ind w:left="340" w:hanging="340"/>
        <w:jc w:val="both"/>
        <w:rPr>
          <w:color w:val="auto"/>
          <w:szCs w:val="24"/>
          <w:lang w:val="es-ES"/>
        </w:rPr>
      </w:pPr>
      <w:r w:rsidRPr="006E5A00">
        <w:rPr>
          <w:rStyle w:val="apple-style-span"/>
          <w:color w:val="auto"/>
          <w:szCs w:val="24"/>
          <w:lang w:val="es-ES"/>
        </w:rPr>
        <w:t xml:space="preserve">MOLERO </w:t>
      </w:r>
      <w:r w:rsidR="007C3584" w:rsidRPr="006E5A00">
        <w:rPr>
          <w:rStyle w:val="apple-style-span"/>
          <w:color w:val="auto"/>
          <w:szCs w:val="24"/>
          <w:lang w:val="es-ES"/>
        </w:rPr>
        <w:t>MESA</w:t>
      </w:r>
      <w:r w:rsidR="000F5C32" w:rsidRPr="006E5A00">
        <w:rPr>
          <w:rStyle w:val="apple-style-span"/>
          <w:color w:val="auto"/>
          <w:szCs w:val="24"/>
          <w:lang w:val="es-ES"/>
        </w:rPr>
        <w:t>, J. (2001): “¡Dinero para la Cruz de la vida!</w:t>
      </w:r>
      <w:r w:rsidR="000F5C32" w:rsidRPr="006E5A00">
        <w:rPr>
          <w:rStyle w:val="apple-converted-space"/>
          <w:i/>
          <w:color w:val="auto"/>
          <w:szCs w:val="24"/>
          <w:lang w:val="es-ES"/>
        </w:rPr>
        <w:t> </w:t>
      </w:r>
      <w:r w:rsidR="000F5C32" w:rsidRPr="006E5A00">
        <w:rPr>
          <w:rStyle w:val="Emphasis"/>
          <w:i w:val="0"/>
          <w:color w:val="auto"/>
          <w:szCs w:val="24"/>
          <w:lang w:val="es-ES"/>
        </w:rPr>
        <w:t>Tuberculosis, beneficencia y clase obrera en el Madrid de la Restauración</w:t>
      </w:r>
      <w:r w:rsidR="000420DD" w:rsidRPr="006E5A00">
        <w:rPr>
          <w:rStyle w:val="Emphasis"/>
          <w:i w:val="0"/>
          <w:color w:val="auto"/>
          <w:szCs w:val="24"/>
          <w:lang w:val="es-ES"/>
        </w:rPr>
        <w:t>,</w:t>
      </w:r>
      <w:r w:rsidR="000F5C32" w:rsidRPr="006E5A00">
        <w:rPr>
          <w:rStyle w:val="apple-style-span"/>
          <w:i/>
          <w:color w:val="auto"/>
          <w:szCs w:val="24"/>
          <w:lang w:val="es-ES"/>
        </w:rPr>
        <w:t>”</w:t>
      </w:r>
      <w:r w:rsidR="000F5C32" w:rsidRPr="006E5A00">
        <w:rPr>
          <w:rStyle w:val="apple-style-span"/>
          <w:color w:val="auto"/>
          <w:szCs w:val="24"/>
          <w:lang w:val="es-ES"/>
        </w:rPr>
        <w:t xml:space="preserve"> </w:t>
      </w:r>
      <w:r w:rsidR="000F5C32" w:rsidRPr="006E5A00">
        <w:rPr>
          <w:rStyle w:val="apple-style-span"/>
          <w:i/>
          <w:color w:val="auto"/>
          <w:szCs w:val="24"/>
          <w:lang w:val="es-ES"/>
        </w:rPr>
        <w:t>Historia Social</w:t>
      </w:r>
      <w:r w:rsidR="000F5C32" w:rsidRPr="006E5A00">
        <w:rPr>
          <w:rStyle w:val="apple-style-span"/>
          <w:color w:val="auto"/>
          <w:szCs w:val="24"/>
          <w:lang w:val="es-ES"/>
        </w:rPr>
        <w:t>, 39, pp. 31-48</w:t>
      </w:r>
      <w:r w:rsidR="000F5C32" w:rsidRPr="006E5A00">
        <w:rPr>
          <w:color w:val="auto"/>
          <w:szCs w:val="24"/>
          <w:lang w:val="es-ES"/>
        </w:rPr>
        <w:t xml:space="preserve"> </w:t>
      </w:r>
    </w:p>
    <w:p w14:paraId="05BB748B" w14:textId="77777777" w:rsidR="00287F35" w:rsidRPr="006E5A00" w:rsidRDefault="00CD4673" w:rsidP="00287F35">
      <w:pPr>
        <w:autoSpaceDE w:val="0"/>
        <w:autoSpaceDN w:val="0"/>
        <w:adjustRightInd w:val="0"/>
        <w:spacing w:line="240" w:lineRule="auto"/>
        <w:ind w:left="454" w:hanging="454"/>
        <w:jc w:val="both"/>
        <w:rPr>
          <w:lang w:val="es-ES"/>
        </w:rPr>
      </w:pPr>
      <w:r w:rsidRPr="006E5A00">
        <w:rPr>
          <w:lang w:val="es-ES"/>
        </w:rPr>
        <w:t xml:space="preserve">MOLINA </w:t>
      </w:r>
      <w:r w:rsidR="007C3584" w:rsidRPr="006E5A00">
        <w:rPr>
          <w:lang w:val="es-ES"/>
        </w:rPr>
        <w:t>DE DIOS</w:t>
      </w:r>
      <w:r w:rsidR="00287F35" w:rsidRPr="006E5A00">
        <w:rPr>
          <w:lang w:val="es-ES"/>
        </w:rPr>
        <w:t xml:space="preserve">, R. (2007): </w:t>
      </w:r>
      <w:r w:rsidR="004D71A4" w:rsidRPr="006E5A00">
        <w:rPr>
          <w:lang w:val="es-ES"/>
        </w:rPr>
        <w:t>“</w:t>
      </w:r>
      <w:r w:rsidR="00287F35" w:rsidRPr="006E5A00">
        <w:rPr>
          <w:lang w:val="es-ES"/>
        </w:rPr>
        <w:t>El salario como indicador: Consumo, niveles de vida y desequilibrios en el mercado de trabajo. Mallorca: 1860-1936</w:t>
      </w:r>
      <w:r w:rsidR="004D71A4" w:rsidRPr="006E5A00">
        <w:rPr>
          <w:lang w:val="es-ES"/>
        </w:rPr>
        <w:t>,”</w:t>
      </w:r>
      <w:r w:rsidR="00287F35" w:rsidRPr="006E5A00">
        <w:rPr>
          <w:lang w:val="es-ES"/>
        </w:rPr>
        <w:t xml:space="preserve"> </w:t>
      </w:r>
      <w:r w:rsidR="00287F35" w:rsidRPr="006E5A00">
        <w:rPr>
          <w:i/>
          <w:lang w:val="es-ES"/>
        </w:rPr>
        <w:t>Revista de Historia de la Economía y de la Empresa</w:t>
      </w:r>
      <w:r w:rsidR="00287F35" w:rsidRPr="006E5A00">
        <w:rPr>
          <w:lang w:val="es-ES"/>
        </w:rPr>
        <w:t>, 1</w:t>
      </w:r>
      <w:r w:rsidR="000420DD" w:rsidRPr="006E5A00">
        <w:rPr>
          <w:lang w:val="es-ES"/>
        </w:rPr>
        <w:t>, pp.</w:t>
      </w:r>
      <w:r w:rsidR="00287F35" w:rsidRPr="006E5A00">
        <w:rPr>
          <w:lang w:val="es-ES"/>
        </w:rPr>
        <w:t xml:space="preserve"> 343-71</w:t>
      </w:r>
    </w:p>
    <w:p w14:paraId="037299D8" w14:textId="77777777" w:rsidR="00867D53" w:rsidRPr="006E5A00" w:rsidRDefault="00CD4673" w:rsidP="00867D53">
      <w:pPr>
        <w:autoSpaceDE w:val="0"/>
        <w:autoSpaceDN w:val="0"/>
        <w:adjustRightInd w:val="0"/>
        <w:ind w:left="340" w:hanging="340"/>
        <w:jc w:val="both"/>
        <w:rPr>
          <w:color w:val="auto"/>
          <w:lang w:val="en-US"/>
        </w:rPr>
      </w:pPr>
      <w:r w:rsidRPr="006E5A00">
        <w:rPr>
          <w:color w:val="auto"/>
          <w:lang w:val="es-ES"/>
        </w:rPr>
        <w:t xml:space="preserve">MORENO </w:t>
      </w:r>
      <w:r w:rsidR="007C3584" w:rsidRPr="006E5A00">
        <w:rPr>
          <w:color w:val="auto"/>
          <w:lang w:val="es-ES"/>
        </w:rPr>
        <w:t>LÁZARO</w:t>
      </w:r>
      <w:r w:rsidR="00867D53" w:rsidRPr="006E5A00">
        <w:rPr>
          <w:color w:val="auto"/>
          <w:lang w:val="es-ES"/>
        </w:rPr>
        <w:t>, J. (2006): “El nivel de vid</w:t>
      </w:r>
      <w:r w:rsidR="004D71A4" w:rsidRPr="006E5A00">
        <w:rPr>
          <w:color w:val="auto"/>
          <w:lang w:val="es-ES"/>
        </w:rPr>
        <w:t>a</w:t>
      </w:r>
      <w:r w:rsidR="00867D53" w:rsidRPr="006E5A00">
        <w:rPr>
          <w:color w:val="auto"/>
          <w:lang w:val="es-ES"/>
        </w:rPr>
        <w:t xml:space="preserve"> en la España atrasada entre 1800 y 1936. </w:t>
      </w:r>
      <w:r w:rsidR="00867D53" w:rsidRPr="006E5A00">
        <w:rPr>
          <w:color w:val="auto"/>
          <w:lang w:val="en-US"/>
        </w:rPr>
        <w:t xml:space="preserve">El caso de Palencia, </w:t>
      </w:r>
      <w:r w:rsidR="00867D53" w:rsidRPr="006E5A00">
        <w:rPr>
          <w:i/>
          <w:color w:val="auto"/>
          <w:lang w:val="en-US"/>
        </w:rPr>
        <w:t>Investigaciones de Historia Económica</w:t>
      </w:r>
      <w:r w:rsidR="00867D53" w:rsidRPr="006E5A00">
        <w:rPr>
          <w:color w:val="auto"/>
          <w:lang w:val="en-US"/>
        </w:rPr>
        <w:t>, 4, pp. 9-50</w:t>
      </w:r>
    </w:p>
    <w:p w14:paraId="5E84A06D" w14:textId="77777777" w:rsidR="000F5C32" w:rsidRPr="009F3EB1" w:rsidRDefault="00CD4673" w:rsidP="000F5C32">
      <w:pPr>
        <w:autoSpaceDE w:val="0"/>
        <w:autoSpaceDN w:val="0"/>
        <w:adjustRightInd w:val="0"/>
        <w:ind w:left="340" w:hanging="340"/>
        <w:jc w:val="both"/>
        <w:rPr>
          <w:color w:val="auto"/>
          <w:lang w:val="es-ES"/>
        </w:rPr>
      </w:pPr>
      <w:r w:rsidRPr="006E5A00">
        <w:rPr>
          <w:color w:val="auto"/>
          <w:lang w:val="en-US"/>
        </w:rPr>
        <w:t>MOLITORIS</w:t>
      </w:r>
      <w:r w:rsidR="000F5C32" w:rsidRPr="006E5A00">
        <w:rPr>
          <w:color w:val="auto"/>
          <w:lang w:val="en-US"/>
        </w:rPr>
        <w:t xml:space="preserve">, J. and </w:t>
      </w:r>
      <w:r w:rsidR="007C3584" w:rsidRPr="006E5A00">
        <w:rPr>
          <w:color w:val="auto"/>
          <w:lang w:val="en-US"/>
        </w:rPr>
        <w:t>DRIBE</w:t>
      </w:r>
      <w:r w:rsidR="0065382C">
        <w:rPr>
          <w:color w:val="auto"/>
          <w:lang w:val="en-US"/>
        </w:rPr>
        <w:t>,</w:t>
      </w:r>
      <w:r w:rsidR="007C3584" w:rsidRPr="006E5A00">
        <w:rPr>
          <w:color w:val="auto"/>
          <w:lang w:val="en-US"/>
        </w:rPr>
        <w:t xml:space="preserve"> </w:t>
      </w:r>
      <w:r w:rsidR="0065382C" w:rsidRPr="006E5A00">
        <w:rPr>
          <w:color w:val="auto"/>
          <w:lang w:val="en-US"/>
        </w:rPr>
        <w:t xml:space="preserve">M. </w:t>
      </w:r>
      <w:r w:rsidR="000F5C32" w:rsidRPr="006E5A00">
        <w:rPr>
          <w:color w:val="auto"/>
          <w:lang w:val="en-US"/>
        </w:rPr>
        <w:t xml:space="preserve">(2016): “Industrialization and inequality revisited: mortality differentials and vulnerability to economic stress in Stockholm, 1878-1926.” </w:t>
      </w:r>
      <w:r w:rsidR="000F5C32" w:rsidRPr="009F3EB1">
        <w:rPr>
          <w:i/>
          <w:color w:val="auto"/>
          <w:lang w:val="es-ES"/>
        </w:rPr>
        <w:t>European Review of Economic History</w:t>
      </w:r>
      <w:r w:rsidR="000F5C32" w:rsidRPr="009F3EB1">
        <w:rPr>
          <w:color w:val="auto"/>
          <w:lang w:val="es-ES"/>
        </w:rPr>
        <w:t>, 20 (2), pp. 176-97</w:t>
      </w:r>
    </w:p>
    <w:p w14:paraId="210B4ED7" w14:textId="77777777" w:rsidR="004D71A4" w:rsidRPr="006E5A00" w:rsidRDefault="00CD4673" w:rsidP="004D71A4">
      <w:pPr>
        <w:autoSpaceDE w:val="0"/>
        <w:autoSpaceDN w:val="0"/>
        <w:adjustRightInd w:val="0"/>
        <w:spacing w:line="240" w:lineRule="auto"/>
        <w:ind w:left="454" w:hanging="454"/>
        <w:jc w:val="both"/>
        <w:rPr>
          <w:lang w:val="es-ES"/>
        </w:rPr>
      </w:pPr>
      <w:r w:rsidRPr="006E5A00">
        <w:rPr>
          <w:rFonts w:cs="Plantin"/>
          <w:lang w:val="es-ES"/>
        </w:rPr>
        <w:t xml:space="preserve">MUÑOZ </w:t>
      </w:r>
      <w:r w:rsidR="007C3584" w:rsidRPr="006E5A00">
        <w:rPr>
          <w:rFonts w:cs="Plantin"/>
          <w:lang w:val="es-ES"/>
        </w:rPr>
        <w:t>FERNÁNDEZ</w:t>
      </w:r>
      <w:r w:rsidR="002102B7" w:rsidRPr="006E5A00">
        <w:rPr>
          <w:rFonts w:cs="Plantin"/>
          <w:lang w:val="es-ES"/>
        </w:rPr>
        <w:t xml:space="preserve">, F.J. (2019): </w:t>
      </w:r>
      <w:r w:rsidR="004D71A4" w:rsidRPr="006E5A00">
        <w:rPr>
          <w:rFonts w:cs="Plantin"/>
          <w:lang w:val="es-ES"/>
        </w:rPr>
        <w:t>“</w:t>
      </w:r>
      <w:r w:rsidR="002102B7" w:rsidRPr="006E5A00">
        <w:rPr>
          <w:rFonts w:cs="Plantin"/>
          <w:lang w:val="es-ES"/>
        </w:rPr>
        <w:t>Vivir en propiedad. Bilbao y el inicio de la propiedad horizontal (1920-1936)</w:t>
      </w:r>
      <w:r w:rsidR="004D71A4" w:rsidRPr="006E5A00">
        <w:rPr>
          <w:rFonts w:cs="Plantin"/>
          <w:lang w:val="es-ES"/>
        </w:rPr>
        <w:t xml:space="preserve">,” </w:t>
      </w:r>
      <w:r w:rsidR="004D71A4" w:rsidRPr="006E5A00">
        <w:rPr>
          <w:lang w:val="es-ES"/>
        </w:rPr>
        <w:t xml:space="preserve">In Manuel Montero García (ed.), </w:t>
      </w:r>
      <w:r w:rsidR="004D71A4" w:rsidRPr="006E5A00">
        <w:rPr>
          <w:i/>
          <w:lang w:val="es-ES"/>
        </w:rPr>
        <w:t>La ciudad y el progreso: la construcción de la modernidad urbana</w:t>
      </w:r>
      <w:r w:rsidR="004D71A4" w:rsidRPr="006E5A00">
        <w:rPr>
          <w:lang w:val="es-ES"/>
        </w:rPr>
        <w:t>, pp. 125-41</w:t>
      </w:r>
    </w:p>
    <w:p w14:paraId="49DC4E65" w14:textId="77777777" w:rsidR="000F5C32" w:rsidRPr="006E5A00" w:rsidRDefault="00CD4673" w:rsidP="000F5C32">
      <w:pPr>
        <w:autoSpaceDE w:val="0"/>
        <w:autoSpaceDN w:val="0"/>
        <w:adjustRightInd w:val="0"/>
        <w:ind w:left="340" w:hanging="340"/>
        <w:jc w:val="both"/>
        <w:rPr>
          <w:rFonts w:cs="Plantin"/>
        </w:rPr>
      </w:pPr>
      <w:r w:rsidRPr="006E5A00">
        <w:rPr>
          <w:rFonts w:cs="Plantin"/>
        </w:rPr>
        <w:t>NELSON</w:t>
      </w:r>
      <w:r w:rsidR="000F5C32" w:rsidRPr="006E5A00">
        <w:rPr>
          <w:rFonts w:cs="Plantin"/>
        </w:rPr>
        <w:t xml:space="preserve">, C.R. and </w:t>
      </w:r>
      <w:r w:rsidR="007C3584" w:rsidRPr="006E5A00">
        <w:rPr>
          <w:rFonts w:cs="Plantin"/>
        </w:rPr>
        <w:t>PLOSSER</w:t>
      </w:r>
      <w:r w:rsidR="0065382C">
        <w:rPr>
          <w:rFonts w:cs="Plantin"/>
        </w:rPr>
        <w:t xml:space="preserve">, </w:t>
      </w:r>
      <w:r w:rsidR="0065382C" w:rsidRPr="006E5A00">
        <w:rPr>
          <w:rFonts w:cs="Plantin"/>
        </w:rPr>
        <w:t xml:space="preserve">C.R. </w:t>
      </w:r>
      <w:r w:rsidR="000F5C32" w:rsidRPr="006E5A00">
        <w:rPr>
          <w:rFonts w:cs="Plantin"/>
        </w:rPr>
        <w:t xml:space="preserve">(1982): “Trends and random walks in macroeconmic time series: Some evidence and implications,” </w:t>
      </w:r>
      <w:r w:rsidR="000F5C32" w:rsidRPr="006E5A00">
        <w:rPr>
          <w:rFonts w:cs="Plantin"/>
          <w:i/>
        </w:rPr>
        <w:t xml:space="preserve">Journal of Monetary Economics, </w:t>
      </w:r>
      <w:r w:rsidR="000F5C32" w:rsidRPr="006E5A00">
        <w:rPr>
          <w:rFonts w:cs="Plantin"/>
        </w:rPr>
        <w:t>10 (2), pp. 139-62</w:t>
      </w:r>
    </w:p>
    <w:p w14:paraId="23B84CB0" w14:textId="77777777" w:rsidR="000F5C32" w:rsidRPr="006E5A00" w:rsidRDefault="00CD4673" w:rsidP="000F5C32">
      <w:pPr>
        <w:autoSpaceDE w:val="0"/>
        <w:autoSpaceDN w:val="0"/>
        <w:adjustRightInd w:val="0"/>
        <w:ind w:left="340" w:hanging="340"/>
        <w:jc w:val="both"/>
        <w:rPr>
          <w:lang w:val="en-US"/>
        </w:rPr>
      </w:pPr>
      <w:r w:rsidRPr="006E5A00">
        <w:rPr>
          <w:rFonts w:cs="Plantin"/>
        </w:rPr>
        <w:t>N</w:t>
      </w:r>
      <w:r w:rsidRPr="006E5A00">
        <w:rPr>
          <w:rFonts w:cs="Plantin"/>
          <w:szCs w:val="16"/>
        </w:rPr>
        <w:t>ICOLINI</w:t>
      </w:r>
      <w:r w:rsidR="000F5C32" w:rsidRPr="006E5A00">
        <w:rPr>
          <w:rFonts w:cs="Plantin"/>
        </w:rPr>
        <w:t>, E. A. (</w:t>
      </w:r>
      <w:r w:rsidR="000F5C32" w:rsidRPr="006E5A00">
        <w:rPr>
          <w:rFonts w:cs="PlantinExp"/>
        </w:rPr>
        <w:t>2007</w:t>
      </w:r>
      <w:r w:rsidR="000F5C32" w:rsidRPr="006E5A00">
        <w:rPr>
          <w:rFonts w:cs="Plantin"/>
        </w:rPr>
        <w:t>)</w:t>
      </w:r>
      <w:r w:rsidR="000420DD" w:rsidRPr="006E5A00">
        <w:rPr>
          <w:rFonts w:cs="Plantin"/>
        </w:rPr>
        <w:t>:</w:t>
      </w:r>
      <w:r w:rsidR="000F5C32" w:rsidRPr="006E5A00">
        <w:rPr>
          <w:rFonts w:cs="Plantin"/>
        </w:rPr>
        <w:t xml:space="preserve"> Was Malthus right? A VAR analysis of economic and demographic interactions in pre-industrial England. </w:t>
      </w:r>
      <w:r w:rsidR="000F5C32" w:rsidRPr="006E5A00">
        <w:rPr>
          <w:rFonts w:cs="Plantin-Italic"/>
          <w:i/>
          <w:iCs/>
          <w:lang w:val="en-US"/>
        </w:rPr>
        <w:t>European Review of Economic History</w:t>
      </w:r>
      <w:r w:rsidR="000F5C32" w:rsidRPr="006E5A00">
        <w:rPr>
          <w:rFonts w:cs="PlantinExp-Bold"/>
          <w:bCs w:val="0"/>
          <w:lang w:val="en-US"/>
        </w:rPr>
        <w:t xml:space="preserve">, 11 </w:t>
      </w:r>
      <w:r w:rsidR="000F5C32" w:rsidRPr="006E5A00">
        <w:rPr>
          <w:rFonts w:cs="Plantin"/>
          <w:lang w:val="en-US"/>
        </w:rPr>
        <w:t>(</w:t>
      </w:r>
      <w:r w:rsidR="000F5C32" w:rsidRPr="006E5A00">
        <w:rPr>
          <w:rFonts w:cs="PlantinExp"/>
          <w:lang w:val="en-US"/>
        </w:rPr>
        <w:t>1</w:t>
      </w:r>
      <w:r w:rsidR="000F5C32" w:rsidRPr="006E5A00">
        <w:rPr>
          <w:rFonts w:cs="Plantin"/>
          <w:lang w:val="en-US"/>
        </w:rPr>
        <w:t xml:space="preserve">), pp. </w:t>
      </w:r>
      <w:r w:rsidR="000F5C32" w:rsidRPr="006E5A00">
        <w:rPr>
          <w:rFonts w:cs="PlantinExp"/>
          <w:lang w:val="en-US"/>
        </w:rPr>
        <w:t>99</w:t>
      </w:r>
      <w:r w:rsidR="000F5C32" w:rsidRPr="006E5A00">
        <w:rPr>
          <w:rFonts w:cs="Plantin"/>
          <w:lang w:val="en-US"/>
        </w:rPr>
        <w:t>–</w:t>
      </w:r>
      <w:r w:rsidR="000F5C32" w:rsidRPr="006E5A00">
        <w:rPr>
          <w:rFonts w:cs="PlantinExp"/>
          <w:lang w:val="en-US"/>
        </w:rPr>
        <w:t>121</w:t>
      </w:r>
    </w:p>
    <w:p w14:paraId="7062C72A" w14:textId="77777777" w:rsidR="00287F35" w:rsidRPr="006E5A00" w:rsidRDefault="00CD4673" w:rsidP="00287F35">
      <w:pPr>
        <w:autoSpaceDE w:val="0"/>
        <w:autoSpaceDN w:val="0"/>
        <w:adjustRightInd w:val="0"/>
        <w:spacing w:line="240" w:lineRule="auto"/>
        <w:ind w:left="454" w:hanging="454"/>
        <w:jc w:val="both"/>
        <w:rPr>
          <w:lang w:val="es-ES"/>
        </w:rPr>
      </w:pPr>
      <w:r w:rsidRPr="006E5A00">
        <w:t>NOVO</w:t>
      </w:r>
      <w:r w:rsidR="0065382C">
        <w:t xml:space="preserve">, P. and </w:t>
      </w:r>
      <w:r w:rsidR="007C3584" w:rsidRPr="006E5A00">
        <w:t>ZARRAGA</w:t>
      </w:r>
      <w:r w:rsidR="0065382C">
        <w:t>,</w:t>
      </w:r>
      <w:r w:rsidR="007C3584" w:rsidRPr="006E5A00">
        <w:t xml:space="preserve"> </w:t>
      </w:r>
      <w:r w:rsidR="0065382C">
        <w:t xml:space="preserve">K. </w:t>
      </w:r>
      <w:r w:rsidR="00287F35" w:rsidRPr="006E5A00">
        <w:t xml:space="preserve">(2020): Uses and users of water in Bilbao, c. 1890-1910: a social-spatial anayslis. </w:t>
      </w:r>
      <w:r w:rsidR="00287F35" w:rsidRPr="006E5A00">
        <w:rPr>
          <w:i/>
          <w:lang w:val="es-ES"/>
        </w:rPr>
        <w:t>Urban History</w:t>
      </w:r>
      <w:r w:rsidR="00287F35" w:rsidRPr="006E5A00">
        <w:rPr>
          <w:lang w:val="es-ES"/>
        </w:rPr>
        <w:t>, 47</w:t>
      </w:r>
      <w:r w:rsidR="000420DD" w:rsidRPr="006E5A00">
        <w:rPr>
          <w:lang w:val="es-ES"/>
        </w:rPr>
        <w:t>, pp.</w:t>
      </w:r>
      <w:r w:rsidR="00287F35" w:rsidRPr="006E5A00">
        <w:rPr>
          <w:lang w:val="es-ES"/>
        </w:rPr>
        <w:t xml:space="preserve"> 86-105</w:t>
      </w:r>
    </w:p>
    <w:p w14:paraId="187F7E30" w14:textId="77777777" w:rsidR="00287F35" w:rsidRPr="006E5A00" w:rsidRDefault="00CD4673" w:rsidP="00287F35">
      <w:pPr>
        <w:autoSpaceDE w:val="0"/>
        <w:autoSpaceDN w:val="0"/>
        <w:adjustRightInd w:val="0"/>
        <w:spacing w:line="240" w:lineRule="auto"/>
        <w:ind w:left="454" w:hanging="454"/>
        <w:jc w:val="both"/>
        <w:rPr>
          <w:lang w:val="es-ES"/>
        </w:rPr>
      </w:pPr>
      <w:r w:rsidRPr="006E5A00">
        <w:rPr>
          <w:lang w:val="es-ES"/>
        </w:rPr>
        <w:t xml:space="preserve">NOVO </w:t>
      </w:r>
      <w:r w:rsidR="007C3584" w:rsidRPr="006E5A00">
        <w:rPr>
          <w:lang w:val="es-ES"/>
        </w:rPr>
        <w:t>LÓPEZ</w:t>
      </w:r>
      <w:r w:rsidR="00287F35" w:rsidRPr="006E5A00">
        <w:rPr>
          <w:lang w:val="es-ES"/>
        </w:rPr>
        <w:t xml:space="preserve">, P. A. (2019): “Sanear la ciudad. La gestión de los residuos urbanos en Bilbao (1875-1930), In M. Montero García (ed.), </w:t>
      </w:r>
      <w:r w:rsidR="00287F35" w:rsidRPr="006E5A00">
        <w:rPr>
          <w:i/>
          <w:lang w:val="es-ES"/>
        </w:rPr>
        <w:t>La ciudad y el progreso: la construcción de la modernidad urbana</w:t>
      </w:r>
      <w:r w:rsidR="00287F35" w:rsidRPr="006E5A00">
        <w:rPr>
          <w:lang w:val="es-ES"/>
        </w:rPr>
        <w:t>, p</w:t>
      </w:r>
      <w:r w:rsidR="000420DD" w:rsidRPr="006E5A00">
        <w:rPr>
          <w:lang w:val="es-ES"/>
        </w:rPr>
        <w:t>p</w:t>
      </w:r>
      <w:r w:rsidR="00287F35" w:rsidRPr="006E5A00">
        <w:rPr>
          <w:lang w:val="es-ES"/>
        </w:rPr>
        <w:t>. 81-103</w:t>
      </w:r>
    </w:p>
    <w:p w14:paraId="6E18A883" w14:textId="77777777" w:rsidR="00287F35" w:rsidRPr="006E5A00" w:rsidRDefault="00CD4673" w:rsidP="00287F35">
      <w:pPr>
        <w:autoSpaceDE w:val="0"/>
        <w:autoSpaceDN w:val="0"/>
        <w:adjustRightInd w:val="0"/>
        <w:spacing w:line="240" w:lineRule="auto"/>
        <w:ind w:left="454" w:hanging="454"/>
        <w:jc w:val="both"/>
        <w:rPr>
          <w:lang w:val="es-ES"/>
        </w:rPr>
      </w:pPr>
      <w:r w:rsidRPr="006E5A00">
        <w:rPr>
          <w:lang w:val="es-ES"/>
        </w:rPr>
        <w:t xml:space="preserve">PALLOL </w:t>
      </w:r>
      <w:r w:rsidR="007C3584" w:rsidRPr="006E5A00">
        <w:rPr>
          <w:lang w:val="es-ES"/>
        </w:rPr>
        <w:t>TRIGUEROS</w:t>
      </w:r>
      <w:r w:rsidR="0065382C">
        <w:rPr>
          <w:lang w:val="es-ES"/>
        </w:rPr>
        <w:t>, R. and</w:t>
      </w:r>
      <w:r w:rsidR="00287F35" w:rsidRPr="006E5A00">
        <w:rPr>
          <w:lang w:val="es-ES"/>
        </w:rPr>
        <w:t xml:space="preserve"> </w:t>
      </w:r>
      <w:r w:rsidR="0065382C" w:rsidRPr="006E5A00">
        <w:rPr>
          <w:lang w:val="es-ES"/>
        </w:rPr>
        <w:t xml:space="preserve">GARCÍA ABAD </w:t>
      </w:r>
      <w:r w:rsidR="0065382C">
        <w:rPr>
          <w:lang w:val="es-ES"/>
        </w:rPr>
        <w:t xml:space="preserve">R. </w:t>
      </w:r>
      <w:r w:rsidR="00287F35" w:rsidRPr="006E5A00">
        <w:rPr>
          <w:lang w:val="es-ES"/>
        </w:rPr>
        <w:t>(2017) (eds.)</w:t>
      </w:r>
      <w:r w:rsidR="000420DD" w:rsidRPr="006E5A00">
        <w:rPr>
          <w:lang w:val="es-ES"/>
        </w:rPr>
        <w:t>:</w:t>
      </w:r>
      <w:r w:rsidR="00287F35" w:rsidRPr="006E5A00">
        <w:rPr>
          <w:lang w:val="es-ES"/>
        </w:rPr>
        <w:t xml:space="preserve"> </w:t>
      </w:r>
      <w:r w:rsidR="00287F35" w:rsidRPr="006E5A00">
        <w:rPr>
          <w:i/>
          <w:lang w:val="es-ES"/>
        </w:rPr>
        <w:t>Inmigrantes en la ciudad.</w:t>
      </w:r>
      <w:r w:rsidR="00287F35" w:rsidRPr="006E5A00">
        <w:rPr>
          <w:lang w:val="es-ES"/>
        </w:rPr>
        <w:t xml:space="preserve"> </w:t>
      </w:r>
      <w:r w:rsidR="00287F35" w:rsidRPr="006E5A00">
        <w:rPr>
          <w:i/>
          <w:lang w:val="es-ES"/>
        </w:rPr>
        <w:t>Dinámicas demográficas, mercados de trabajo y desarrollo urbano en la España contemporánea.</w:t>
      </w:r>
      <w:r w:rsidR="00287F35" w:rsidRPr="006E5A00">
        <w:rPr>
          <w:lang w:val="es-ES"/>
        </w:rPr>
        <w:t xml:space="preserve"> </w:t>
      </w:r>
    </w:p>
    <w:p w14:paraId="4305A8D1" w14:textId="77777777" w:rsidR="000F5C32" w:rsidRPr="006E5A00" w:rsidRDefault="00CD4673" w:rsidP="000F5C32">
      <w:pPr>
        <w:autoSpaceDE w:val="0"/>
        <w:autoSpaceDN w:val="0"/>
        <w:adjustRightInd w:val="0"/>
        <w:ind w:left="340" w:hanging="340"/>
        <w:jc w:val="both"/>
        <w:rPr>
          <w:lang w:val="es-ES"/>
        </w:rPr>
      </w:pPr>
      <w:r w:rsidRPr="006E5A00">
        <w:rPr>
          <w:lang w:val="es-ES"/>
        </w:rPr>
        <w:t xml:space="preserve">PEREZ </w:t>
      </w:r>
      <w:r w:rsidR="007C3584" w:rsidRPr="006E5A00">
        <w:rPr>
          <w:lang w:val="es-ES"/>
        </w:rPr>
        <w:t>CASTROVIEJO</w:t>
      </w:r>
      <w:r w:rsidR="000F5C32" w:rsidRPr="006E5A00">
        <w:rPr>
          <w:lang w:val="es-ES"/>
        </w:rPr>
        <w:t xml:space="preserve">, P.M. (2000): “Consumo, dieta y nutrición de grupos populares. La alimentación durante la industrialización de Vizcaya,” </w:t>
      </w:r>
      <w:r w:rsidR="000F5C32" w:rsidRPr="006E5A00">
        <w:rPr>
          <w:i/>
          <w:lang w:val="es-ES"/>
        </w:rPr>
        <w:t>Zainak. Cuadernos de Antropología-Etnografía</w:t>
      </w:r>
      <w:r w:rsidR="000F5C32" w:rsidRPr="006E5A00">
        <w:rPr>
          <w:lang w:val="es-ES"/>
        </w:rPr>
        <w:t xml:space="preserve">, 20, (Ejemplar dedicado a: Nutrición, alimentación y </w:t>
      </w:r>
      <w:proofErr w:type="gramStart"/>
      <w:r w:rsidR="000F5C32" w:rsidRPr="006E5A00">
        <w:rPr>
          <w:lang w:val="es-ES"/>
        </w:rPr>
        <w:t>salud :</w:t>
      </w:r>
      <w:proofErr w:type="gramEnd"/>
      <w:r w:rsidR="000F5C32" w:rsidRPr="006E5A00">
        <w:rPr>
          <w:lang w:val="es-ES"/>
        </w:rPr>
        <w:t xml:space="preserve"> confluencias antropológicas), pp. 211-26</w:t>
      </w:r>
    </w:p>
    <w:p w14:paraId="4B2A4440" w14:textId="77777777" w:rsidR="000F5C32" w:rsidRPr="006E5A00" w:rsidRDefault="00CD4673" w:rsidP="000F5C32">
      <w:pPr>
        <w:autoSpaceDE w:val="0"/>
        <w:autoSpaceDN w:val="0"/>
        <w:adjustRightInd w:val="0"/>
        <w:ind w:left="340" w:hanging="340"/>
        <w:jc w:val="both"/>
        <w:rPr>
          <w:lang w:val="en-US"/>
        </w:rPr>
      </w:pPr>
      <w:r w:rsidRPr="006E5A00">
        <w:rPr>
          <w:rFonts w:cs="TT159AO00"/>
          <w:lang w:val="es-ES"/>
        </w:rPr>
        <w:t xml:space="preserve">PÉREZ </w:t>
      </w:r>
      <w:r w:rsidR="007C3584" w:rsidRPr="006E5A00">
        <w:rPr>
          <w:rFonts w:cs="TT159AO00"/>
          <w:lang w:val="es-ES"/>
        </w:rPr>
        <w:t>CASTROVIEJO</w:t>
      </w:r>
      <w:r w:rsidR="0065382C">
        <w:rPr>
          <w:rFonts w:cs="TT159AO00"/>
          <w:lang w:val="es-ES"/>
        </w:rPr>
        <w:t xml:space="preserve">, P.M. y </w:t>
      </w:r>
      <w:r w:rsidR="007C3584" w:rsidRPr="006E5A00">
        <w:rPr>
          <w:rFonts w:cs="TT159AO00"/>
          <w:lang w:val="es-ES"/>
        </w:rPr>
        <w:t>MARTÍNEZ MARDONES</w:t>
      </w:r>
      <w:r w:rsidR="0065382C">
        <w:rPr>
          <w:rFonts w:cs="TT159AO00"/>
          <w:lang w:val="es-ES"/>
        </w:rPr>
        <w:t>, I.</w:t>
      </w:r>
      <w:r w:rsidR="007C3584" w:rsidRPr="006E5A00">
        <w:rPr>
          <w:rFonts w:cs="TT159AO00"/>
          <w:lang w:val="es-ES"/>
        </w:rPr>
        <w:t xml:space="preserve"> </w:t>
      </w:r>
      <w:r w:rsidR="000F5C32" w:rsidRPr="006E5A00">
        <w:rPr>
          <w:rFonts w:cs="TT159AO00"/>
          <w:lang w:val="es-ES"/>
        </w:rPr>
        <w:t xml:space="preserve">(1996): </w:t>
      </w:r>
      <w:r w:rsidR="000F5C32" w:rsidRPr="006E5A00">
        <w:rPr>
          <w:rFonts w:cs="TT15A1O00"/>
          <w:i/>
          <w:lang w:val="es-ES"/>
        </w:rPr>
        <w:t xml:space="preserve">La alimentación de los pobres. Estrategias del gasto alimentario y la dieta en </w:t>
      </w:r>
      <w:smartTag w:uri="urn:schemas-microsoft-com:office:smarttags" w:element="PersonName">
        <w:smartTagPr>
          <w:attr w:name="ProductID" w:val="la Santa Casa"/>
        </w:smartTagPr>
        <w:r w:rsidR="000F5C32" w:rsidRPr="006E5A00">
          <w:rPr>
            <w:rFonts w:cs="TT15A1O00"/>
            <w:i/>
            <w:lang w:val="es-ES"/>
          </w:rPr>
          <w:t>la Santa Casa</w:t>
        </w:r>
      </w:smartTag>
      <w:r w:rsidR="000F5C32" w:rsidRPr="006E5A00">
        <w:rPr>
          <w:rFonts w:cs="TT15A1O00"/>
          <w:i/>
          <w:lang w:val="es-ES"/>
        </w:rPr>
        <w:t xml:space="preserve"> de Misericordia de Bilbao, 1840-1940</w:t>
      </w:r>
      <w:r w:rsidR="000F5C32" w:rsidRPr="006E5A00">
        <w:rPr>
          <w:rFonts w:cs="TT159AO00"/>
          <w:lang w:val="es-ES"/>
        </w:rPr>
        <w:t xml:space="preserve">. </w:t>
      </w:r>
      <w:r w:rsidR="000F5C32" w:rsidRPr="006E5A00">
        <w:rPr>
          <w:rFonts w:cs="TT159AO00"/>
          <w:lang w:val="en-US"/>
        </w:rPr>
        <w:t>Bilbao: Área de Cultura y Turismo del Ayuntamiento de Bilbao</w:t>
      </w:r>
    </w:p>
    <w:p w14:paraId="2F891B6D" w14:textId="77777777" w:rsidR="000F5C32" w:rsidRPr="006E5A00" w:rsidRDefault="00CD4673" w:rsidP="000F5C32">
      <w:pPr>
        <w:ind w:left="340" w:hanging="340"/>
        <w:jc w:val="both"/>
        <w:rPr>
          <w:rFonts w:cs="TT159AO00"/>
          <w:lang w:val="en-US"/>
        </w:rPr>
      </w:pPr>
      <w:r w:rsidRPr="006E5A00">
        <w:rPr>
          <w:rFonts w:cs="TT159AO00"/>
          <w:lang w:val="en-US"/>
        </w:rPr>
        <w:t xml:space="preserve">PÉREZ </w:t>
      </w:r>
      <w:r w:rsidR="007C3584" w:rsidRPr="006E5A00">
        <w:rPr>
          <w:rFonts w:cs="TT159AO00"/>
          <w:lang w:val="en-US"/>
        </w:rPr>
        <w:t>CASTROVIEJO</w:t>
      </w:r>
      <w:r w:rsidR="0065382C">
        <w:rPr>
          <w:rFonts w:cs="TT159AO00"/>
          <w:lang w:val="en-US"/>
        </w:rPr>
        <w:t xml:space="preserve">, P.M. y </w:t>
      </w:r>
      <w:r w:rsidR="000978EC" w:rsidRPr="006E5A00">
        <w:rPr>
          <w:rFonts w:cs="TT159AO00"/>
          <w:lang w:val="en-US"/>
        </w:rPr>
        <w:t>TUSSEL</w:t>
      </w:r>
      <w:r w:rsidR="0065382C">
        <w:rPr>
          <w:rFonts w:cs="TT159AO00"/>
          <w:lang w:val="en-US"/>
        </w:rPr>
        <w:t>, F.</w:t>
      </w:r>
      <w:r w:rsidR="000978EC" w:rsidRPr="006E5A00">
        <w:rPr>
          <w:rFonts w:cs="TT159AO00"/>
          <w:lang w:val="en-US"/>
        </w:rPr>
        <w:t xml:space="preserve"> </w:t>
      </w:r>
      <w:r w:rsidR="000F5C32" w:rsidRPr="006E5A00">
        <w:rPr>
          <w:rFonts w:cs="TT159AO00"/>
          <w:lang w:val="en-US"/>
        </w:rPr>
        <w:t xml:space="preserve">(2007): “Using Overlapping and Incomplete Time Series for the Estimation of Cost of Living Indices,” </w:t>
      </w:r>
      <w:r w:rsidR="000F5C32" w:rsidRPr="006E5A00">
        <w:rPr>
          <w:rFonts w:cs="TT159AO00"/>
          <w:i/>
          <w:lang w:val="en-US"/>
        </w:rPr>
        <w:t xml:space="preserve">Review of Income and Wealth, </w:t>
      </w:r>
      <w:r w:rsidR="000F5C32" w:rsidRPr="006E5A00">
        <w:rPr>
          <w:rFonts w:cs="TT159AO00"/>
          <w:lang w:val="en-US"/>
        </w:rPr>
        <w:t>53 (4), pp. 673-91</w:t>
      </w:r>
    </w:p>
    <w:p w14:paraId="39EDE5B6" w14:textId="77777777" w:rsidR="000F5C32" w:rsidRPr="006E5A00" w:rsidRDefault="00CD4673" w:rsidP="000F5C32">
      <w:pPr>
        <w:ind w:left="340" w:hanging="340"/>
        <w:jc w:val="both"/>
        <w:rPr>
          <w:lang w:val="en-US"/>
        </w:rPr>
      </w:pPr>
      <w:r w:rsidRPr="006E5A00">
        <w:rPr>
          <w:lang w:val="es-ES"/>
        </w:rPr>
        <w:t>PÉREZ</w:t>
      </w:r>
      <w:r w:rsidR="000F5C32" w:rsidRPr="006E5A00">
        <w:rPr>
          <w:lang w:val="es-ES"/>
        </w:rPr>
        <w:t>-</w:t>
      </w:r>
      <w:r w:rsidR="007C3584" w:rsidRPr="006E5A00">
        <w:rPr>
          <w:lang w:val="es-ES"/>
        </w:rPr>
        <w:t xml:space="preserve">FUENTES </w:t>
      </w:r>
      <w:r w:rsidR="000978EC" w:rsidRPr="006E5A00">
        <w:rPr>
          <w:lang w:val="es-ES"/>
        </w:rPr>
        <w:t>HERNÁNDEZ</w:t>
      </w:r>
      <w:r w:rsidR="000F5C32" w:rsidRPr="006E5A00">
        <w:rPr>
          <w:lang w:val="es-ES"/>
        </w:rPr>
        <w:t xml:space="preserve">, P. (1993): </w:t>
      </w:r>
      <w:r w:rsidR="000F5C32" w:rsidRPr="006E5A00">
        <w:rPr>
          <w:i/>
          <w:lang w:val="es-ES"/>
        </w:rPr>
        <w:t>Vivir y morir en las minas. Estrategias familiares y relaciones de género en la primera industrialización vizcaína (1877-1913).</w:t>
      </w:r>
      <w:r w:rsidR="000F5C32" w:rsidRPr="006E5A00">
        <w:rPr>
          <w:lang w:val="es-ES"/>
        </w:rPr>
        <w:t xml:space="preserve"> </w:t>
      </w:r>
      <w:r w:rsidR="000F5C32" w:rsidRPr="006E5A00">
        <w:rPr>
          <w:lang w:val="en-US"/>
        </w:rPr>
        <w:t>Bilbao: Servicio Editorial Universidad del País Vasco</w:t>
      </w:r>
    </w:p>
    <w:p w14:paraId="76924B09" w14:textId="77777777" w:rsidR="000F5C32" w:rsidRPr="006E5A00" w:rsidRDefault="00CD4673" w:rsidP="000F5C32">
      <w:pPr>
        <w:ind w:left="340" w:hanging="340"/>
        <w:jc w:val="both"/>
        <w:rPr>
          <w:lang w:val="es-ES"/>
        </w:rPr>
      </w:pPr>
      <w:r w:rsidRPr="006E5A00">
        <w:rPr>
          <w:lang w:val="en-US"/>
        </w:rPr>
        <w:t>PFISTER</w:t>
      </w:r>
      <w:r w:rsidR="0065382C">
        <w:rPr>
          <w:lang w:val="en-US"/>
        </w:rPr>
        <w:t xml:space="preserve">, U. and </w:t>
      </w:r>
      <w:r w:rsidR="007C3584" w:rsidRPr="006E5A00">
        <w:rPr>
          <w:lang w:val="en-US"/>
        </w:rPr>
        <w:t xml:space="preserve">FERTIG </w:t>
      </w:r>
      <w:r w:rsidR="0065382C">
        <w:rPr>
          <w:lang w:val="en-US"/>
        </w:rPr>
        <w:t xml:space="preserve">G. </w:t>
      </w:r>
      <w:r w:rsidR="000F5C32" w:rsidRPr="006E5A00">
        <w:rPr>
          <w:lang w:val="en-US"/>
        </w:rPr>
        <w:t xml:space="preserve">(2020): “From Malthusian Disequilibrium to the Post-Malthusian Era: The Evolution of the Preventive and Positive Checks in Germany, 1730-1870.” </w:t>
      </w:r>
      <w:r w:rsidR="000F5C32" w:rsidRPr="006E5A00">
        <w:rPr>
          <w:i/>
          <w:lang w:val="es-ES"/>
        </w:rPr>
        <w:t>Demography</w:t>
      </w:r>
      <w:r w:rsidR="000F5C32" w:rsidRPr="006E5A00">
        <w:rPr>
          <w:lang w:val="es-ES"/>
        </w:rPr>
        <w:t>, 57 (3), pp. 1145-70</w:t>
      </w:r>
    </w:p>
    <w:p w14:paraId="655582E4" w14:textId="77777777" w:rsidR="00640BBE" w:rsidRPr="006E5A00" w:rsidRDefault="00CD4673" w:rsidP="000F5C32">
      <w:pPr>
        <w:ind w:left="340" w:hanging="340"/>
        <w:jc w:val="both"/>
        <w:rPr>
          <w:lang w:val="es-ES"/>
        </w:rPr>
      </w:pPr>
      <w:r w:rsidRPr="006E5A00">
        <w:rPr>
          <w:lang w:val="es-ES"/>
        </w:rPr>
        <w:t>PUJOL</w:t>
      </w:r>
      <w:r w:rsidR="00640BBE" w:rsidRPr="006E5A00">
        <w:rPr>
          <w:lang w:val="es-ES"/>
        </w:rPr>
        <w:t>-</w:t>
      </w:r>
      <w:r w:rsidR="007C3584" w:rsidRPr="006E5A00">
        <w:rPr>
          <w:lang w:val="es-ES"/>
        </w:rPr>
        <w:t>ANDREU ANDREU</w:t>
      </w:r>
      <w:r w:rsidR="00CA2D89" w:rsidRPr="006E5A00">
        <w:rPr>
          <w:lang w:val="es-ES"/>
        </w:rPr>
        <w:t xml:space="preserve">, J. and </w:t>
      </w:r>
      <w:r w:rsidR="007C3584" w:rsidRPr="006E5A00">
        <w:rPr>
          <w:lang w:val="es-ES"/>
        </w:rPr>
        <w:t>CUSSÓ SEGURA</w:t>
      </w:r>
      <w:r w:rsidR="0065382C">
        <w:rPr>
          <w:lang w:val="es-ES"/>
        </w:rPr>
        <w:t>,</w:t>
      </w:r>
      <w:r w:rsidR="007C3584" w:rsidRPr="006E5A00">
        <w:rPr>
          <w:lang w:val="es-ES"/>
        </w:rPr>
        <w:t xml:space="preserve"> </w:t>
      </w:r>
      <w:r w:rsidR="0065382C" w:rsidRPr="006E5A00">
        <w:rPr>
          <w:lang w:val="es-ES"/>
        </w:rPr>
        <w:t>X</w:t>
      </w:r>
      <w:r w:rsidR="0065382C">
        <w:rPr>
          <w:lang w:val="es-ES"/>
        </w:rPr>
        <w:t>.</w:t>
      </w:r>
      <w:r w:rsidR="0065382C" w:rsidRPr="006E5A00">
        <w:rPr>
          <w:lang w:val="es-ES"/>
        </w:rPr>
        <w:t xml:space="preserve"> </w:t>
      </w:r>
      <w:r w:rsidR="00CA2D89" w:rsidRPr="006E5A00">
        <w:rPr>
          <w:lang w:val="es-ES"/>
        </w:rPr>
        <w:t xml:space="preserve">(2014): “La transición nutricional en Europa occidental, 1865-2000: una nueva aproximación,” </w:t>
      </w:r>
      <w:r w:rsidR="00CA2D89" w:rsidRPr="006E5A00">
        <w:rPr>
          <w:i/>
          <w:lang w:val="es-ES"/>
        </w:rPr>
        <w:t>Historia Social</w:t>
      </w:r>
      <w:r w:rsidR="00CA2D89" w:rsidRPr="006E5A00">
        <w:rPr>
          <w:lang w:val="es-ES"/>
        </w:rPr>
        <w:t xml:space="preserve">, 80 (número especial: Ciudades salud y alimentación en España (Siglos XIX y XX), pp. 133-55 </w:t>
      </w:r>
    </w:p>
    <w:p w14:paraId="1C8B50F4" w14:textId="77777777" w:rsidR="000F5C32" w:rsidRPr="006E5A00" w:rsidRDefault="00CD4673" w:rsidP="000F5C32">
      <w:pPr>
        <w:ind w:left="340" w:hanging="340"/>
        <w:jc w:val="both"/>
        <w:rPr>
          <w:lang w:val="en-US"/>
        </w:rPr>
      </w:pPr>
      <w:r w:rsidRPr="006E5A00">
        <w:rPr>
          <w:lang w:val="en-US"/>
        </w:rPr>
        <w:t>RADCLIFF</w:t>
      </w:r>
      <w:r w:rsidR="000F5C32" w:rsidRPr="006E5A00">
        <w:rPr>
          <w:lang w:val="en-US"/>
        </w:rPr>
        <w:t>, P.B. (1996): From Mobilization to Civil War. The politics of polarization in the Spanish city of Gijón, 1900-1937. Cambridge: CUP</w:t>
      </w:r>
    </w:p>
    <w:p w14:paraId="27AD583D" w14:textId="77777777" w:rsidR="00287F35" w:rsidRPr="006E5A00" w:rsidRDefault="00CD4673" w:rsidP="00287F35">
      <w:pPr>
        <w:autoSpaceDE w:val="0"/>
        <w:autoSpaceDN w:val="0"/>
        <w:adjustRightInd w:val="0"/>
        <w:spacing w:line="240" w:lineRule="auto"/>
        <w:ind w:left="454" w:hanging="454"/>
        <w:jc w:val="both"/>
      </w:pPr>
      <w:r w:rsidRPr="006E5A00">
        <w:rPr>
          <w:lang w:val="en-US"/>
        </w:rPr>
        <w:t xml:space="preserve">RAMIRO </w:t>
      </w:r>
      <w:r w:rsidR="007C3584" w:rsidRPr="006E5A00">
        <w:rPr>
          <w:lang w:val="en-US"/>
        </w:rPr>
        <w:t>FARIÑAS</w:t>
      </w:r>
      <w:r w:rsidR="00287F35" w:rsidRPr="006E5A00">
        <w:rPr>
          <w:lang w:val="en-US"/>
        </w:rPr>
        <w:t xml:space="preserve">, D., </w:t>
      </w:r>
      <w:r w:rsidR="007C3584" w:rsidRPr="006E5A00">
        <w:rPr>
          <w:lang w:val="en-US"/>
        </w:rPr>
        <w:t>SANZ GIMENO</w:t>
      </w:r>
      <w:r w:rsidR="00287F35" w:rsidRPr="006E5A00">
        <w:rPr>
          <w:lang w:val="en-US"/>
        </w:rPr>
        <w:t xml:space="preserve">, A. (2000): </w:t>
      </w:r>
      <w:r w:rsidR="00FD13F3" w:rsidRPr="006E5A00">
        <w:rPr>
          <w:lang w:val="en-US"/>
        </w:rPr>
        <w:t>“</w:t>
      </w:r>
      <w:r w:rsidR="00287F35" w:rsidRPr="006E5A00">
        <w:t>Structural changes in childhood in Spain, 1860-1990,</w:t>
      </w:r>
      <w:r w:rsidR="00FD13F3" w:rsidRPr="006E5A00">
        <w:t>”</w:t>
      </w:r>
      <w:r w:rsidR="00287F35" w:rsidRPr="006E5A00">
        <w:t xml:space="preserve"> International Journal of Population Geography 6 (1)</w:t>
      </w:r>
      <w:r w:rsidR="00FD13F3" w:rsidRPr="006E5A00">
        <w:t>,</w:t>
      </w:r>
      <w:r w:rsidR="00287F35" w:rsidRPr="006E5A00">
        <w:t xml:space="preserve"> </w:t>
      </w:r>
      <w:r w:rsidR="00FD13F3" w:rsidRPr="006E5A00">
        <w:t xml:space="preserve">pp. </w:t>
      </w:r>
      <w:r w:rsidR="00287F35" w:rsidRPr="006E5A00">
        <w:t xml:space="preserve">61-82 </w:t>
      </w:r>
    </w:p>
    <w:p w14:paraId="401EED75" w14:textId="77777777" w:rsidR="00287F35" w:rsidRPr="006E5A00" w:rsidRDefault="00CD4673" w:rsidP="00287F35">
      <w:pPr>
        <w:autoSpaceDE w:val="0"/>
        <w:autoSpaceDN w:val="0"/>
        <w:adjustRightInd w:val="0"/>
        <w:spacing w:line="240" w:lineRule="auto"/>
        <w:ind w:left="454" w:hanging="454"/>
        <w:jc w:val="both"/>
      </w:pPr>
      <w:r w:rsidRPr="006E5A00">
        <w:rPr>
          <w:lang w:val="en-US"/>
        </w:rPr>
        <w:t xml:space="preserve">RAMIRO </w:t>
      </w:r>
      <w:r w:rsidR="007C3584" w:rsidRPr="006E5A00">
        <w:rPr>
          <w:lang w:val="en-US"/>
        </w:rPr>
        <w:t>FARIÑAS</w:t>
      </w:r>
      <w:r w:rsidR="00287F35" w:rsidRPr="006E5A00">
        <w:rPr>
          <w:lang w:val="en-US"/>
        </w:rPr>
        <w:t xml:space="preserve">, D., </w:t>
      </w:r>
      <w:r w:rsidR="007C3584" w:rsidRPr="006E5A00">
        <w:rPr>
          <w:lang w:val="en-US"/>
        </w:rPr>
        <w:t>SANZ GIMENO</w:t>
      </w:r>
      <w:r w:rsidR="00287F35" w:rsidRPr="006E5A00">
        <w:rPr>
          <w:lang w:val="en-US"/>
        </w:rPr>
        <w:t xml:space="preserve">, A. (2000a): </w:t>
      </w:r>
      <w:r w:rsidR="00FD13F3" w:rsidRPr="006E5A00">
        <w:rPr>
          <w:lang w:val="en-US"/>
        </w:rPr>
        <w:t>“</w:t>
      </w:r>
      <w:r w:rsidR="00287F35" w:rsidRPr="006E5A00">
        <w:t>Childhood mortality in Central Spain, 1790-1960. Changes in the course of demographic modernisation,</w:t>
      </w:r>
      <w:r w:rsidR="00FD13F3" w:rsidRPr="006E5A00">
        <w:t>”</w:t>
      </w:r>
      <w:r w:rsidR="00287F35" w:rsidRPr="006E5A00">
        <w:t xml:space="preserve"> Continuity and Change 15 (2)</w:t>
      </w:r>
      <w:r w:rsidR="00FD13F3" w:rsidRPr="006E5A00">
        <w:t>, pp.</w:t>
      </w:r>
      <w:r w:rsidR="00287F35" w:rsidRPr="006E5A00">
        <w:t xml:space="preserve"> 235-267 </w:t>
      </w:r>
    </w:p>
    <w:p w14:paraId="7D887E69" w14:textId="77777777" w:rsidR="005846C5" w:rsidRPr="006E5A00" w:rsidRDefault="00CD4673" w:rsidP="005846C5">
      <w:pPr>
        <w:autoSpaceDE w:val="0"/>
        <w:autoSpaceDN w:val="0"/>
        <w:adjustRightInd w:val="0"/>
        <w:spacing w:line="240" w:lineRule="auto"/>
        <w:ind w:left="454" w:hanging="454"/>
        <w:jc w:val="both"/>
      </w:pPr>
      <w:r w:rsidRPr="006E5A00">
        <w:t>REHER</w:t>
      </w:r>
      <w:r w:rsidR="005846C5" w:rsidRPr="006E5A00">
        <w:t xml:space="preserve">, D.S. and P.L. </w:t>
      </w:r>
      <w:r w:rsidR="007C3584" w:rsidRPr="006E5A00">
        <w:t>IRISO NAPAL</w:t>
      </w:r>
      <w:r w:rsidR="0065382C">
        <w:t xml:space="preserve">, </w:t>
      </w:r>
      <w:r w:rsidR="0065382C" w:rsidRPr="006E5A00">
        <w:t xml:space="preserve">P.L. </w:t>
      </w:r>
      <w:r w:rsidR="005846C5" w:rsidRPr="006E5A00">
        <w:t>(1989), “Marital Fertility and its Determinants in Rural and in Urban Spain, 1887–1930,” Population Studies, 43 (3), 495-27</w:t>
      </w:r>
    </w:p>
    <w:p w14:paraId="78668B56" w14:textId="77777777" w:rsidR="00287F35" w:rsidRPr="006E5A00" w:rsidRDefault="00CD4673" w:rsidP="00287F35">
      <w:pPr>
        <w:autoSpaceDE w:val="0"/>
        <w:autoSpaceDN w:val="0"/>
        <w:adjustRightInd w:val="0"/>
        <w:spacing w:line="240" w:lineRule="auto"/>
        <w:ind w:left="454" w:hanging="454"/>
        <w:jc w:val="both"/>
      </w:pPr>
      <w:r w:rsidRPr="006E5A00">
        <w:t>REHER</w:t>
      </w:r>
      <w:r w:rsidR="00287F35" w:rsidRPr="006E5A00">
        <w:t xml:space="preserve">, D.S., </w:t>
      </w:r>
      <w:r w:rsidR="007C3584" w:rsidRPr="006E5A00">
        <w:t>PÉREZ MOREDA</w:t>
      </w:r>
      <w:r w:rsidR="00287F35" w:rsidRPr="006E5A00">
        <w:t xml:space="preserve">, V., </w:t>
      </w:r>
      <w:r w:rsidR="007C3584" w:rsidRPr="006E5A00">
        <w:t>BERNABEU</w:t>
      </w:r>
      <w:r w:rsidR="0065382C">
        <w:t>,</w:t>
      </w:r>
      <w:r w:rsidR="007C3584" w:rsidRPr="006E5A00">
        <w:t xml:space="preserve"> </w:t>
      </w:r>
      <w:r w:rsidR="0065382C" w:rsidRPr="006E5A00">
        <w:t xml:space="preserve">J. </w:t>
      </w:r>
      <w:r w:rsidR="00287F35" w:rsidRPr="006E5A00">
        <w:t xml:space="preserve">(1997): </w:t>
      </w:r>
      <w:r w:rsidR="00FD13F3" w:rsidRPr="006E5A00">
        <w:t>“</w:t>
      </w:r>
      <w:r w:rsidR="00287F35" w:rsidRPr="006E5A00">
        <w:t>Assessing change in historical contexts: Childhood mortality patterns in Spain during the demographic transition,</w:t>
      </w:r>
      <w:r w:rsidR="00FD13F3" w:rsidRPr="006E5A00">
        <w:t>”</w:t>
      </w:r>
      <w:r w:rsidR="00287F35" w:rsidRPr="006E5A00">
        <w:t xml:space="preserve"> in C.A. Corsini and P. Viazzo (eds.), </w:t>
      </w:r>
      <w:r w:rsidR="00287F35" w:rsidRPr="006E5A00">
        <w:rPr>
          <w:i/>
        </w:rPr>
        <w:t>The decline of infant and child mortality: the European experience, 1750-1990</w:t>
      </w:r>
      <w:r w:rsidR="00FD13F3" w:rsidRPr="006E5A00">
        <w:t>,</w:t>
      </w:r>
      <w:r w:rsidR="00287F35" w:rsidRPr="006E5A00">
        <w:t xml:space="preserve"> The Hague: Martinus Nijhoff</w:t>
      </w:r>
      <w:r w:rsidR="00FD13F3" w:rsidRPr="006E5A00">
        <w:t>,</w:t>
      </w:r>
      <w:r w:rsidR="00287F35" w:rsidRPr="006E5A00">
        <w:t xml:space="preserve"> </w:t>
      </w:r>
      <w:r w:rsidR="00FD13F3" w:rsidRPr="006E5A00">
        <w:t xml:space="preserve">pp. </w:t>
      </w:r>
      <w:r w:rsidR="00287F35" w:rsidRPr="006E5A00">
        <w:t xml:space="preserve">35-56 </w:t>
      </w:r>
    </w:p>
    <w:p w14:paraId="10FC5290" w14:textId="77777777" w:rsidR="00287F35" w:rsidRPr="006E5A00" w:rsidRDefault="00CD4673" w:rsidP="00287F35">
      <w:pPr>
        <w:autoSpaceDE w:val="0"/>
        <w:autoSpaceDN w:val="0"/>
        <w:adjustRightInd w:val="0"/>
        <w:spacing w:line="240" w:lineRule="auto"/>
        <w:ind w:left="454" w:hanging="454"/>
        <w:jc w:val="both"/>
        <w:rPr>
          <w:lang w:val="es-ES"/>
        </w:rPr>
      </w:pPr>
      <w:r w:rsidRPr="006E5A00">
        <w:rPr>
          <w:lang w:val="en-US"/>
        </w:rPr>
        <w:t>REHER</w:t>
      </w:r>
      <w:r w:rsidR="00287F35" w:rsidRPr="006E5A00">
        <w:rPr>
          <w:lang w:val="en-US"/>
        </w:rPr>
        <w:t xml:space="preserve">, D.S., </w:t>
      </w:r>
      <w:r w:rsidR="007C3584" w:rsidRPr="006E5A00">
        <w:rPr>
          <w:lang w:val="en-US"/>
        </w:rPr>
        <w:t>SANZ</w:t>
      </w:r>
      <w:r w:rsidR="00287F35" w:rsidRPr="006E5A00">
        <w:rPr>
          <w:lang w:val="en-US"/>
        </w:rPr>
        <w:t>-</w:t>
      </w:r>
      <w:r w:rsidR="007C3584" w:rsidRPr="006E5A00">
        <w:rPr>
          <w:lang w:val="en-US"/>
        </w:rPr>
        <w:t>GIMENO</w:t>
      </w:r>
      <w:r w:rsidR="00287F35" w:rsidRPr="006E5A00">
        <w:rPr>
          <w:lang w:val="en-US"/>
        </w:rPr>
        <w:t>, A. (2004)</w:t>
      </w:r>
      <w:r w:rsidR="00FD13F3" w:rsidRPr="006E5A00">
        <w:rPr>
          <w:lang w:val="en-US"/>
        </w:rPr>
        <w:t>:</w:t>
      </w:r>
      <w:r w:rsidR="00287F35" w:rsidRPr="006E5A00">
        <w:rPr>
          <w:lang w:val="en-US"/>
        </w:rPr>
        <w:t xml:space="preserve"> </w:t>
      </w:r>
      <w:r w:rsidR="00FD13F3" w:rsidRPr="006E5A00">
        <w:rPr>
          <w:lang w:val="en-US"/>
        </w:rPr>
        <w:t>“</w:t>
      </w:r>
      <w:r w:rsidR="00287F35" w:rsidRPr="006E5A00">
        <w:t>Childhood mortality patterns in Spain before and during the demographic transition: In search of new dimensions</w:t>
      </w:r>
      <w:r w:rsidR="00FD13F3" w:rsidRPr="006E5A00">
        <w:t>,”</w:t>
      </w:r>
      <w:r w:rsidR="00287F35" w:rsidRPr="006E5A00">
        <w:t xml:space="preserve"> in M. Breschi and L. Pozzi (eds.), </w:t>
      </w:r>
      <w:r w:rsidR="00287F35" w:rsidRPr="006E5A00">
        <w:rPr>
          <w:i/>
        </w:rPr>
        <w:t>The determinants of infant and child mortality in past European populations</w:t>
      </w:r>
      <w:r w:rsidR="00FD13F3" w:rsidRPr="006E5A00">
        <w:rPr>
          <w:i/>
        </w:rPr>
        <w:t>.</w:t>
      </w:r>
      <w:r w:rsidR="00287F35" w:rsidRPr="006E5A00">
        <w:t xml:space="preserve"> </w:t>
      </w:r>
      <w:r w:rsidR="00287F35" w:rsidRPr="006E5A00">
        <w:rPr>
          <w:lang w:val="es-ES"/>
        </w:rPr>
        <w:t>Udine: Sides-Forum</w:t>
      </w:r>
      <w:r w:rsidR="00FD13F3" w:rsidRPr="006E5A00">
        <w:rPr>
          <w:lang w:val="es-ES"/>
        </w:rPr>
        <w:t>,</w:t>
      </w:r>
      <w:r w:rsidR="00287F35" w:rsidRPr="006E5A00">
        <w:rPr>
          <w:lang w:val="es-ES"/>
        </w:rPr>
        <w:t xml:space="preserve"> </w:t>
      </w:r>
      <w:r w:rsidR="00FD13F3" w:rsidRPr="006E5A00">
        <w:rPr>
          <w:lang w:val="es-ES"/>
        </w:rPr>
        <w:t xml:space="preserve">pp. </w:t>
      </w:r>
      <w:r w:rsidR="00287F35" w:rsidRPr="006E5A00">
        <w:rPr>
          <w:lang w:val="es-ES"/>
        </w:rPr>
        <w:t xml:space="preserve">19-42 </w:t>
      </w:r>
    </w:p>
    <w:p w14:paraId="3AF81C94" w14:textId="77777777" w:rsidR="000F5C32" w:rsidRPr="006E5A00" w:rsidRDefault="00CD4673" w:rsidP="000F5C32">
      <w:pPr>
        <w:ind w:left="340" w:hanging="340"/>
        <w:jc w:val="both"/>
        <w:rPr>
          <w:lang w:val="es-ES"/>
        </w:rPr>
      </w:pPr>
      <w:r w:rsidRPr="006E5A00">
        <w:rPr>
          <w:lang w:val="es-ES"/>
        </w:rPr>
        <w:t>REHER</w:t>
      </w:r>
      <w:r w:rsidR="000F5C32" w:rsidRPr="006E5A00">
        <w:rPr>
          <w:lang w:val="es-ES"/>
        </w:rPr>
        <w:t xml:space="preserve">, D. S. and </w:t>
      </w:r>
      <w:r w:rsidR="007C3584" w:rsidRPr="006E5A00">
        <w:rPr>
          <w:lang w:val="es-ES"/>
        </w:rPr>
        <w:t>BALLESTEROS</w:t>
      </w:r>
      <w:r w:rsidR="000F5C32" w:rsidRPr="006E5A00">
        <w:rPr>
          <w:lang w:val="es-ES"/>
        </w:rPr>
        <w:t>, E. (1993): “Precios y salarios en Castilla la Nueva: la construcción de un índice de salarios reales,</w:t>
      </w:r>
      <w:r w:rsidR="000978EC">
        <w:rPr>
          <w:lang w:val="es-ES"/>
        </w:rPr>
        <w:t xml:space="preserve"> </w:t>
      </w:r>
      <w:r w:rsidR="000F5C32" w:rsidRPr="006E5A00">
        <w:rPr>
          <w:lang w:val="es-ES"/>
        </w:rPr>
        <w:t>1501-</w:t>
      </w:r>
      <w:smartTag w:uri="urn:schemas-microsoft-com:office:smarttags" w:element="metricconverter">
        <w:smartTagPr>
          <w:attr w:name="ProductID" w:val="1991”"/>
        </w:smartTagPr>
        <w:r w:rsidR="000F5C32" w:rsidRPr="006E5A00">
          <w:rPr>
            <w:lang w:val="es-ES"/>
          </w:rPr>
          <w:t>1991”</w:t>
        </w:r>
      </w:smartTag>
      <w:r w:rsidR="000F5C32" w:rsidRPr="006E5A00">
        <w:rPr>
          <w:lang w:val="es-ES"/>
        </w:rPr>
        <w:t xml:space="preserve">, </w:t>
      </w:r>
      <w:r w:rsidR="000F5C32" w:rsidRPr="006E5A00">
        <w:rPr>
          <w:i/>
          <w:lang w:val="es-ES"/>
        </w:rPr>
        <w:t>Revista de Historia Económica - Journal of Iberian and Latin American Economic History</w:t>
      </w:r>
      <w:r w:rsidR="000F5C32" w:rsidRPr="006E5A00">
        <w:rPr>
          <w:lang w:val="es-ES"/>
        </w:rPr>
        <w:t>, 11 (1), pp. 101-151</w:t>
      </w:r>
    </w:p>
    <w:p w14:paraId="5B6D316E" w14:textId="77777777" w:rsidR="000F5C32" w:rsidRPr="006E5A00" w:rsidRDefault="00CD4673" w:rsidP="000F5C32">
      <w:pPr>
        <w:pStyle w:val="Heading1"/>
        <w:ind w:left="340" w:hanging="340"/>
        <w:jc w:val="both"/>
        <w:rPr>
          <w:b w:val="0"/>
          <w:sz w:val="24"/>
          <w:szCs w:val="24"/>
          <w:lang w:val="es-ES"/>
        </w:rPr>
      </w:pPr>
      <w:r w:rsidRPr="006E5A00">
        <w:rPr>
          <w:b w:val="0"/>
          <w:sz w:val="24"/>
          <w:szCs w:val="24"/>
          <w:lang w:val="en-US"/>
        </w:rPr>
        <w:t>RÍOS</w:t>
      </w:r>
      <w:r w:rsidR="000F5C32" w:rsidRPr="006E5A00">
        <w:rPr>
          <w:b w:val="0"/>
          <w:sz w:val="24"/>
          <w:szCs w:val="24"/>
          <w:lang w:val="en-US"/>
        </w:rPr>
        <w:t xml:space="preserve">, M., </w:t>
      </w:r>
      <w:r w:rsidR="007C3584" w:rsidRPr="006E5A00">
        <w:rPr>
          <w:b w:val="0"/>
          <w:sz w:val="24"/>
          <w:szCs w:val="24"/>
          <w:lang w:val="en-US"/>
        </w:rPr>
        <w:t>GARCÍA</w:t>
      </w:r>
      <w:r w:rsidR="000F5C32" w:rsidRPr="006E5A00">
        <w:rPr>
          <w:b w:val="0"/>
          <w:sz w:val="24"/>
          <w:szCs w:val="24"/>
          <w:lang w:val="en-US"/>
        </w:rPr>
        <w:t xml:space="preserve">, </w:t>
      </w:r>
      <w:r w:rsidR="0065382C" w:rsidRPr="006E5A00">
        <w:rPr>
          <w:b w:val="0"/>
          <w:sz w:val="24"/>
          <w:szCs w:val="24"/>
          <w:lang w:val="en-US"/>
        </w:rPr>
        <w:t>J.M.</w:t>
      </w:r>
      <w:r w:rsidR="0065382C">
        <w:rPr>
          <w:b w:val="0"/>
          <w:sz w:val="24"/>
          <w:szCs w:val="24"/>
          <w:lang w:val="en-US"/>
        </w:rPr>
        <w:t>,</w:t>
      </w:r>
      <w:r w:rsidR="0065382C" w:rsidRPr="006E5A00">
        <w:rPr>
          <w:b w:val="0"/>
          <w:sz w:val="24"/>
          <w:szCs w:val="24"/>
          <w:lang w:val="en-US"/>
        </w:rPr>
        <w:t xml:space="preserve"> </w:t>
      </w:r>
      <w:r w:rsidR="007C3584" w:rsidRPr="006E5A00">
        <w:rPr>
          <w:b w:val="0"/>
          <w:sz w:val="24"/>
          <w:szCs w:val="24"/>
          <w:lang w:val="en-US"/>
        </w:rPr>
        <w:t>SÁNCHEZ</w:t>
      </w:r>
      <w:r w:rsidR="000F5C32" w:rsidRPr="006E5A00">
        <w:rPr>
          <w:b w:val="0"/>
          <w:sz w:val="24"/>
          <w:szCs w:val="24"/>
          <w:lang w:val="en-US"/>
        </w:rPr>
        <w:t xml:space="preserve">, </w:t>
      </w:r>
      <w:r w:rsidR="0065382C" w:rsidRPr="006E5A00">
        <w:rPr>
          <w:b w:val="0"/>
          <w:sz w:val="24"/>
          <w:szCs w:val="24"/>
          <w:lang w:val="en-US"/>
        </w:rPr>
        <w:t>J.A.</w:t>
      </w:r>
      <w:r w:rsidR="0065382C">
        <w:rPr>
          <w:b w:val="0"/>
          <w:sz w:val="24"/>
          <w:szCs w:val="24"/>
          <w:lang w:val="en-US"/>
        </w:rPr>
        <w:t>,</w:t>
      </w:r>
      <w:r w:rsidR="0065382C" w:rsidRPr="006E5A00">
        <w:rPr>
          <w:b w:val="0"/>
          <w:sz w:val="24"/>
          <w:szCs w:val="24"/>
          <w:lang w:val="en-US"/>
        </w:rPr>
        <w:t xml:space="preserve"> </w:t>
      </w:r>
      <w:r w:rsidR="007C3584" w:rsidRPr="006E5A00">
        <w:rPr>
          <w:b w:val="0"/>
          <w:sz w:val="24"/>
          <w:szCs w:val="24"/>
          <w:lang w:val="en-US"/>
        </w:rPr>
        <w:t>PÉREZ</w:t>
      </w:r>
      <w:r w:rsidR="0065382C">
        <w:rPr>
          <w:b w:val="0"/>
          <w:sz w:val="24"/>
          <w:szCs w:val="24"/>
          <w:lang w:val="en-US"/>
        </w:rPr>
        <w:t>,</w:t>
      </w:r>
      <w:r w:rsidR="007C3584" w:rsidRPr="006E5A00">
        <w:rPr>
          <w:b w:val="0"/>
          <w:sz w:val="24"/>
          <w:szCs w:val="24"/>
          <w:lang w:val="en-US"/>
        </w:rPr>
        <w:t xml:space="preserve"> </w:t>
      </w:r>
      <w:r w:rsidR="0065382C" w:rsidRPr="006E5A00">
        <w:rPr>
          <w:b w:val="0"/>
          <w:sz w:val="24"/>
          <w:szCs w:val="24"/>
          <w:lang w:val="en-US"/>
        </w:rPr>
        <w:t xml:space="preserve">D. </w:t>
      </w:r>
      <w:r w:rsidR="000F5C32" w:rsidRPr="006E5A00">
        <w:rPr>
          <w:b w:val="0"/>
          <w:sz w:val="24"/>
          <w:szCs w:val="24"/>
          <w:lang w:val="en-US"/>
        </w:rPr>
        <w:t xml:space="preserve">(2000): “A statistical analysis of the seasonality in pulmonary tuberculosis.” </w:t>
      </w:r>
      <w:r w:rsidR="000F5C32" w:rsidRPr="006E5A00">
        <w:rPr>
          <w:b w:val="0"/>
          <w:i/>
          <w:sz w:val="24"/>
          <w:szCs w:val="24"/>
          <w:lang w:val="es-ES"/>
        </w:rPr>
        <w:t>European Journal of Epidemiology</w:t>
      </w:r>
      <w:r w:rsidR="000F5C32" w:rsidRPr="006E5A00">
        <w:rPr>
          <w:b w:val="0"/>
          <w:sz w:val="24"/>
          <w:szCs w:val="24"/>
          <w:lang w:val="es-ES"/>
        </w:rPr>
        <w:t>, 16, pp. 483–8</w:t>
      </w:r>
    </w:p>
    <w:p w14:paraId="070E36BC" w14:textId="77777777" w:rsidR="00FD13F3" w:rsidRPr="006E5A00" w:rsidRDefault="00CD4673" w:rsidP="00FD13F3">
      <w:pPr>
        <w:autoSpaceDE w:val="0"/>
        <w:autoSpaceDN w:val="0"/>
        <w:adjustRightInd w:val="0"/>
        <w:spacing w:line="240" w:lineRule="auto"/>
        <w:ind w:left="454" w:hanging="454"/>
        <w:jc w:val="both"/>
        <w:rPr>
          <w:lang w:val="es-ES"/>
        </w:rPr>
      </w:pPr>
      <w:r w:rsidRPr="006E5A00">
        <w:rPr>
          <w:lang w:val="es-ES"/>
        </w:rPr>
        <w:t>RIVAS</w:t>
      </w:r>
      <w:r w:rsidR="0065382C">
        <w:rPr>
          <w:lang w:val="es-ES"/>
        </w:rPr>
        <w:t xml:space="preserve">, M., </w:t>
      </w:r>
      <w:r w:rsidR="007C3584" w:rsidRPr="006E5A00">
        <w:rPr>
          <w:lang w:val="es-ES"/>
        </w:rPr>
        <w:t>CUSSÓ</w:t>
      </w:r>
      <w:r w:rsidR="00FD13F3" w:rsidRPr="006E5A00">
        <w:rPr>
          <w:lang w:val="es-ES"/>
        </w:rPr>
        <w:t xml:space="preserve">, </w:t>
      </w:r>
      <w:r w:rsidR="0065382C">
        <w:rPr>
          <w:lang w:val="es-ES"/>
        </w:rPr>
        <w:t xml:space="preserve">X., </w:t>
      </w:r>
      <w:r w:rsidR="007C3584" w:rsidRPr="006E5A00">
        <w:rPr>
          <w:lang w:val="es-ES"/>
        </w:rPr>
        <w:t xml:space="preserve">GAMBOA </w:t>
      </w:r>
      <w:r w:rsidR="0065382C">
        <w:rPr>
          <w:lang w:val="es-ES"/>
        </w:rPr>
        <w:t xml:space="preserve">G. and </w:t>
      </w:r>
      <w:r w:rsidR="007C3584" w:rsidRPr="006E5A00">
        <w:rPr>
          <w:lang w:val="es-ES"/>
        </w:rPr>
        <w:t>PUJOL</w:t>
      </w:r>
      <w:r w:rsidR="00FD13F3" w:rsidRPr="006E5A00">
        <w:rPr>
          <w:lang w:val="es-ES"/>
        </w:rPr>
        <w:t>-</w:t>
      </w:r>
      <w:r w:rsidR="007C3584" w:rsidRPr="006E5A00">
        <w:rPr>
          <w:lang w:val="es-ES"/>
        </w:rPr>
        <w:t>ANDREU</w:t>
      </w:r>
      <w:r w:rsidR="0065382C">
        <w:rPr>
          <w:lang w:val="es-ES"/>
        </w:rPr>
        <w:t>, J.</w:t>
      </w:r>
      <w:r w:rsidR="007C3584" w:rsidRPr="006E5A00">
        <w:rPr>
          <w:lang w:val="es-ES"/>
        </w:rPr>
        <w:t xml:space="preserve"> </w:t>
      </w:r>
      <w:r w:rsidR="00FD13F3" w:rsidRPr="006E5A00">
        <w:rPr>
          <w:lang w:val="es-ES"/>
        </w:rPr>
        <w:t>(2019): Soberanía alimentaria en perspectiva histórica. España 1900-2015: una primera aproximación. UHE WP 2019-1 Universidad Autónoma de Barcelona</w:t>
      </w:r>
    </w:p>
    <w:p w14:paraId="475681BE" w14:textId="77777777" w:rsidR="000F5C32" w:rsidRPr="006E5A00" w:rsidRDefault="00CD4673" w:rsidP="000F5C32">
      <w:pPr>
        <w:pStyle w:val="NormalWeb"/>
        <w:spacing w:before="0" w:beforeAutospacing="0" w:after="0" w:afterAutospacing="0"/>
        <w:ind w:left="340" w:hanging="340"/>
        <w:jc w:val="both"/>
        <w:rPr>
          <w:rFonts w:cs="Calibri"/>
          <w:lang w:val="en-US"/>
        </w:rPr>
      </w:pPr>
      <w:r w:rsidRPr="006E5A00">
        <w:rPr>
          <w:rFonts w:cs="Calibri"/>
        </w:rPr>
        <w:t>RODA</w:t>
      </w:r>
      <w:r w:rsidR="000F5C32" w:rsidRPr="006E5A00">
        <w:rPr>
          <w:rFonts w:cs="Calibri"/>
        </w:rPr>
        <w:t xml:space="preserve">, D. (1931): </w:t>
      </w:r>
      <w:r w:rsidR="000F5C32" w:rsidRPr="006E5A00">
        <w:rPr>
          <w:rFonts w:cs="Calibri"/>
          <w:i/>
          <w:iCs/>
        </w:rPr>
        <w:t>La beneficencia en Vizcaya.</w:t>
      </w:r>
      <w:r w:rsidR="000F5C32" w:rsidRPr="006E5A00">
        <w:rPr>
          <w:rFonts w:cs="Calibri"/>
        </w:rPr>
        <w:t xml:space="preserve"> </w:t>
      </w:r>
      <w:r w:rsidR="000F5C32" w:rsidRPr="006E5A00">
        <w:rPr>
          <w:rFonts w:cs="Calibri"/>
          <w:lang w:val="en-US"/>
        </w:rPr>
        <w:t>Bilbao: Eléxpuru Her</w:t>
      </w:r>
      <w:r w:rsidR="000420DD" w:rsidRPr="006E5A00">
        <w:rPr>
          <w:rFonts w:cs="Calibri"/>
          <w:lang w:val="en-US"/>
        </w:rPr>
        <w:t>manos</w:t>
      </w:r>
    </w:p>
    <w:p w14:paraId="5CBC3FBF" w14:textId="77777777" w:rsidR="000F5C32" w:rsidRPr="006E5A00" w:rsidRDefault="00CD4673" w:rsidP="000F5C32">
      <w:pPr>
        <w:ind w:left="340" w:hanging="340"/>
        <w:jc w:val="both"/>
        <w:rPr>
          <w:lang w:val="en-US"/>
        </w:rPr>
      </w:pPr>
      <w:r w:rsidRPr="006E5A00">
        <w:rPr>
          <w:lang w:val="en-US"/>
        </w:rPr>
        <w:t xml:space="preserve">ROSÉS </w:t>
      </w:r>
      <w:r w:rsidR="000978EC">
        <w:rPr>
          <w:lang w:val="en-US"/>
        </w:rPr>
        <w:t xml:space="preserve">J.R. and </w:t>
      </w:r>
      <w:r w:rsidR="007C3584" w:rsidRPr="006E5A00">
        <w:rPr>
          <w:lang w:val="en-US"/>
        </w:rPr>
        <w:t>SÁNCHEZ ALONSO</w:t>
      </w:r>
      <w:r w:rsidR="000978EC">
        <w:rPr>
          <w:lang w:val="en-US"/>
        </w:rPr>
        <w:t>, B.</w:t>
      </w:r>
      <w:r w:rsidR="007C3584" w:rsidRPr="006E5A00">
        <w:rPr>
          <w:lang w:val="en-US"/>
        </w:rPr>
        <w:t xml:space="preserve"> </w:t>
      </w:r>
      <w:r w:rsidR="000F5C32" w:rsidRPr="006E5A00">
        <w:rPr>
          <w:lang w:val="en-US"/>
        </w:rPr>
        <w:t xml:space="preserve">(2002): “Regional Wage Convergence in Spain, 1850-1930.” Working Paper </w:t>
      </w:r>
      <w:r w:rsidR="000F5C32" w:rsidRPr="006E5A00">
        <w:rPr>
          <w:lang w:val="en-US" w:eastAsia="en-US"/>
        </w:rPr>
        <w:t>02-53, Universidad Carlos III de Madrid. Later published in (2004)</w:t>
      </w:r>
      <w:r w:rsidR="000F5C32" w:rsidRPr="006E5A00">
        <w:rPr>
          <w:lang w:val="en-US"/>
        </w:rPr>
        <w:t xml:space="preserve"> </w:t>
      </w:r>
      <w:r w:rsidR="000F5C32" w:rsidRPr="006E5A00">
        <w:rPr>
          <w:i/>
          <w:lang w:val="en-US"/>
        </w:rPr>
        <w:t>Explorations in Economic History</w:t>
      </w:r>
      <w:r w:rsidR="000F5C32" w:rsidRPr="006E5A00">
        <w:rPr>
          <w:lang w:val="en-US"/>
        </w:rPr>
        <w:t xml:space="preserve"> 41, pp. 404-25</w:t>
      </w:r>
    </w:p>
    <w:p w14:paraId="3CE6678A" w14:textId="77777777" w:rsidR="000F5C32" w:rsidRPr="006E5A00" w:rsidRDefault="00CD4673" w:rsidP="000F5C32">
      <w:pPr>
        <w:autoSpaceDE w:val="0"/>
        <w:autoSpaceDN w:val="0"/>
        <w:adjustRightInd w:val="0"/>
        <w:ind w:left="340" w:hanging="340"/>
        <w:jc w:val="both"/>
        <w:rPr>
          <w:lang w:val="es-ES"/>
        </w:rPr>
      </w:pPr>
      <w:r w:rsidRPr="006E5A00">
        <w:rPr>
          <w:lang w:val="es-ES"/>
        </w:rPr>
        <w:t>SIMPSON</w:t>
      </w:r>
      <w:r w:rsidR="000F5C32" w:rsidRPr="006E5A00">
        <w:rPr>
          <w:lang w:val="es-ES"/>
        </w:rPr>
        <w:t xml:space="preserve">, J. (1989): “La producción agraria y el consumo español en el siglo XIX”, </w:t>
      </w:r>
      <w:r w:rsidR="000F5C32" w:rsidRPr="006E5A00">
        <w:rPr>
          <w:i/>
          <w:lang w:val="es-ES"/>
        </w:rPr>
        <w:t>Revista de Historia Económica - Journal of Iberian and Latin American Economic History</w:t>
      </w:r>
      <w:r w:rsidR="000F5C32" w:rsidRPr="006E5A00">
        <w:rPr>
          <w:lang w:val="es-ES"/>
        </w:rPr>
        <w:t>, 7 (2), pp. 355-88</w:t>
      </w:r>
    </w:p>
    <w:p w14:paraId="6E1EFB36" w14:textId="77777777" w:rsidR="000F5C32" w:rsidRPr="006E5A00" w:rsidRDefault="00CD4673" w:rsidP="000F5C32">
      <w:pPr>
        <w:ind w:left="340" w:hanging="340"/>
        <w:jc w:val="both"/>
        <w:rPr>
          <w:lang w:val="es-ES"/>
        </w:rPr>
      </w:pPr>
      <w:r w:rsidRPr="006E5A00">
        <w:rPr>
          <w:lang w:val="es-ES"/>
        </w:rPr>
        <w:t xml:space="preserve">SOLER </w:t>
      </w:r>
      <w:r w:rsidR="007C3584" w:rsidRPr="006E5A00">
        <w:rPr>
          <w:lang w:val="es-ES"/>
        </w:rPr>
        <w:t>I</w:t>
      </w:r>
      <w:r w:rsidR="000F5C32" w:rsidRPr="006E5A00">
        <w:rPr>
          <w:lang w:val="es-ES"/>
        </w:rPr>
        <w:t xml:space="preserve"> </w:t>
      </w:r>
      <w:r w:rsidR="007C3584" w:rsidRPr="006E5A00">
        <w:rPr>
          <w:lang w:val="es-ES"/>
        </w:rPr>
        <w:t>BECERRO</w:t>
      </w:r>
      <w:r w:rsidR="000F5C32" w:rsidRPr="006E5A00">
        <w:rPr>
          <w:lang w:val="es-ES"/>
        </w:rPr>
        <w:t xml:space="preserve">, R. (1997): “La evolución del salario en una empresa textil algodonera. La fábrica de La Rambla de Vilanova i La Geltrú,” </w:t>
      </w:r>
      <w:r w:rsidR="000F5C32" w:rsidRPr="006E5A00">
        <w:rPr>
          <w:i/>
          <w:lang w:val="es-ES"/>
        </w:rPr>
        <w:t>Revista de Historia Económica</w:t>
      </w:r>
      <w:r w:rsidR="000F5C32" w:rsidRPr="006E5A00">
        <w:rPr>
          <w:lang w:val="es-ES"/>
        </w:rPr>
        <w:t xml:space="preserve">. 15 (2), pp. 399-411 </w:t>
      </w:r>
    </w:p>
    <w:p w14:paraId="35983DE7" w14:textId="77777777" w:rsidR="000F5C32" w:rsidRPr="006E5A00" w:rsidRDefault="00CD4673" w:rsidP="000F5C32">
      <w:pPr>
        <w:ind w:left="340" w:hanging="340"/>
        <w:jc w:val="both"/>
        <w:rPr>
          <w:lang w:val="es-ES"/>
        </w:rPr>
      </w:pPr>
      <w:r w:rsidRPr="006E5A00">
        <w:rPr>
          <w:lang w:val="es-ES"/>
        </w:rPr>
        <w:t xml:space="preserve">SOTO </w:t>
      </w:r>
      <w:r w:rsidR="007C3584" w:rsidRPr="006E5A00">
        <w:rPr>
          <w:lang w:val="es-ES"/>
        </w:rPr>
        <w:t>CARMONA</w:t>
      </w:r>
      <w:r w:rsidR="000F5C32" w:rsidRPr="006E5A00">
        <w:rPr>
          <w:lang w:val="es-ES"/>
        </w:rPr>
        <w:t xml:space="preserve">, Á. (1989): </w:t>
      </w:r>
      <w:r w:rsidR="000F5C32" w:rsidRPr="006E5A00">
        <w:rPr>
          <w:i/>
          <w:lang w:val="es-ES"/>
        </w:rPr>
        <w:t xml:space="preserve">El trabajo industrial en </w:t>
      </w:r>
      <w:smartTag w:uri="urn:schemas-microsoft-com:office:smarttags" w:element="PersonName">
        <w:smartTagPr>
          <w:attr w:name="ProductID" w:val="la Espa￱a Contempor￡nea"/>
        </w:smartTagPr>
        <w:r w:rsidR="000F5C32" w:rsidRPr="006E5A00">
          <w:rPr>
            <w:i/>
            <w:lang w:val="es-ES"/>
          </w:rPr>
          <w:t>la España Contemporánea</w:t>
        </w:r>
      </w:smartTag>
      <w:r w:rsidR="000F5C32" w:rsidRPr="006E5A00">
        <w:rPr>
          <w:i/>
          <w:lang w:val="es-ES"/>
        </w:rPr>
        <w:t>, 1874-1936</w:t>
      </w:r>
      <w:r w:rsidR="000F5C32" w:rsidRPr="006E5A00">
        <w:rPr>
          <w:lang w:val="es-ES"/>
        </w:rPr>
        <w:t>, Anthropos, Barcelona</w:t>
      </w:r>
    </w:p>
    <w:p w14:paraId="2C8BA75A" w14:textId="77777777" w:rsidR="000F5C32" w:rsidRPr="006E5A00" w:rsidRDefault="00CD4673" w:rsidP="000F5C32">
      <w:pPr>
        <w:pStyle w:val="Default"/>
        <w:ind w:left="340" w:hanging="340"/>
        <w:jc w:val="both"/>
        <w:rPr>
          <w:rFonts w:ascii="Calibri" w:hAnsi="Calibri"/>
          <w:lang w:val="en-US"/>
        </w:rPr>
      </w:pPr>
      <w:r w:rsidRPr="006E5A00">
        <w:rPr>
          <w:rFonts w:ascii="Calibri" w:hAnsi="Calibri"/>
          <w:lang w:val="en-US"/>
        </w:rPr>
        <w:t xml:space="preserve">SOUTHALL </w:t>
      </w:r>
      <w:r w:rsidR="0065382C">
        <w:rPr>
          <w:rFonts w:ascii="Calibri" w:hAnsi="Calibri"/>
          <w:lang w:val="en-US"/>
        </w:rPr>
        <w:t xml:space="preserve">H. and </w:t>
      </w:r>
      <w:r w:rsidR="007C3584" w:rsidRPr="006E5A00">
        <w:rPr>
          <w:rFonts w:ascii="Calibri" w:hAnsi="Calibri"/>
          <w:lang w:val="en-US"/>
        </w:rPr>
        <w:t>GILBERT</w:t>
      </w:r>
      <w:r w:rsidR="0065382C">
        <w:rPr>
          <w:rFonts w:ascii="Calibri" w:hAnsi="Calibri"/>
          <w:lang w:val="en-US"/>
        </w:rPr>
        <w:t>, D.</w:t>
      </w:r>
      <w:r w:rsidR="007C3584" w:rsidRPr="006E5A00">
        <w:rPr>
          <w:rFonts w:ascii="Calibri" w:hAnsi="Calibri"/>
          <w:lang w:val="en-US"/>
        </w:rPr>
        <w:t xml:space="preserve"> </w:t>
      </w:r>
      <w:r w:rsidR="000F5C32" w:rsidRPr="006E5A00">
        <w:rPr>
          <w:rFonts w:ascii="Calibri" w:hAnsi="Calibri"/>
          <w:lang w:val="en-US"/>
        </w:rPr>
        <w:t xml:space="preserve">(1996): “A good time to wed? Marriage and economic distress in England and Wales, 1839-1914,” </w:t>
      </w:r>
      <w:r w:rsidR="000F5C32" w:rsidRPr="006E5A00">
        <w:rPr>
          <w:rFonts w:ascii="Calibri" w:hAnsi="Calibri"/>
          <w:i/>
          <w:lang w:val="en-US"/>
        </w:rPr>
        <w:t>Economic History Review</w:t>
      </w:r>
      <w:r w:rsidR="000F5C32" w:rsidRPr="006E5A00">
        <w:rPr>
          <w:rFonts w:ascii="Calibri" w:hAnsi="Calibri"/>
          <w:lang w:val="en-US"/>
        </w:rPr>
        <w:t>, 49 (1), pp. 35-57</w:t>
      </w:r>
    </w:p>
    <w:p w14:paraId="049FF8C6" w14:textId="77777777" w:rsidR="000F5C32" w:rsidRPr="006E5A00" w:rsidRDefault="00CD4673" w:rsidP="000F5C32">
      <w:pPr>
        <w:pStyle w:val="Default"/>
        <w:ind w:left="340" w:hanging="340"/>
        <w:jc w:val="both"/>
        <w:rPr>
          <w:rFonts w:cs="Times-Roman"/>
          <w:lang w:val="en-US"/>
        </w:rPr>
      </w:pPr>
      <w:r w:rsidRPr="006E5A00">
        <w:rPr>
          <w:rFonts w:ascii="Calibri" w:hAnsi="Calibri"/>
          <w:lang w:val="en-US"/>
        </w:rPr>
        <w:t xml:space="preserve">TRAXLER </w:t>
      </w:r>
      <w:r w:rsidR="0065382C">
        <w:rPr>
          <w:rFonts w:ascii="Calibri" w:hAnsi="Calibri"/>
          <w:lang w:val="en-US"/>
        </w:rPr>
        <w:t>C. and</w:t>
      </w:r>
      <w:r w:rsidR="000F5C32" w:rsidRPr="006E5A00">
        <w:rPr>
          <w:rFonts w:ascii="Calibri" w:hAnsi="Calibri"/>
          <w:lang w:val="en-US"/>
        </w:rPr>
        <w:t xml:space="preserve"> </w:t>
      </w:r>
      <w:r w:rsidR="007C3584" w:rsidRPr="006E5A00">
        <w:rPr>
          <w:rFonts w:ascii="Calibri" w:hAnsi="Calibri"/>
          <w:lang w:val="en-US"/>
        </w:rPr>
        <w:t>BURHOP</w:t>
      </w:r>
      <w:r w:rsidR="0065382C">
        <w:rPr>
          <w:rFonts w:ascii="Calibri" w:hAnsi="Calibri"/>
          <w:lang w:val="en-US"/>
        </w:rPr>
        <w:t>, C.</w:t>
      </w:r>
      <w:r w:rsidR="007C3584" w:rsidRPr="006E5A00">
        <w:rPr>
          <w:rFonts w:ascii="Calibri" w:hAnsi="Calibri"/>
          <w:lang w:val="en-US"/>
        </w:rPr>
        <w:t xml:space="preserve"> </w:t>
      </w:r>
      <w:r w:rsidR="000F5C32" w:rsidRPr="006E5A00">
        <w:rPr>
          <w:rFonts w:ascii="Calibri" w:hAnsi="Calibri"/>
          <w:lang w:val="en-US"/>
        </w:rPr>
        <w:t>(2010): “Poverty and crime in 19th century Germany: A reassessment.” Max Planck Institute for Research on Collective Goods, Working Paper 2010-35</w:t>
      </w:r>
    </w:p>
    <w:p w14:paraId="08176594" w14:textId="77777777" w:rsidR="00FD13F3" w:rsidRPr="006E5A00" w:rsidRDefault="00CD4673" w:rsidP="00FD13F3">
      <w:pPr>
        <w:autoSpaceDE w:val="0"/>
        <w:autoSpaceDN w:val="0"/>
        <w:adjustRightInd w:val="0"/>
        <w:spacing w:line="240" w:lineRule="auto"/>
        <w:ind w:left="454" w:hanging="454"/>
        <w:jc w:val="both"/>
        <w:rPr>
          <w:lang w:val="es-ES"/>
        </w:rPr>
      </w:pPr>
      <w:r w:rsidRPr="006E5A00">
        <w:rPr>
          <w:lang w:val="es-ES"/>
        </w:rPr>
        <w:t xml:space="preserve">VALVERDE </w:t>
      </w:r>
      <w:r w:rsidR="007C3584" w:rsidRPr="006E5A00">
        <w:rPr>
          <w:lang w:val="es-ES"/>
        </w:rPr>
        <w:t>LAMSFUS</w:t>
      </w:r>
      <w:r w:rsidR="00FD13F3" w:rsidRPr="006E5A00">
        <w:rPr>
          <w:lang w:val="es-ES"/>
        </w:rPr>
        <w:t xml:space="preserve">, L. (2011): </w:t>
      </w:r>
      <w:r w:rsidR="00723D4B" w:rsidRPr="006E5A00">
        <w:rPr>
          <w:lang w:val="es-ES"/>
        </w:rPr>
        <w:t>“</w:t>
      </w:r>
      <w:r w:rsidR="00FD13F3" w:rsidRPr="006E5A00">
        <w:rPr>
          <w:lang w:val="es-ES"/>
        </w:rPr>
        <w:t>Estrategias de supervivencia de las mujeres pobres en Guipúzcoa. Los casos de San Sebastián y Tolosa (1885-1915)</w:t>
      </w:r>
      <w:r w:rsidR="00723D4B" w:rsidRPr="006E5A00">
        <w:rPr>
          <w:lang w:val="es-ES"/>
        </w:rPr>
        <w:t xml:space="preserve">,” </w:t>
      </w:r>
      <w:r w:rsidR="00FD13F3" w:rsidRPr="006E5A00">
        <w:rPr>
          <w:i/>
          <w:lang w:val="es-ES"/>
        </w:rPr>
        <w:t>Historia Contemporánea</w:t>
      </w:r>
      <w:r w:rsidR="00FD13F3" w:rsidRPr="006E5A00">
        <w:rPr>
          <w:lang w:val="es-ES"/>
        </w:rPr>
        <w:t>, 44</w:t>
      </w:r>
      <w:r w:rsidR="000420DD" w:rsidRPr="006E5A00">
        <w:rPr>
          <w:lang w:val="es-ES"/>
        </w:rPr>
        <w:t>, pp.</w:t>
      </w:r>
      <w:r w:rsidR="00FD13F3" w:rsidRPr="006E5A00">
        <w:rPr>
          <w:lang w:val="es-ES"/>
        </w:rPr>
        <w:t xml:space="preserve"> 183-202</w:t>
      </w:r>
    </w:p>
    <w:p w14:paraId="04A0813D" w14:textId="77777777" w:rsidR="000F5C32" w:rsidRPr="006E5A00" w:rsidRDefault="00CD4673" w:rsidP="000F5C32">
      <w:pPr>
        <w:autoSpaceDE w:val="0"/>
        <w:autoSpaceDN w:val="0"/>
        <w:adjustRightInd w:val="0"/>
        <w:ind w:left="340" w:hanging="340"/>
        <w:rPr>
          <w:rFonts w:cs="dcr10"/>
          <w:lang w:val="es-ES" w:eastAsia="en-US"/>
        </w:rPr>
      </w:pPr>
      <w:r w:rsidRPr="006E5A00">
        <w:rPr>
          <w:rFonts w:cs="dcr10"/>
          <w:lang w:val="es-ES" w:eastAsia="en-US"/>
        </w:rPr>
        <w:t xml:space="preserve">VILLANUEVA </w:t>
      </w:r>
      <w:r w:rsidR="000978EC" w:rsidRPr="006E5A00">
        <w:rPr>
          <w:rFonts w:cs="dcr10"/>
          <w:lang w:val="es-ES" w:eastAsia="en-US"/>
        </w:rPr>
        <w:t>EDO</w:t>
      </w:r>
      <w:r w:rsidR="0065382C">
        <w:rPr>
          <w:rFonts w:cs="dcr10"/>
          <w:lang w:val="es-ES" w:eastAsia="en-US"/>
        </w:rPr>
        <w:t xml:space="preserve">, A. y </w:t>
      </w:r>
      <w:r w:rsidR="007C3584" w:rsidRPr="006E5A00">
        <w:rPr>
          <w:rFonts w:cs="dcr10"/>
          <w:lang w:val="es-ES" w:eastAsia="en-US"/>
        </w:rPr>
        <w:t>GONDRA REZOLA</w:t>
      </w:r>
      <w:r w:rsidR="0065382C">
        <w:rPr>
          <w:rFonts w:cs="dcr10"/>
          <w:lang w:val="es-ES" w:eastAsia="en-US"/>
        </w:rPr>
        <w:t>, J.</w:t>
      </w:r>
      <w:r w:rsidR="007C3584" w:rsidRPr="006E5A00">
        <w:rPr>
          <w:rFonts w:cs="dcr10"/>
          <w:lang w:val="es-ES" w:eastAsia="en-US"/>
        </w:rPr>
        <w:t xml:space="preserve"> </w:t>
      </w:r>
      <w:r w:rsidR="000F5C32" w:rsidRPr="006E5A00">
        <w:rPr>
          <w:rFonts w:cs="dcr10"/>
          <w:lang w:val="es-ES" w:eastAsia="en-US"/>
        </w:rPr>
        <w:t>(2006)</w:t>
      </w:r>
      <w:r w:rsidR="000420DD" w:rsidRPr="006E5A00">
        <w:rPr>
          <w:rFonts w:cs="dcr10"/>
          <w:lang w:val="es-ES" w:eastAsia="en-US"/>
        </w:rPr>
        <w:t>:</w:t>
      </w:r>
      <w:r w:rsidR="000F5C32" w:rsidRPr="006E5A00">
        <w:rPr>
          <w:rFonts w:cs="dcr10"/>
          <w:lang w:val="es-ES" w:eastAsia="en-US"/>
        </w:rPr>
        <w:t xml:space="preserve"> La mortalidad y morbilidad en Bilbao entre los siglos XIX y XX; URL: https://bilbaozerbitzuak.bilbao.eus/wp-content/uploads/2020/01/ mortalidad.pdf</w:t>
      </w:r>
    </w:p>
    <w:p w14:paraId="1C8AA38E" w14:textId="77777777" w:rsidR="000F5C32" w:rsidRPr="006E5A00" w:rsidRDefault="000F5C32" w:rsidP="000F5C32">
      <w:pPr>
        <w:rPr>
          <w:rFonts w:cs="Times-Roman"/>
          <w:lang w:val="en-US"/>
        </w:rPr>
      </w:pPr>
      <w:r w:rsidRPr="006E5A00">
        <w:rPr>
          <w:rFonts w:cs="Times-Roman"/>
          <w:lang w:val="en-US"/>
        </w:rPr>
        <w:t xml:space="preserve">WHO (1974): </w:t>
      </w:r>
      <w:r w:rsidRPr="006E5A00">
        <w:rPr>
          <w:rFonts w:cs="Times-Roman"/>
          <w:i/>
          <w:lang w:val="en-US"/>
        </w:rPr>
        <w:t>Handbook of Human Nutritional Requirements</w:t>
      </w:r>
      <w:r w:rsidRPr="006E5A00">
        <w:rPr>
          <w:rFonts w:cs="Times-Roman"/>
          <w:lang w:val="en-US"/>
        </w:rPr>
        <w:t xml:space="preserve">. Geneva </w:t>
      </w:r>
    </w:p>
    <w:p w14:paraId="0DB14060" w14:textId="77777777" w:rsidR="000F5C32" w:rsidRPr="006E5A00" w:rsidRDefault="000F5C32" w:rsidP="000F5C32">
      <w:pPr>
        <w:autoSpaceDE w:val="0"/>
        <w:autoSpaceDN w:val="0"/>
        <w:adjustRightInd w:val="0"/>
        <w:spacing w:line="240" w:lineRule="auto"/>
        <w:ind w:left="454" w:hanging="454"/>
        <w:jc w:val="both"/>
      </w:pPr>
      <w:r w:rsidRPr="006E5A00">
        <w:t xml:space="preserve">WHO </w:t>
      </w:r>
      <w:r w:rsidR="000420DD" w:rsidRPr="006E5A00">
        <w:t>(</w:t>
      </w:r>
      <w:r w:rsidRPr="006E5A00">
        <w:t>2014</w:t>
      </w:r>
      <w:r w:rsidR="000420DD" w:rsidRPr="006E5A00">
        <w:t>):</w:t>
      </w:r>
      <w:r w:rsidRPr="006E5A00">
        <w:t xml:space="preserve"> </w:t>
      </w:r>
      <w:r w:rsidRPr="006E5A00">
        <w:rPr>
          <w:i/>
        </w:rPr>
        <w:t>Global Status Report on Alcohol and Health</w:t>
      </w:r>
      <w:r w:rsidRPr="006E5A00">
        <w:t>. Geneva</w:t>
      </w:r>
    </w:p>
    <w:p w14:paraId="63FF68C8" w14:textId="77777777" w:rsidR="000F5C32" w:rsidRPr="006E5A00" w:rsidRDefault="000F5C32" w:rsidP="000F5C32">
      <w:pPr>
        <w:autoSpaceDE w:val="0"/>
        <w:autoSpaceDN w:val="0"/>
        <w:adjustRightInd w:val="0"/>
        <w:spacing w:line="240" w:lineRule="auto"/>
        <w:ind w:left="454" w:hanging="454"/>
        <w:jc w:val="both"/>
      </w:pPr>
      <w:r w:rsidRPr="006E5A00">
        <w:t xml:space="preserve">WHO </w:t>
      </w:r>
      <w:r w:rsidR="000420DD" w:rsidRPr="006E5A00">
        <w:t>(</w:t>
      </w:r>
      <w:r w:rsidRPr="006E5A00">
        <w:t>2014</w:t>
      </w:r>
      <w:r w:rsidR="000420DD" w:rsidRPr="006E5A00">
        <w:t>a):</w:t>
      </w:r>
      <w:r w:rsidRPr="006E5A00">
        <w:t xml:space="preserve"> </w:t>
      </w:r>
      <w:r w:rsidRPr="006E5A00">
        <w:rPr>
          <w:i/>
        </w:rPr>
        <w:t>Global Tuberculosis Report</w:t>
      </w:r>
      <w:r w:rsidRPr="006E5A00">
        <w:t>. Geneva</w:t>
      </w:r>
    </w:p>
    <w:p w14:paraId="5863AC8D" w14:textId="77777777" w:rsidR="000F5C32" w:rsidRPr="006E5A00" w:rsidRDefault="000F5C32" w:rsidP="000F5C32">
      <w:pPr>
        <w:autoSpaceDE w:val="0"/>
        <w:autoSpaceDN w:val="0"/>
        <w:adjustRightInd w:val="0"/>
        <w:spacing w:line="240" w:lineRule="auto"/>
        <w:ind w:left="454" w:hanging="454"/>
        <w:jc w:val="both"/>
      </w:pPr>
      <w:r w:rsidRPr="006E5A00">
        <w:t xml:space="preserve">WHO </w:t>
      </w:r>
      <w:r w:rsidR="000420DD" w:rsidRPr="006E5A00">
        <w:t>(</w:t>
      </w:r>
      <w:r w:rsidRPr="006E5A00">
        <w:t>2014</w:t>
      </w:r>
      <w:r w:rsidR="000420DD" w:rsidRPr="006E5A00">
        <w:t>b):</w:t>
      </w:r>
      <w:r w:rsidRPr="006E5A00">
        <w:t xml:space="preserve"> </w:t>
      </w:r>
      <w:r w:rsidRPr="006E5A00">
        <w:rPr>
          <w:i/>
        </w:rPr>
        <w:t>Tuberculosis Factsheet 104</w:t>
      </w:r>
      <w:r w:rsidRPr="006E5A00">
        <w:t>. Consulted August 30</w:t>
      </w:r>
      <w:r w:rsidRPr="006E5A00">
        <w:rPr>
          <w:vertAlign w:val="superscript"/>
        </w:rPr>
        <w:t>th</w:t>
      </w:r>
      <w:r w:rsidRPr="006E5A00">
        <w:t xml:space="preserve"> 2014 URL: </w:t>
      </w:r>
      <w:hyperlink r:id="rId26" w:history="1">
        <w:r w:rsidRPr="006E5A00">
          <w:rPr>
            <w:rStyle w:val="Hyperlink"/>
          </w:rPr>
          <w:t>http://www.who.int/</w:t>
        </w:r>
      </w:hyperlink>
      <w:r w:rsidRPr="006E5A00">
        <w:t xml:space="preserve"> mediacentre/factsheets/fs104/en/ </w:t>
      </w:r>
    </w:p>
    <w:p w14:paraId="02DF8CA5" w14:textId="77777777" w:rsidR="00420463" w:rsidRPr="006E5A00" w:rsidRDefault="00CD4673" w:rsidP="00420463">
      <w:pPr>
        <w:autoSpaceDE w:val="0"/>
        <w:autoSpaceDN w:val="0"/>
        <w:adjustRightInd w:val="0"/>
        <w:spacing w:line="240" w:lineRule="auto"/>
        <w:ind w:left="454" w:hanging="454"/>
        <w:jc w:val="both"/>
        <w:rPr>
          <w:lang w:val="es-ES"/>
        </w:rPr>
      </w:pPr>
      <w:r w:rsidRPr="006E5A00">
        <w:rPr>
          <w:lang w:val="es-ES"/>
        </w:rPr>
        <w:t xml:space="preserve">ZARRAGA </w:t>
      </w:r>
      <w:r w:rsidR="007C3584" w:rsidRPr="006E5A00">
        <w:rPr>
          <w:lang w:val="es-ES"/>
        </w:rPr>
        <w:t>SANGRONIZ</w:t>
      </w:r>
      <w:r w:rsidR="00420463" w:rsidRPr="006E5A00">
        <w:rPr>
          <w:lang w:val="es-ES"/>
        </w:rPr>
        <w:t>, K</w:t>
      </w:r>
      <w:r w:rsidR="000420DD" w:rsidRPr="006E5A00">
        <w:rPr>
          <w:lang w:val="es-ES"/>
        </w:rPr>
        <w:t>.</w:t>
      </w:r>
      <w:r w:rsidR="0065382C">
        <w:rPr>
          <w:lang w:val="es-ES"/>
        </w:rPr>
        <w:t xml:space="preserve">  and</w:t>
      </w:r>
      <w:r w:rsidR="00420463" w:rsidRPr="006E5A00">
        <w:rPr>
          <w:lang w:val="es-ES"/>
        </w:rPr>
        <w:t xml:space="preserve"> </w:t>
      </w:r>
      <w:r w:rsidR="007C3584" w:rsidRPr="006E5A00">
        <w:rPr>
          <w:lang w:val="es-ES"/>
        </w:rPr>
        <w:t>GONZÁLEZ PORTILLA</w:t>
      </w:r>
      <w:r w:rsidR="0065382C">
        <w:rPr>
          <w:lang w:val="es-ES"/>
        </w:rPr>
        <w:t>, M.</w:t>
      </w:r>
      <w:r w:rsidR="007C3584" w:rsidRPr="006E5A00">
        <w:rPr>
          <w:lang w:val="es-ES"/>
        </w:rPr>
        <w:t xml:space="preserve"> </w:t>
      </w:r>
      <w:r w:rsidR="00420463" w:rsidRPr="006E5A00">
        <w:rPr>
          <w:lang w:val="es-ES"/>
        </w:rPr>
        <w:t xml:space="preserve">(1996): </w:t>
      </w:r>
      <w:r w:rsidR="000420DD" w:rsidRPr="006E5A00">
        <w:rPr>
          <w:lang w:val="es-ES"/>
        </w:rPr>
        <w:t>“</w:t>
      </w:r>
      <w:r w:rsidR="00420463" w:rsidRPr="006E5A00">
        <w:rPr>
          <w:lang w:val="es-ES"/>
        </w:rPr>
        <w:t>Las migraciones hacia una zona de intensa industrialización</w:t>
      </w:r>
      <w:r w:rsidR="00723D4B" w:rsidRPr="006E5A00">
        <w:rPr>
          <w:lang w:val="es-ES"/>
        </w:rPr>
        <w:t>,</w:t>
      </w:r>
      <w:r w:rsidR="000420DD" w:rsidRPr="006E5A00">
        <w:rPr>
          <w:lang w:val="es-ES"/>
        </w:rPr>
        <w:t>”</w:t>
      </w:r>
      <w:r w:rsidR="00420463" w:rsidRPr="006E5A00">
        <w:rPr>
          <w:lang w:val="es-ES"/>
        </w:rPr>
        <w:t xml:space="preserve"> En </w:t>
      </w:r>
      <w:r w:rsidR="00420463" w:rsidRPr="006E5A00">
        <w:rPr>
          <w:i/>
          <w:lang w:val="es-ES"/>
        </w:rPr>
        <w:t>La inmigración en familia a la ría de Bilbao en los inicios de la Primera Industrialización vasca. Los movimientos migratorios en la construcción de las sociedades modernas</w:t>
      </w:r>
      <w:r w:rsidR="00B71949" w:rsidRPr="006E5A00">
        <w:rPr>
          <w:i/>
          <w:lang w:val="es-ES"/>
        </w:rPr>
        <w:t>,</w:t>
      </w:r>
      <w:r w:rsidR="00420463" w:rsidRPr="006E5A00">
        <w:rPr>
          <w:lang w:val="es-ES"/>
        </w:rPr>
        <w:t xml:space="preserve"> p</w:t>
      </w:r>
      <w:r w:rsidR="000420DD" w:rsidRPr="006E5A00">
        <w:rPr>
          <w:lang w:val="es-ES"/>
        </w:rPr>
        <w:t>p</w:t>
      </w:r>
      <w:r w:rsidR="00420463" w:rsidRPr="006E5A00">
        <w:rPr>
          <w:lang w:val="es-ES"/>
        </w:rPr>
        <w:t>. 189-240</w:t>
      </w:r>
    </w:p>
    <w:p w14:paraId="55234D3D" w14:textId="77777777" w:rsidR="00420463" w:rsidRPr="006E5A00" w:rsidRDefault="00CD4673" w:rsidP="00420463">
      <w:pPr>
        <w:autoSpaceDE w:val="0"/>
        <w:autoSpaceDN w:val="0"/>
        <w:adjustRightInd w:val="0"/>
        <w:spacing w:line="240" w:lineRule="auto"/>
        <w:ind w:left="454" w:hanging="454"/>
        <w:jc w:val="both"/>
      </w:pPr>
      <w:r w:rsidRPr="006E5A00">
        <w:rPr>
          <w:lang w:val="en-US"/>
        </w:rPr>
        <w:t>ZEGARRA</w:t>
      </w:r>
      <w:r w:rsidR="00420463" w:rsidRPr="006E5A00">
        <w:rPr>
          <w:lang w:val="en-US"/>
        </w:rPr>
        <w:t>, L</w:t>
      </w:r>
      <w:r w:rsidR="006E5A00">
        <w:rPr>
          <w:lang w:val="en-US"/>
        </w:rPr>
        <w:t>.</w:t>
      </w:r>
      <w:r w:rsidR="00420463" w:rsidRPr="006E5A00">
        <w:rPr>
          <w:lang w:val="en-US"/>
        </w:rPr>
        <w:t xml:space="preserve"> F</w:t>
      </w:r>
      <w:r w:rsidR="006E5A00">
        <w:rPr>
          <w:lang w:val="en-US"/>
        </w:rPr>
        <w:t>.</w:t>
      </w:r>
      <w:r w:rsidR="00420463" w:rsidRPr="006E5A00">
        <w:t xml:space="preserve"> (2021): </w:t>
      </w:r>
      <w:r w:rsidR="00723D4B" w:rsidRPr="006E5A00">
        <w:t>“</w:t>
      </w:r>
      <w:r w:rsidR="00420463" w:rsidRPr="006E5A00">
        <w:t>Economic growth, nutrition and living standards in 19th century Lima: new estimates of welfare ratios using a linear programming model</w:t>
      </w:r>
      <w:r w:rsidR="00723D4B" w:rsidRPr="006E5A00">
        <w:t>,”</w:t>
      </w:r>
      <w:r w:rsidR="00420463" w:rsidRPr="006E5A00">
        <w:t xml:space="preserve"> </w:t>
      </w:r>
      <w:r w:rsidR="00420463" w:rsidRPr="006E5A00">
        <w:rPr>
          <w:i/>
        </w:rPr>
        <w:t>América Latina en la Historia Económica</w:t>
      </w:r>
      <w:r w:rsidR="00420463" w:rsidRPr="006E5A00">
        <w:t>, 28(3), 2021, 1-32</w:t>
      </w:r>
    </w:p>
    <w:p w14:paraId="4656F8F3" w14:textId="77777777" w:rsidR="00420463" w:rsidRPr="006E5A00" w:rsidRDefault="00CD4673" w:rsidP="00420463">
      <w:pPr>
        <w:autoSpaceDE w:val="0"/>
        <w:autoSpaceDN w:val="0"/>
        <w:adjustRightInd w:val="0"/>
        <w:spacing w:line="240" w:lineRule="auto"/>
        <w:ind w:left="454" w:hanging="454"/>
        <w:jc w:val="both"/>
      </w:pPr>
      <w:r w:rsidRPr="006E5A00">
        <w:t>ZEGARRA</w:t>
      </w:r>
      <w:r w:rsidR="00420463" w:rsidRPr="006E5A00">
        <w:t>, L</w:t>
      </w:r>
      <w:r w:rsidR="006E5A00">
        <w:t>.</w:t>
      </w:r>
      <w:r w:rsidR="00420463" w:rsidRPr="006E5A00">
        <w:t xml:space="preserve"> F</w:t>
      </w:r>
      <w:r w:rsidR="006E5A00">
        <w:t>.</w:t>
      </w:r>
      <w:r w:rsidR="00420463" w:rsidRPr="006E5A00">
        <w:t xml:space="preserve"> (2021): </w:t>
      </w:r>
      <w:r w:rsidR="00723D4B" w:rsidRPr="006E5A00">
        <w:t>“</w:t>
      </w:r>
      <w:r w:rsidR="00420463" w:rsidRPr="006E5A00">
        <w:t>Living costs and welfare ratios in Western Europe: new estimates using a linear programming model</w:t>
      </w:r>
      <w:r w:rsidR="00723D4B" w:rsidRPr="006E5A00">
        <w:t xml:space="preserve">,” </w:t>
      </w:r>
      <w:r w:rsidR="00420463" w:rsidRPr="006E5A00">
        <w:rPr>
          <w:i/>
        </w:rPr>
        <w:t>European Review of Economic History</w:t>
      </w:r>
      <w:r w:rsidR="00420463" w:rsidRPr="006E5A00">
        <w:t xml:space="preserve">, heab007, </w:t>
      </w:r>
      <w:hyperlink r:id="rId27">
        <w:r w:rsidR="00420463" w:rsidRPr="006E5A00">
          <w:t>https://doi.org/10.1093/ereh/heab007</w:t>
        </w:r>
      </w:hyperlink>
    </w:p>
    <w:p w14:paraId="11996051" w14:textId="77777777" w:rsidR="000F5C32" w:rsidRPr="003174E2" w:rsidRDefault="000F5C32" w:rsidP="00B25A97">
      <w:pPr>
        <w:rPr>
          <w:lang w:val="en-US"/>
        </w:rPr>
      </w:pPr>
    </w:p>
    <w:sectPr w:rsidR="000F5C32" w:rsidRPr="003174E2" w:rsidSect="005D1DB6">
      <w:headerReference w:type="default" r:id="rId28"/>
      <w:pgSz w:w="11906" w:h="16838" w:code="9"/>
      <w:pgMar w:top="1418" w:right="1077" w:bottom="1418" w:left="1077"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BB35" w14:textId="77777777" w:rsidR="004372AA" w:rsidRDefault="004372AA" w:rsidP="00973E10">
      <w:pPr>
        <w:spacing w:line="240" w:lineRule="auto"/>
      </w:pPr>
      <w:r>
        <w:separator/>
      </w:r>
    </w:p>
  </w:endnote>
  <w:endnote w:type="continuationSeparator" w:id="0">
    <w:p w14:paraId="6AAD5692" w14:textId="77777777" w:rsidR="004372AA" w:rsidRDefault="004372AA" w:rsidP="00973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swiss"/>
    <w:notTrueType/>
    <w:pitch w:val="default"/>
    <w:sig w:usb0="00000003" w:usb1="00000000" w:usb2="00000000" w:usb3="00000000" w:csb0="00000001" w:csb1="00000000"/>
  </w:font>
  <w:font w:name="TT382O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PlantinExp">
    <w:panose1 w:val="00000000000000000000"/>
    <w:charset w:val="00"/>
    <w:family w:val="auto"/>
    <w:notTrueType/>
    <w:pitch w:val="default"/>
    <w:sig w:usb0="00000003" w:usb1="00000000" w:usb2="00000000" w:usb3="00000000" w:csb0="00000001" w:csb1="00000000"/>
  </w:font>
  <w:font w:name="Plantin-Italic">
    <w:panose1 w:val="00000000000000000000"/>
    <w:charset w:val="00"/>
    <w:family w:val="swiss"/>
    <w:notTrueType/>
    <w:pitch w:val="default"/>
    <w:sig w:usb0="00000003" w:usb1="00000000" w:usb2="00000000" w:usb3="00000000" w:csb0="00000001" w:csb1="00000000"/>
  </w:font>
  <w:font w:name="PlantinExp-Bold">
    <w:panose1 w:val="00000000000000000000"/>
    <w:charset w:val="00"/>
    <w:family w:val="auto"/>
    <w:notTrueType/>
    <w:pitch w:val="default"/>
    <w:sig w:usb0="00000003" w:usb1="00000000" w:usb2="00000000" w:usb3="00000000" w:csb0="00000001" w:csb1="00000000"/>
  </w:font>
  <w:font w:name="TT159AO00">
    <w:panose1 w:val="00000000000000000000"/>
    <w:charset w:val="00"/>
    <w:family w:val="auto"/>
    <w:notTrueType/>
    <w:pitch w:val="default"/>
    <w:sig w:usb0="00000003" w:usb1="00000000" w:usb2="00000000" w:usb3="00000000" w:csb0="00000001" w:csb1="00000000"/>
  </w:font>
  <w:font w:name="TT15A1O00">
    <w:panose1 w:val="00000000000000000000"/>
    <w:charset w:val="00"/>
    <w:family w:val="auto"/>
    <w:notTrueType/>
    <w:pitch w:val="default"/>
    <w:sig w:usb0="00000003" w:usb1="00000000" w:usb2="00000000" w:usb3="00000000" w:csb0="00000001" w:csb1="00000000"/>
  </w:font>
  <w:font w:name="dcr1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645A" w14:textId="77777777" w:rsidR="004372AA" w:rsidRDefault="004372AA" w:rsidP="00973E10">
      <w:pPr>
        <w:spacing w:line="240" w:lineRule="auto"/>
      </w:pPr>
      <w:r>
        <w:separator/>
      </w:r>
    </w:p>
  </w:footnote>
  <w:footnote w:type="continuationSeparator" w:id="0">
    <w:p w14:paraId="41AAC68C" w14:textId="77777777" w:rsidR="004372AA" w:rsidRDefault="004372AA" w:rsidP="00973E10">
      <w:pPr>
        <w:spacing w:line="240" w:lineRule="auto"/>
      </w:pPr>
      <w:r>
        <w:continuationSeparator/>
      </w:r>
    </w:p>
  </w:footnote>
  <w:footnote w:id="1">
    <w:p w14:paraId="6A0A3EE9" w14:textId="77777777" w:rsidR="0065382C" w:rsidRPr="00C64B19" w:rsidRDefault="0065382C" w:rsidP="0020274C">
      <w:pPr>
        <w:pStyle w:val="FootnoteText"/>
        <w:ind w:left="227" w:hangingChars="142" w:hanging="227"/>
      </w:pPr>
      <w:r>
        <w:rPr>
          <w:rStyle w:val="FootnoteReference"/>
        </w:rPr>
        <w:footnoteRef/>
      </w:r>
      <w:r>
        <w:t xml:space="preserve"> The time series techniques we will be applying can only be employed when variables of interest follow normal distributions, which means that the chance of observing a value very far from the mean value is close to zero. Sometimes data series show unbounded fluctuation around the mean or with some systematic trend. This unbounded nature of variability in the data is commonly known as non-stationarity. Making the results of our statistical exercise reliable requires making our series stationary. We perform certain transformations on data so that excessive volatile nature of data is contained and is made more suitable for uni- and multivariate analysis. </w:t>
      </w:r>
      <w:r w:rsidRPr="00443BF9">
        <w:t xml:space="preserve">Nelson and Plosser (1982) </w:t>
      </w:r>
      <w:r>
        <w:t xml:space="preserve">suggest that most time series </w:t>
      </w:r>
      <w:r w:rsidRPr="00443BF9">
        <w:t>have a stochastic trend</w:t>
      </w:r>
      <w:r>
        <w:t xml:space="preserve">, </w:t>
      </w:r>
      <w:r w:rsidRPr="00443BF9">
        <w:rPr>
          <w:b/>
          <w:bCs/>
          <w:i/>
          <w:iCs/>
        </w:rPr>
        <w:t>y</w:t>
      </w:r>
      <w:r w:rsidRPr="00443BF9">
        <w:rPr>
          <w:b/>
          <w:bCs/>
          <w:i/>
          <w:iCs/>
          <w:vertAlign w:val="subscript"/>
        </w:rPr>
        <w:t>t</w:t>
      </w:r>
      <w:r w:rsidRPr="00443BF9">
        <w:rPr>
          <w:b/>
          <w:bCs/>
        </w:rPr>
        <w:t xml:space="preserve"> = </w:t>
      </w:r>
      <w:r w:rsidRPr="00443BF9">
        <w:rPr>
          <w:b/>
          <w:bCs/>
          <w:i/>
          <w:iCs/>
        </w:rPr>
        <w:t>y</w:t>
      </w:r>
      <w:r w:rsidRPr="00443BF9">
        <w:rPr>
          <w:b/>
          <w:bCs/>
          <w:i/>
          <w:iCs/>
          <w:vertAlign w:val="subscript"/>
        </w:rPr>
        <w:t xml:space="preserve">t-1 </w:t>
      </w:r>
      <w:r w:rsidRPr="00443BF9">
        <w:rPr>
          <w:b/>
          <w:bCs/>
          <w:i/>
          <w:iCs/>
        </w:rPr>
        <w:t>+</w:t>
      </w:r>
      <w:r w:rsidRPr="00443BF9">
        <w:rPr>
          <w:b/>
          <w:bCs/>
        </w:rPr>
        <w:t xml:space="preserve"> </w:t>
      </w:r>
      <w:r w:rsidRPr="00443BF9">
        <w:rPr>
          <w:b/>
          <w:bCs/>
          <w:i/>
          <w:iCs/>
        </w:rPr>
        <w:t>u</w:t>
      </w:r>
      <w:r w:rsidRPr="00443BF9">
        <w:rPr>
          <w:b/>
          <w:bCs/>
          <w:i/>
          <w:iCs/>
          <w:vertAlign w:val="subscript"/>
        </w:rPr>
        <w:t>t</w:t>
      </w:r>
      <w:r>
        <w:t xml:space="preserve">. Others have a time trend. </w:t>
      </w:r>
      <w:r w:rsidRPr="00443BF9">
        <w:t xml:space="preserve">Hence if we first difference </w:t>
      </w:r>
      <w:r>
        <w:t xml:space="preserve">or detrend, </w:t>
      </w:r>
      <w:r w:rsidRPr="00443BF9">
        <w:t xml:space="preserve">this produces a stationary </w:t>
      </w:r>
      <w:r>
        <w:t>v</w:t>
      </w:r>
      <w:r w:rsidRPr="00443BF9">
        <w:t>ariable.</w:t>
      </w:r>
    </w:p>
  </w:footnote>
  <w:footnote w:id="2">
    <w:p w14:paraId="261C726C" w14:textId="77777777" w:rsidR="0065382C" w:rsidRPr="001C1A82" w:rsidRDefault="0065382C" w:rsidP="0020274C">
      <w:pPr>
        <w:pStyle w:val="FootnoteText"/>
        <w:ind w:left="227" w:hangingChars="142" w:hanging="227"/>
      </w:pPr>
      <w:r>
        <w:rPr>
          <w:rStyle w:val="FootnoteReference"/>
        </w:rPr>
        <w:footnoteRef/>
      </w:r>
      <w:r>
        <w:t xml:space="preserve"> We could not apply the 121 month centered moving average proposed by Lee (1981: 358 and 739). This would have reduced our sample range almost by half.</w:t>
      </w:r>
    </w:p>
  </w:footnote>
  <w:footnote w:id="3">
    <w:p w14:paraId="2C5E63CA" w14:textId="77777777" w:rsidR="0065382C" w:rsidRPr="00F32A6D" w:rsidRDefault="0065382C" w:rsidP="0020274C">
      <w:pPr>
        <w:pStyle w:val="FootnoteText"/>
        <w:ind w:left="227" w:hangingChars="142" w:hanging="227"/>
      </w:pPr>
      <w:r>
        <w:rPr>
          <w:rStyle w:val="FootnoteReference"/>
        </w:rPr>
        <w:footnoteRef/>
      </w:r>
      <w:r>
        <w:t xml:space="preserve"> We use the same ordering based on their assumptions of recursiveness for the impulse response functions. Nicolini (2007: 107) and Fernihough (2010:18). We have excluded 4 high mortality outliers caused by Spanish influenza August-November 1918 and 8 unusually low nominal income outliers due to strikes or lockouts </w:t>
      </w:r>
      <w:r w:rsidRPr="005276E1">
        <w:t>in December 1916 (</w:t>
      </w:r>
      <w:r>
        <w:t>strike</w:t>
      </w:r>
      <w:r w:rsidRPr="005276E1">
        <w:t>), January 1917, March-May 1917, August 1917</w:t>
      </w:r>
      <w:r>
        <w:t xml:space="preserve"> (strike)</w:t>
      </w:r>
      <w:r w:rsidRPr="005276E1">
        <w:t>, and June-July 1922 (</w:t>
      </w:r>
      <w:r>
        <w:t>end of labour agreement, attempt to cut wages by 20 %</w:t>
      </w:r>
      <w:r w:rsidRPr="005276E1">
        <w:t>).</w:t>
      </w:r>
      <w:r w:rsidRPr="008C3F01">
        <w:t xml:space="preserve"> </w:t>
      </w:r>
      <w:r>
        <w:t>We have used Schwarz [SC] and Hannan-Quinn information criteria [HQ] to determine the lag length. SC indicates one lag and HQ indicates three. We have fitted a two-lag VAR model. The one-lag and three-lag specifications give very similar results. The inverse roots of the autoregressive characteristic polynomial are less than one in absolute value, which indicates that the model is stable. Residuals show some seasonal correlation with BR, normality for DR and W —the variables we are interested in relating.</w:t>
      </w:r>
    </w:p>
  </w:footnote>
  <w:footnote w:id="4">
    <w:p w14:paraId="3C270BF5" w14:textId="77777777" w:rsidR="0065382C" w:rsidRPr="001A0855" w:rsidRDefault="0065382C" w:rsidP="00973E10">
      <w:pPr>
        <w:pStyle w:val="FootnoteText"/>
        <w:ind w:left="227" w:hangingChars="142" w:hanging="227"/>
      </w:pPr>
      <w:r>
        <w:rPr>
          <w:rStyle w:val="FootnoteReference"/>
        </w:rPr>
        <w:footnoteRef/>
      </w:r>
      <w:r>
        <w:t xml:space="preserve"> </w:t>
      </w:r>
      <w:r w:rsidRPr="001A0855">
        <w:t xml:space="preserve">A bit over 2 % of the immigrants to </w:t>
      </w:r>
      <w:r>
        <w:t xml:space="preserve">the Bilbao Estuary between 1920 and 1935 came from the Navarre province. Gonzalez Portilla (2001, V1: 244).  </w:t>
      </w:r>
    </w:p>
  </w:footnote>
  <w:footnote w:id="5">
    <w:p w14:paraId="41028C19" w14:textId="77777777" w:rsidR="0065382C" w:rsidRPr="00693142" w:rsidRDefault="0065382C" w:rsidP="000E1D11">
      <w:pPr>
        <w:pStyle w:val="FootnoteText"/>
        <w:ind w:left="227" w:hangingChars="142" w:hanging="227"/>
      </w:pPr>
      <w:r>
        <w:rPr>
          <w:rStyle w:val="FootnoteReference"/>
        </w:rPr>
        <w:footnoteRef/>
      </w:r>
      <w:r w:rsidRPr="00342F82">
        <w:t xml:space="preserve"> González Portilla (2001: 154). </w:t>
      </w:r>
      <w:r>
        <w:t>Biscay witnessed the highest rate of population growth in Spain between 1860 and 1930, 42 % of that growth can attributed to Bilbao and 39 % to the surrounding municipalities in the Bilbao Estuary. Greater Bilbao grew at rate of 37.8 per thousand p.a. between 1877 and 1900 and 21.1 per thousand p.a. between 1910 and 1930; the industrial suburbs (</w:t>
      </w:r>
      <w:r w:rsidRPr="00342F82">
        <w:rPr>
          <w:i/>
        </w:rPr>
        <w:t>M</w:t>
      </w:r>
      <w:r>
        <w:rPr>
          <w:i/>
        </w:rPr>
        <w:t>a</w:t>
      </w:r>
      <w:r w:rsidRPr="00342F82">
        <w:rPr>
          <w:i/>
        </w:rPr>
        <w:t>rgen Izquierda</w:t>
      </w:r>
      <w:r>
        <w:t xml:space="preserve">) grew at 54.6 and 26.5 per thousand respectively. </w:t>
      </w:r>
    </w:p>
  </w:footnote>
  <w:footnote w:id="6">
    <w:p w14:paraId="19C5699C" w14:textId="77777777" w:rsidR="0065382C" w:rsidRPr="005B7D60" w:rsidRDefault="0065382C" w:rsidP="00A57AD9">
      <w:pPr>
        <w:ind w:left="227" w:hangingChars="142" w:hanging="227"/>
        <w:rPr>
          <w:sz w:val="20"/>
        </w:rPr>
      </w:pPr>
      <w:r>
        <w:rPr>
          <w:rStyle w:val="FootnoteReference"/>
        </w:rPr>
        <w:footnoteRef/>
      </w:r>
      <w:r>
        <w:t xml:space="preserve"> </w:t>
      </w:r>
      <w:r w:rsidRPr="006B6202">
        <w:rPr>
          <w:sz w:val="20"/>
          <w:lang w:val="en-US"/>
        </w:rPr>
        <w:t xml:space="preserve">For </w:t>
      </w:r>
      <w:r w:rsidRPr="005B7D60">
        <w:rPr>
          <w:sz w:val="20"/>
          <w:lang w:val="en-US"/>
        </w:rPr>
        <w:t>a detailed discussion of the source</w:t>
      </w:r>
      <w:r w:rsidRPr="006B6202">
        <w:rPr>
          <w:sz w:val="20"/>
          <w:lang w:val="en-US"/>
        </w:rPr>
        <w:t xml:space="preserve"> </w:t>
      </w:r>
      <w:r>
        <w:rPr>
          <w:sz w:val="20"/>
          <w:lang w:val="en-US"/>
        </w:rPr>
        <w:t xml:space="preserve">we use, </w:t>
      </w:r>
      <w:r w:rsidRPr="006B6202">
        <w:rPr>
          <w:sz w:val="20"/>
          <w:lang w:val="en-US"/>
        </w:rPr>
        <w:t>see Fernández de Pinedo (1992</w:t>
      </w:r>
      <w:r>
        <w:rPr>
          <w:sz w:val="20"/>
          <w:lang w:val="en-US"/>
        </w:rPr>
        <w:t>: 125-26)</w:t>
      </w:r>
      <w:r w:rsidRPr="006B6202">
        <w:rPr>
          <w:sz w:val="20"/>
          <w:lang w:val="en-US"/>
        </w:rPr>
        <w:t>.</w:t>
      </w:r>
      <w:r>
        <w:rPr>
          <w:sz w:val="20"/>
          <w:lang w:val="en-US"/>
        </w:rPr>
        <w:t xml:space="preserve"> </w:t>
      </w:r>
      <w:r w:rsidRPr="005B7D60">
        <w:rPr>
          <w:sz w:val="20"/>
        </w:rPr>
        <w:t>Today they can be found at Archivo Foral de Vizcaya</w:t>
      </w:r>
      <w:r>
        <w:rPr>
          <w:sz w:val="20"/>
        </w:rPr>
        <w:t>,</w:t>
      </w:r>
      <w:r w:rsidRPr="005B7D60">
        <w:rPr>
          <w:sz w:val="20"/>
        </w:rPr>
        <w:t xml:space="preserve"> signaturas </w:t>
      </w:r>
      <w:r>
        <w:rPr>
          <w:sz w:val="20"/>
        </w:rPr>
        <w:t xml:space="preserve">AHV </w:t>
      </w:r>
      <w:r w:rsidRPr="005B7D60">
        <w:rPr>
          <w:sz w:val="20"/>
        </w:rPr>
        <w:t xml:space="preserve">0295 [1914] to </w:t>
      </w:r>
      <w:r>
        <w:rPr>
          <w:sz w:val="20"/>
        </w:rPr>
        <w:t>AHV 0</w:t>
      </w:r>
      <w:r w:rsidRPr="005B7D60">
        <w:rPr>
          <w:sz w:val="20"/>
        </w:rPr>
        <w:t>310 [1927]</w:t>
      </w:r>
      <w:r>
        <w:rPr>
          <w:sz w:val="20"/>
        </w:rPr>
        <w:t>.</w:t>
      </w:r>
      <w:r w:rsidRPr="006B6202">
        <w:rPr>
          <w:sz w:val="20"/>
          <w:lang w:val="en-US"/>
        </w:rPr>
        <w:t xml:space="preserve"> </w:t>
      </w:r>
      <w:r w:rsidRPr="005B7D60">
        <w:rPr>
          <w:sz w:val="20"/>
          <w:lang w:val="en-US"/>
        </w:rPr>
        <w:t>Annual averages for 192</w:t>
      </w:r>
      <w:r>
        <w:rPr>
          <w:sz w:val="20"/>
          <w:lang w:val="en-US"/>
        </w:rPr>
        <w:t>8</w:t>
      </w:r>
      <w:r w:rsidRPr="005B7D60">
        <w:rPr>
          <w:sz w:val="20"/>
          <w:lang w:val="en-US"/>
        </w:rPr>
        <w:t xml:space="preserve"> to 1935 have been taken from Gonzalez Portilla (1984: 74 and 85) (quoted as taken from the libros de cuentas de AHV Ejercicios 1902-1936, Consejo de Administración y Carpeta Financiera).</w:t>
      </w:r>
      <w:r w:rsidRPr="005B7D60">
        <w:rPr>
          <w:sz w:val="20"/>
        </w:rPr>
        <w:t xml:space="preserve"> </w:t>
      </w:r>
    </w:p>
  </w:footnote>
  <w:footnote w:id="7">
    <w:p w14:paraId="457146EF" w14:textId="77777777" w:rsidR="0065382C" w:rsidRPr="00650AB8" w:rsidRDefault="0065382C" w:rsidP="00A57AD9">
      <w:pPr>
        <w:ind w:left="227" w:hangingChars="142" w:hanging="227"/>
        <w:jc w:val="both"/>
      </w:pPr>
      <w:r>
        <w:rPr>
          <w:rStyle w:val="FootnoteReference"/>
        </w:rPr>
        <w:footnoteRef/>
      </w:r>
      <w:r>
        <w:t xml:space="preserve"> </w:t>
      </w:r>
      <w:r w:rsidRPr="00650AB8">
        <w:rPr>
          <w:sz w:val="20"/>
        </w:rPr>
        <w:t>The mean factory wage is on average 5,7 % higher than blast furnace worker’s wages with a correlation coefficient of 0.98.</w:t>
      </w:r>
      <w:r>
        <w:rPr>
          <w:sz w:val="20"/>
        </w:rPr>
        <w:t xml:space="preserve"> Any bias from using the average wages will work against our hypothesis of family vulnerability.</w:t>
      </w:r>
    </w:p>
  </w:footnote>
  <w:footnote w:id="8">
    <w:p w14:paraId="25BB20AF" w14:textId="77777777" w:rsidR="0065382C" w:rsidRPr="009E25C5" w:rsidRDefault="0065382C" w:rsidP="00A57AD9">
      <w:pPr>
        <w:pStyle w:val="FootnoteText"/>
      </w:pPr>
      <w:r>
        <w:rPr>
          <w:rStyle w:val="FootnoteReference"/>
        </w:rPr>
        <w:footnoteRef/>
      </w:r>
      <w:r>
        <w:t xml:space="preserve"> Linear interpolation has been performed.</w:t>
      </w:r>
    </w:p>
  </w:footnote>
  <w:footnote w:id="9">
    <w:p w14:paraId="16E19598" w14:textId="77777777" w:rsidR="0065382C" w:rsidRPr="00CE3AEF" w:rsidRDefault="0065382C" w:rsidP="00973E10">
      <w:pPr>
        <w:pStyle w:val="FootnoteText"/>
        <w:ind w:left="238" w:hanging="238"/>
      </w:pPr>
      <w:r>
        <w:rPr>
          <w:rStyle w:val="FootnoteReference"/>
        </w:rPr>
        <w:footnoteRef/>
      </w:r>
      <w:r>
        <w:t xml:space="preserve"> The differences could be interpreted as the more than proportional growth of extra income from premiums and overtime payments. There is definitely a strong discrepancy of the two series for the 1930s. </w:t>
      </w:r>
    </w:p>
  </w:footnote>
  <w:footnote w:id="10">
    <w:p w14:paraId="6734AEA6" w14:textId="77777777" w:rsidR="0065382C" w:rsidRPr="00CE255B" w:rsidRDefault="0065382C" w:rsidP="00973E10">
      <w:pPr>
        <w:pStyle w:val="FootnoteText"/>
        <w:ind w:left="227" w:hangingChars="142" w:hanging="227"/>
      </w:pPr>
      <w:r w:rsidRPr="004E2A90">
        <w:rPr>
          <w:rStyle w:val="FootnoteReference"/>
        </w:rPr>
        <w:footnoteRef/>
      </w:r>
      <w:r w:rsidRPr="004E2A90">
        <w:t xml:space="preserve"> Fernández de Pinedo describes the reduction of the wage gap between skilled and unskilled workers as a consequence of the price hikes during the war. Employers were more concerned with increasing the lower wage to a sustainable level and thereby reduced the skill premium. </w:t>
      </w:r>
      <w:r w:rsidRPr="00CE255B">
        <w:t>Fernández de Pinedo (1992</w:t>
      </w:r>
      <w:r>
        <w:t>:</w:t>
      </w:r>
      <w:r w:rsidRPr="00CE255B">
        <w:t xml:space="preserve"> 147-8</w:t>
      </w:r>
      <w:r>
        <w:t>)</w:t>
      </w:r>
      <w:r w:rsidRPr="00CE255B">
        <w:t>.</w:t>
      </w:r>
      <w:r>
        <w:t xml:space="preserve"> The six years up to 1928 of this series were extrapolated as a fixed proportion of the average wage as we have no disaggregated data on unskilled labour after 1921.</w:t>
      </w:r>
    </w:p>
  </w:footnote>
  <w:footnote w:id="11">
    <w:p w14:paraId="6B1D0C9D" w14:textId="77777777" w:rsidR="0065382C" w:rsidRPr="0033367C" w:rsidRDefault="0065382C" w:rsidP="00973E10">
      <w:pPr>
        <w:pStyle w:val="FootnoteText"/>
        <w:ind w:left="227" w:hangingChars="142" w:hanging="227"/>
      </w:pPr>
      <w:r w:rsidRPr="0033367C">
        <w:rPr>
          <w:rStyle w:val="FootnoteReference"/>
        </w:rPr>
        <w:footnoteRef/>
      </w:r>
      <w:r w:rsidRPr="0033367C">
        <w:t xml:space="preserve"> </w:t>
      </w:r>
      <w:r>
        <w:t>The real wage equals the nominal wage divided by the consumer price index. The real wage shows proportional changes and relative levels. It has no absolute interpretation. To make the results more informative, [Allen] compute[s] welfare ratios instead of conventional real wages. The welfare ratio is average annual earnings divided by the cost of a consumption bundle for a family. A welfare ratio greater than one indicates an income above the sustenance line, while a ratio less than one means the family is in poverty. Allen (2001: 424-5).</w:t>
      </w:r>
    </w:p>
  </w:footnote>
  <w:footnote w:id="12">
    <w:p w14:paraId="5479DBF8" w14:textId="77777777" w:rsidR="0065382C" w:rsidRPr="00A34C3B" w:rsidRDefault="0065382C" w:rsidP="00973E10">
      <w:pPr>
        <w:pStyle w:val="FootnoteText"/>
        <w:ind w:left="227" w:hangingChars="142" w:hanging="227"/>
      </w:pPr>
      <w:r w:rsidRPr="00A34C3B">
        <w:rPr>
          <w:rStyle w:val="FootnoteReference"/>
        </w:rPr>
        <w:footnoteRef/>
      </w:r>
      <w:r w:rsidRPr="00A34C3B">
        <w:t xml:space="preserve"> This is what distinguishes our index from the Biscay index calculated by Pérez Castroviejo (2006). He has used prices for non-food items taken from the municipal hospital of Bilbao</w:t>
      </w:r>
      <w:r>
        <w:t>.</w:t>
      </w:r>
      <w:r w:rsidRPr="00A34C3B">
        <w:t xml:space="preserve"> </w:t>
      </w:r>
      <w:r>
        <w:t>He</w:t>
      </w:r>
      <w:r w:rsidRPr="00A34C3B">
        <w:t xml:space="preserve"> uses</w:t>
      </w:r>
      <w:r>
        <w:t xml:space="preserve"> two sources for food items:</w:t>
      </w:r>
      <w:r w:rsidRPr="00A34C3B">
        <w:t xml:space="preserve"> the retail prices sent to the Instituto de Reformas Sociales</w:t>
      </w:r>
      <w:r>
        <w:t xml:space="preserve"> [IRS]</w:t>
      </w:r>
      <w:r w:rsidRPr="00A34C3B">
        <w:t xml:space="preserve"> and Instituto Geográfico y Catastral</w:t>
      </w:r>
      <w:r>
        <w:t>,</w:t>
      </w:r>
      <w:r w:rsidRPr="00A34C3B">
        <w:t xml:space="preserve"> which have survived in the Baracaldo municipal archives</w:t>
      </w:r>
      <w:r>
        <w:t>,</w:t>
      </w:r>
      <w:r w:rsidRPr="00A34C3B">
        <w:t xml:space="preserve"> for 1891-1927, and from 1927 to 1936 he uses the same source we use, el </w:t>
      </w:r>
      <w:r w:rsidRPr="00DA5E55">
        <w:rPr>
          <w:i/>
          <w:szCs w:val="24"/>
        </w:rPr>
        <w:t>Boletín de la Estadística Municipal de Bilbao</w:t>
      </w:r>
      <w:r w:rsidRPr="00A34C3B">
        <w:t xml:space="preserve">. </w:t>
      </w:r>
      <w:r>
        <w:t>His housing costs have been extracted from rents paid for housing and offices uses by public civil registries and notaries.</w:t>
      </w:r>
      <w:r w:rsidRPr="00A34C3B">
        <w:rPr>
          <w:sz w:val="24"/>
          <w:szCs w:val="24"/>
        </w:rPr>
        <w:t xml:space="preserve"> </w:t>
      </w:r>
      <w:r w:rsidRPr="00A34C3B">
        <w:t>Pérez Castroviejo (2006:</w:t>
      </w:r>
      <w:r>
        <w:t xml:space="preserve"> </w:t>
      </w:r>
      <w:r w:rsidRPr="00A34C3B">
        <w:t>105</w:t>
      </w:r>
      <w:r>
        <w:t>-7</w:t>
      </w:r>
      <w:r w:rsidRPr="00A34C3B">
        <w:t>)</w:t>
      </w:r>
    </w:p>
  </w:footnote>
  <w:footnote w:id="13">
    <w:p w14:paraId="61F89986" w14:textId="77777777" w:rsidR="0065382C" w:rsidRPr="0033367C" w:rsidRDefault="0065382C" w:rsidP="00973E10">
      <w:pPr>
        <w:pStyle w:val="FootnoteText"/>
        <w:ind w:left="227" w:hangingChars="142" w:hanging="227"/>
      </w:pPr>
      <w:r w:rsidRPr="0033367C">
        <w:rPr>
          <w:rStyle w:val="FootnoteReference"/>
        </w:rPr>
        <w:footnoteRef/>
      </w:r>
      <w:r w:rsidRPr="0033367C">
        <w:t xml:space="preserve"> </w:t>
      </w:r>
      <w:r w:rsidRPr="005D1DB6">
        <w:t xml:space="preserve">This has been complemented with similar sources from an adjoining </w:t>
      </w:r>
      <w:r>
        <w:t xml:space="preserve">Baracaldo </w:t>
      </w:r>
      <w:r w:rsidRPr="005D1DB6">
        <w:t>municipality</w:t>
      </w:r>
      <w:r>
        <w:t xml:space="preserve"> </w:t>
      </w:r>
      <w:r w:rsidRPr="005D1DB6">
        <w:t>during a short period when the bulletins were lost or were not published</w:t>
      </w:r>
      <w:r>
        <w:t xml:space="preserve">: </w:t>
      </w:r>
      <w:r w:rsidRPr="005D1DB6">
        <w:t xml:space="preserve"> </w:t>
      </w:r>
      <w:r w:rsidRPr="0033367C">
        <w:t>January 19</w:t>
      </w:r>
      <w:r>
        <w:t>19</w:t>
      </w:r>
      <w:r w:rsidRPr="0033367C">
        <w:t xml:space="preserve"> to July 1921 monthly data recollected from Archivo Municipal de Baracaldo and Octob</w:t>
      </w:r>
      <w:r>
        <w:t>er</w:t>
      </w:r>
      <w:r w:rsidRPr="0033367C">
        <w:t xml:space="preserve"> 1921 to May 1922 monthly data taken from </w:t>
      </w:r>
      <w:r>
        <w:t xml:space="preserve">Boletin del </w:t>
      </w:r>
      <w:r w:rsidRPr="0033367C">
        <w:t>I</w:t>
      </w:r>
      <w:r>
        <w:t xml:space="preserve">nstituto de </w:t>
      </w:r>
      <w:r w:rsidRPr="0033367C">
        <w:t>R</w:t>
      </w:r>
      <w:r>
        <w:t xml:space="preserve">eformas </w:t>
      </w:r>
      <w:r w:rsidRPr="0033367C">
        <w:t>S</w:t>
      </w:r>
      <w:r>
        <w:t>ociales</w:t>
      </w:r>
      <w:r w:rsidRPr="0033367C">
        <w:t>.</w:t>
      </w:r>
    </w:p>
  </w:footnote>
  <w:footnote w:id="14">
    <w:p w14:paraId="1926A11E" w14:textId="77777777" w:rsidR="0065382C" w:rsidRPr="00B03ABC" w:rsidRDefault="0065382C" w:rsidP="000E1D11">
      <w:pPr>
        <w:pStyle w:val="FootnoteText"/>
        <w:ind w:left="227" w:hangingChars="142" w:hanging="227"/>
      </w:pPr>
      <w:r w:rsidRPr="00B03ABC">
        <w:rPr>
          <w:rStyle w:val="FootnoteReference"/>
        </w:rPr>
        <w:footnoteRef/>
      </w:r>
      <w:r w:rsidRPr="00B03ABC">
        <w:t xml:space="preserve"> (2.29 - 0.75 kg of potatoes)</w:t>
      </w:r>
      <w:r>
        <w:t xml:space="preserve"> </w:t>
      </w:r>
      <w:r w:rsidRPr="00B03ABC">
        <w:t>* 690 cal = 1,062 cal and (0.45 – 0.14 beans and chickpeas)</w:t>
      </w:r>
      <w:r>
        <w:t xml:space="preserve"> </w:t>
      </w:r>
      <w:r w:rsidRPr="00B03ABC">
        <w:t>*</w:t>
      </w:r>
      <w:r>
        <w:t xml:space="preserve"> </w:t>
      </w:r>
      <w:r w:rsidRPr="00B03ABC">
        <w:t>3,330 cal = 1,032 cal.</w:t>
      </w:r>
      <w:r>
        <w:t xml:space="preserve"> See Pérez Castroviejo (1992: 146-8) for descriptions of Biscayan working-class diets at the beginning of the 20</w:t>
      </w:r>
      <w:r w:rsidRPr="00504901">
        <w:rPr>
          <w:vertAlign w:val="superscript"/>
        </w:rPr>
        <w:t>th</w:t>
      </w:r>
      <w:r>
        <w:t xml:space="preserve"> century.</w:t>
      </w:r>
    </w:p>
  </w:footnote>
  <w:footnote w:id="15">
    <w:p w14:paraId="79FFC3E7" w14:textId="77777777" w:rsidR="0065382C" w:rsidRPr="001B7C10" w:rsidRDefault="0065382C" w:rsidP="00A57AD9">
      <w:pPr>
        <w:pStyle w:val="FootnoteText"/>
        <w:ind w:left="227" w:hangingChars="142" w:hanging="227"/>
      </w:pPr>
      <w:r>
        <w:rPr>
          <w:rStyle w:val="FootnoteReference"/>
        </w:rPr>
        <w:footnoteRef/>
      </w:r>
      <w:r>
        <w:t xml:space="preserve"> Blast furnaces work 24 hours, 7 days a week during their more-year campaign. They only stop for relining and serious maintenance problems between campaigns.</w:t>
      </w:r>
    </w:p>
  </w:footnote>
  <w:footnote w:id="16">
    <w:p w14:paraId="640B641C" w14:textId="77777777" w:rsidR="0065382C" w:rsidRPr="000E3382" w:rsidRDefault="0065382C" w:rsidP="00A57AD9">
      <w:pPr>
        <w:pStyle w:val="FootnoteText"/>
        <w:ind w:left="227" w:hangingChars="142" w:hanging="227"/>
      </w:pPr>
      <w:r>
        <w:rPr>
          <w:rStyle w:val="FootnoteReference"/>
        </w:rPr>
        <w:footnoteRef/>
      </w:r>
      <w:r w:rsidRPr="004B5830">
        <w:t xml:space="preserve"> </w:t>
      </w:r>
      <w:r>
        <w:t>The relative weights of each item in the average family basket have been calibrated as described, but taking into account previous studies for the industrial and mining area: Pérez Castroviejo (1992, 2000 and 2006), Pérez Castroviejo y Martínez Mardones (1996), Pérez Fuentes (1993), Pérez Castroviejo and Tussel (2007), Escudero and Pérez Castroviejo (2010). We have also taken into account other recent studies for other regions of Spain (Moreno Lázaro, 2006 for Palencia; Molina de Dios, 2007 for Mallorca and García-Gómez and Escudero (2018) for Alcoy.</w:t>
      </w:r>
    </w:p>
  </w:footnote>
  <w:footnote w:id="17">
    <w:p w14:paraId="240C754B" w14:textId="77777777" w:rsidR="0065382C" w:rsidRPr="00C45DF2" w:rsidRDefault="0065382C" w:rsidP="00A57AD9">
      <w:pPr>
        <w:pStyle w:val="FootnoteText"/>
        <w:ind w:left="227" w:hangingChars="142" w:hanging="227"/>
        <w:rPr>
          <w:lang w:val="es-ES"/>
        </w:rPr>
      </w:pPr>
      <w:r w:rsidRPr="00FD085A">
        <w:rPr>
          <w:rStyle w:val="FootnoteReference"/>
        </w:rPr>
        <w:footnoteRef/>
      </w:r>
      <w:r w:rsidRPr="006B23BC">
        <w:rPr>
          <w:lang w:val="es-ES"/>
        </w:rPr>
        <w:t xml:space="preserve"> </w:t>
      </w:r>
      <w:r>
        <w:rPr>
          <w:lang w:val="es-ES"/>
        </w:rPr>
        <w:t xml:space="preserve">For 01/10/1898 </w:t>
      </w:r>
      <w:r w:rsidRPr="00E63BBB">
        <w:rPr>
          <w:i/>
          <w:lang w:val="es-ES"/>
        </w:rPr>
        <w:t>Lucha de Clase</w:t>
      </w:r>
      <w:r>
        <w:rPr>
          <w:lang w:val="es-ES"/>
        </w:rPr>
        <w:t xml:space="preserve"> in </w:t>
      </w:r>
      <w:r w:rsidRPr="00FD085A">
        <w:rPr>
          <w:lang w:val="es-ES"/>
        </w:rPr>
        <w:t>Fusi (1975</w:t>
      </w:r>
      <w:r>
        <w:rPr>
          <w:lang w:val="es-ES"/>
        </w:rPr>
        <w:t xml:space="preserve">: 56, fn. 81), for 1904 Sanz Escartín, Salillas and Puyol Alonso (1904) </w:t>
      </w:r>
      <w:r w:rsidRPr="00E63BBB">
        <w:rPr>
          <w:i/>
          <w:lang w:val="es-ES"/>
        </w:rPr>
        <w:t>Informe referente a las minas de Vizcaya</w:t>
      </w:r>
      <w:r>
        <w:rPr>
          <w:lang w:val="es-ES"/>
        </w:rPr>
        <w:t xml:space="preserve"> and 1907 Solinis “El obrero en Vizcaya.” El Socialista, 9/8/1907 see Pérez Castroviejo (1992: 146).</w:t>
      </w:r>
    </w:p>
  </w:footnote>
  <w:footnote w:id="18">
    <w:p w14:paraId="0CFC8009" w14:textId="77777777" w:rsidR="0065382C" w:rsidRPr="008A2793" w:rsidRDefault="0065382C" w:rsidP="00973E10">
      <w:pPr>
        <w:pStyle w:val="FootnoteText"/>
        <w:ind w:left="227" w:hangingChars="142" w:hanging="227"/>
      </w:pPr>
      <w:r w:rsidRPr="00C45DF2">
        <w:rPr>
          <w:rStyle w:val="FootnoteReference"/>
        </w:rPr>
        <w:footnoteRef/>
      </w:r>
      <w:r>
        <w:rPr>
          <w:lang w:val="es-ES"/>
        </w:rPr>
        <w:t xml:space="preserve"> Olá</w:t>
      </w:r>
      <w:r w:rsidRPr="00C45DF2">
        <w:rPr>
          <w:lang w:val="es-ES"/>
        </w:rPr>
        <w:t>barri (1978)</w:t>
      </w:r>
      <w:r>
        <w:rPr>
          <w:lang w:val="es-ES"/>
        </w:rPr>
        <w:t>;</w:t>
      </w:r>
      <w:r w:rsidRPr="00950C32">
        <w:rPr>
          <w:lang w:val="es-ES"/>
        </w:rPr>
        <w:t xml:space="preserve"> “Proyecto de Reglamento Provisional de la cantina que como ensayo se establece por el Excmo. Ayuntamiento de Bilbao en el Grupo escolar de Urazurrutia” (1911), “Cantinas escolares en Bilbao curso 1914-1915”, Archivo Municipal de Bilbao, sección segunda; “Gastos en alimentación del Hospital de Basurto”, 1915, 1916, 1924. </w:t>
      </w:r>
      <w:r w:rsidRPr="008A2793">
        <w:t>Data provided by Juan Gondra.</w:t>
      </w:r>
      <w:r>
        <w:t xml:space="preserve"> We have scrutinized this is the previously cited work on Biscay and Bilbao.</w:t>
      </w:r>
    </w:p>
  </w:footnote>
  <w:footnote w:id="19">
    <w:p w14:paraId="4DC89F2D" w14:textId="77777777" w:rsidR="0065382C" w:rsidRPr="002102B7" w:rsidRDefault="0065382C" w:rsidP="00973E10">
      <w:pPr>
        <w:pStyle w:val="FootnoteText"/>
        <w:ind w:left="227" w:hangingChars="142" w:hanging="227"/>
        <w:rPr>
          <w:lang w:val="es-ES"/>
        </w:rPr>
      </w:pPr>
      <w:r w:rsidRPr="00234D5D">
        <w:rPr>
          <w:rStyle w:val="FootnoteReference"/>
        </w:rPr>
        <w:footnoteRef/>
      </w:r>
      <w:r w:rsidRPr="002102B7">
        <w:rPr>
          <w:lang w:val="es-ES"/>
        </w:rPr>
        <w:t xml:space="preserve"> González Portilla (2001) and Mu</w:t>
      </w:r>
      <w:r>
        <w:rPr>
          <w:lang w:val="es-ES"/>
        </w:rPr>
        <w:t>ñoz Fernández (2019)</w:t>
      </w:r>
      <w:r w:rsidRPr="002102B7">
        <w:rPr>
          <w:lang w:val="es-ES"/>
        </w:rPr>
        <w:t xml:space="preserve">. </w:t>
      </w:r>
    </w:p>
  </w:footnote>
  <w:footnote w:id="20">
    <w:p w14:paraId="248F6D3F" w14:textId="77777777" w:rsidR="0065382C" w:rsidRPr="00190BF3" w:rsidRDefault="0065382C" w:rsidP="00973E10">
      <w:pPr>
        <w:pStyle w:val="FootnoteText"/>
        <w:ind w:left="227" w:hangingChars="142" w:hanging="227"/>
      </w:pPr>
      <w:r w:rsidRPr="00190BF3">
        <w:rPr>
          <w:rStyle w:val="FootnoteReference"/>
        </w:rPr>
        <w:footnoteRef/>
      </w:r>
      <w:r w:rsidRPr="00D77631">
        <w:t xml:space="preserve"> González Portilla (1995</w:t>
      </w:r>
      <w:r>
        <w:t>:</w:t>
      </w:r>
      <w:r w:rsidRPr="00D77631">
        <w:t xml:space="preserve"> 304</w:t>
      </w:r>
      <w:r>
        <w:t>)</w:t>
      </w:r>
      <w:r w:rsidRPr="00D77631">
        <w:t xml:space="preserve">. </w:t>
      </w:r>
      <w:r w:rsidRPr="00190BF3">
        <w:t>For married women between the age of 15 and 59</w:t>
      </w:r>
      <w:r>
        <w:t>,</w:t>
      </w:r>
      <w:r w:rsidRPr="00190BF3">
        <w:t xml:space="preserve"> </w:t>
      </w:r>
      <w:r>
        <w:t>d</w:t>
      </w:r>
      <w:r w:rsidRPr="00190BF3">
        <w:t>ata was con</w:t>
      </w:r>
      <w:r>
        <w:t>s</w:t>
      </w:r>
      <w:r w:rsidRPr="00190BF3">
        <w:t>tructed from municipal registers of population, Bilbao archives.</w:t>
      </w:r>
    </w:p>
  </w:footnote>
  <w:footnote w:id="21">
    <w:p w14:paraId="2D5ED2F1" w14:textId="77777777" w:rsidR="0065382C" w:rsidRPr="00D77631" w:rsidRDefault="0065382C" w:rsidP="00973E10">
      <w:pPr>
        <w:pStyle w:val="FootnoteText"/>
        <w:ind w:left="227" w:hangingChars="142" w:hanging="227"/>
      </w:pPr>
      <w:r w:rsidRPr="00C03756">
        <w:rPr>
          <w:rStyle w:val="FootnoteReference"/>
        </w:rPr>
        <w:footnoteRef/>
      </w:r>
      <w:r w:rsidRPr="00C03756">
        <w:t xml:space="preserve"> 70</w:t>
      </w:r>
      <w:r>
        <w:t>.</w:t>
      </w:r>
      <w:r w:rsidRPr="00C03756">
        <w:t xml:space="preserve">8 </w:t>
      </w:r>
      <w:r>
        <w:t>%</w:t>
      </w:r>
      <w:r w:rsidRPr="00C03756">
        <w:t xml:space="preserve"> of all families were nuclear families in 1900 and 68</w:t>
      </w:r>
      <w:r>
        <w:t>.</w:t>
      </w:r>
      <w:r w:rsidRPr="00C03756">
        <w:t xml:space="preserve">4 </w:t>
      </w:r>
      <w:r>
        <w:t>%</w:t>
      </w:r>
      <w:r w:rsidRPr="00C03756">
        <w:t xml:space="preserve"> in 1930. The average age of marriage in Bilbao rose from 27</w:t>
      </w:r>
      <w:r>
        <w:t>.4</w:t>
      </w:r>
      <w:r w:rsidRPr="00C03756">
        <w:t xml:space="preserve"> to 28</w:t>
      </w:r>
      <w:r>
        <w:t>.3</w:t>
      </w:r>
      <w:r w:rsidRPr="00C03756">
        <w:t xml:space="preserve"> years </w:t>
      </w:r>
      <w:r>
        <w:t>of age for men and fell from 27.</w:t>
      </w:r>
      <w:r w:rsidRPr="00C03756">
        <w:t>6 to 25</w:t>
      </w:r>
      <w:r>
        <w:t>.</w:t>
      </w:r>
      <w:r w:rsidRPr="00C03756">
        <w:t xml:space="preserve">5 for women between 1825 and 1930 as a consequence of </w:t>
      </w:r>
      <w:r>
        <w:t xml:space="preserve">lower incomes for unskilled labour and </w:t>
      </w:r>
      <w:r w:rsidRPr="00C03756">
        <w:t xml:space="preserve">segmentation and masculinization of labour markets. </w:t>
      </w:r>
      <w:r>
        <w:t>Fifty per cent</w:t>
      </w:r>
      <w:r w:rsidRPr="00C03756">
        <w:t xml:space="preserve"> of all heads of families were day</w:t>
      </w:r>
      <w:r>
        <w:t>-</w:t>
      </w:r>
      <w:r w:rsidRPr="00C03756">
        <w:t xml:space="preserve">labourers. </w:t>
      </w:r>
      <w:r w:rsidRPr="00D77631">
        <w:t>González Portilla (1995</w:t>
      </w:r>
      <w:r>
        <w:t xml:space="preserve">: </w:t>
      </w:r>
      <w:r w:rsidRPr="00D77631">
        <w:t>268-297</w:t>
      </w:r>
      <w:r>
        <w:t>)</w:t>
      </w:r>
      <w:r w:rsidRPr="00D77631">
        <w:t>.</w:t>
      </w:r>
    </w:p>
  </w:footnote>
  <w:footnote w:id="22">
    <w:p w14:paraId="29CF4536" w14:textId="77777777" w:rsidR="0065382C" w:rsidRPr="00792B57" w:rsidRDefault="0065382C" w:rsidP="00973E10">
      <w:pPr>
        <w:pStyle w:val="FootnoteText"/>
        <w:ind w:left="227" w:hangingChars="142" w:hanging="227"/>
      </w:pPr>
      <w:r w:rsidRPr="00792B57">
        <w:rPr>
          <w:rStyle w:val="FootnoteReference"/>
        </w:rPr>
        <w:footnoteRef/>
      </w:r>
      <w:r w:rsidRPr="00792B57">
        <w:t xml:space="preserve"> WHO (1974), </w:t>
      </w:r>
      <w:r w:rsidRPr="00792B57">
        <w:rPr>
          <w:i/>
        </w:rPr>
        <w:t>Handbook on Human Nutri</w:t>
      </w:r>
      <w:r>
        <w:rPr>
          <w:i/>
        </w:rPr>
        <w:t>t</w:t>
      </w:r>
      <w:r w:rsidRPr="00792B57">
        <w:rPr>
          <w:i/>
        </w:rPr>
        <w:t>ional Requirements</w:t>
      </w:r>
      <w:r w:rsidRPr="00792B57">
        <w:t xml:space="preserve">, chapter 2, table 2. </w:t>
      </w:r>
      <w:r w:rsidRPr="006E1992">
        <w:t xml:space="preserve">FAO (2001), Human energy requirements. Chapter 5, tables 5.4 and 5.5. </w:t>
      </w:r>
      <w:r w:rsidRPr="00792B57">
        <w:t>Evidence for Chinese mine and shipbuilding workers for the 1980s confirm this balance.</w:t>
      </w:r>
      <w:r>
        <w:t xml:space="preserve"> Fernández de Pinedo (1992: 127-28) uses a food bundle equivalent to 4,810 kcal to deflate nominal incomes.</w:t>
      </w:r>
      <w:r w:rsidRPr="00792B57">
        <w:t xml:space="preserve">  </w:t>
      </w:r>
    </w:p>
  </w:footnote>
  <w:footnote w:id="23">
    <w:p w14:paraId="0F9F0468" w14:textId="77777777" w:rsidR="0065382C" w:rsidRPr="00190BF3" w:rsidRDefault="0065382C" w:rsidP="00973E10">
      <w:pPr>
        <w:pStyle w:val="FootnoteText"/>
        <w:ind w:left="227" w:hangingChars="142" w:hanging="227"/>
      </w:pPr>
      <w:r w:rsidRPr="00190BF3">
        <w:rPr>
          <w:rStyle w:val="FootnoteReference"/>
        </w:rPr>
        <w:footnoteRef/>
      </w:r>
      <w:r w:rsidRPr="00190BF3">
        <w:t xml:space="preserve"> See Fernández de Pinedo (1992) for a discussion of bonus schemes in AHV the company whose real work</w:t>
      </w:r>
      <w:r>
        <w:t xml:space="preserve"> </w:t>
      </w:r>
      <w:r w:rsidRPr="00190BF3">
        <w:t>earnings we are using in this study. Consolazio et al. (1961) studied the effect of extreme heat on young men exposed to average temperatures of 40º C during 9 hours as opposed to an average daily temperature of 26º C. Extreme heat increased their energy requirements to over 4</w:t>
      </w:r>
      <w:r>
        <w:t>,</w:t>
      </w:r>
      <w:r w:rsidRPr="00190BF3">
        <w:t xml:space="preserve">000 </w:t>
      </w:r>
      <w:r>
        <w:t>kcal</w:t>
      </w:r>
      <w:r w:rsidRPr="00190BF3">
        <w:t xml:space="preserve"> from 2</w:t>
      </w:r>
      <w:r>
        <w:t>,</w:t>
      </w:r>
      <w:r w:rsidRPr="00190BF3">
        <w:t xml:space="preserve">733 </w:t>
      </w:r>
      <w:r>
        <w:t>kcal</w:t>
      </w:r>
      <w:r w:rsidRPr="00190BF3">
        <w:t xml:space="preserve"> at a normal temperature. </w:t>
      </w:r>
    </w:p>
  </w:footnote>
  <w:footnote w:id="24">
    <w:p w14:paraId="6278D0D0" w14:textId="77777777" w:rsidR="0065382C" w:rsidRPr="006E5A00" w:rsidRDefault="0065382C" w:rsidP="00973E10">
      <w:pPr>
        <w:pStyle w:val="FootnoteText"/>
        <w:ind w:left="227" w:hangingChars="142" w:hanging="227"/>
      </w:pPr>
      <w:r w:rsidRPr="009304EC">
        <w:rPr>
          <w:rStyle w:val="FootnoteReference"/>
        </w:rPr>
        <w:footnoteRef/>
      </w:r>
      <w:r w:rsidRPr="009304EC">
        <w:t xml:space="preserve"> Three surviving children may imply an average of 5 pregnancies and </w:t>
      </w:r>
      <w:r>
        <w:t xml:space="preserve">up to </w:t>
      </w:r>
      <w:r w:rsidRPr="009304EC">
        <w:t>4 two</w:t>
      </w:r>
      <w:r>
        <w:t>-</w:t>
      </w:r>
      <w:r w:rsidRPr="009304EC">
        <w:t>year lacta</w:t>
      </w:r>
      <w:r>
        <w:t>tion periods</w:t>
      </w:r>
      <w:r w:rsidRPr="009304EC">
        <w:t xml:space="preserve">. During the first six month of lactation with exclusive feeding the energy cost was 675 </w:t>
      </w:r>
      <w:r>
        <w:t>cal.</w:t>
      </w:r>
      <w:r w:rsidRPr="009304EC">
        <w:t xml:space="preserve"> </w:t>
      </w:r>
      <w:r>
        <w:t xml:space="preserve">per day </w:t>
      </w:r>
      <w:r w:rsidRPr="009304EC">
        <w:t xml:space="preserve">and the remaining time with partial feeding 460 </w:t>
      </w:r>
      <w:r>
        <w:t>cal</w:t>
      </w:r>
      <w:r w:rsidRPr="009304EC">
        <w:t>. See FAO (2001)</w:t>
      </w:r>
      <w:r>
        <w:t>,</w:t>
      </w:r>
      <w:r w:rsidRPr="009304EC">
        <w:t xml:space="preserve"> </w:t>
      </w:r>
      <w:r>
        <w:t>c</w:t>
      </w:r>
      <w:r w:rsidRPr="009304EC">
        <w:t xml:space="preserve">hapter on energy requirements during lactation, p. 65. Pregnancy consumes </w:t>
      </w:r>
      <w:r w:rsidRPr="009304EC">
        <w:rPr>
          <w:rFonts w:cs="Arial"/>
        </w:rPr>
        <w:t xml:space="preserve">85 </w:t>
      </w:r>
      <w:r>
        <w:rPr>
          <w:rFonts w:cs="Arial"/>
        </w:rPr>
        <w:t>cal.</w:t>
      </w:r>
      <w:r w:rsidRPr="009304EC">
        <w:rPr>
          <w:rFonts w:cs="Arial"/>
        </w:rPr>
        <w:t xml:space="preserve">/day, 285 </w:t>
      </w:r>
      <w:r>
        <w:rPr>
          <w:rFonts w:cs="Arial"/>
        </w:rPr>
        <w:t>cal.</w:t>
      </w:r>
      <w:r w:rsidRPr="009304EC">
        <w:rPr>
          <w:rFonts w:cs="Arial"/>
        </w:rPr>
        <w:t xml:space="preserve">/day and 475 </w:t>
      </w:r>
      <w:r>
        <w:rPr>
          <w:rFonts w:cs="Arial"/>
        </w:rPr>
        <w:t>cal.</w:t>
      </w:r>
      <w:r w:rsidRPr="009304EC">
        <w:rPr>
          <w:rFonts w:cs="Arial"/>
        </w:rPr>
        <w:t>/day</w:t>
      </w:r>
      <w:r w:rsidRPr="009304EC">
        <w:t xml:space="preserve"> during the first, second and third trimest</w:t>
      </w:r>
      <w:r>
        <w:t>er</w:t>
      </w:r>
      <w:r w:rsidRPr="009304EC">
        <w:t>s respectively. See F</w:t>
      </w:r>
      <w:r>
        <w:t>AO</w:t>
      </w:r>
      <w:r w:rsidRPr="009304EC">
        <w:t xml:space="preserve"> (2001), </w:t>
      </w:r>
      <w:r>
        <w:t>c</w:t>
      </w:r>
      <w:r w:rsidRPr="009304EC">
        <w:t xml:space="preserve">hapter on energy requirements during pregnancy. </w:t>
      </w:r>
      <w:r w:rsidRPr="006E5A00">
        <w:t xml:space="preserve">At a 5-year fertility cycle women would require an average of 250 kcal. per day more for pregnancy and lactation. This has been distributed between mothers and children surviving from 0 – 2 years of age.   </w:t>
      </w:r>
    </w:p>
  </w:footnote>
  <w:footnote w:id="25">
    <w:p w14:paraId="4FEF9CE5" w14:textId="77777777" w:rsidR="0065382C" w:rsidRPr="000A29CC" w:rsidRDefault="0065382C" w:rsidP="00973E10">
      <w:pPr>
        <w:pStyle w:val="FootnoteText"/>
        <w:ind w:left="227" w:hangingChars="142" w:hanging="227"/>
      </w:pPr>
      <w:r w:rsidRPr="006E5A00">
        <w:rPr>
          <w:rStyle w:val="FootnoteReference"/>
        </w:rPr>
        <w:footnoteRef/>
      </w:r>
      <w:r w:rsidRPr="006E5A00">
        <w:t xml:space="preserve"> Averages calculated from WHO (1974). Schneider (2013a: 101) FAO averages 2,075 kcal and Humphries et al. (2021) Online Appendix Table S4 averages 1,877 kcal.</w:t>
      </w:r>
    </w:p>
  </w:footnote>
  <w:footnote w:id="26">
    <w:p w14:paraId="3662D528" w14:textId="77777777" w:rsidR="0065382C" w:rsidRPr="006F60E2" w:rsidRDefault="0065382C" w:rsidP="0007500F">
      <w:pPr>
        <w:pStyle w:val="FootnoteText"/>
        <w:ind w:left="227" w:hangingChars="142" w:hanging="227"/>
        <w:rPr>
          <w:lang w:val="en-GB"/>
        </w:rPr>
      </w:pPr>
      <w:r w:rsidRPr="006F60E2">
        <w:rPr>
          <w:rStyle w:val="FootnoteReference"/>
        </w:rPr>
        <w:footnoteRef/>
      </w:r>
      <w:r w:rsidRPr="006F60E2">
        <w:rPr>
          <w:lang w:val="en-GB"/>
        </w:rPr>
        <w:t xml:space="preserve"> They show that the implementation of a system of poor rates and the growth of Poor Law expenditure significantly reduced the impact of living standards on death rates around the 1620s. </w:t>
      </w:r>
      <w:r w:rsidRPr="00950C32">
        <w:rPr>
          <w:lang w:val="en-GB"/>
        </w:rPr>
        <w:t>Kelly and Ó Gráda (2010: 23-24).</w:t>
      </w:r>
    </w:p>
  </w:footnote>
  <w:footnote w:id="27">
    <w:p w14:paraId="089842D1" w14:textId="77777777" w:rsidR="0065382C" w:rsidRPr="00C41AF1" w:rsidRDefault="0065382C" w:rsidP="009F3EB1">
      <w:pPr>
        <w:pStyle w:val="FootnoteText"/>
        <w:ind w:left="227" w:hangingChars="142" w:hanging="227"/>
      </w:pPr>
      <w:r w:rsidRPr="00C41AF1">
        <w:rPr>
          <w:rStyle w:val="FootnoteReference"/>
        </w:rPr>
        <w:footnoteRef/>
      </w:r>
      <w:r w:rsidRPr="00C41AF1">
        <w:t xml:space="preserve"> The Santa Casa de Misericordia and the Hospital de Basurto administered the municipal bull ring, whose income financed a part of its activities. The administrative costs (10%-30% of their expenditures) were progressively assumed by the two local savings banks. Lindert (1998: 121). The municipal savings bank assumed the administration of the infant clinic Niños de Pecho y Gota de Leche, of the tuberculosis seaside sanatorium in Gorliz, and the Beneficencia Domiciliaria organized by the Bilbao municipality, among others.</w:t>
      </w:r>
    </w:p>
  </w:footnote>
  <w:footnote w:id="28">
    <w:p w14:paraId="5447F2E3"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E13BB1">
        <w:rPr>
          <w:lang w:val="en-GB"/>
        </w:rPr>
        <w:t xml:space="preserve"> The other two institutions are the Elderly Home, created around 1880; the Orphanage, s</w:t>
      </w:r>
      <w:r>
        <w:rPr>
          <w:lang w:val="en-GB"/>
        </w:rPr>
        <w:t>upported by the town hall, both of which were attended to by nuns</w:t>
      </w:r>
      <w:r w:rsidRPr="00E13BB1">
        <w:rPr>
          <w:lang w:val="en-GB"/>
        </w:rPr>
        <w:t xml:space="preserve">. </w:t>
      </w:r>
      <w:r w:rsidRPr="00FD266F">
        <w:rPr>
          <w:lang w:val="en-GB"/>
        </w:rPr>
        <w:t>Roda (1931).</w:t>
      </w:r>
    </w:p>
  </w:footnote>
  <w:footnote w:id="29">
    <w:p w14:paraId="673DD9AF"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FD266F">
        <w:rPr>
          <w:lang w:val="en-GB"/>
        </w:rPr>
        <w:t xml:space="preserve"> Molero-Mesa (2001: 39-40).</w:t>
      </w:r>
    </w:p>
  </w:footnote>
  <w:footnote w:id="30">
    <w:p w14:paraId="4AD50C01"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FD266F">
        <w:rPr>
          <w:lang w:val="en-GB"/>
        </w:rPr>
        <w:t xml:space="preserve"> Roda (1931).</w:t>
      </w:r>
    </w:p>
  </w:footnote>
  <w:footnote w:id="31">
    <w:p w14:paraId="6A3A5EBF"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FD266F">
        <w:rPr>
          <w:lang w:val="en-GB"/>
        </w:rPr>
        <w:t xml:space="preserve"> Aranceta (2010: 83-100).</w:t>
      </w:r>
    </w:p>
  </w:footnote>
  <w:footnote w:id="32">
    <w:p w14:paraId="5C51C42A"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453C79">
        <w:rPr>
          <w:lang w:val="en-GB"/>
        </w:rPr>
        <w:t xml:space="preserve"> This was the model adopted in England and Wales in the nineteenth century, </w:t>
      </w:r>
      <w:r>
        <w:t>in contrast to France, which preferred indoor institutions</w:t>
      </w:r>
      <w:r w:rsidRPr="00453C79">
        <w:rPr>
          <w:lang w:val="en-GB"/>
        </w:rPr>
        <w:t xml:space="preserve">. </w:t>
      </w:r>
      <w:r w:rsidRPr="00FD266F">
        <w:rPr>
          <w:lang w:val="en-GB"/>
        </w:rPr>
        <w:t>Lindert (1998: 120-121).</w:t>
      </w:r>
    </w:p>
  </w:footnote>
  <w:footnote w:id="33">
    <w:p w14:paraId="47DF65FC" w14:textId="77777777" w:rsidR="0065382C" w:rsidRPr="00FD266F" w:rsidRDefault="0065382C" w:rsidP="0007500F">
      <w:pPr>
        <w:pStyle w:val="FootnoteText"/>
        <w:ind w:left="227" w:hangingChars="142" w:hanging="227"/>
        <w:rPr>
          <w:lang w:val="en-GB"/>
        </w:rPr>
      </w:pPr>
      <w:r w:rsidRPr="006F60E2">
        <w:rPr>
          <w:rStyle w:val="FootnoteReference"/>
        </w:rPr>
        <w:footnoteRef/>
      </w:r>
      <w:r w:rsidRPr="00453C79">
        <w:rPr>
          <w:lang w:val="en-GB"/>
        </w:rPr>
        <w:t xml:space="preserve"> Between 1893 and 1895 they installed soup kitchens in January and February because of the bad weather. In March of 1898 they installed </w:t>
      </w:r>
      <w:r>
        <w:rPr>
          <w:lang w:val="en-GB"/>
        </w:rPr>
        <w:t>a soup kitchen</w:t>
      </w:r>
      <w:r w:rsidRPr="00453C79">
        <w:rPr>
          <w:lang w:val="en-GB"/>
        </w:rPr>
        <w:t xml:space="preserve"> because of a mining strike. </w:t>
      </w:r>
      <w:r w:rsidRPr="00FD266F">
        <w:rPr>
          <w:lang w:val="en-GB"/>
        </w:rPr>
        <w:t>Aranceta (2010).</w:t>
      </w:r>
    </w:p>
  </w:footnote>
  <w:footnote w:id="34">
    <w:p w14:paraId="60584F82" w14:textId="77777777" w:rsidR="0065382C" w:rsidRPr="00530518" w:rsidRDefault="0065382C" w:rsidP="00530518">
      <w:pPr>
        <w:pStyle w:val="FootnoteText"/>
        <w:ind w:left="227" w:hangingChars="142" w:hanging="227"/>
      </w:pPr>
      <w:r>
        <w:rPr>
          <w:rStyle w:val="FootnoteReference"/>
        </w:rPr>
        <w:footnoteRef/>
      </w:r>
      <w:r>
        <w:t xml:space="preserve"> Etxaniz and Ipiña (2017) do provide the number of union workers signed up for the municipal job pool for the 1930s. We will examine their variation with nuptiality further ahead.</w:t>
      </w:r>
    </w:p>
  </w:footnote>
  <w:footnote w:id="35">
    <w:p w14:paraId="36EF1BB3" w14:textId="77777777" w:rsidR="0065382C" w:rsidRPr="00363E9F" w:rsidRDefault="0065382C" w:rsidP="002A619C">
      <w:pPr>
        <w:pStyle w:val="FootnoteText"/>
        <w:ind w:left="227" w:hangingChars="142" w:hanging="227"/>
      </w:pPr>
      <w:r>
        <w:rPr>
          <w:rStyle w:val="FootnoteReference"/>
        </w:rPr>
        <w:footnoteRef/>
      </w:r>
      <w:r>
        <w:t xml:space="preserve"> </w:t>
      </w:r>
      <w:r w:rsidRPr="00363E9F">
        <w:t>Friedlander found that from 1855 to 1901 in England and Wales</w:t>
      </w:r>
      <w:r>
        <w:t xml:space="preserve"> </w:t>
      </w:r>
      <w:r w:rsidRPr="00363E9F">
        <w:t>for each unemployment peak in a given year there was a trough in the marriage rate and vice versa. His regression analysis confirmed that the change in unemployment levels explained nearly 50% of the variance in marriage rates (Friedlander 1992: 32-33). Kirk</w:t>
      </w:r>
      <w:r>
        <w:t xml:space="preserve"> (1960)</w:t>
      </w:r>
      <w:r w:rsidRPr="00363E9F">
        <w:t xml:space="preserve"> also found an inverse correlation between unemployment and nuptiality for the United States, stronger during the interwar period tha</w:t>
      </w:r>
      <w:r>
        <w:t>n</w:t>
      </w:r>
      <w:r w:rsidRPr="00363E9F">
        <w:t xml:space="preserve"> after the second world war (Kirk 1960).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B733" w14:textId="77777777" w:rsidR="0065382C" w:rsidRDefault="0065382C">
    <w:pPr>
      <w:pStyle w:val="Header"/>
      <w:jc w:val="right"/>
    </w:pPr>
    <w:r>
      <w:fldChar w:fldCharType="begin"/>
    </w:r>
    <w:r>
      <w:instrText xml:space="preserve"> PAGE   \* MERGEFORMAT </w:instrText>
    </w:r>
    <w:r>
      <w:fldChar w:fldCharType="separate"/>
    </w:r>
    <w:r w:rsidR="001E006D">
      <w:rPr>
        <w:noProof/>
      </w:rPr>
      <w:t>23</w:t>
    </w:r>
    <w:r>
      <w:rPr>
        <w:noProof/>
      </w:rPr>
      <w:fldChar w:fldCharType="end"/>
    </w:r>
  </w:p>
  <w:p w14:paraId="053DBFE6" w14:textId="77777777" w:rsidR="0065382C" w:rsidRDefault="0065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523"/>
    <w:multiLevelType w:val="hybridMultilevel"/>
    <w:tmpl w:val="3030278A"/>
    <w:lvl w:ilvl="0" w:tplc="186E996C">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3A1EFB"/>
    <w:multiLevelType w:val="hybridMultilevel"/>
    <w:tmpl w:val="6F5203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2E5901"/>
    <w:multiLevelType w:val="hybridMultilevel"/>
    <w:tmpl w:val="6880696A"/>
    <w:lvl w:ilvl="0" w:tplc="186E996C">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54690A"/>
    <w:multiLevelType w:val="hybridMultilevel"/>
    <w:tmpl w:val="D7822496"/>
    <w:lvl w:ilvl="0" w:tplc="186E996C">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B3514E"/>
    <w:multiLevelType w:val="hybridMultilevel"/>
    <w:tmpl w:val="A3FA252E"/>
    <w:lvl w:ilvl="0" w:tplc="30C43EE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C75812"/>
    <w:multiLevelType w:val="hybridMultilevel"/>
    <w:tmpl w:val="C1D0F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1765837">
    <w:abstractNumId w:val="1"/>
  </w:num>
  <w:num w:numId="2" w16cid:durableId="670520964">
    <w:abstractNumId w:val="0"/>
  </w:num>
  <w:num w:numId="3" w16cid:durableId="507448347">
    <w:abstractNumId w:val="2"/>
  </w:num>
  <w:num w:numId="4" w16cid:durableId="2084135737">
    <w:abstractNumId w:val="3"/>
  </w:num>
  <w:num w:numId="5" w16cid:durableId="308678302">
    <w:abstractNumId w:val="5"/>
  </w:num>
  <w:num w:numId="6" w16cid:durableId="1121722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10"/>
    <w:rsid w:val="000024AA"/>
    <w:rsid w:val="00003742"/>
    <w:rsid w:val="0000545C"/>
    <w:rsid w:val="000112B6"/>
    <w:rsid w:val="00016558"/>
    <w:rsid w:val="000301D2"/>
    <w:rsid w:val="00030FD3"/>
    <w:rsid w:val="000360F7"/>
    <w:rsid w:val="000420DD"/>
    <w:rsid w:val="00070DE0"/>
    <w:rsid w:val="00073C5C"/>
    <w:rsid w:val="0007500F"/>
    <w:rsid w:val="000870B9"/>
    <w:rsid w:val="0009328C"/>
    <w:rsid w:val="00096BEA"/>
    <w:rsid w:val="000978EC"/>
    <w:rsid w:val="000A7AAB"/>
    <w:rsid w:val="000D4A23"/>
    <w:rsid w:val="000D5A04"/>
    <w:rsid w:val="000E1D11"/>
    <w:rsid w:val="000E2348"/>
    <w:rsid w:val="000E3382"/>
    <w:rsid w:val="000F5C32"/>
    <w:rsid w:val="001164CD"/>
    <w:rsid w:val="00160E1E"/>
    <w:rsid w:val="0016264A"/>
    <w:rsid w:val="001B7C10"/>
    <w:rsid w:val="001E006D"/>
    <w:rsid w:val="001E7090"/>
    <w:rsid w:val="001E7C94"/>
    <w:rsid w:val="001F04BC"/>
    <w:rsid w:val="001F19A2"/>
    <w:rsid w:val="0020274C"/>
    <w:rsid w:val="002102B7"/>
    <w:rsid w:val="00256789"/>
    <w:rsid w:val="00265CCC"/>
    <w:rsid w:val="00277CD8"/>
    <w:rsid w:val="00287F35"/>
    <w:rsid w:val="00294300"/>
    <w:rsid w:val="002961C7"/>
    <w:rsid w:val="002A3A55"/>
    <w:rsid w:val="002A619C"/>
    <w:rsid w:val="002C11D6"/>
    <w:rsid w:val="002D25BF"/>
    <w:rsid w:val="002D2745"/>
    <w:rsid w:val="002D3ABB"/>
    <w:rsid w:val="002E21BB"/>
    <w:rsid w:val="002F1041"/>
    <w:rsid w:val="002F116A"/>
    <w:rsid w:val="002F54EB"/>
    <w:rsid w:val="002F775E"/>
    <w:rsid w:val="00301FEE"/>
    <w:rsid w:val="003065AC"/>
    <w:rsid w:val="003174E2"/>
    <w:rsid w:val="003205CA"/>
    <w:rsid w:val="00323886"/>
    <w:rsid w:val="0036787D"/>
    <w:rsid w:val="00371B8C"/>
    <w:rsid w:val="00382C8B"/>
    <w:rsid w:val="00397857"/>
    <w:rsid w:val="003A0894"/>
    <w:rsid w:val="003B5CCF"/>
    <w:rsid w:val="003C33B9"/>
    <w:rsid w:val="003C3AC8"/>
    <w:rsid w:val="003E3255"/>
    <w:rsid w:val="003E43EB"/>
    <w:rsid w:val="003E4A76"/>
    <w:rsid w:val="003F6EFA"/>
    <w:rsid w:val="004028FF"/>
    <w:rsid w:val="00410631"/>
    <w:rsid w:val="00420463"/>
    <w:rsid w:val="004372AA"/>
    <w:rsid w:val="0043771A"/>
    <w:rsid w:val="00444221"/>
    <w:rsid w:val="0044545A"/>
    <w:rsid w:val="00445879"/>
    <w:rsid w:val="004663FE"/>
    <w:rsid w:val="00477C2A"/>
    <w:rsid w:val="0048036F"/>
    <w:rsid w:val="00495BB0"/>
    <w:rsid w:val="004A58DF"/>
    <w:rsid w:val="004D71A4"/>
    <w:rsid w:val="004E55C9"/>
    <w:rsid w:val="004F54D0"/>
    <w:rsid w:val="00511D8E"/>
    <w:rsid w:val="005147B5"/>
    <w:rsid w:val="00517EFD"/>
    <w:rsid w:val="00522548"/>
    <w:rsid w:val="005228F4"/>
    <w:rsid w:val="00530518"/>
    <w:rsid w:val="00534DB2"/>
    <w:rsid w:val="00542FE0"/>
    <w:rsid w:val="005555EB"/>
    <w:rsid w:val="00572F4E"/>
    <w:rsid w:val="005846C5"/>
    <w:rsid w:val="005A2E2D"/>
    <w:rsid w:val="005A6F95"/>
    <w:rsid w:val="005D1DB6"/>
    <w:rsid w:val="005E2F72"/>
    <w:rsid w:val="005F5B66"/>
    <w:rsid w:val="00610AE5"/>
    <w:rsid w:val="006329F7"/>
    <w:rsid w:val="00640BBE"/>
    <w:rsid w:val="00650AB8"/>
    <w:rsid w:val="0065382C"/>
    <w:rsid w:val="006737C1"/>
    <w:rsid w:val="006813B8"/>
    <w:rsid w:val="00686BCD"/>
    <w:rsid w:val="006A4F57"/>
    <w:rsid w:val="006C1F6E"/>
    <w:rsid w:val="006E5A00"/>
    <w:rsid w:val="00703C77"/>
    <w:rsid w:val="00710134"/>
    <w:rsid w:val="00723D4B"/>
    <w:rsid w:val="0073076B"/>
    <w:rsid w:val="00745D27"/>
    <w:rsid w:val="007538F9"/>
    <w:rsid w:val="0076492E"/>
    <w:rsid w:val="007720EF"/>
    <w:rsid w:val="007734DC"/>
    <w:rsid w:val="0077708B"/>
    <w:rsid w:val="00780B92"/>
    <w:rsid w:val="007A3D7F"/>
    <w:rsid w:val="007B6BE8"/>
    <w:rsid w:val="007C1239"/>
    <w:rsid w:val="007C3584"/>
    <w:rsid w:val="007C4F69"/>
    <w:rsid w:val="007C5230"/>
    <w:rsid w:val="007E2ECC"/>
    <w:rsid w:val="007E36CC"/>
    <w:rsid w:val="007F5CF5"/>
    <w:rsid w:val="00805F5E"/>
    <w:rsid w:val="00815DF8"/>
    <w:rsid w:val="00832BD8"/>
    <w:rsid w:val="00837DDB"/>
    <w:rsid w:val="00867D53"/>
    <w:rsid w:val="00871451"/>
    <w:rsid w:val="00881864"/>
    <w:rsid w:val="00886B51"/>
    <w:rsid w:val="00887918"/>
    <w:rsid w:val="00887ABA"/>
    <w:rsid w:val="008A6FBA"/>
    <w:rsid w:val="008F2D8C"/>
    <w:rsid w:val="009028A6"/>
    <w:rsid w:val="0093496C"/>
    <w:rsid w:val="00934FB4"/>
    <w:rsid w:val="00937E67"/>
    <w:rsid w:val="00947A82"/>
    <w:rsid w:val="00973E10"/>
    <w:rsid w:val="009A7FD6"/>
    <w:rsid w:val="009C04BD"/>
    <w:rsid w:val="009E2EB7"/>
    <w:rsid w:val="009F09E5"/>
    <w:rsid w:val="009F3EB1"/>
    <w:rsid w:val="00A10639"/>
    <w:rsid w:val="00A136F2"/>
    <w:rsid w:val="00A42E23"/>
    <w:rsid w:val="00A5504B"/>
    <w:rsid w:val="00A57AD9"/>
    <w:rsid w:val="00A63F7D"/>
    <w:rsid w:val="00A91D2F"/>
    <w:rsid w:val="00A92ACB"/>
    <w:rsid w:val="00AB2200"/>
    <w:rsid w:val="00AF1D92"/>
    <w:rsid w:val="00B064ED"/>
    <w:rsid w:val="00B107FC"/>
    <w:rsid w:val="00B25A97"/>
    <w:rsid w:val="00B50997"/>
    <w:rsid w:val="00B71949"/>
    <w:rsid w:val="00B73548"/>
    <w:rsid w:val="00B743F8"/>
    <w:rsid w:val="00BA7119"/>
    <w:rsid w:val="00BB594E"/>
    <w:rsid w:val="00BC14B4"/>
    <w:rsid w:val="00BD38E3"/>
    <w:rsid w:val="00BF2D63"/>
    <w:rsid w:val="00C11208"/>
    <w:rsid w:val="00C26FD2"/>
    <w:rsid w:val="00C435F0"/>
    <w:rsid w:val="00C618FA"/>
    <w:rsid w:val="00C75A64"/>
    <w:rsid w:val="00CA2D89"/>
    <w:rsid w:val="00CC285B"/>
    <w:rsid w:val="00CD0C36"/>
    <w:rsid w:val="00CD4673"/>
    <w:rsid w:val="00D00264"/>
    <w:rsid w:val="00D10DB7"/>
    <w:rsid w:val="00D20DC9"/>
    <w:rsid w:val="00D20DF4"/>
    <w:rsid w:val="00D21D10"/>
    <w:rsid w:val="00D26CD6"/>
    <w:rsid w:val="00D417B2"/>
    <w:rsid w:val="00D51578"/>
    <w:rsid w:val="00D515E7"/>
    <w:rsid w:val="00D54E21"/>
    <w:rsid w:val="00D71F98"/>
    <w:rsid w:val="00D95EA2"/>
    <w:rsid w:val="00D96F5D"/>
    <w:rsid w:val="00DA5E55"/>
    <w:rsid w:val="00DC2B54"/>
    <w:rsid w:val="00DD7F10"/>
    <w:rsid w:val="00DF3BA3"/>
    <w:rsid w:val="00E13474"/>
    <w:rsid w:val="00E34505"/>
    <w:rsid w:val="00E65FA6"/>
    <w:rsid w:val="00E742D1"/>
    <w:rsid w:val="00E909DC"/>
    <w:rsid w:val="00EC10C6"/>
    <w:rsid w:val="00ED4CF2"/>
    <w:rsid w:val="00EF3872"/>
    <w:rsid w:val="00EF4490"/>
    <w:rsid w:val="00F11C9D"/>
    <w:rsid w:val="00F17E2F"/>
    <w:rsid w:val="00F51C8C"/>
    <w:rsid w:val="00F92A4C"/>
    <w:rsid w:val="00F930DF"/>
    <w:rsid w:val="00F972CA"/>
    <w:rsid w:val="00FA0A2E"/>
    <w:rsid w:val="00FB0719"/>
    <w:rsid w:val="00FD13F3"/>
    <w:rsid w:val="00FE40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942C10E"/>
  <w15:docId w15:val="{A48AC466-B21B-4E74-B1A4-8C7DB0F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10"/>
    <w:pPr>
      <w:spacing w:after="0" w:line="276" w:lineRule="auto"/>
    </w:pPr>
    <w:rPr>
      <w:rFonts w:ascii="Calibri" w:eastAsia="Times New Roman" w:hAnsi="Calibri" w:cs="Verdana"/>
      <w:bCs/>
      <w:color w:val="000000"/>
      <w:sz w:val="24"/>
      <w:szCs w:val="20"/>
      <w:lang w:val="en-GB" w:eastAsia="en-GB"/>
    </w:rPr>
  </w:style>
  <w:style w:type="paragraph" w:styleId="Heading1">
    <w:name w:val="heading 1"/>
    <w:basedOn w:val="Normal"/>
    <w:next w:val="Normal"/>
    <w:link w:val="Heading1Char"/>
    <w:uiPriority w:val="9"/>
    <w:qFormat/>
    <w:rsid w:val="000F5C32"/>
    <w:pPr>
      <w:keepNext/>
      <w:outlineLvl w:val="0"/>
    </w:pPr>
    <w:rPr>
      <w:rFonts w:cs="Times New Roman"/>
      <w:b/>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E10"/>
    <w:pPr>
      <w:tabs>
        <w:tab w:val="center" w:pos="4252"/>
        <w:tab w:val="right" w:pos="8504"/>
      </w:tabs>
    </w:pPr>
  </w:style>
  <w:style w:type="character" w:customStyle="1" w:styleId="HeaderChar">
    <w:name w:val="Header Char"/>
    <w:basedOn w:val="DefaultParagraphFont"/>
    <w:link w:val="Header"/>
    <w:uiPriority w:val="99"/>
    <w:rsid w:val="00973E10"/>
    <w:rPr>
      <w:rFonts w:ascii="Calibri" w:eastAsia="Times New Roman" w:hAnsi="Calibri" w:cs="Verdana"/>
      <w:bCs/>
      <w:color w:val="000000"/>
      <w:sz w:val="24"/>
      <w:szCs w:val="20"/>
      <w:lang w:val="en-GB" w:eastAsia="en-GB"/>
    </w:rPr>
  </w:style>
  <w:style w:type="character" w:styleId="Hyperlink">
    <w:name w:val="Hyperlink"/>
    <w:rsid w:val="00973E10"/>
    <w:rPr>
      <w:color w:val="0000FF"/>
      <w:u w:val="single"/>
    </w:rPr>
  </w:style>
  <w:style w:type="character" w:styleId="FootnoteReference">
    <w:name w:val="footnote reference"/>
    <w:rsid w:val="00973E10"/>
    <w:rPr>
      <w:position w:val="6"/>
      <w:sz w:val="16"/>
    </w:rPr>
  </w:style>
  <w:style w:type="paragraph" w:styleId="FootnoteText">
    <w:name w:val="footnote text"/>
    <w:basedOn w:val="Normal"/>
    <w:link w:val="FootnoteTextChar"/>
    <w:rsid w:val="00973E10"/>
    <w:pPr>
      <w:overflowPunct w:val="0"/>
      <w:autoSpaceDE w:val="0"/>
      <w:autoSpaceDN w:val="0"/>
      <w:adjustRightInd w:val="0"/>
      <w:spacing w:line="240" w:lineRule="atLeast"/>
      <w:ind w:left="567" w:hanging="567"/>
      <w:jc w:val="both"/>
      <w:textAlignment w:val="baseline"/>
    </w:pPr>
    <w:rPr>
      <w:bCs w:val="0"/>
      <w:color w:val="auto"/>
      <w:sz w:val="20"/>
      <w:lang w:val="en-US" w:eastAsia="es-ES"/>
    </w:rPr>
  </w:style>
  <w:style w:type="character" w:customStyle="1" w:styleId="FootnoteTextChar">
    <w:name w:val="Footnote Text Char"/>
    <w:basedOn w:val="DefaultParagraphFont"/>
    <w:link w:val="FootnoteText"/>
    <w:rsid w:val="00973E10"/>
    <w:rPr>
      <w:rFonts w:ascii="Calibri" w:eastAsia="Times New Roman" w:hAnsi="Calibri" w:cs="Verdana"/>
      <w:sz w:val="20"/>
      <w:szCs w:val="20"/>
      <w:lang w:val="en-US" w:eastAsia="es-ES"/>
    </w:rPr>
  </w:style>
  <w:style w:type="paragraph" w:styleId="EndnoteText">
    <w:name w:val="endnote text"/>
    <w:basedOn w:val="Normal"/>
    <w:link w:val="EndnoteTextChar"/>
    <w:uiPriority w:val="99"/>
    <w:semiHidden/>
    <w:unhideWhenUsed/>
    <w:rsid w:val="00650AB8"/>
    <w:pPr>
      <w:spacing w:line="240" w:lineRule="auto"/>
    </w:pPr>
    <w:rPr>
      <w:sz w:val="20"/>
    </w:rPr>
  </w:style>
  <w:style w:type="character" w:customStyle="1" w:styleId="EndnoteTextChar">
    <w:name w:val="Endnote Text Char"/>
    <w:basedOn w:val="DefaultParagraphFont"/>
    <w:link w:val="EndnoteText"/>
    <w:uiPriority w:val="99"/>
    <w:semiHidden/>
    <w:rsid w:val="00650AB8"/>
    <w:rPr>
      <w:rFonts w:ascii="Calibri" w:eastAsia="Times New Roman" w:hAnsi="Calibri" w:cs="Verdana"/>
      <w:bCs/>
      <w:color w:val="000000"/>
      <w:sz w:val="20"/>
      <w:szCs w:val="20"/>
      <w:lang w:val="en-GB" w:eastAsia="en-GB"/>
    </w:rPr>
  </w:style>
  <w:style w:type="character" w:styleId="EndnoteReference">
    <w:name w:val="endnote reference"/>
    <w:basedOn w:val="DefaultParagraphFont"/>
    <w:uiPriority w:val="99"/>
    <w:semiHidden/>
    <w:unhideWhenUsed/>
    <w:rsid w:val="00650AB8"/>
    <w:rPr>
      <w:vertAlign w:val="superscript"/>
    </w:rPr>
  </w:style>
  <w:style w:type="character" w:styleId="Strong">
    <w:name w:val="Strong"/>
    <w:uiPriority w:val="22"/>
    <w:qFormat/>
    <w:rsid w:val="00B743F8"/>
    <w:rPr>
      <w:b/>
      <w:bCs/>
    </w:rPr>
  </w:style>
  <w:style w:type="paragraph" w:styleId="ListParagraph">
    <w:name w:val="List Paragraph"/>
    <w:basedOn w:val="Normal"/>
    <w:uiPriority w:val="34"/>
    <w:qFormat/>
    <w:rsid w:val="00B25A97"/>
    <w:pPr>
      <w:ind w:left="720"/>
      <w:contextualSpacing/>
    </w:pPr>
  </w:style>
  <w:style w:type="character" w:customStyle="1" w:styleId="Heading1Char">
    <w:name w:val="Heading 1 Char"/>
    <w:basedOn w:val="DefaultParagraphFont"/>
    <w:link w:val="Heading1"/>
    <w:uiPriority w:val="9"/>
    <w:rsid w:val="000F5C32"/>
    <w:rPr>
      <w:rFonts w:ascii="Calibri" w:eastAsia="Times New Roman" w:hAnsi="Calibri" w:cs="Times New Roman"/>
      <w:b/>
      <w:bCs/>
      <w:sz w:val="28"/>
      <w:szCs w:val="20"/>
      <w:lang w:val="x-none" w:eastAsia="x-none"/>
    </w:rPr>
  </w:style>
  <w:style w:type="paragraph" w:styleId="NormalWeb">
    <w:name w:val="Normal (Web)"/>
    <w:basedOn w:val="Normal"/>
    <w:uiPriority w:val="99"/>
    <w:rsid w:val="000F5C32"/>
    <w:pPr>
      <w:spacing w:before="100" w:beforeAutospacing="1" w:after="100" w:afterAutospacing="1"/>
    </w:pPr>
    <w:rPr>
      <w:lang w:val="es-ES"/>
    </w:rPr>
  </w:style>
  <w:style w:type="paragraph" w:customStyle="1" w:styleId="Default">
    <w:name w:val="Default"/>
    <w:rsid w:val="000F5C32"/>
    <w:pPr>
      <w:autoSpaceDE w:val="0"/>
      <w:autoSpaceDN w:val="0"/>
      <w:adjustRightInd w:val="0"/>
      <w:spacing w:after="0" w:line="240" w:lineRule="auto"/>
    </w:pPr>
    <w:rPr>
      <w:rFonts w:ascii="Code" w:eastAsia="Times New Roman" w:hAnsi="Code" w:cs="Code"/>
      <w:color w:val="000000"/>
      <w:sz w:val="24"/>
      <w:szCs w:val="24"/>
      <w:lang w:eastAsia="es-ES"/>
    </w:rPr>
  </w:style>
  <w:style w:type="character" w:styleId="Emphasis">
    <w:name w:val="Emphasis"/>
    <w:uiPriority w:val="20"/>
    <w:qFormat/>
    <w:rsid w:val="000F5C32"/>
    <w:rPr>
      <w:i/>
      <w:iCs/>
    </w:rPr>
  </w:style>
  <w:style w:type="character" w:customStyle="1" w:styleId="apple-style-span">
    <w:name w:val="apple-style-span"/>
    <w:rsid w:val="000F5C32"/>
  </w:style>
  <w:style w:type="character" w:customStyle="1" w:styleId="apple-converted-space">
    <w:name w:val="apple-converted-space"/>
    <w:rsid w:val="000F5C32"/>
  </w:style>
  <w:style w:type="character" w:customStyle="1" w:styleId="a-list-item">
    <w:name w:val="a-list-item"/>
    <w:basedOn w:val="DefaultParagraphFont"/>
    <w:rsid w:val="000F5C32"/>
  </w:style>
  <w:style w:type="paragraph" w:styleId="BalloonText">
    <w:name w:val="Balloon Text"/>
    <w:basedOn w:val="Normal"/>
    <w:link w:val="BalloonTextChar"/>
    <w:uiPriority w:val="99"/>
    <w:semiHidden/>
    <w:unhideWhenUsed/>
    <w:rsid w:val="000E33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382"/>
    <w:rPr>
      <w:rFonts w:ascii="Tahoma" w:eastAsia="Times New Roman" w:hAnsi="Tahoma" w:cs="Tahoma"/>
      <w:bCs/>
      <w:color w:val="0000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pps.bizkaia.net/ARIT/servlet/webAgentARIT" TargetMode="External"/><Relationship Id="rId18" Type="http://schemas.openxmlformats.org/officeDocument/2006/relationships/image" Target="media/image9.emf"/><Relationship Id="rId26" Type="http://schemas.openxmlformats.org/officeDocument/2006/relationships/hyperlink" Target="http://www.who.int/"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hyperlink" Target="https://doi.org/10.1007/s11205-017-1809-8"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bilbao.eus/cs/Satellite/archivosMunicipales/Consulta-de-Boletines-Estadisticos/es/1272990914934/Contenido" TargetMode="External"/><Relationship Id="rId22" Type="http://schemas.openxmlformats.org/officeDocument/2006/relationships/image" Target="media/image13.emf"/><Relationship Id="rId27" Type="http://schemas.openxmlformats.org/officeDocument/2006/relationships/hyperlink" Target="https://doi.org/10.1093/ereh/heab00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F5D8-1625-4F8F-B59C-87E0F731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9896</Words>
  <Characters>56411</Characters>
  <Application>Microsoft Office Word</Application>
  <DocSecurity>4</DocSecurity>
  <Lines>470</Lines>
  <Paragraphs>132</Paragraphs>
  <ScaleCrop>false</ScaleCrop>
  <HeadingPairs>
    <vt:vector size="2" baseType="variant">
      <vt:variant>
        <vt:lpstr>Título</vt:lpstr>
      </vt:variant>
      <vt:variant>
        <vt:i4>1</vt:i4>
      </vt:variant>
    </vt:vector>
  </HeadingPairs>
  <TitlesOfParts>
    <vt:vector size="1" baseType="lpstr">
      <vt:lpstr/>
    </vt:vector>
  </TitlesOfParts>
  <Company>Universidad Carlos III de Madrid</Company>
  <LinksUpToDate>false</LinksUpToDate>
  <CharactersWithSpaces>66175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shoupt</dc:creator>
  <cp:keywords/>
  <dc:description/>
  <cp:lastModifiedBy>Craig Baxter</cp:lastModifiedBy>
  <cp:revision>2</cp:revision>
  <cp:lastPrinted>2021-12-03T21:41:00Z</cp:lastPrinted>
  <dcterms:created xsi:type="dcterms:W3CDTF">2023-11-24T16:23:00Z</dcterms:created>
  <dcterms:modified xsi:type="dcterms:W3CDTF">2023-11-24T16:23:00Z</dcterms:modified>
</cp:coreProperties>
</file>