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2C146" w14:textId="715A4C27" w:rsidR="00F902E1" w:rsidRPr="00FE510B" w:rsidRDefault="00F902E1" w:rsidP="00F902E1">
      <w:pPr>
        <w:rPr>
          <w:rFonts w:ascii="Times" w:hAnsi="Times"/>
        </w:rPr>
      </w:pPr>
      <w:r w:rsidRPr="00FE510B">
        <w:rPr>
          <w:rFonts w:ascii="Times" w:hAnsi="Times"/>
          <w:b/>
          <w:bCs/>
        </w:rPr>
        <w:t xml:space="preserve">Supplemental Material </w:t>
      </w:r>
      <w:r>
        <w:rPr>
          <w:rFonts w:ascii="Times" w:hAnsi="Times"/>
          <w:b/>
          <w:bCs/>
        </w:rPr>
        <w:t>A</w:t>
      </w:r>
      <w:r w:rsidRPr="00FE510B">
        <w:rPr>
          <w:rFonts w:ascii="Times" w:hAnsi="Times"/>
          <w:b/>
          <w:bCs/>
        </w:rPr>
        <w:t>:</w:t>
      </w:r>
      <w:r w:rsidRPr="00FE510B">
        <w:rPr>
          <w:rFonts w:ascii="Times" w:hAnsi="Times"/>
        </w:rPr>
        <w:t xml:space="preserve"> </w:t>
      </w:r>
      <w:r>
        <w:rPr>
          <w:rFonts w:ascii="Times" w:hAnsi="Times"/>
        </w:rPr>
        <w:t>Search Terms</w:t>
      </w:r>
    </w:p>
    <w:p w14:paraId="63FDD49E" w14:textId="77777777" w:rsidR="00F902E1" w:rsidRDefault="00F902E1" w:rsidP="0042687B">
      <w:pPr>
        <w:rPr>
          <w:rFonts w:ascii="Times" w:hAnsi="Times"/>
          <w:b/>
          <w:bCs/>
        </w:rPr>
      </w:pPr>
    </w:p>
    <w:p w14:paraId="120C7B93" w14:textId="617102E2" w:rsidR="00F902E1" w:rsidRDefault="00F902E1" w:rsidP="0042687B">
      <w:pPr>
        <w:rPr>
          <w:rFonts w:ascii="Times" w:hAnsi="Times"/>
          <w:b/>
          <w:bCs/>
        </w:rPr>
      </w:pPr>
      <w:r w:rsidRPr="00F902E1">
        <w:rPr>
          <w:rFonts w:ascii="Times" w:hAnsi="Times"/>
        </w:rPr>
        <w:t>Search terms included:</w:t>
      </w:r>
      <w:r>
        <w:rPr>
          <w:rFonts w:ascii="Times" w:hAnsi="Times"/>
          <w:b/>
          <w:bCs/>
        </w:rPr>
        <w:t xml:space="preserve"> </w:t>
      </w:r>
      <w:r w:rsidRPr="00700D9D">
        <w:rPr>
          <w:rFonts w:ascii="Times New Roman" w:hAnsi="Times New Roman" w:cs="Times New Roman"/>
        </w:rPr>
        <w:t>“neurovascular”, “endovascular”, “contrast medium”, “contrast induced encephalopathy”, “encephalopathy”, “cortical blindness”, “cerebrovascular”, “neurological disease”, “blood brain barrier”, “blood-brain barrier dysfunction”, and “neurovascular unit”.</w:t>
      </w:r>
    </w:p>
    <w:p w14:paraId="48CF6E35" w14:textId="77777777" w:rsidR="00F902E1" w:rsidRDefault="00F902E1" w:rsidP="0042687B">
      <w:pPr>
        <w:rPr>
          <w:rFonts w:ascii="Times" w:hAnsi="Times"/>
          <w:b/>
          <w:bCs/>
        </w:rPr>
      </w:pPr>
    </w:p>
    <w:p w14:paraId="5C64CFBC" w14:textId="77777777" w:rsidR="00F902E1" w:rsidRDefault="00F902E1" w:rsidP="0042687B">
      <w:pPr>
        <w:rPr>
          <w:rFonts w:ascii="Times" w:hAnsi="Times"/>
          <w:b/>
          <w:bCs/>
        </w:rPr>
      </w:pPr>
    </w:p>
    <w:p w14:paraId="790A830E" w14:textId="77777777" w:rsidR="00F902E1" w:rsidRDefault="00F902E1" w:rsidP="0042687B">
      <w:pPr>
        <w:rPr>
          <w:rFonts w:ascii="Times" w:hAnsi="Times"/>
          <w:b/>
          <w:bCs/>
        </w:rPr>
      </w:pPr>
    </w:p>
    <w:p w14:paraId="36925502" w14:textId="77777777" w:rsidR="00F902E1" w:rsidRDefault="00F902E1" w:rsidP="0042687B">
      <w:pPr>
        <w:rPr>
          <w:rFonts w:ascii="Times" w:hAnsi="Times"/>
          <w:b/>
          <w:bCs/>
        </w:rPr>
      </w:pPr>
    </w:p>
    <w:p w14:paraId="3021AC9D" w14:textId="77777777" w:rsidR="00F902E1" w:rsidRDefault="00F902E1" w:rsidP="0042687B">
      <w:pPr>
        <w:rPr>
          <w:rFonts w:ascii="Times" w:hAnsi="Times"/>
          <w:b/>
          <w:bCs/>
        </w:rPr>
      </w:pPr>
    </w:p>
    <w:p w14:paraId="587BAA43" w14:textId="77777777" w:rsidR="00F902E1" w:rsidRDefault="00F902E1" w:rsidP="0042687B">
      <w:pPr>
        <w:rPr>
          <w:rFonts w:ascii="Times" w:hAnsi="Times"/>
          <w:b/>
          <w:bCs/>
        </w:rPr>
      </w:pPr>
    </w:p>
    <w:p w14:paraId="73EB237A" w14:textId="77777777" w:rsidR="00F902E1" w:rsidRDefault="00F902E1" w:rsidP="0042687B">
      <w:pPr>
        <w:rPr>
          <w:rFonts w:ascii="Times" w:hAnsi="Times"/>
          <w:b/>
          <w:bCs/>
        </w:rPr>
      </w:pPr>
    </w:p>
    <w:p w14:paraId="4F3F9BEB" w14:textId="77777777" w:rsidR="00F902E1" w:rsidRDefault="00F902E1" w:rsidP="0042687B">
      <w:pPr>
        <w:rPr>
          <w:rFonts w:ascii="Times" w:hAnsi="Times"/>
          <w:b/>
          <w:bCs/>
        </w:rPr>
      </w:pPr>
    </w:p>
    <w:p w14:paraId="716269EF" w14:textId="77777777" w:rsidR="00F902E1" w:rsidRDefault="00F902E1" w:rsidP="0042687B">
      <w:pPr>
        <w:rPr>
          <w:rFonts w:ascii="Times" w:hAnsi="Times"/>
          <w:b/>
          <w:bCs/>
        </w:rPr>
      </w:pPr>
    </w:p>
    <w:p w14:paraId="3CDEBBA4" w14:textId="77777777" w:rsidR="00F902E1" w:rsidRDefault="00F902E1" w:rsidP="0042687B">
      <w:pPr>
        <w:rPr>
          <w:rFonts w:ascii="Times" w:hAnsi="Times"/>
          <w:b/>
          <w:bCs/>
        </w:rPr>
      </w:pPr>
    </w:p>
    <w:p w14:paraId="465A6077" w14:textId="77777777" w:rsidR="00F902E1" w:rsidRDefault="00F902E1" w:rsidP="0042687B">
      <w:pPr>
        <w:rPr>
          <w:rFonts w:ascii="Times" w:hAnsi="Times"/>
          <w:b/>
          <w:bCs/>
        </w:rPr>
      </w:pPr>
    </w:p>
    <w:p w14:paraId="18AB5B39" w14:textId="77777777" w:rsidR="00F902E1" w:rsidRDefault="00F902E1" w:rsidP="0042687B">
      <w:pPr>
        <w:rPr>
          <w:rFonts w:ascii="Times" w:hAnsi="Times"/>
          <w:b/>
          <w:bCs/>
        </w:rPr>
      </w:pPr>
    </w:p>
    <w:p w14:paraId="608D60AA" w14:textId="77777777" w:rsidR="00F902E1" w:rsidRDefault="00F902E1" w:rsidP="0042687B">
      <w:pPr>
        <w:rPr>
          <w:rFonts w:ascii="Times" w:hAnsi="Times"/>
          <w:b/>
          <w:bCs/>
        </w:rPr>
      </w:pPr>
    </w:p>
    <w:p w14:paraId="7A029208" w14:textId="77777777" w:rsidR="00F902E1" w:rsidRDefault="00F902E1" w:rsidP="0042687B">
      <w:pPr>
        <w:rPr>
          <w:rFonts w:ascii="Times" w:hAnsi="Times"/>
          <w:b/>
          <w:bCs/>
        </w:rPr>
      </w:pPr>
    </w:p>
    <w:p w14:paraId="2780D09D" w14:textId="77777777" w:rsidR="00F902E1" w:rsidRDefault="00F902E1" w:rsidP="0042687B">
      <w:pPr>
        <w:rPr>
          <w:rFonts w:ascii="Times" w:hAnsi="Times"/>
          <w:b/>
          <w:bCs/>
        </w:rPr>
      </w:pPr>
    </w:p>
    <w:p w14:paraId="2A4D3F13" w14:textId="77777777" w:rsidR="00F902E1" w:rsidRDefault="00F902E1" w:rsidP="0042687B">
      <w:pPr>
        <w:rPr>
          <w:rFonts w:ascii="Times" w:hAnsi="Times"/>
          <w:b/>
          <w:bCs/>
        </w:rPr>
      </w:pPr>
    </w:p>
    <w:p w14:paraId="0352CD1F" w14:textId="77777777" w:rsidR="00F902E1" w:rsidRDefault="00F902E1" w:rsidP="0042687B">
      <w:pPr>
        <w:rPr>
          <w:rFonts w:ascii="Times" w:hAnsi="Times"/>
          <w:b/>
          <w:bCs/>
        </w:rPr>
      </w:pPr>
    </w:p>
    <w:p w14:paraId="34DF05F4" w14:textId="77777777" w:rsidR="00F902E1" w:rsidRDefault="00F902E1" w:rsidP="0042687B">
      <w:pPr>
        <w:rPr>
          <w:rFonts w:ascii="Times" w:hAnsi="Times"/>
          <w:b/>
          <w:bCs/>
        </w:rPr>
      </w:pPr>
    </w:p>
    <w:p w14:paraId="3761066F" w14:textId="77777777" w:rsidR="00F902E1" w:rsidRDefault="00F902E1" w:rsidP="0042687B">
      <w:pPr>
        <w:rPr>
          <w:rFonts w:ascii="Times" w:hAnsi="Times"/>
          <w:b/>
          <w:bCs/>
        </w:rPr>
      </w:pPr>
    </w:p>
    <w:p w14:paraId="695FFADD" w14:textId="77777777" w:rsidR="00F902E1" w:rsidRDefault="00F902E1" w:rsidP="0042687B">
      <w:pPr>
        <w:rPr>
          <w:rFonts w:ascii="Times" w:hAnsi="Times"/>
          <w:b/>
          <w:bCs/>
        </w:rPr>
      </w:pPr>
    </w:p>
    <w:p w14:paraId="6C9BB29F" w14:textId="77777777" w:rsidR="00F902E1" w:rsidRDefault="00F902E1" w:rsidP="0042687B">
      <w:pPr>
        <w:rPr>
          <w:rFonts w:ascii="Times" w:hAnsi="Times"/>
          <w:b/>
          <w:bCs/>
        </w:rPr>
      </w:pPr>
    </w:p>
    <w:p w14:paraId="7273E22B" w14:textId="77777777" w:rsidR="00F902E1" w:rsidRDefault="00F902E1" w:rsidP="0042687B">
      <w:pPr>
        <w:rPr>
          <w:rFonts w:ascii="Times" w:hAnsi="Times"/>
          <w:b/>
          <w:bCs/>
        </w:rPr>
      </w:pPr>
    </w:p>
    <w:p w14:paraId="5BCD9B80" w14:textId="77777777" w:rsidR="00F902E1" w:rsidRDefault="00F902E1" w:rsidP="0042687B">
      <w:pPr>
        <w:rPr>
          <w:rFonts w:ascii="Times" w:hAnsi="Times"/>
          <w:b/>
          <w:bCs/>
        </w:rPr>
      </w:pPr>
    </w:p>
    <w:p w14:paraId="3DC17FA5" w14:textId="77777777" w:rsidR="00F902E1" w:rsidRDefault="00F902E1" w:rsidP="0042687B">
      <w:pPr>
        <w:rPr>
          <w:rFonts w:ascii="Times" w:hAnsi="Times"/>
          <w:b/>
          <w:bCs/>
        </w:rPr>
      </w:pPr>
    </w:p>
    <w:p w14:paraId="256C9BA8" w14:textId="77777777" w:rsidR="00F902E1" w:rsidRDefault="00F902E1" w:rsidP="0042687B">
      <w:pPr>
        <w:rPr>
          <w:rFonts w:ascii="Times" w:hAnsi="Times"/>
          <w:b/>
          <w:bCs/>
        </w:rPr>
      </w:pPr>
    </w:p>
    <w:p w14:paraId="4F7DC160" w14:textId="77777777" w:rsidR="00F902E1" w:rsidRDefault="00F902E1" w:rsidP="0042687B">
      <w:pPr>
        <w:rPr>
          <w:rFonts w:ascii="Times" w:hAnsi="Times"/>
          <w:b/>
          <w:bCs/>
        </w:rPr>
      </w:pPr>
    </w:p>
    <w:p w14:paraId="42D7A8FE" w14:textId="77777777" w:rsidR="00F902E1" w:rsidRDefault="00F902E1" w:rsidP="0042687B">
      <w:pPr>
        <w:rPr>
          <w:rFonts w:ascii="Times" w:hAnsi="Times"/>
          <w:b/>
          <w:bCs/>
        </w:rPr>
      </w:pPr>
    </w:p>
    <w:p w14:paraId="15791647" w14:textId="77777777" w:rsidR="00F902E1" w:rsidRDefault="00F902E1" w:rsidP="0042687B">
      <w:pPr>
        <w:rPr>
          <w:rFonts w:ascii="Times" w:hAnsi="Times"/>
          <w:b/>
          <w:bCs/>
        </w:rPr>
      </w:pPr>
    </w:p>
    <w:p w14:paraId="43C7FC0B" w14:textId="18DC9AED" w:rsidR="0042687B" w:rsidRPr="00FE510B" w:rsidRDefault="0042687B" w:rsidP="0042687B">
      <w:pPr>
        <w:rPr>
          <w:rFonts w:ascii="Times" w:hAnsi="Times"/>
        </w:rPr>
      </w:pPr>
      <w:r w:rsidRPr="00FE510B">
        <w:rPr>
          <w:rFonts w:ascii="Times" w:hAnsi="Times"/>
          <w:b/>
          <w:bCs/>
        </w:rPr>
        <w:lastRenderedPageBreak/>
        <w:t xml:space="preserve">Supplemental Material </w:t>
      </w:r>
      <w:r w:rsidR="00F902E1">
        <w:rPr>
          <w:rFonts w:ascii="Times" w:hAnsi="Times"/>
          <w:b/>
          <w:bCs/>
        </w:rPr>
        <w:t>B</w:t>
      </w:r>
      <w:r w:rsidRPr="00FE510B">
        <w:rPr>
          <w:rFonts w:ascii="Times" w:hAnsi="Times"/>
          <w:b/>
          <w:bCs/>
        </w:rPr>
        <w:t>:</w:t>
      </w:r>
      <w:r w:rsidRPr="00FE510B">
        <w:rPr>
          <w:rFonts w:ascii="Times" w:hAnsi="Times"/>
        </w:rPr>
        <w:t xml:space="preserve"> Non-parametric statistical comparisons</w:t>
      </w:r>
    </w:p>
    <w:p w14:paraId="6A1D0BD5" w14:textId="77777777" w:rsidR="0042687B" w:rsidRPr="00FE510B" w:rsidRDefault="0042687B" w:rsidP="0042687B">
      <w:pPr>
        <w:rPr>
          <w:rFonts w:ascii="Times" w:hAnsi="Times"/>
        </w:rPr>
      </w:pPr>
    </w:p>
    <w:tbl>
      <w:tblPr>
        <w:tblStyle w:val="TableGrid"/>
        <w:tblW w:w="0" w:type="auto"/>
        <w:tblLook w:val="04A0" w:firstRow="1" w:lastRow="0" w:firstColumn="1" w:lastColumn="0" w:noHBand="0" w:noVBand="1"/>
      </w:tblPr>
      <w:tblGrid>
        <w:gridCol w:w="1142"/>
        <w:gridCol w:w="1179"/>
        <w:gridCol w:w="1955"/>
        <w:gridCol w:w="1840"/>
        <w:gridCol w:w="1964"/>
        <w:gridCol w:w="1270"/>
      </w:tblGrid>
      <w:tr w:rsidR="0042687B" w14:paraId="53C16059" w14:textId="77777777" w:rsidTr="00883709">
        <w:tc>
          <w:tcPr>
            <w:tcW w:w="2321" w:type="dxa"/>
            <w:gridSpan w:val="2"/>
          </w:tcPr>
          <w:p w14:paraId="775BE269" w14:textId="77777777" w:rsidR="0042687B" w:rsidRDefault="0042687B" w:rsidP="00883709">
            <w:r>
              <w:t>Variable</w:t>
            </w:r>
          </w:p>
        </w:tc>
        <w:tc>
          <w:tcPr>
            <w:tcW w:w="1955" w:type="dxa"/>
          </w:tcPr>
          <w:p w14:paraId="1B09D5E6" w14:textId="77777777" w:rsidR="0042687B" w:rsidRDefault="0042687B" w:rsidP="00883709">
            <w:r>
              <w:t>Age</w:t>
            </w:r>
          </w:p>
        </w:tc>
        <w:tc>
          <w:tcPr>
            <w:tcW w:w="1840" w:type="dxa"/>
          </w:tcPr>
          <w:p w14:paraId="635FA6DA" w14:textId="77777777" w:rsidR="0042687B" w:rsidRDefault="0042687B" w:rsidP="00883709">
            <w:r>
              <w:t>P-Value</w:t>
            </w:r>
          </w:p>
        </w:tc>
        <w:tc>
          <w:tcPr>
            <w:tcW w:w="1964" w:type="dxa"/>
          </w:tcPr>
          <w:p w14:paraId="6790F247" w14:textId="77777777" w:rsidR="0042687B" w:rsidRDefault="0042687B" w:rsidP="00883709">
            <w:r>
              <w:t>BMI</w:t>
            </w:r>
          </w:p>
        </w:tc>
        <w:tc>
          <w:tcPr>
            <w:tcW w:w="1270" w:type="dxa"/>
          </w:tcPr>
          <w:p w14:paraId="3EAB7C03" w14:textId="77777777" w:rsidR="0042687B" w:rsidRDefault="0042687B" w:rsidP="00883709">
            <w:r>
              <w:t>P-Value</w:t>
            </w:r>
          </w:p>
        </w:tc>
      </w:tr>
      <w:tr w:rsidR="0042687B" w14:paraId="029A1A86" w14:textId="77777777" w:rsidTr="00883709">
        <w:tc>
          <w:tcPr>
            <w:tcW w:w="1142" w:type="dxa"/>
            <w:vMerge w:val="restart"/>
          </w:tcPr>
          <w:p w14:paraId="3C9A0754" w14:textId="77777777" w:rsidR="0042687B" w:rsidRDefault="0042687B" w:rsidP="00883709">
            <w:r>
              <w:t>Sex</w:t>
            </w:r>
          </w:p>
        </w:tc>
        <w:tc>
          <w:tcPr>
            <w:tcW w:w="1179" w:type="dxa"/>
          </w:tcPr>
          <w:p w14:paraId="7C1808EA" w14:textId="77777777" w:rsidR="0042687B" w:rsidRDefault="0042687B" w:rsidP="00883709">
            <w:r>
              <w:t>Men</w:t>
            </w:r>
          </w:p>
        </w:tc>
        <w:tc>
          <w:tcPr>
            <w:tcW w:w="1955" w:type="dxa"/>
          </w:tcPr>
          <w:p w14:paraId="411AEC53" w14:textId="77777777" w:rsidR="0042687B" w:rsidRDefault="0042687B" w:rsidP="00883709">
            <w:r>
              <w:t>65.33</w:t>
            </w:r>
            <w:r>
              <w:rPr>
                <w:rFonts w:cstheme="minorHAnsi"/>
              </w:rPr>
              <w:t>±23.12</w:t>
            </w:r>
          </w:p>
        </w:tc>
        <w:tc>
          <w:tcPr>
            <w:tcW w:w="1840" w:type="dxa"/>
            <w:vMerge w:val="restart"/>
          </w:tcPr>
          <w:p w14:paraId="40E8F49C" w14:textId="77777777" w:rsidR="0042687B" w:rsidRDefault="0042687B" w:rsidP="00883709">
            <w:r>
              <w:t>1.00</w:t>
            </w:r>
          </w:p>
        </w:tc>
        <w:tc>
          <w:tcPr>
            <w:tcW w:w="1964" w:type="dxa"/>
          </w:tcPr>
          <w:p w14:paraId="43FCD0F3" w14:textId="77777777" w:rsidR="0042687B" w:rsidRDefault="0042687B" w:rsidP="00883709">
            <w:r>
              <w:t>24.60</w:t>
            </w:r>
            <w:r>
              <w:rPr>
                <w:rFonts w:cstheme="minorHAnsi"/>
              </w:rPr>
              <w:t>±2.25</w:t>
            </w:r>
          </w:p>
        </w:tc>
        <w:tc>
          <w:tcPr>
            <w:tcW w:w="1270" w:type="dxa"/>
            <w:vMerge w:val="restart"/>
          </w:tcPr>
          <w:p w14:paraId="54E8D0AB" w14:textId="77777777" w:rsidR="0042687B" w:rsidRDefault="0042687B" w:rsidP="00883709">
            <w:r>
              <w:t>0.10</w:t>
            </w:r>
          </w:p>
        </w:tc>
      </w:tr>
      <w:tr w:rsidR="0042687B" w14:paraId="40B14E3E" w14:textId="77777777" w:rsidTr="00883709">
        <w:tc>
          <w:tcPr>
            <w:tcW w:w="1142" w:type="dxa"/>
            <w:vMerge/>
          </w:tcPr>
          <w:p w14:paraId="6CF83775" w14:textId="77777777" w:rsidR="0042687B" w:rsidRDefault="0042687B" w:rsidP="00883709"/>
        </w:tc>
        <w:tc>
          <w:tcPr>
            <w:tcW w:w="1179" w:type="dxa"/>
          </w:tcPr>
          <w:p w14:paraId="097466DD" w14:textId="77777777" w:rsidR="0042687B" w:rsidRDefault="0042687B" w:rsidP="00883709">
            <w:r>
              <w:t>Women</w:t>
            </w:r>
          </w:p>
        </w:tc>
        <w:tc>
          <w:tcPr>
            <w:tcW w:w="1955" w:type="dxa"/>
          </w:tcPr>
          <w:p w14:paraId="519AF14B" w14:textId="77777777" w:rsidR="0042687B" w:rsidRDefault="0042687B" w:rsidP="00883709">
            <w:r>
              <w:t>69.00</w:t>
            </w:r>
            <w:r>
              <w:rPr>
                <w:rFonts w:cstheme="minorHAnsi"/>
              </w:rPr>
              <w:t>±18.74</w:t>
            </w:r>
          </w:p>
        </w:tc>
        <w:tc>
          <w:tcPr>
            <w:tcW w:w="1840" w:type="dxa"/>
            <w:vMerge/>
          </w:tcPr>
          <w:p w14:paraId="4027AF40" w14:textId="77777777" w:rsidR="0042687B" w:rsidRDefault="0042687B" w:rsidP="00883709"/>
        </w:tc>
        <w:tc>
          <w:tcPr>
            <w:tcW w:w="1964" w:type="dxa"/>
          </w:tcPr>
          <w:p w14:paraId="4D7AFE65" w14:textId="77777777" w:rsidR="0042687B" w:rsidRDefault="0042687B" w:rsidP="00883709">
            <w:r>
              <w:t>35.00</w:t>
            </w:r>
            <w:r>
              <w:rPr>
                <w:rFonts w:cstheme="minorHAnsi"/>
              </w:rPr>
              <w:t>±5.29</w:t>
            </w:r>
          </w:p>
        </w:tc>
        <w:tc>
          <w:tcPr>
            <w:tcW w:w="1270" w:type="dxa"/>
            <w:vMerge/>
          </w:tcPr>
          <w:p w14:paraId="027E41DC" w14:textId="77777777" w:rsidR="0042687B" w:rsidRDefault="0042687B" w:rsidP="00883709"/>
        </w:tc>
      </w:tr>
      <w:tr w:rsidR="0042687B" w14:paraId="257D32CB" w14:textId="77777777" w:rsidTr="00883709">
        <w:tc>
          <w:tcPr>
            <w:tcW w:w="1142" w:type="dxa"/>
            <w:vMerge w:val="restart"/>
          </w:tcPr>
          <w:p w14:paraId="6D1378A4" w14:textId="77777777" w:rsidR="0042687B" w:rsidRDefault="0042687B" w:rsidP="00883709">
            <w:r>
              <w:t>Diagnosis</w:t>
            </w:r>
          </w:p>
        </w:tc>
        <w:tc>
          <w:tcPr>
            <w:tcW w:w="1179" w:type="dxa"/>
          </w:tcPr>
          <w:p w14:paraId="1F080D70" w14:textId="77777777" w:rsidR="0042687B" w:rsidRDefault="0042687B" w:rsidP="00883709">
            <w:r>
              <w:t>Aneurysm</w:t>
            </w:r>
          </w:p>
        </w:tc>
        <w:tc>
          <w:tcPr>
            <w:tcW w:w="1955" w:type="dxa"/>
          </w:tcPr>
          <w:p w14:paraId="12F83DDC" w14:textId="77777777" w:rsidR="0042687B" w:rsidRDefault="0042687B" w:rsidP="00883709">
            <w:r>
              <w:t>47.50</w:t>
            </w:r>
            <w:r>
              <w:rPr>
                <w:rFonts w:cstheme="minorHAnsi"/>
              </w:rPr>
              <w:t>±9.19</w:t>
            </w:r>
          </w:p>
        </w:tc>
        <w:tc>
          <w:tcPr>
            <w:tcW w:w="1840" w:type="dxa"/>
            <w:vMerge w:val="restart"/>
          </w:tcPr>
          <w:p w14:paraId="5869CEED" w14:textId="77777777" w:rsidR="0042687B" w:rsidRDefault="0042687B" w:rsidP="00883709">
            <w:r>
              <w:t>0.13</w:t>
            </w:r>
          </w:p>
        </w:tc>
        <w:tc>
          <w:tcPr>
            <w:tcW w:w="1964" w:type="dxa"/>
          </w:tcPr>
          <w:p w14:paraId="6E34482A" w14:textId="77777777" w:rsidR="0042687B" w:rsidRDefault="0042687B" w:rsidP="00883709">
            <w:r>
              <w:t>33.40</w:t>
            </w:r>
            <w:r>
              <w:rPr>
                <w:rFonts w:cstheme="minorHAnsi"/>
              </w:rPr>
              <w:t>±10.75</w:t>
            </w:r>
          </w:p>
        </w:tc>
        <w:tc>
          <w:tcPr>
            <w:tcW w:w="1270" w:type="dxa"/>
            <w:vMerge w:val="restart"/>
          </w:tcPr>
          <w:p w14:paraId="66C16CF0" w14:textId="77777777" w:rsidR="0042687B" w:rsidRDefault="0042687B" w:rsidP="00883709">
            <w:r>
              <w:t>0.80</w:t>
            </w:r>
          </w:p>
        </w:tc>
      </w:tr>
      <w:tr w:rsidR="0042687B" w14:paraId="6D93D939" w14:textId="77777777" w:rsidTr="00883709">
        <w:tc>
          <w:tcPr>
            <w:tcW w:w="1142" w:type="dxa"/>
            <w:vMerge/>
          </w:tcPr>
          <w:p w14:paraId="4F125609" w14:textId="77777777" w:rsidR="0042687B" w:rsidRDefault="0042687B" w:rsidP="00883709"/>
        </w:tc>
        <w:tc>
          <w:tcPr>
            <w:tcW w:w="1179" w:type="dxa"/>
          </w:tcPr>
          <w:p w14:paraId="0D7B6B44" w14:textId="77777777" w:rsidR="0042687B" w:rsidRDefault="0042687B" w:rsidP="00883709">
            <w:r>
              <w:t>Stroke</w:t>
            </w:r>
          </w:p>
        </w:tc>
        <w:tc>
          <w:tcPr>
            <w:tcW w:w="1955" w:type="dxa"/>
          </w:tcPr>
          <w:p w14:paraId="52CEDAEE" w14:textId="77777777" w:rsidR="0042687B" w:rsidRDefault="0042687B" w:rsidP="00883709">
            <w:r>
              <w:t>77.00</w:t>
            </w:r>
            <w:r>
              <w:rPr>
                <w:rFonts w:cstheme="minorHAnsi"/>
              </w:rPr>
              <w:t>±13.49</w:t>
            </w:r>
          </w:p>
        </w:tc>
        <w:tc>
          <w:tcPr>
            <w:tcW w:w="1840" w:type="dxa"/>
            <w:vMerge/>
          </w:tcPr>
          <w:p w14:paraId="64B1C462" w14:textId="77777777" w:rsidR="0042687B" w:rsidRDefault="0042687B" w:rsidP="00883709"/>
        </w:tc>
        <w:tc>
          <w:tcPr>
            <w:tcW w:w="1964" w:type="dxa"/>
          </w:tcPr>
          <w:p w14:paraId="12C7E156" w14:textId="77777777" w:rsidR="0042687B" w:rsidRDefault="0042687B" w:rsidP="00883709">
            <w:r>
              <w:t>28.00</w:t>
            </w:r>
            <w:r>
              <w:rPr>
                <w:rFonts w:cstheme="minorHAnsi"/>
              </w:rPr>
              <w:t>±4.97</w:t>
            </w:r>
          </w:p>
        </w:tc>
        <w:tc>
          <w:tcPr>
            <w:tcW w:w="1270" w:type="dxa"/>
            <w:vMerge/>
          </w:tcPr>
          <w:p w14:paraId="191C4BC7" w14:textId="77777777" w:rsidR="0042687B" w:rsidRDefault="0042687B" w:rsidP="00883709"/>
        </w:tc>
      </w:tr>
    </w:tbl>
    <w:p w14:paraId="5C0147EE" w14:textId="77777777" w:rsidR="0042687B" w:rsidRDefault="0042687B" w:rsidP="0042687B"/>
    <w:tbl>
      <w:tblPr>
        <w:tblStyle w:val="TableGrid"/>
        <w:tblW w:w="0" w:type="auto"/>
        <w:tblLook w:val="04A0" w:firstRow="1" w:lastRow="0" w:firstColumn="1" w:lastColumn="0" w:noHBand="0" w:noVBand="1"/>
      </w:tblPr>
      <w:tblGrid>
        <w:gridCol w:w="2337"/>
        <w:gridCol w:w="2337"/>
        <w:gridCol w:w="2338"/>
        <w:gridCol w:w="2338"/>
      </w:tblGrid>
      <w:tr w:rsidR="0042687B" w14:paraId="6D3C1104" w14:textId="77777777" w:rsidTr="00883709">
        <w:tc>
          <w:tcPr>
            <w:tcW w:w="2337" w:type="dxa"/>
          </w:tcPr>
          <w:p w14:paraId="383168C7" w14:textId="77777777" w:rsidR="0042687B" w:rsidRDefault="0042687B" w:rsidP="00883709">
            <w:r>
              <w:t>Variable</w:t>
            </w:r>
          </w:p>
        </w:tc>
        <w:tc>
          <w:tcPr>
            <w:tcW w:w="2337" w:type="dxa"/>
          </w:tcPr>
          <w:p w14:paraId="5A8D62AC" w14:textId="77777777" w:rsidR="0042687B" w:rsidRDefault="0042687B" w:rsidP="00883709">
            <w:r>
              <w:t>Aneurysm</w:t>
            </w:r>
          </w:p>
        </w:tc>
        <w:tc>
          <w:tcPr>
            <w:tcW w:w="2338" w:type="dxa"/>
          </w:tcPr>
          <w:p w14:paraId="7D0F4C27" w14:textId="77777777" w:rsidR="0042687B" w:rsidRDefault="0042687B" w:rsidP="00883709">
            <w:r>
              <w:t>Stroke</w:t>
            </w:r>
          </w:p>
        </w:tc>
        <w:tc>
          <w:tcPr>
            <w:tcW w:w="2338" w:type="dxa"/>
          </w:tcPr>
          <w:p w14:paraId="4EE9750B" w14:textId="77777777" w:rsidR="0042687B" w:rsidRDefault="0042687B" w:rsidP="00883709">
            <w:r>
              <w:t>P-Value</w:t>
            </w:r>
          </w:p>
        </w:tc>
      </w:tr>
      <w:tr w:rsidR="0042687B" w14:paraId="12DAF752" w14:textId="77777777" w:rsidTr="00883709">
        <w:tc>
          <w:tcPr>
            <w:tcW w:w="2337" w:type="dxa"/>
          </w:tcPr>
          <w:p w14:paraId="3465C77B" w14:textId="77777777" w:rsidR="0042687B" w:rsidRDefault="0042687B" w:rsidP="00883709">
            <w:r>
              <w:t>Men</w:t>
            </w:r>
          </w:p>
        </w:tc>
        <w:tc>
          <w:tcPr>
            <w:tcW w:w="2337" w:type="dxa"/>
          </w:tcPr>
          <w:p w14:paraId="3FA28B6E" w14:textId="77777777" w:rsidR="0042687B" w:rsidRDefault="0042687B" w:rsidP="00883709">
            <w:r>
              <w:t>1</w:t>
            </w:r>
          </w:p>
        </w:tc>
        <w:tc>
          <w:tcPr>
            <w:tcW w:w="2338" w:type="dxa"/>
          </w:tcPr>
          <w:p w14:paraId="59CBDB51" w14:textId="77777777" w:rsidR="0042687B" w:rsidRDefault="0042687B" w:rsidP="00883709">
            <w:r>
              <w:t>2</w:t>
            </w:r>
          </w:p>
        </w:tc>
        <w:tc>
          <w:tcPr>
            <w:tcW w:w="2338" w:type="dxa"/>
            <w:vMerge w:val="restart"/>
          </w:tcPr>
          <w:p w14:paraId="7CA9A2E4" w14:textId="77777777" w:rsidR="0042687B" w:rsidRDefault="0042687B" w:rsidP="00883709">
            <w:r>
              <w:t>0.80</w:t>
            </w:r>
          </w:p>
        </w:tc>
      </w:tr>
      <w:tr w:rsidR="0042687B" w14:paraId="38B75D43" w14:textId="77777777" w:rsidTr="00883709">
        <w:tc>
          <w:tcPr>
            <w:tcW w:w="2337" w:type="dxa"/>
          </w:tcPr>
          <w:p w14:paraId="754ECD3E" w14:textId="77777777" w:rsidR="0042687B" w:rsidRDefault="0042687B" w:rsidP="00883709">
            <w:r>
              <w:t>Women</w:t>
            </w:r>
          </w:p>
        </w:tc>
        <w:tc>
          <w:tcPr>
            <w:tcW w:w="2337" w:type="dxa"/>
          </w:tcPr>
          <w:p w14:paraId="6B24B629" w14:textId="77777777" w:rsidR="0042687B" w:rsidRDefault="0042687B" w:rsidP="00883709">
            <w:r>
              <w:t>1</w:t>
            </w:r>
          </w:p>
        </w:tc>
        <w:tc>
          <w:tcPr>
            <w:tcW w:w="2338" w:type="dxa"/>
          </w:tcPr>
          <w:p w14:paraId="7A6D3FCC" w14:textId="77777777" w:rsidR="0042687B" w:rsidRDefault="0042687B" w:rsidP="00883709">
            <w:r>
              <w:t>2</w:t>
            </w:r>
          </w:p>
        </w:tc>
        <w:tc>
          <w:tcPr>
            <w:tcW w:w="2338" w:type="dxa"/>
            <w:vMerge/>
          </w:tcPr>
          <w:p w14:paraId="4C356D85" w14:textId="77777777" w:rsidR="0042687B" w:rsidRDefault="0042687B" w:rsidP="00883709"/>
        </w:tc>
      </w:tr>
    </w:tbl>
    <w:p w14:paraId="6D8193ED" w14:textId="77777777" w:rsidR="0042687B" w:rsidRPr="00193AFC" w:rsidRDefault="0042687B" w:rsidP="0042687B">
      <w:pPr>
        <w:widowControl w:val="0"/>
        <w:autoSpaceDE w:val="0"/>
        <w:autoSpaceDN w:val="0"/>
        <w:adjustRightInd w:val="0"/>
        <w:spacing w:before="100" w:after="100"/>
        <w:rPr>
          <w:rFonts w:ascii="Times New Roman" w:hAnsi="Times New Roman" w:cs="Times New Roman"/>
        </w:rPr>
      </w:pPr>
    </w:p>
    <w:p w14:paraId="73E4CEE9" w14:textId="77777777" w:rsidR="0042687B" w:rsidRDefault="0042687B" w:rsidP="006B3D2E">
      <w:pPr>
        <w:jc w:val="center"/>
        <w:rPr>
          <w:rFonts w:ascii="Times New Roman" w:hAnsi="Times New Roman" w:cs="Times New Roman"/>
        </w:rPr>
      </w:pPr>
    </w:p>
    <w:p w14:paraId="33D3C4C0" w14:textId="77777777" w:rsidR="0042687B" w:rsidRDefault="0042687B" w:rsidP="006B3D2E">
      <w:pPr>
        <w:jc w:val="center"/>
        <w:rPr>
          <w:rFonts w:ascii="Times New Roman" w:hAnsi="Times New Roman" w:cs="Times New Roman"/>
        </w:rPr>
      </w:pPr>
    </w:p>
    <w:p w14:paraId="3A44A8EE" w14:textId="2BE2B8AE" w:rsidR="00193AFC" w:rsidRPr="00193AFC" w:rsidRDefault="00193AFC" w:rsidP="006B3D2E">
      <w:pPr>
        <w:jc w:val="center"/>
        <w:rPr>
          <w:rFonts w:ascii="Times New Roman" w:hAnsi="Times New Roman" w:cs="Times New Roman"/>
        </w:rPr>
      </w:pPr>
      <w:r w:rsidRPr="00193AFC">
        <w:rPr>
          <w:rFonts w:ascii="Times New Roman" w:hAnsi="Times New Roman" w:cs="Times New Roman"/>
          <w:noProof/>
        </w:rPr>
        <w:lastRenderedPageBreak/>
        <w:drawing>
          <wp:inline distT="0" distB="0" distL="0" distR="0" wp14:anchorId="66A79915" wp14:editId="21D42282">
            <wp:extent cx="6898740" cy="4579997"/>
            <wp:effectExtent l="0" t="0" r="0" b="5080"/>
            <wp:docPr id="2" name="Picture 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lication&#10;&#10;Description automatically generated with medium confidence"/>
                    <pic:cNvPicPr/>
                  </pic:nvPicPr>
                  <pic:blipFill>
                    <a:blip r:embed="rId4"/>
                    <a:stretch>
                      <a:fillRect/>
                    </a:stretch>
                  </pic:blipFill>
                  <pic:spPr>
                    <a:xfrm>
                      <a:off x="0" y="0"/>
                      <a:ext cx="6922824" cy="4595986"/>
                    </a:xfrm>
                    <a:prstGeom prst="rect">
                      <a:avLst/>
                    </a:prstGeom>
                  </pic:spPr>
                </pic:pic>
              </a:graphicData>
            </a:graphic>
          </wp:inline>
        </w:drawing>
      </w:r>
    </w:p>
    <w:p w14:paraId="324A7AC5" w14:textId="6E54B380" w:rsidR="00193AFC" w:rsidRPr="00193AFC" w:rsidRDefault="00193AFC">
      <w:pPr>
        <w:rPr>
          <w:rFonts w:ascii="Times New Roman" w:hAnsi="Times New Roman" w:cs="Times New Roman"/>
        </w:rPr>
      </w:pPr>
    </w:p>
    <w:p w14:paraId="13BEBBD5" w14:textId="6D4D3759" w:rsidR="00193AFC" w:rsidRPr="00193AFC" w:rsidRDefault="00B37F4A" w:rsidP="006B3D2E">
      <w:pPr>
        <w:rPr>
          <w:rFonts w:ascii="Times New Roman" w:hAnsi="Times New Roman" w:cs="Times New Roman"/>
        </w:rPr>
      </w:pPr>
      <w:r w:rsidRPr="00193AFC">
        <w:rPr>
          <w:rFonts w:ascii="Times New Roman" w:hAnsi="Times New Roman" w:cs="Times New Roman"/>
          <w:b/>
          <w:bCs/>
        </w:rPr>
        <w:t xml:space="preserve">Supplemental Material </w:t>
      </w:r>
      <w:r w:rsidR="00F902E1">
        <w:rPr>
          <w:rFonts w:ascii="Times New Roman" w:hAnsi="Times New Roman" w:cs="Times New Roman"/>
          <w:b/>
          <w:bCs/>
        </w:rPr>
        <w:t>C</w:t>
      </w:r>
      <w:r w:rsidRPr="00193AFC">
        <w:rPr>
          <w:rFonts w:ascii="Times New Roman" w:hAnsi="Times New Roman" w:cs="Times New Roman"/>
          <w:b/>
          <w:bCs/>
        </w:rPr>
        <w:t>:</w:t>
      </w:r>
      <w:r w:rsidRPr="00193AFC">
        <w:rPr>
          <w:rFonts w:ascii="Times New Roman" w:hAnsi="Times New Roman" w:cs="Times New Roman"/>
        </w:rPr>
        <w:t xml:space="preserve"> Case </w:t>
      </w:r>
      <w:r>
        <w:rPr>
          <w:rFonts w:ascii="Times New Roman" w:hAnsi="Times New Roman" w:cs="Times New Roman"/>
        </w:rPr>
        <w:t>2</w:t>
      </w:r>
      <w:r w:rsidRPr="00193AFC">
        <w:rPr>
          <w:rFonts w:ascii="Times New Roman" w:hAnsi="Times New Roman" w:cs="Times New Roman"/>
        </w:rPr>
        <w:t xml:space="preserve">.  </w:t>
      </w:r>
      <w:r>
        <w:rPr>
          <w:rFonts w:ascii="Times New Roman" w:hAnsi="Times New Roman" w:cs="Times New Roman"/>
        </w:rPr>
        <w:t xml:space="preserve">(A) Unenhanced </w:t>
      </w:r>
      <w:r w:rsidR="007F13C0">
        <w:rPr>
          <w:rFonts w:ascii="Times New Roman" w:hAnsi="Times New Roman" w:cs="Times New Roman"/>
        </w:rPr>
        <w:t xml:space="preserve">axial </w:t>
      </w:r>
      <w:r>
        <w:rPr>
          <w:rFonts w:ascii="Times New Roman" w:hAnsi="Times New Roman" w:cs="Times New Roman"/>
        </w:rPr>
        <w:t xml:space="preserve">CT demonstrates </w:t>
      </w:r>
      <w:r w:rsidR="007F13C0">
        <w:rPr>
          <w:rFonts w:ascii="Times New Roman" w:hAnsi="Times New Roman" w:cs="Times New Roman"/>
        </w:rPr>
        <w:t xml:space="preserve">left hemispheric </w:t>
      </w:r>
      <w:r>
        <w:rPr>
          <w:rFonts w:ascii="Times New Roman" w:hAnsi="Times New Roman" w:cs="Times New Roman"/>
        </w:rPr>
        <w:t xml:space="preserve">intracerebral and subarachnoid hemorrhage. (B) CTA revealed a </w:t>
      </w:r>
      <w:r w:rsidR="007F13C0">
        <w:rPr>
          <w:rFonts w:ascii="Times New Roman" w:hAnsi="Times New Roman" w:cs="Times New Roman"/>
        </w:rPr>
        <w:t xml:space="preserve">ruptured </w:t>
      </w:r>
      <w:r>
        <w:rPr>
          <w:rFonts w:ascii="Times New Roman" w:hAnsi="Times New Roman" w:cs="Times New Roman"/>
        </w:rPr>
        <w:t xml:space="preserve">saccular aneurysm of the left middle cerebral artery (MCA) (red arrow). The patient had a history of prior bilateral MCA aneurysm clippings and left MCA aneurysm coiling. Oblique lateral view cerebral angiogram of the left ICA demonstrating </w:t>
      </w:r>
      <w:r w:rsidR="00124972">
        <w:rPr>
          <w:rFonts w:ascii="Times New Roman" w:hAnsi="Times New Roman" w:cs="Times New Roman"/>
        </w:rPr>
        <w:t>a</w:t>
      </w:r>
      <w:r>
        <w:rPr>
          <w:rFonts w:ascii="Times New Roman" w:hAnsi="Times New Roman" w:cs="Times New Roman"/>
        </w:rPr>
        <w:t xml:space="preserve"> saccular aneurysm of the left MCA (white arrow)</w:t>
      </w:r>
      <w:r w:rsidR="00124972">
        <w:rPr>
          <w:rFonts w:ascii="Times New Roman" w:hAnsi="Times New Roman" w:cs="Times New Roman"/>
        </w:rPr>
        <w:t>, pre- (C) and post-</w:t>
      </w:r>
      <w:r w:rsidR="00124972" w:rsidRPr="00124972">
        <w:rPr>
          <w:rFonts w:ascii="Times New Roman" w:hAnsi="Times New Roman" w:cs="Times New Roman"/>
        </w:rPr>
        <w:t xml:space="preserve"> </w:t>
      </w:r>
      <w:r w:rsidR="00124972">
        <w:rPr>
          <w:rFonts w:ascii="Times New Roman" w:hAnsi="Times New Roman" w:cs="Times New Roman"/>
        </w:rPr>
        <w:t>(D) stent-assisted coil embolization. A residual neck remnant was followed with serial imaging. (E) Right lateral view of the left ICA injection following repeat stent-assisted coil occlusion of the aneurysm neck. (F) Post-treatment unenhanced CT head showed left hemispheric contrast extravasation.</w:t>
      </w:r>
    </w:p>
    <w:p w14:paraId="4ABC803E" w14:textId="77777777" w:rsidR="006B3D2E" w:rsidRDefault="006B3D2E" w:rsidP="006B3D2E">
      <w:pPr>
        <w:widowControl w:val="0"/>
        <w:autoSpaceDE w:val="0"/>
        <w:autoSpaceDN w:val="0"/>
        <w:adjustRightInd w:val="0"/>
        <w:spacing w:before="100" w:after="10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1B10FF9" wp14:editId="7BC457B2">
            <wp:extent cx="7235345" cy="4680642"/>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7286232" cy="4713562"/>
                    </a:xfrm>
                    <a:prstGeom prst="rect">
                      <a:avLst/>
                    </a:prstGeom>
                  </pic:spPr>
                </pic:pic>
              </a:graphicData>
            </a:graphic>
          </wp:inline>
        </w:drawing>
      </w:r>
    </w:p>
    <w:p w14:paraId="3C909501" w14:textId="35422E17" w:rsidR="006B3D2E" w:rsidRDefault="006B3D2E" w:rsidP="006B3D2E">
      <w:pPr>
        <w:widowControl w:val="0"/>
        <w:autoSpaceDE w:val="0"/>
        <w:autoSpaceDN w:val="0"/>
        <w:adjustRightInd w:val="0"/>
        <w:spacing w:before="100" w:after="100"/>
        <w:rPr>
          <w:rFonts w:ascii="Times New Roman" w:hAnsi="Times New Roman" w:cs="Times New Roman"/>
        </w:rPr>
      </w:pPr>
      <w:r>
        <w:rPr>
          <w:rFonts w:ascii="Times New Roman" w:hAnsi="Times New Roman" w:cs="Times New Roman"/>
          <w:b/>
          <w:bCs/>
        </w:rPr>
        <w:t xml:space="preserve">Supplemental Material </w:t>
      </w:r>
      <w:r w:rsidR="00F902E1">
        <w:rPr>
          <w:rFonts w:ascii="Times New Roman" w:hAnsi="Times New Roman" w:cs="Times New Roman"/>
          <w:b/>
          <w:bCs/>
        </w:rPr>
        <w:t>D</w:t>
      </w:r>
      <w:r w:rsidRPr="00256FB5">
        <w:rPr>
          <w:rFonts w:ascii="Times New Roman" w:hAnsi="Times New Roman" w:cs="Times New Roman"/>
          <w:b/>
          <w:bCs/>
        </w:rPr>
        <w:t>:</w:t>
      </w:r>
      <w:r>
        <w:rPr>
          <w:rFonts w:ascii="Times New Roman" w:hAnsi="Times New Roman" w:cs="Times New Roman"/>
        </w:rPr>
        <w:t xml:space="preserve"> Case 3. (A) Axial Computed Tomography Angiography (CTA) demonstrates thromboembolic occlusion of the right internal carotid artery (ICA) (red arrow). (B) Clot extension was detected intracranially. Cerebral angiography of the right ICA pre- (C) and post- (D) endovascular thrombectomy (EVT), demonstrating </w:t>
      </w:r>
      <w:proofErr w:type="spellStart"/>
      <w:r>
        <w:rPr>
          <w:rFonts w:ascii="Times New Roman" w:hAnsi="Times New Roman" w:cs="Times New Roman"/>
        </w:rPr>
        <w:t>Thombolysis</w:t>
      </w:r>
      <w:proofErr w:type="spellEnd"/>
      <w:r>
        <w:rPr>
          <w:rFonts w:ascii="Times New Roman" w:hAnsi="Times New Roman" w:cs="Times New Roman"/>
        </w:rPr>
        <w:t xml:space="preserve"> in Cerebral Infarction (TICI) Grade 3 result. (E) Unenhanced CT head demonstrates contrast extravasation over the frontal (F), temporal (T), and parietal (P) regions with effaced cortical sulci and parenchymal edema. (F) Repeat CT Head 14 hours later demonstrates resolution.</w:t>
      </w:r>
    </w:p>
    <w:p w14:paraId="63ECE58F" w14:textId="77777777" w:rsidR="006B3D2E" w:rsidRDefault="006B3D2E" w:rsidP="006B3D2E">
      <w:pPr>
        <w:widowControl w:val="0"/>
        <w:autoSpaceDE w:val="0"/>
        <w:autoSpaceDN w:val="0"/>
        <w:adjustRightInd w:val="0"/>
        <w:spacing w:before="100" w:after="10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3B41BD7B" wp14:editId="455E0756">
            <wp:extent cx="7061703" cy="4715430"/>
            <wp:effectExtent l="0" t="0" r="0" b="0"/>
            <wp:docPr id="4" name="Picture 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lenda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096834" cy="4738889"/>
                    </a:xfrm>
                    <a:prstGeom prst="rect">
                      <a:avLst/>
                    </a:prstGeom>
                  </pic:spPr>
                </pic:pic>
              </a:graphicData>
            </a:graphic>
          </wp:inline>
        </w:drawing>
      </w:r>
    </w:p>
    <w:p w14:paraId="122F8CB9" w14:textId="5A70671E" w:rsidR="006B3D2E" w:rsidRDefault="006B3D2E" w:rsidP="006B3D2E">
      <w:pPr>
        <w:widowControl w:val="0"/>
        <w:autoSpaceDE w:val="0"/>
        <w:autoSpaceDN w:val="0"/>
        <w:adjustRightInd w:val="0"/>
        <w:spacing w:before="100" w:after="100"/>
        <w:rPr>
          <w:rFonts w:ascii="Times New Roman" w:hAnsi="Times New Roman" w:cs="Times New Roman"/>
        </w:rPr>
      </w:pPr>
      <w:r>
        <w:rPr>
          <w:rFonts w:ascii="Times New Roman" w:hAnsi="Times New Roman" w:cs="Times New Roman"/>
          <w:b/>
          <w:bCs/>
        </w:rPr>
        <w:t xml:space="preserve">Supplemental Material </w:t>
      </w:r>
      <w:r w:rsidR="00F902E1">
        <w:rPr>
          <w:rFonts w:ascii="Times New Roman" w:hAnsi="Times New Roman" w:cs="Times New Roman"/>
          <w:b/>
          <w:bCs/>
        </w:rPr>
        <w:t>E</w:t>
      </w:r>
      <w:r w:rsidRPr="00256FB5">
        <w:rPr>
          <w:rFonts w:ascii="Times New Roman" w:hAnsi="Times New Roman" w:cs="Times New Roman"/>
          <w:b/>
          <w:bCs/>
        </w:rPr>
        <w:t>:</w:t>
      </w:r>
      <w:r>
        <w:rPr>
          <w:rFonts w:ascii="Times New Roman" w:hAnsi="Times New Roman" w:cs="Times New Roman"/>
        </w:rPr>
        <w:t xml:space="preserve"> Case 4. (A) Coronal CTA demonstrates atherosclerotic narrowing of the right ICA (red arrow). Tandem right middle cerebral artery (MCA) thromboembolism was identified (not shown). (B) CT perfusion demonstrated increased time to peak (TTP) in the right MCA territory. Cerebral angiography of the right ICA pre- (C) and post- (D) stenting and angioplasty. The patient also underwent EVT for the right MCA embolism (not shown). (E) Unenhanced CT head demonstrates contrast extravasation over the F, T, and P regions with effaced cortical sulci and parenchymal edema. (F) Repeat CT Head 24 hours later demonstrates resolution.</w:t>
      </w:r>
    </w:p>
    <w:p w14:paraId="45364CA7" w14:textId="77777777" w:rsidR="006B3D2E" w:rsidRDefault="006B3D2E" w:rsidP="006B3D2E">
      <w:pPr>
        <w:widowControl w:val="0"/>
        <w:autoSpaceDE w:val="0"/>
        <w:autoSpaceDN w:val="0"/>
        <w:adjustRightInd w:val="0"/>
        <w:spacing w:before="100" w:after="100" w:line="360" w:lineRule="auto"/>
        <w:ind w:left="640" w:hanging="640"/>
        <w:rPr>
          <w:rFonts w:ascii="Times New Roman" w:hAnsi="Times New Roman" w:cs="Times New Roman"/>
        </w:rPr>
      </w:pPr>
      <w:r>
        <w:rPr>
          <w:rFonts w:ascii="Times New Roman" w:hAnsi="Times New Roman" w:cs="Times New Roman"/>
          <w:noProof/>
        </w:rPr>
        <w:lastRenderedPageBreak/>
        <w:drawing>
          <wp:inline distT="0" distB="0" distL="0" distR="0" wp14:anchorId="2D90A521" wp14:editId="211B9D0F">
            <wp:extent cx="7410893" cy="491086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7415588" cy="4913971"/>
                    </a:xfrm>
                    <a:prstGeom prst="rect">
                      <a:avLst/>
                    </a:prstGeom>
                  </pic:spPr>
                </pic:pic>
              </a:graphicData>
            </a:graphic>
          </wp:inline>
        </w:drawing>
      </w:r>
    </w:p>
    <w:p w14:paraId="165BFE94" w14:textId="5F07EAD5" w:rsidR="00193AFC" w:rsidRDefault="006B3D2E" w:rsidP="006B3D2E">
      <w:pPr>
        <w:widowControl w:val="0"/>
        <w:autoSpaceDE w:val="0"/>
        <w:autoSpaceDN w:val="0"/>
        <w:adjustRightInd w:val="0"/>
        <w:spacing w:before="100" w:after="100"/>
        <w:rPr>
          <w:rFonts w:ascii="Times New Roman" w:hAnsi="Times New Roman" w:cs="Times New Roman"/>
        </w:rPr>
      </w:pPr>
      <w:r>
        <w:rPr>
          <w:rFonts w:ascii="Times New Roman" w:hAnsi="Times New Roman" w:cs="Times New Roman"/>
          <w:b/>
          <w:bCs/>
        </w:rPr>
        <w:t xml:space="preserve">Supplemental Material </w:t>
      </w:r>
      <w:r w:rsidR="00F902E1">
        <w:rPr>
          <w:rFonts w:ascii="Times New Roman" w:hAnsi="Times New Roman" w:cs="Times New Roman"/>
          <w:b/>
          <w:bCs/>
        </w:rPr>
        <w:t>F</w:t>
      </w:r>
      <w:r w:rsidRPr="00256FB5">
        <w:rPr>
          <w:rFonts w:ascii="Times New Roman" w:hAnsi="Times New Roman" w:cs="Times New Roman"/>
          <w:b/>
          <w:bCs/>
        </w:rPr>
        <w:t>:</w:t>
      </w:r>
      <w:r>
        <w:rPr>
          <w:rFonts w:ascii="Times New Roman" w:hAnsi="Times New Roman" w:cs="Times New Roman"/>
        </w:rPr>
        <w:t xml:space="preserve"> Case 5. (A) Axial CTA demonstrates atherosclerotic narrowing of the right ICA (red arrow). B) CT perfusion demonstrated increased TTP in the right MCA territory. Cerebral angiography of the right ICA pre- (C) and post- (D) stenting. (E) Unenhanced CT head demonstrates contrast extravasation over the F, T, and P regions with effaced cortical sulci and parenchymal edema. (F) Repeat CT Head 24 hours later demonstrates resolution of contrast with infarcted parenchyma in the right temporal region.</w:t>
      </w:r>
    </w:p>
    <w:sectPr w:rsidR="00193AFC" w:rsidSect="00193AFC">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AFC"/>
    <w:rsid w:val="00124972"/>
    <w:rsid w:val="00193AFC"/>
    <w:rsid w:val="001A536E"/>
    <w:rsid w:val="00306ED3"/>
    <w:rsid w:val="0042687B"/>
    <w:rsid w:val="00631846"/>
    <w:rsid w:val="006B3D2E"/>
    <w:rsid w:val="006C17A0"/>
    <w:rsid w:val="00783AFB"/>
    <w:rsid w:val="007F13C0"/>
    <w:rsid w:val="009B1B66"/>
    <w:rsid w:val="00A07C70"/>
    <w:rsid w:val="00B37F4A"/>
    <w:rsid w:val="00EB387D"/>
    <w:rsid w:val="00EE1DDA"/>
    <w:rsid w:val="00F902E1"/>
    <w:rsid w:val="00FE510B"/>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F5F59D2"/>
  <w15:chartTrackingRefBased/>
  <w15:docId w15:val="{5661FC77-CC94-D54F-9D95-75AC9F9A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3AFC"/>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MacLean</dc:creator>
  <cp:keywords/>
  <dc:description/>
  <cp:lastModifiedBy>Patrick Rogers</cp:lastModifiedBy>
  <cp:revision>2</cp:revision>
  <dcterms:created xsi:type="dcterms:W3CDTF">2023-12-13T00:53:00Z</dcterms:created>
  <dcterms:modified xsi:type="dcterms:W3CDTF">2023-12-13T00:53:00Z</dcterms:modified>
</cp:coreProperties>
</file>