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4FD4" w:rsidRDefault="00E9738B" w:rsidP="00E9738B">
      <w:pPr>
        <w:rPr>
          <w:b/>
        </w:rPr>
      </w:pPr>
      <w:r>
        <w:rPr>
          <w:b/>
        </w:rPr>
        <w:t>SUPPLEMENTAL MATERIAL</w:t>
      </w:r>
    </w:p>
    <w:p w:rsidR="00E9738B" w:rsidRDefault="00E9738B" w:rsidP="00E9738B">
      <w:pPr>
        <w:rPr>
          <w:b/>
        </w:rPr>
      </w:pPr>
    </w:p>
    <w:p w:rsidR="00E9738B" w:rsidRDefault="00E9738B" w:rsidP="00E9738B">
      <w:r>
        <w:rPr>
          <w:b/>
        </w:rPr>
        <w:t>SUPPLEMENTARY FIGURE S1: STUDY FLOW DIAGRAM</w:t>
      </w:r>
    </w:p>
    <w:p w:rsidR="001A4FD4" w:rsidRDefault="00000000">
      <w:pPr>
        <w:spacing w:after="160" w:line="256" w:lineRule="auto"/>
      </w:pPr>
      <w:r>
        <w:rPr>
          <w:noProof/>
        </w:rPr>
        <w:drawing>
          <wp:inline distT="114300" distB="114300" distL="114300" distR="114300">
            <wp:extent cx="5943600" cy="3340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4FD4" w:rsidRDefault="001A4FD4">
      <w:pPr>
        <w:spacing w:after="160" w:line="256" w:lineRule="auto"/>
        <w:rPr>
          <w:b/>
          <w:sz w:val="20"/>
          <w:szCs w:val="20"/>
        </w:rPr>
      </w:pPr>
    </w:p>
    <w:p w:rsidR="001A4FD4" w:rsidRDefault="001A4FD4">
      <w:pPr>
        <w:spacing w:after="160" w:line="256" w:lineRule="auto"/>
        <w:rPr>
          <w:b/>
          <w:sz w:val="20"/>
          <w:szCs w:val="20"/>
        </w:rPr>
      </w:pPr>
    </w:p>
    <w:p w:rsidR="001A4FD4" w:rsidRDefault="001A4FD4">
      <w:pPr>
        <w:spacing w:after="160" w:line="256" w:lineRule="auto"/>
        <w:rPr>
          <w:b/>
          <w:sz w:val="20"/>
          <w:szCs w:val="20"/>
        </w:rPr>
      </w:pPr>
    </w:p>
    <w:p w:rsidR="001A4FD4" w:rsidRDefault="001A4FD4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E9738B" w:rsidRDefault="00E9738B">
      <w:pPr>
        <w:spacing w:after="160" w:line="256" w:lineRule="auto"/>
        <w:rPr>
          <w:b/>
          <w:sz w:val="20"/>
          <w:szCs w:val="20"/>
        </w:rPr>
      </w:pPr>
    </w:p>
    <w:p w:rsidR="001A4FD4" w:rsidRDefault="00000000">
      <w:pPr>
        <w:spacing w:after="160" w:line="256" w:lineRule="auto"/>
        <w:rPr>
          <w:b/>
        </w:rPr>
      </w:pPr>
      <w:r>
        <w:rPr>
          <w:b/>
          <w:sz w:val="20"/>
          <w:szCs w:val="20"/>
        </w:rPr>
        <w:lastRenderedPageBreak/>
        <w:t xml:space="preserve">SUPPLEMENTARY TABLE S1: </w:t>
      </w:r>
      <w:r>
        <w:rPr>
          <w:b/>
        </w:rPr>
        <w:t xml:space="preserve">Differences in demographic and clinical characteristics between early and delayed groups </w:t>
      </w:r>
    </w:p>
    <w:tbl>
      <w:tblPr>
        <w:tblStyle w:val="a1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26"/>
        <w:gridCol w:w="2040"/>
        <w:gridCol w:w="2245"/>
        <w:gridCol w:w="1369"/>
      </w:tblGrid>
      <w:tr w:rsidR="001A4FD4">
        <w:trPr>
          <w:trHeight w:val="540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Characteristic (n/N, % unless otherwise specified)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Earlier initiation of DOAC (0-5 days of lead-in PA)</w:t>
            </w:r>
          </w:p>
          <w:p w:rsidR="001A4F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= 176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Delayed initiation (5-21 days of lead-in PA)</w:t>
            </w:r>
          </w:p>
          <w:p w:rsidR="001A4F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= 55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-value^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(mean, SD)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44.9±17.3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48.3 ± 18.3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 (% female)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121/176 (68.8%)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37/55(67.3%)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White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129/174 (74.1%)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33/54 (61.1%)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(0.07)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Black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21/174 (12.1%)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13/54 (24.1%)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Asian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11/174 (6.3%)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2/54 (3.7%)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ind w:left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13/174 (7.5%)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6/54 (11.1%)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812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  <w:p w:rsidR="001A4FD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  <w:p w:rsidR="001A4FD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Non-Hispanic/unknown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14/174 (8.0%)</w:t>
            </w:r>
          </w:p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162/176 (92.0%)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7/54 (13.0%)</w:t>
            </w:r>
          </w:p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48/55 (87.2%)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mass index (mean, SD)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 ± 8.2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 ± 8.1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 VTE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23/176 (13.1%)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8/55 (14.5%)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history of VTE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24/174 (13.8%)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6/55 (10.9%)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head trauma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12/176 (6.8%)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4/55 (7.3%)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sinusitis/mastoiditis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17/176 (9.7%)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9/55 (16.4%)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30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12 weeks post-partum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4/175 (2.3%)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2/55 (3.6%)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Hormonal treatment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46/175 (26.3%)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10/55(18.2%)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smoking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16/174 (9.2%)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6/55 (10.9%)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features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Isolated headache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80/176 (45.5%)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16/55 (29.1%)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Focal deficit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63/176 (35.8%)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27/55 (49.1%)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(0.08)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Seizure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32/176 (18.2%)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17/55 (30.9%)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0.0002</w:t>
            </w:r>
          </w:p>
        </w:tc>
      </w:tr>
      <w:tr w:rsidR="001A4FD4">
        <w:trPr>
          <w:trHeight w:val="36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Encephalopathy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22/176 (12.5%)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12/55 (21.8%)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(0.09)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Imaging features at baseline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1A4FD4">
            <w:pPr>
              <w:rPr>
                <w:sz w:val="20"/>
                <w:szCs w:val="20"/>
              </w:rPr>
            </w:pP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  <w:t>Venous infarct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32/176 (18.2%)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12/55 (21.8%)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  <w:t>Edema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35/176 (19.9%)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21/55 (38.2%)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  <w:t>Hemorrhage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50/176 (28.4%)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29/55 (52.7%)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0.0009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cerebral vein involvement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40/176 (22.7%)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15/55 (27.3%)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UFH prior to DOAC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126/176 (71.6%)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44/55 (80.0%)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</w:t>
            </w:r>
          </w:p>
        </w:tc>
      </w:tr>
      <w:tr w:rsidR="001A4FD4">
        <w:trPr>
          <w:trHeight w:val="34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LMWH prior to DOAC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35/176 (19.9%)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25/55 (45.5%)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0.0002</w:t>
            </w:r>
          </w:p>
        </w:tc>
      </w:tr>
      <w:tr w:rsidR="001A4FD4">
        <w:trPr>
          <w:trHeight w:val="30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Intubation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6/176 (3.4%)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7/55 (12.7%)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</w:tr>
      <w:tr w:rsidR="001A4FD4">
        <w:trPr>
          <w:trHeight w:val="2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 tube placement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1/176 (0.06%)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3/55 (5.5%)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4FD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&lt;0.05</w:t>
            </w:r>
          </w:p>
        </w:tc>
      </w:tr>
    </w:tbl>
    <w:p w:rsidR="001A4FD4" w:rsidRDefault="00000000">
      <w:pPr>
        <w:keepLines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VTE - venous thromboembolism; PEG - percutaneous endoscopic gastroscopy</w:t>
      </w:r>
    </w:p>
    <w:p w:rsidR="001A4FD4" w:rsidRDefault="00000000">
      <w:pPr>
        <w:keepLines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*Abstracted from charts based on self-reported data</w:t>
      </w:r>
      <w:hyperlink r:id="rId8">
        <w:r>
          <w:rPr>
            <w:sz w:val="16"/>
            <w:szCs w:val="16"/>
          </w:rPr>
          <w:t>[7]</w:t>
        </w:r>
      </w:hyperlink>
    </w:p>
    <w:p w:rsidR="001A4FD4" w:rsidRDefault="00000000">
      <w:pPr>
        <w:keepLines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^ p-values are from Chi-square, Fisher’s Exact test, or unpaired T-tests as appropriate, and are not corrected for multiple comparisons. NS - non-significant (p&gt;0.05); NS 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>-values &lt;0.10 are included in the text in parentheses</w:t>
      </w:r>
    </w:p>
    <w:p w:rsidR="001A4FD4" w:rsidRDefault="001A4FD4">
      <w:pPr>
        <w:keepLines/>
        <w:spacing w:line="240" w:lineRule="auto"/>
        <w:rPr>
          <w:sz w:val="16"/>
          <w:szCs w:val="16"/>
        </w:rPr>
      </w:pPr>
    </w:p>
    <w:p w:rsidR="001A4FD4" w:rsidRDefault="001A4FD4">
      <w:pPr>
        <w:keepLines/>
        <w:spacing w:line="240" w:lineRule="auto"/>
        <w:rPr>
          <w:sz w:val="16"/>
          <w:szCs w:val="16"/>
        </w:rPr>
      </w:pPr>
    </w:p>
    <w:p w:rsidR="001A4FD4" w:rsidRDefault="001A4FD4">
      <w:pPr>
        <w:keepLines/>
        <w:spacing w:line="240" w:lineRule="auto"/>
        <w:rPr>
          <w:sz w:val="16"/>
          <w:szCs w:val="16"/>
        </w:rPr>
      </w:pPr>
    </w:p>
    <w:p w:rsidR="001A4FD4" w:rsidRDefault="001A4FD4" w:rsidP="00E973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sz w:val="20"/>
          <w:szCs w:val="20"/>
        </w:rPr>
      </w:pPr>
    </w:p>
    <w:sectPr w:rsidR="001A4FD4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DBE" w:rsidRDefault="00901DBE">
      <w:pPr>
        <w:spacing w:line="240" w:lineRule="auto"/>
      </w:pPr>
      <w:r>
        <w:separator/>
      </w:r>
    </w:p>
  </w:endnote>
  <w:endnote w:type="continuationSeparator" w:id="0">
    <w:p w:rsidR="00901DBE" w:rsidRDefault="00901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DBE" w:rsidRDefault="00901DBE">
      <w:pPr>
        <w:spacing w:line="240" w:lineRule="auto"/>
      </w:pPr>
      <w:r>
        <w:separator/>
      </w:r>
    </w:p>
  </w:footnote>
  <w:footnote w:type="continuationSeparator" w:id="0">
    <w:p w:rsidR="00901DBE" w:rsidRDefault="00901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4FD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9738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A704C"/>
    <w:multiLevelType w:val="multilevel"/>
    <w:tmpl w:val="D4B4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784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D4"/>
    <w:rsid w:val="001A4FD4"/>
    <w:rsid w:val="00901DBE"/>
    <w:rsid w:val="00BE5543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C1E82"/>
  <w15:docId w15:val="{5305BC3A-38B3-4A4D-B61B-16B6B4B6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UEp7cJ/D13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Field, Thalia S.</cp:lastModifiedBy>
  <cp:revision>2</cp:revision>
  <dcterms:created xsi:type="dcterms:W3CDTF">2024-10-02T20:30:00Z</dcterms:created>
  <dcterms:modified xsi:type="dcterms:W3CDTF">2024-10-02T20:30:00Z</dcterms:modified>
</cp:coreProperties>
</file>