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2E" w:rsidRPr="001D2F8D" w:rsidRDefault="00B95F2E" w:rsidP="00B95F2E">
      <w:pPr>
        <w:tabs>
          <w:tab w:val="left" w:pos="284"/>
        </w:tabs>
        <w:rPr>
          <w:rFonts w:cs="Arial"/>
          <w:bCs/>
          <w:sz w:val="20"/>
          <w:szCs w:val="20"/>
          <w:lang w:val="en-US"/>
        </w:rPr>
      </w:pPr>
      <w:r w:rsidRPr="001D2F8D">
        <w:rPr>
          <w:rFonts w:cs="Arial"/>
          <w:b/>
          <w:bCs/>
          <w:sz w:val="20"/>
          <w:szCs w:val="20"/>
          <w:lang w:val="en-US"/>
        </w:rPr>
        <w:t>Appendix 1: Milestone Consortium members and partner institutions</w:t>
      </w:r>
    </w:p>
    <w:p w:rsidR="00B95F2E" w:rsidRPr="001D2F8D" w:rsidRDefault="00B95F2E" w:rsidP="00B95F2E">
      <w:pPr>
        <w:tabs>
          <w:tab w:val="left" w:pos="284"/>
        </w:tabs>
        <w:spacing w:after="0"/>
        <w:rPr>
          <w:rFonts w:cs="Arial"/>
          <w:bCs/>
          <w:sz w:val="20"/>
          <w:szCs w:val="20"/>
          <w:lang w:val="en-US"/>
        </w:rPr>
      </w:pPr>
      <w:proofErr w:type="spellStart"/>
      <w:proofErr w:type="gramStart"/>
      <w:r w:rsidRPr="001D2F8D">
        <w:rPr>
          <w:rFonts w:cs="Arial"/>
          <w:bCs/>
          <w:sz w:val="20"/>
          <w:szCs w:val="20"/>
          <w:lang w:val="en-US"/>
        </w:rPr>
        <w:t>Swaran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 Singh, Helena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Tuomainen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, Jason Madan,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Moli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 Paul, Dieter Wolke, Jane Warwick, Alistair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Canaway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, Amanda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Tuffrey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, Anna Wilson, Charlotte Gatherer, Leanne Walker (University of Warwick, UK); Giovanni de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Girolamo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, Giulia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Signorini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 (Saint John of God Clinical Research Center, Italy);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Paramala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 Santosh (Kings College London, UK); Diane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Purper-Ouakil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, Frederick Russet,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Virginie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 Maurice (Centre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Hospitalier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Universitaire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 de Montpelier, France); Athanasios Maras, Larissa van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Bodegom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 (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Yulius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 Academy, Netherlands); Ulrike Schulze (University of Ulm, Germany); Sabine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Tremmery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,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Gaelle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Hendrickx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 (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Katholieke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Universiteit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 Leuven, Belgium); Fiona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McNicholas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 (University College Dublin, Ireland);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Tomislav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Franic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 (University Hospital Split, Croatia); Gwen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Dieleman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, Suzanne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Gerritsen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 (Erasmus Medical Centre, Netherlands); Andrea 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Wohner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 (</w:t>
      </w:r>
      <w:proofErr w:type="spellStart"/>
      <w:r w:rsidRPr="001D2F8D">
        <w:rPr>
          <w:rFonts w:cs="Arial"/>
          <w:bCs/>
          <w:sz w:val="20"/>
          <w:szCs w:val="20"/>
          <w:lang w:val="en-US"/>
        </w:rPr>
        <w:t>Concentris</w:t>
      </w:r>
      <w:proofErr w:type="spellEnd"/>
      <w:r w:rsidRPr="001D2F8D">
        <w:rPr>
          <w:rFonts w:cs="Arial"/>
          <w:bCs/>
          <w:sz w:val="20"/>
          <w:szCs w:val="20"/>
          <w:lang w:val="en-US"/>
        </w:rPr>
        <w:t xml:space="preserve"> Research Management GmbH, Germany).</w:t>
      </w:r>
      <w:proofErr w:type="gramEnd"/>
    </w:p>
    <w:p w:rsidR="00D1647C" w:rsidRPr="00B95F2E" w:rsidRDefault="00D1647C">
      <w:pPr>
        <w:rPr>
          <w:lang w:val="en-US"/>
        </w:rPr>
      </w:pPr>
      <w:bookmarkStart w:id="0" w:name="_GoBack"/>
      <w:bookmarkEnd w:id="0"/>
    </w:p>
    <w:sectPr w:rsidR="00D1647C" w:rsidRPr="00B95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2E"/>
    <w:rsid w:val="00B95F2E"/>
    <w:rsid w:val="00D1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CBD672-B380-467F-833B-F92A59E0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F2E"/>
    <w:pPr>
      <w:spacing w:line="360" w:lineRule="auto"/>
      <w:jc w:val="both"/>
    </w:pPr>
    <w:rPr>
      <w:rFonts w:ascii="Arial" w:hAnsi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Boonstra, Anouk (SP)</dc:creator>
  <cp:keywords/>
  <dc:description/>
  <cp:lastModifiedBy>Boonstra, Anouk (SP)</cp:lastModifiedBy>
  <cp:revision>1</cp:revision>
  <dcterms:created xsi:type="dcterms:W3CDTF">2023-10-13T10:04:00Z</dcterms:created>
  <dcterms:modified xsi:type="dcterms:W3CDTF">2023-10-13T10:05:00Z</dcterms:modified>
</cp:coreProperties>
</file>