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2ED6" w14:textId="1D546919" w:rsidR="003D6AA9" w:rsidRDefault="003D6AA9" w:rsidP="00847390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Supplementary material</w:t>
      </w:r>
    </w:p>
    <w:p w14:paraId="05FCC1D8" w14:textId="192DE5D0" w:rsidR="00847390" w:rsidRPr="00B221D8" w:rsidRDefault="000926D9" w:rsidP="0084739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Supplementary </w:t>
      </w:r>
      <w:r w:rsidRPr="00785CBC">
        <w:rPr>
          <w:rFonts w:ascii="Times New Roman" w:eastAsia="Times New Roman" w:hAnsi="Times New Roman" w:cs="Times New Roman"/>
          <w:b/>
          <w:bCs/>
          <w:sz w:val="24"/>
        </w:rPr>
        <w:t xml:space="preserve">Table </w:t>
      </w:r>
      <w:r>
        <w:rPr>
          <w:rFonts w:ascii="Times New Roman" w:eastAsia="Times New Roman" w:hAnsi="Times New Roman" w:cs="Times New Roman"/>
          <w:b/>
          <w:bCs/>
          <w:sz w:val="24"/>
        </w:rPr>
        <w:t>S</w:t>
      </w:r>
      <w:r w:rsidR="00273A8B">
        <w:rPr>
          <w:rFonts w:ascii="Times New Roman" w:eastAsia="Times New Roman" w:hAnsi="Times New Roman" w:cs="Times New Roman"/>
          <w:b/>
          <w:bCs/>
          <w:sz w:val="24"/>
        </w:rPr>
        <w:t>1</w:t>
      </w:r>
      <w:r w:rsidR="00847390" w:rsidRPr="00785CBC">
        <w:rPr>
          <w:rFonts w:ascii="Times New Roman" w:eastAsia="Times New Roman" w:hAnsi="Times New Roman" w:cs="Times New Roman"/>
          <w:b/>
          <w:bCs/>
          <w:sz w:val="24"/>
        </w:rPr>
        <w:t>.</w:t>
      </w:r>
      <w:r w:rsidR="00847390" w:rsidRPr="00B221D8">
        <w:rPr>
          <w:rFonts w:ascii="Times New Roman" w:eastAsia="Times New Roman" w:hAnsi="Times New Roman" w:cs="Times New Roman"/>
          <w:sz w:val="24"/>
        </w:rPr>
        <w:t xml:space="preserve"> Palmer amaranth plant mortality assessments (%) ± standard error in response to PPO-inhibiting herbicides applied POST between 2020 and 2022 in Tifton, </w:t>
      </w:r>
      <w:proofErr w:type="spellStart"/>
      <w:proofErr w:type="gramStart"/>
      <w:r w:rsidR="00847390" w:rsidRPr="00B221D8">
        <w:rPr>
          <w:rFonts w:ascii="Times New Roman" w:eastAsia="Times New Roman" w:hAnsi="Times New Roman" w:cs="Times New Roman"/>
          <w:sz w:val="24"/>
        </w:rPr>
        <w:t>GA.</w:t>
      </w:r>
      <w:r w:rsidR="00847390" w:rsidRPr="00B221D8">
        <w:rPr>
          <w:rFonts w:ascii="Times New Roman" w:eastAsia="Times New Roman" w:hAnsi="Times New Roman" w:cs="Times New Roman"/>
          <w:sz w:val="24"/>
          <w:vertAlign w:val="superscript"/>
        </w:rPr>
        <w:t>a</w:t>
      </w:r>
      <w:proofErr w:type="gramEnd"/>
      <w:r w:rsidR="00847390" w:rsidRPr="00B221D8">
        <w:rPr>
          <w:rFonts w:ascii="Times New Roman" w:eastAsia="Times New Roman" w:hAnsi="Times New Roman" w:cs="Times New Roman"/>
          <w:sz w:val="24"/>
          <w:vertAlign w:val="superscript"/>
        </w:rPr>
        <w:t>,b</w:t>
      </w:r>
      <w:proofErr w:type="spellEnd"/>
    </w:p>
    <w:tbl>
      <w:tblPr>
        <w:tblW w:w="12286" w:type="dxa"/>
        <w:tblLook w:val="04A0" w:firstRow="1" w:lastRow="0" w:firstColumn="1" w:lastColumn="0" w:noHBand="0" w:noVBand="1"/>
      </w:tblPr>
      <w:tblGrid>
        <w:gridCol w:w="1118"/>
        <w:gridCol w:w="1383"/>
        <w:gridCol w:w="1069"/>
        <w:gridCol w:w="1336"/>
        <w:gridCol w:w="1789"/>
        <w:gridCol w:w="284"/>
        <w:gridCol w:w="1270"/>
        <w:gridCol w:w="1069"/>
        <w:gridCol w:w="1336"/>
        <w:gridCol w:w="1789"/>
      </w:tblGrid>
      <w:tr w:rsidR="00847390" w:rsidRPr="00B221D8" w14:paraId="5A5C2A3B" w14:textId="77777777" w:rsidTr="00D73B17">
        <w:trPr>
          <w:trHeight w:val="277"/>
        </w:trPr>
        <w:tc>
          <w:tcPr>
            <w:tcW w:w="111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291A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 (x)</w:t>
            </w:r>
          </w:p>
          <w:p w14:paraId="772695AC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8CF6A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Susceptible population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C695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4415C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Suspected resistant population</w:t>
            </w:r>
          </w:p>
        </w:tc>
      </w:tr>
      <w:tr w:rsidR="00847390" w:rsidRPr="00B221D8" w14:paraId="6EE61CC1" w14:textId="77777777" w:rsidTr="00D73B17">
        <w:trPr>
          <w:trHeight w:val="277"/>
        </w:trPr>
        <w:tc>
          <w:tcPr>
            <w:tcW w:w="111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D0209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3DC9F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omesafen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3B94B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actofen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86410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cifluorfen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3905B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rifludimoxazin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5C508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492CE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omesafen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0CCF1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actofen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306CD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cifluorfen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8CABA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rifludimoxazin</w:t>
            </w:r>
          </w:p>
        </w:tc>
      </w:tr>
      <w:tr w:rsidR="00847390" w:rsidRPr="00B221D8" w14:paraId="25A53C3D" w14:textId="77777777" w:rsidTr="00D73B17">
        <w:trPr>
          <w:trHeight w:val="277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1A7E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095A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± 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704E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± 10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1310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± 12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2587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± 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8849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FCA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C1D2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6F81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760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47390" w:rsidRPr="00B221D8" w14:paraId="284C0C77" w14:textId="77777777" w:rsidTr="00D73B17">
        <w:trPr>
          <w:trHeight w:val="277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C042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0.0078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847D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± 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6117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± 12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733D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± 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DABA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± 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FD3F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0E1D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392B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D6CC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4872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47390" w:rsidRPr="00B221D8" w14:paraId="0664F538" w14:textId="77777777" w:rsidTr="00D73B17">
        <w:trPr>
          <w:trHeight w:val="277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FCE9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0.0156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3BA7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± 11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5AAB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± 11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4CA2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± 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95BB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± 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E73A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49B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499E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1A5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B985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47390" w:rsidRPr="00B221D8" w14:paraId="0B660044" w14:textId="77777777" w:rsidTr="00D73B17">
        <w:trPr>
          <w:trHeight w:val="277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06E9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00DE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± 15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37E4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± 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E73E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± 12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FEF4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± 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B0C7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AFD6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± 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9402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± 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06E4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± 1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1D8B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± 9</w:t>
            </w:r>
          </w:p>
        </w:tc>
      </w:tr>
      <w:tr w:rsidR="00847390" w:rsidRPr="00B221D8" w14:paraId="758E9C96" w14:textId="77777777" w:rsidTr="00D73B17">
        <w:trPr>
          <w:trHeight w:val="277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EEF7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0.0625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77C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± 11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3B40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± 10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BDB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± 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3F64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± 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9E1E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C6FB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± 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5C1C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± 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583F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± 3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1398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± 9</w:t>
            </w:r>
          </w:p>
        </w:tc>
      </w:tr>
      <w:tr w:rsidR="00847390" w:rsidRPr="00B221D8" w14:paraId="610CA29B" w14:textId="77777777" w:rsidTr="00D73B17">
        <w:trPr>
          <w:trHeight w:val="277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2CAF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4211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± 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4FD5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± 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670F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± 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8BA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± 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8FE2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964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± 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54EB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± 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8746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± 0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6258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± 7</w:t>
            </w:r>
          </w:p>
        </w:tc>
      </w:tr>
      <w:tr w:rsidR="00847390" w:rsidRPr="00B221D8" w14:paraId="3E4ED831" w14:textId="77777777" w:rsidTr="00D73B17">
        <w:trPr>
          <w:trHeight w:val="277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0FF1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5F27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± 10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2367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± 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DDCA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± 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712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± 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34FD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AF9F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± 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14D8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± 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7125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± 3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67A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± 8</w:t>
            </w:r>
          </w:p>
        </w:tc>
      </w:tr>
      <w:tr w:rsidR="00847390" w:rsidRPr="00B221D8" w14:paraId="79DAF5F4" w14:textId="77777777" w:rsidTr="00D73B17">
        <w:trPr>
          <w:trHeight w:val="277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B2EE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3A37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± 11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1D3C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± 10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44AF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± 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EF21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8641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271B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± 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1930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± 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333B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± 3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54BE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± 11</w:t>
            </w:r>
          </w:p>
        </w:tc>
      </w:tr>
      <w:tr w:rsidR="00847390" w:rsidRPr="00B221D8" w14:paraId="57AB4653" w14:textId="77777777" w:rsidTr="00D73B17">
        <w:trPr>
          <w:trHeight w:val="277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9849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1217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± 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F9EF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± 11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3025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± 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F20D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CB2B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0092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B39D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47F5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4525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47390" w:rsidRPr="00B221D8" w14:paraId="6010E2BE" w14:textId="77777777" w:rsidTr="00D73B17">
        <w:trPr>
          <w:trHeight w:val="277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CC98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D962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± 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493D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± 10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6B52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± 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118B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B26D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CA86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± 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6919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± 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A5A4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± 6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824F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± 8</w:t>
            </w:r>
          </w:p>
        </w:tc>
      </w:tr>
      <w:tr w:rsidR="00847390" w:rsidRPr="00B221D8" w14:paraId="6E6C8D90" w14:textId="77777777" w:rsidTr="00D73B17">
        <w:trPr>
          <w:trHeight w:val="277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8F42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9099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± 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0B35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± 10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E7FE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± 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B8CA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FC17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EEF9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± 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A085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± 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F4E5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± 3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C24A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± 7</w:t>
            </w:r>
          </w:p>
        </w:tc>
      </w:tr>
      <w:tr w:rsidR="00847390" w:rsidRPr="00B221D8" w14:paraId="3BFB4926" w14:textId="77777777" w:rsidTr="00D73B17">
        <w:trPr>
          <w:trHeight w:val="277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B0BE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445D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675F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7B34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75F9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A382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61BA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± 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22EC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± 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6A9D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± 1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C952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± 2</w:t>
            </w:r>
          </w:p>
        </w:tc>
      </w:tr>
      <w:tr w:rsidR="00847390" w:rsidRPr="00B221D8" w14:paraId="1C539A87" w14:textId="77777777" w:rsidTr="00D73B17">
        <w:trPr>
          <w:trHeight w:val="277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021C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B4B4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30A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AF7C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12D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D5E8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1A66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± 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6AEF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± 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2F4A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± 6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E2E8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</w:tr>
      <w:tr w:rsidR="00847390" w:rsidRPr="00B221D8" w14:paraId="286B9483" w14:textId="77777777" w:rsidTr="00D73B17">
        <w:trPr>
          <w:trHeight w:val="277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E204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9D67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4C1C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CA41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F1A8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B64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085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± 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25C8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± 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2406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± 4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E71F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</w:tr>
      <w:tr w:rsidR="00847390" w:rsidRPr="00B221D8" w14:paraId="37D148BC" w14:textId="77777777" w:rsidTr="00D73B17">
        <w:trPr>
          <w:trHeight w:val="277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2FFE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0B46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5AC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DEFB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0BA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5EDB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CE1A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± 15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8D6B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± 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10C5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± 8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39AB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</w:tr>
      <w:tr w:rsidR="00847390" w:rsidRPr="00B221D8" w14:paraId="1167A9D9" w14:textId="77777777" w:rsidTr="00D73B17">
        <w:trPr>
          <w:trHeight w:val="277"/>
        </w:trPr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0388C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6546A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11C3C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4E657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56874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5039A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82681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± 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9EA7F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± 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5D67D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± 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256C6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50EB9AFC" w14:textId="77777777" w:rsidR="00847390" w:rsidRPr="00B221D8" w:rsidRDefault="00847390" w:rsidP="00847390">
      <w:pPr>
        <w:spacing w:before="160" w:after="0" w:line="48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B221D8">
        <w:rPr>
          <w:rFonts w:ascii="Times New Roman" w:eastAsia="Times New Roman" w:hAnsi="Times New Roman" w:cs="Times New Roman"/>
          <w:sz w:val="24"/>
          <w:vertAlign w:val="superscript"/>
        </w:rPr>
        <w:t>a</w:t>
      </w:r>
      <w:r w:rsidRPr="00B221D8">
        <w:rPr>
          <w:rFonts w:ascii="Times New Roman" w:eastAsia="Times New Roman" w:hAnsi="Times New Roman" w:cs="Times New Roman"/>
          <w:sz w:val="24"/>
        </w:rPr>
        <w:t>Abbreviations</w:t>
      </w:r>
      <w:proofErr w:type="spellEnd"/>
      <w:r w:rsidRPr="00B221D8">
        <w:rPr>
          <w:rFonts w:ascii="Times New Roman" w:eastAsia="Times New Roman" w:hAnsi="Times New Roman" w:cs="Times New Roman"/>
          <w:sz w:val="24"/>
        </w:rPr>
        <w:t>: PPO, protoporphyrinogen oxidase; POST, postemergence; DAT, days after treatment</w:t>
      </w:r>
      <w:r>
        <w:rPr>
          <w:rFonts w:ascii="Times New Roman" w:eastAsia="Times New Roman" w:hAnsi="Times New Roman" w:cs="Times New Roman"/>
          <w:sz w:val="24"/>
        </w:rPr>
        <w:t>.</w:t>
      </w:r>
      <w:r w:rsidRPr="00B221D8">
        <w:rPr>
          <w:rFonts w:ascii="Times New Roman" w:eastAsia="Times New Roman" w:hAnsi="Times New Roman" w:cs="Times New Roman"/>
          <w:sz w:val="24"/>
        </w:rPr>
        <w:t xml:space="preserve"> </w:t>
      </w:r>
    </w:p>
    <w:p w14:paraId="79A59561" w14:textId="77777777" w:rsidR="00847390" w:rsidRPr="00B221D8" w:rsidRDefault="00847390" w:rsidP="0084739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B221D8">
        <w:rPr>
          <w:rFonts w:ascii="Times New Roman" w:eastAsia="Times New Roman" w:hAnsi="Times New Roman" w:cs="Times New Roman"/>
          <w:sz w:val="24"/>
          <w:vertAlign w:val="superscript"/>
        </w:rPr>
        <w:t>b</w:t>
      </w:r>
      <w:r w:rsidRPr="00B221D8">
        <w:rPr>
          <w:rFonts w:ascii="Times New Roman" w:eastAsia="Times New Roman" w:hAnsi="Times New Roman" w:cs="Times New Roman"/>
          <w:sz w:val="24"/>
        </w:rPr>
        <w:t>Palmer</w:t>
      </w:r>
      <w:proofErr w:type="spellEnd"/>
      <w:r w:rsidRPr="00B221D8">
        <w:rPr>
          <w:rFonts w:ascii="Times New Roman" w:eastAsia="Times New Roman" w:hAnsi="Times New Roman" w:cs="Times New Roman"/>
          <w:sz w:val="24"/>
        </w:rPr>
        <w:t xml:space="preserve"> amaranth mortality assessments recorded 8 DAT. Field rates (1X) included fomesafen at 420 g ai ha</w:t>
      </w:r>
      <w:r w:rsidRPr="00B221D8">
        <w:rPr>
          <w:rFonts w:ascii="Times New Roman" w:eastAsia="Times New Roman" w:hAnsi="Times New Roman" w:cs="Times New Roman"/>
          <w:sz w:val="24"/>
          <w:vertAlign w:val="superscript"/>
        </w:rPr>
        <w:t>-1</w:t>
      </w:r>
      <w:r w:rsidRPr="00B221D8">
        <w:rPr>
          <w:rFonts w:ascii="Times New Roman" w:eastAsia="Times New Roman" w:hAnsi="Times New Roman" w:cs="Times New Roman"/>
          <w:sz w:val="24"/>
        </w:rPr>
        <w:t>, lactofen at 219 g ai ha</w:t>
      </w:r>
      <w:r w:rsidRPr="00B221D8">
        <w:rPr>
          <w:rFonts w:ascii="Times New Roman" w:eastAsia="Times New Roman" w:hAnsi="Times New Roman" w:cs="Times New Roman"/>
          <w:sz w:val="24"/>
          <w:vertAlign w:val="superscript"/>
        </w:rPr>
        <w:t>-1</w:t>
      </w:r>
      <w:r w:rsidRPr="00B221D8">
        <w:rPr>
          <w:rFonts w:ascii="Times New Roman" w:eastAsia="Times New Roman" w:hAnsi="Times New Roman" w:cs="Times New Roman"/>
          <w:sz w:val="24"/>
        </w:rPr>
        <w:t>, acifluorfen at 420 g ai ha</w:t>
      </w:r>
      <w:r w:rsidRPr="00B221D8">
        <w:rPr>
          <w:rFonts w:ascii="Times New Roman" w:eastAsia="Times New Roman" w:hAnsi="Times New Roman" w:cs="Times New Roman"/>
          <w:sz w:val="24"/>
          <w:vertAlign w:val="superscript"/>
        </w:rPr>
        <w:t>-1</w:t>
      </w:r>
      <w:r w:rsidRPr="00B221D8">
        <w:rPr>
          <w:rFonts w:ascii="Times New Roman" w:eastAsia="Times New Roman" w:hAnsi="Times New Roman" w:cs="Times New Roman"/>
          <w:sz w:val="24"/>
        </w:rPr>
        <w:t>, and trifludimoxazin at 25 g ai ha</w:t>
      </w:r>
      <w:r w:rsidRPr="00B221D8">
        <w:rPr>
          <w:rFonts w:ascii="Times New Roman" w:eastAsia="Times New Roman" w:hAnsi="Times New Roman" w:cs="Times New Roman"/>
          <w:sz w:val="24"/>
          <w:vertAlign w:val="superscript"/>
        </w:rPr>
        <w:t>-1</w:t>
      </w:r>
      <w:r w:rsidRPr="00B221D8">
        <w:rPr>
          <w:rFonts w:ascii="Times New Roman" w:eastAsia="Times New Roman" w:hAnsi="Times New Roman" w:cs="Times New Roman"/>
          <w:sz w:val="24"/>
        </w:rPr>
        <w:t>. Fomesafen and acifluorfen applications included nonionic surfactant (0.25% v/v), lactofen included crop oil concentrate (1% v/v), and trifludimoxazin included methylated seed oil (1% v/v). All experimental runs included a nontreated control for comparison.</w:t>
      </w:r>
      <w:r w:rsidRPr="00B221D8">
        <w:rPr>
          <w:rFonts w:ascii="Times New Roman" w:eastAsia="Times New Roman" w:hAnsi="Times New Roman" w:cs="Times New Roman"/>
          <w:sz w:val="24"/>
        </w:rPr>
        <w:br w:type="page"/>
      </w:r>
    </w:p>
    <w:p w14:paraId="6060904A" w14:textId="050F9215" w:rsidR="00847390" w:rsidRPr="00B221D8" w:rsidRDefault="000926D9" w:rsidP="0084739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lastRenderedPageBreak/>
        <w:t xml:space="preserve">Supplementary </w:t>
      </w:r>
      <w:r w:rsidRPr="00785CBC">
        <w:rPr>
          <w:rFonts w:ascii="Times New Roman" w:eastAsia="Times New Roman" w:hAnsi="Times New Roman" w:cs="Times New Roman"/>
          <w:b/>
          <w:bCs/>
          <w:sz w:val="24"/>
        </w:rPr>
        <w:t xml:space="preserve">Table </w:t>
      </w:r>
      <w:r>
        <w:rPr>
          <w:rFonts w:ascii="Times New Roman" w:eastAsia="Times New Roman" w:hAnsi="Times New Roman" w:cs="Times New Roman"/>
          <w:b/>
          <w:bCs/>
          <w:sz w:val="24"/>
        </w:rPr>
        <w:t>S</w:t>
      </w:r>
      <w:r w:rsidR="00273A8B">
        <w:rPr>
          <w:rFonts w:ascii="Times New Roman" w:eastAsia="Times New Roman" w:hAnsi="Times New Roman" w:cs="Times New Roman"/>
          <w:b/>
          <w:bCs/>
          <w:sz w:val="24"/>
        </w:rPr>
        <w:t>2</w:t>
      </w:r>
      <w:r w:rsidR="00847390" w:rsidRPr="00785CBC">
        <w:rPr>
          <w:rFonts w:ascii="Times New Roman" w:eastAsia="Times New Roman" w:hAnsi="Times New Roman" w:cs="Times New Roman"/>
          <w:b/>
          <w:bCs/>
          <w:sz w:val="24"/>
        </w:rPr>
        <w:t>.</w:t>
      </w:r>
      <w:r w:rsidR="00847390" w:rsidRPr="00B221D8">
        <w:rPr>
          <w:rFonts w:ascii="Times New Roman" w:eastAsia="Times New Roman" w:hAnsi="Times New Roman" w:cs="Times New Roman"/>
          <w:sz w:val="24"/>
        </w:rPr>
        <w:t xml:space="preserve"> Palmer amaranth fresh-weight biomass reductions (%) ± standard error in response to PPO-inhibiting herbicides applied POST between 2020 and 2022 in Tifton, </w:t>
      </w:r>
      <w:proofErr w:type="spellStart"/>
      <w:proofErr w:type="gramStart"/>
      <w:r w:rsidR="00847390" w:rsidRPr="00B221D8">
        <w:rPr>
          <w:rFonts w:ascii="Times New Roman" w:eastAsia="Times New Roman" w:hAnsi="Times New Roman" w:cs="Times New Roman"/>
          <w:sz w:val="24"/>
        </w:rPr>
        <w:t>GA.</w:t>
      </w:r>
      <w:r w:rsidR="00847390" w:rsidRPr="00B221D8">
        <w:rPr>
          <w:rFonts w:ascii="Times New Roman" w:eastAsia="Times New Roman" w:hAnsi="Times New Roman" w:cs="Times New Roman"/>
          <w:sz w:val="24"/>
          <w:vertAlign w:val="superscript"/>
        </w:rPr>
        <w:t>a</w:t>
      </w:r>
      <w:proofErr w:type="gramEnd"/>
      <w:r w:rsidR="00847390" w:rsidRPr="00B221D8">
        <w:rPr>
          <w:rFonts w:ascii="Times New Roman" w:eastAsia="Times New Roman" w:hAnsi="Times New Roman" w:cs="Times New Roman"/>
          <w:sz w:val="24"/>
          <w:vertAlign w:val="superscript"/>
        </w:rPr>
        <w:t>,b</w:t>
      </w:r>
      <w:proofErr w:type="spellEnd"/>
      <w:r w:rsidR="00847390" w:rsidRPr="00B221D8">
        <w:rPr>
          <w:rFonts w:ascii="Times New Roman" w:eastAsia="Times New Roman" w:hAnsi="Times New Roman" w:cs="Times New Roman"/>
          <w:sz w:val="24"/>
          <w:vertAlign w:val="superscript"/>
        </w:rPr>
        <w:t xml:space="preserve">   </w:t>
      </w:r>
      <w:r w:rsidR="00847390" w:rsidRPr="00B221D8"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W w:w="12960" w:type="dxa"/>
        <w:tblLook w:val="04A0" w:firstRow="1" w:lastRow="0" w:firstColumn="1" w:lastColumn="0" w:noHBand="0" w:noVBand="1"/>
      </w:tblPr>
      <w:tblGrid>
        <w:gridCol w:w="1256"/>
        <w:gridCol w:w="1350"/>
        <w:gridCol w:w="1172"/>
        <w:gridCol w:w="1351"/>
        <w:gridCol w:w="1963"/>
        <w:gridCol w:w="276"/>
        <w:gridCol w:w="1270"/>
        <w:gridCol w:w="1119"/>
        <w:gridCol w:w="1414"/>
        <w:gridCol w:w="1789"/>
      </w:tblGrid>
      <w:tr w:rsidR="00847390" w:rsidRPr="00B221D8" w14:paraId="048FAD99" w14:textId="77777777" w:rsidTr="00D73B17">
        <w:trPr>
          <w:trHeight w:val="282"/>
        </w:trPr>
        <w:tc>
          <w:tcPr>
            <w:tcW w:w="125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5001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 (x)</w:t>
            </w:r>
          </w:p>
          <w:p w14:paraId="68E6307F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F54F9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Susceptible population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B052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807CA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Suspected resistant population</w:t>
            </w:r>
          </w:p>
        </w:tc>
      </w:tr>
      <w:tr w:rsidR="00847390" w:rsidRPr="00B221D8" w14:paraId="10F4A075" w14:textId="77777777" w:rsidTr="00D73B17">
        <w:trPr>
          <w:trHeight w:val="282"/>
        </w:trPr>
        <w:tc>
          <w:tcPr>
            <w:tcW w:w="125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37890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4E5B4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omesafen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D2FD7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actofen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111EB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cifluorfen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90A6E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rifludimoxazin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228A7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E70E7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omesafen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E0669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actofen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8E8B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cifluorfen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403DA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rifludimoxazin</w:t>
            </w:r>
          </w:p>
        </w:tc>
      </w:tr>
      <w:tr w:rsidR="00847390" w:rsidRPr="00B221D8" w14:paraId="288BAD06" w14:textId="77777777" w:rsidTr="00D73B17">
        <w:trPr>
          <w:trHeight w:val="282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6F50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1C7D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± 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CBBE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± 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F3D1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± 3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70D1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± 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DE3D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9B9B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7427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FD45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18B5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47390" w:rsidRPr="00B221D8" w14:paraId="2FC9130C" w14:textId="77777777" w:rsidTr="00D73B17">
        <w:trPr>
          <w:trHeight w:val="282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8DC8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0.0078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F9E2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± 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5732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± 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225C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± 8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ED61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± 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606E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2CA8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1AEC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AD2B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37DE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47390" w:rsidRPr="00B221D8" w14:paraId="17532823" w14:textId="77777777" w:rsidTr="00D73B17">
        <w:trPr>
          <w:trHeight w:val="282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6D34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0.0156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466C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± 12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719B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± 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0F0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± 9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DFC7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± 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882B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C045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116C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4DD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7F94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47390" w:rsidRPr="00B221D8" w14:paraId="099C5431" w14:textId="77777777" w:rsidTr="00D73B17">
        <w:trPr>
          <w:trHeight w:val="282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723F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C92F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± 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D1F0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± 10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B110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± 4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9A98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± 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5C5C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1687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± 12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2278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± 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1EE0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± 10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439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± 10</w:t>
            </w:r>
          </w:p>
        </w:tc>
      </w:tr>
      <w:tr w:rsidR="00847390" w:rsidRPr="00B221D8" w14:paraId="27FBD422" w14:textId="77777777" w:rsidTr="00D73B17">
        <w:trPr>
          <w:trHeight w:val="282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A3F5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C4C6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± 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A072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± 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F7F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± 5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0A81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± 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DFFC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C0C1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± 11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8FD8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± 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223E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± 11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7705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± 11</w:t>
            </w:r>
          </w:p>
        </w:tc>
      </w:tr>
      <w:tr w:rsidR="00847390" w:rsidRPr="00B221D8" w14:paraId="7F4CFE28" w14:textId="77777777" w:rsidTr="00D73B17">
        <w:trPr>
          <w:trHeight w:val="282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E39D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A78C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± 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7176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± 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B747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± 3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D891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± 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E7DF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54DD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± 14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900F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± 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46E6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± 9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A8EA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± 6</w:t>
            </w:r>
          </w:p>
        </w:tc>
      </w:tr>
      <w:tr w:rsidR="00847390" w:rsidRPr="00B221D8" w14:paraId="18AD80EA" w14:textId="77777777" w:rsidTr="00D73B17">
        <w:trPr>
          <w:trHeight w:val="282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4CFA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E3D2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± 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B054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± 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5377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± 1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EAFA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± 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3E47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123E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± 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B64E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± 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A9BF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± 10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F54E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± 5</w:t>
            </w:r>
          </w:p>
        </w:tc>
      </w:tr>
      <w:tr w:rsidR="00847390" w:rsidRPr="00B221D8" w14:paraId="79E0B637" w14:textId="77777777" w:rsidTr="00D73B17">
        <w:trPr>
          <w:trHeight w:val="282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40BC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6130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± 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2FB2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± 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C7E2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± 1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0BA1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± 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1A38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C490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± 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A992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± 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172F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± 6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5B6A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± 5</w:t>
            </w:r>
          </w:p>
        </w:tc>
      </w:tr>
      <w:tr w:rsidR="00847390" w:rsidRPr="00B221D8" w14:paraId="5E61289D" w14:textId="77777777" w:rsidTr="00D73B17">
        <w:trPr>
          <w:trHeight w:val="282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4B79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4595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± 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6328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± 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E374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± 1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9E99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± 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3C09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E0AF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9B59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9640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E4E7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47390" w:rsidRPr="00B221D8" w14:paraId="1E66D298" w14:textId="77777777" w:rsidTr="00D73B17">
        <w:trPr>
          <w:trHeight w:val="282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FFCD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437A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± 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574B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± 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A606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± 1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FC7C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± 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05C0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756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± 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1A41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± 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E770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± 9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7387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± 6</w:t>
            </w:r>
          </w:p>
        </w:tc>
      </w:tr>
      <w:tr w:rsidR="00847390" w:rsidRPr="00B221D8" w14:paraId="0CBDDDAD" w14:textId="77777777" w:rsidTr="00D73B17">
        <w:trPr>
          <w:trHeight w:val="282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CECF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C0E1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± 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3DE0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± 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6E7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± 1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14D5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± 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0E29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327B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± 11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6EA0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± 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D71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± 8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E3C6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± 2</w:t>
            </w:r>
          </w:p>
        </w:tc>
      </w:tr>
      <w:tr w:rsidR="00847390" w:rsidRPr="00B221D8" w14:paraId="788AC5EE" w14:textId="77777777" w:rsidTr="00D73B17">
        <w:trPr>
          <w:trHeight w:val="282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F8E8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CBED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0F7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± 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8C24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00FF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E7CB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1037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± 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FF8A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± 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FBFE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± 6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1536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± 1</w:t>
            </w:r>
          </w:p>
        </w:tc>
      </w:tr>
      <w:tr w:rsidR="00847390" w:rsidRPr="00B221D8" w14:paraId="3FCE9A61" w14:textId="77777777" w:rsidTr="00D73B17">
        <w:trPr>
          <w:trHeight w:val="282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2B7A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D670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6EE9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D3E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6CE1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BD2B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F4C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± 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A405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± 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4316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± 5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72CA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± 1</w:t>
            </w:r>
          </w:p>
        </w:tc>
      </w:tr>
      <w:tr w:rsidR="00847390" w:rsidRPr="00B221D8" w14:paraId="067F1CD8" w14:textId="77777777" w:rsidTr="00D73B17">
        <w:trPr>
          <w:trHeight w:val="282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63C3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1898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304C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AC79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8821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4297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6436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± 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3ECA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± 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96B1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± 7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A677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± 3</w:t>
            </w:r>
          </w:p>
        </w:tc>
      </w:tr>
      <w:tr w:rsidR="00847390" w:rsidRPr="00B221D8" w14:paraId="01581843" w14:textId="77777777" w:rsidTr="00D73B17">
        <w:trPr>
          <w:trHeight w:val="282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4D61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63F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0F5C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0B19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A44A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5510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5122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± 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44D1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± 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D9FE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± 3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DDD5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± 2</w:t>
            </w:r>
          </w:p>
        </w:tc>
      </w:tr>
      <w:tr w:rsidR="00847390" w:rsidRPr="00B221D8" w14:paraId="3E786D56" w14:textId="77777777" w:rsidTr="00D73B17">
        <w:trPr>
          <w:trHeight w:val="282"/>
        </w:trPr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77AB0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A7C31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B495E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A69F9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05298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D6297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C1EBC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± 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3F101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± 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1A3FB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± 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CAE54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2D074527" w14:textId="77777777" w:rsidR="00847390" w:rsidRPr="00B221D8" w:rsidRDefault="00847390" w:rsidP="00847390">
      <w:pPr>
        <w:spacing w:before="160" w:after="0" w:line="48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B221D8">
        <w:rPr>
          <w:rFonts w:ascii="Times New Roman" w:eastAsia="Times New Roman" w:hAnsi="Times New Roman" w:cs="Times New Roman"/>
          <w:sz w:val="24"/>
          <w:vertAlign w:val="superscript"/>
        </w:rPr>
        <w:t>a</w:t>
      </w:r>
      <w:r w:rsidRPr="00B221D8">
        <w:rPr>
          <w:rFonts w:ascii="Times New Roman" w:eastAsia="Times New Roman" w:hAnsi="Times New Roman" w:cs="Times New Roman"/>
          <w:sz w:val="24"/>
        </w:rPr>
        <w:t>Abbreviations</w:t>
      </w:r>
      <w:proofErr w:type="spellEnd"/>
      <w:r w:rsidRPr="00B221D8">
        <w:rPr>
          <w:rFonts w:ascii="Times New Roman" w:eastAsia="Times New Roman" w:hAnsi="Times New Roman" w:cs="Times New Roman"/>
          <w:sz w:val="24"/>
        </w:rPr>
        <w:t>: PPO, protoporphyrinogen oxidase; POST, postemergence; DAT, days after treatment</w:t>
      </w:r>
      <w:r>
        <w:rPr>
          <w:rFonts w:ascii="Times New Roman" w:eastAsia="Times New Roman" w:hAnsi="Times New Roman" w:cs="Times New Roman"/>
          <w:sz w:val="24"/>
        </w:rPr>
        <w:t>.</w:t>
      </w:r>
      <w:r w:rsidRPr="00B221D8">
        <w:rPr>
          <w:rFonts w:ascii="Times New Roman" w:eastAsia="Times New Roman" w:hAnsi="Times New Roman" w:cs="Times New Roman"/>
          <w:sz w:val="24"/>
        </w:rPr>
        <w:t xml:space="preserve"> </w:t>
      </w:r>
    </w:p>
    <w:p w14:paraId="0AF4A989" w14:textId="77777777" w:rsidR="00847390" w:rsidRPr="00B221D8" w:rsidRDefault="00847390" w:rsidP="0084739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B221D8">
        <w:rPr>
          <w:rFonts w:ascii="Times New Roman" w:eastAsia="Times New Roman" w:hAnsi="Times New Roman" w:cs="Times New Roman"/>
          <w:sz w:val="24"/>
          <w:vertAlign w:val="superscript"/>
        </w:rPr>
        <w:t>b</w:t>
      </w:r>
      <w:r w:rsidRPr="00B221D8">
        <w:rPr>
          <w:rFonts w:ascii="Times New Roman" w:eastAsia="Times New Roman" w:hAnsi="Times New Roman" w:cs="Times New Roman"/>
          <w:sz w:val="24"/>
        </w:rPr>
        <w:t>Palmer</w:t>
      </w:r>
      <w:proofErr w:type="spellEnd"/>
      <w:r w:rsidRPr="00B221D8">
        <w:rPr>
          <w:rFonts w:ascii="Times New Roman" w:eastAsia="Times New Roman" w:hAnsi="Times New Roman" w:cs="Times New Roman"/>
          <w:sz w:val="24"/>
        </w:rPr>
        <w:t xml:space="preserve"> amaranth fresh-weight biomass recorded 8 DAT. Field rates (1X) included fomesafen at 420 g ai ha</w:t>
      </w:r>
      <w:r w:rsidRPr="00B221D8">
        <w:rPr>
          <w:rFonts w:ascii="Times New Roman" w:eastAsia="Times New Roman" w:hAnsi="Times New Roman" w:cs="Times New Roman"/>
          <w:sz w:val="24"/>
          <w:vertAlign w:val="superscript"/>
        </w:rPr>
        <w:t>-1</w:t>
      </w:r>
      <w:r w:rsidRPr="00B221D8">
        <w:rPr>
          <w:rFonts w:ascii="Times New Roman" w:eastAsia="Times New Roman" w:hAnsi="Times New Roman" w:cs="Times New Roman"/>
          <w:sz w:val="24"/>
        </w:rPr>
        <w:t>, lactofen at 219 g ai ha</w:t>
      </w:r>
      <w:r w:rsidRPr="00B221D8">
        <w:rPr>
          <w:rFonts w:ascii="Times New Roman" w:eastAsia="Times New Roman" w:hAnsi="Times New Roman" w:cs="Times New Roman"/>
          <w:sz w:val="24"/>
          <w:vertAlign w:val="superscript"/>
        </w:rPr>
        <w:t>-1</w:t>
      </w:r>
      <w:r w:rsidRPr="00B221D8">
        <w:rPr>
          <w:rFonts w:ascii="Times New Roman" w:eastAsia="Times New Roman" w:hAnsi="Times New Roman" w:cs="Times New Roman"/>
          <w:sz w:val="24"/>
        </w:rPr>
        <w:t>, acifluorfen at 420 g ai ha</w:t>
      </w:r>
      <w:r w:rsidRPr="00B221D8">
        <w:rPr>
          <w:rFonts w:ascii="Times New Roman" w:eastAsia="Times New Roman" w:hAnsi="Times New Roman" w:cs="Times New Roman"/>
          <w:sz w:val="24"/>
          <w:vertAlign w:val="superscript"/>
        </w:rPr>
        <w:t>-1</w:t>
      </w:r>
      <w:r w:rsidRPr="00B221D8">
        <w:rPr>
          <w:rFonts w:ascii="Times New Roman" w:eastAsia="Times New Roman" w:hAnsi="Times New Roman" w:cs="Times New Roman"/>
          <w:sz w:val="24"/>
        </w:rPr>
        <w:t>, and trifludimoxazin at 25 g ai ha</w:t>
      </w:r>
      <w:r w:rsidRPr="00B221D8">
        <w:rPr>
          <w:rFonts w:ascii="Times New Roman" w:eastAsia="Times New Roman" w:hAnsi="Times New Roman" w:cs="Times New Roman"/>
          <w:sz w:val="24"/>
          <w:vertAlign w:val="superscript"/>
        </w:rPr>
        <w:t>-1</w:t>
      </w:r>
      <w:r w:rsidRPr="00B221D8">
        <w:rPr>
          <w:rFonts w:ascii="Times New Roman" w:eastAsia="Times New Roman" w:hAnsi="Times New Roman" w:cs="Times New Roman"/>
          <w:sz w:val="24"/>
        </w:rPr>
        <w:t>. Fomesafen and acifluorfen applications included nonionic surfactant (0.25% v/v), lactofen included crop oil concentrate (1% v/v), and trifludimoxazin included methylated seed oil (1% v/v). All experimental runs included a nontreated control for comparison.</w:t>
      </w:r>
      <w:r w:rsidRPr="00B221D8">
        <w:rPr>
          <w:rFonts w:ascii="Times New Roman" w:eastAsia="Times New Roman" w:hAnsi="Times New Roman" w:cs="Times New Roman"/>
          <w:sz w:val="24"/>
        </w:rPr>
        <w:br w:type="page"/>
      </w:r>
    </w:p>
    <w:p w14:paraId="50345DD9" w14:textId="7933DE05" w:rsidR="00847390" w:rsidRPr="00B221D8" w:rsidRDefault="000926D9" w:rsidP="00847390">
      <w:pPr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lastRenderedPageBreak/>
        <w:t xml:space="preserve">Supplementary </w:t>
      </w:r>
      <w:r w:rsidRPr="00785CBC">
        <w:rPr>
          <w:rFonts w:ascii="Times New Roman" w:eastAsia="Times New Roman" w:hAnsi="Times New Roman" w:cs="Times New Roman"/>
          <w:b/>
          <w:bCs/>
          <w:sz w:val="24"/>
        </w:rPr>
        <w:t xml:space="preserve">Table </w:t>
      </w:r>
      <w:r>
        <w:rPr>
          <w:rFonts w:ascii="Times New Roman" w:eastAsia="Times New Roman" w:hAnsi="Times New Roman" w:cs="Times New Roman"/>
          <w:b/>
          <w:bCs/>
          <w:sz w:val="24"/>
        </w:rPr>
        <w:t>S</w:t>
      </w:r>
      <w:r w:rsidR="00273A8B">
        <w:rPr>
          <w:rFonts w:ascii="Times New Roman" w:eastAsia="Times New Roman" w:hAnsi="Times New Roman" w:cs="Times New Roman"/>
          <w:b/>
          <w:bCs/>
          <w:sz w:val="24"/>
        </w:rPr>
        <w:t>3</w:t>
      </w:r>
      <w:r w:rsidR="00847390" w:rsidRPr="00785CBC">
        <w:rPr>
          <w:rFonts w:ascii="Times New Roman" w:eastAsia="Times New Roman" w:hAnsi="Times New Roman" w:cs="Times New Roman"/>
          <w:b/>
          <w:bCs/>
          <w:sz w:val="24"/>
        </w:rPr>
        <w:t xml:space="preserve">. </w:t>
      </w:r>
      <w:r w:rsidR="00847390" w:rsidRPr="00B221D8">
        <w:rPr>
          <w:rFonts w:ascii="Times New Roman" w:eastAsia="Times New Roman" w:hAnsi="Times New Roman" w:cs="Times New Roman"/>
          <w:sz w:val="24"/>
        </w:rPr>
        <w:t xml:space="preserve">Palmer amaranth plant mortality assessments (%) ± standard error in response to PPO-inhibiting herbicides applied PRE between 2020 and 2022 in Tifton, </w:t>
      </w:r>
      <w:proofErr w:type="spellStart"/>
      <w:proofErr w:type="gramStart"/>
      <w:r w:rsidR="00847390" w:rsidRPr="00B221D8">
        <w:rPr>
          <w:rFonts w:ascii="Times New Roman" w:eastAsia="Times New Roman" w:hAnsi="Times New Roman" w:cs="Times New Roman"/>
          <w:sz w:val="24"/>
        </w:rPr>
        <w:t>GA.</w:t>
      </w:r>
      <w:r w:rsidR="00847390" w:rsidRPr="00B221D8">
        <w:rPr>
          <w:rFonts w:ascii="Times New Roman" w:eastAsia="Times New Roman" w:hAnsi="Times New Roman" w:cs="Times New Roman"/>
          <w:sz w:val="24"/>
          <w:vertAlign w:val="superscript"/>
        </w:rPr>
        <w:t>a</w:t>
      </w:r>
      <w:proofErr w:type="gramEnd"/>
      <w:r w:rsidR="00847390" w:rsidRPr="00B221D8">
        <w:rPr>
          <w:rFonts w:ascii="Times New Roman" w:eastAsia="Times New Roman" w:hAnsi="Times New Roman" w:cs="Times New Roman"/>
          <w:sz w:val="24"/>
          <w:vertAlign w:val="superscript"/>
        </w:rPr>
        <w:t>,b</w:t>
      </w:r>
      <w:proofErr w:type="spellEnd"/>
    </w:p>
    <w:tbl>
      <w:tblPr>
        <w:tblW w:w="13172" w:type="dxa"/>
        <w:tblLook w:val="04A0" w:firstRow="1" w:lastRow="0" w:firstColumn="1" w:lastColumn="0" w:noHBand="0" w:noVBand="1"/>
      </w:tblPr>
      <w:tblGrid>
        <w:gridCol w:w="1005"/>
        <w:gridCol w:w="1281"/>
        <w:gridCol w:w="1442"/>
        <w:gridCol w:w="1415"/>
        <w:gridCol w:w="1806"/>
        <w:gridCol w:w="279"/>
        <w:gridCol w:w="1281"/>
        <w:gridCol w:w="1442"/>
        <w:gridCol w:w="1415"/>
        <w:gridCol w:w="1806"/>
      </w:tblGrid>
      <w:tr w:rsidR="00847390" w:rsidRPr="00B221D8" w14:paraId="195476D0" w14:textId="77777777" w:rsidTr="00D73B17">
        <w:trPr>
          <w:trHeight w:val="324"/>
        </w:trPr>
        <w:tc>
          <w:tcPr>
            <w:tcW w:w="100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1F35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 (x)</w:t>
            </w:r>
          </w:p>
          <w:p w14:paraId="3A16F1C5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5F147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Susceptible population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FB0D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CD56C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Suspected resistant population</w:t>
            </w:r>
          </w:p>
        </w:tc>
      </w:tr>
      <w:tr w:rsidR="00847390" w:rsidRPr="00B221D8" w14:paraId="2444E109" w14:textId="77777777" w:rsidTr="00D73B17">
        <w:trPr>
          <w:trHeight w:val="324"/>
        </w:trPr>
        <w:tc>
          <w:tcPr>
            <w:tcW w:w="100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ED696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B2E34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omesafen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86871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lumioxazin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B91F0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xyflurofen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A8AB0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rifludimoxazin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76E5C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192E4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omesafen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D1C00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lumioxazin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830C6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xyflurofen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3F0AC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rifludimoxazin</w:t>
            </w:r>
          </w:p>
        </w:tc>
      </w:tr>
      <w:tr w:rsidR="00847390" w:rsidRPr="00B221D8" w14:paraId="075A8959" w14:textId="77777777" w:rsidTr="00D73B17">
        <w:trPr>
          <w:trHeight w:val="32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D523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0.00137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6267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D639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± 13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0E9E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± 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88EF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± 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01E1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F266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0ED8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3B81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7ED6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47390" w:rsidRPr="00B221D8" w14:paraId="2A7F6984" w14:textId="77777777" w:rsidTr="00D73B17">
        <w:trPr>
          <w:trHeight w:val="32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D840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DC94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DEA0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± 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7731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± 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6F2F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± 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5CDA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FDED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21B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9722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DBA7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47390" w:rsidRPr="00B221D8" w14:paraId="0D0443C3" w14:textId="77777777" w:rsidTr="00D73B17">
        <w:trPr>
          <w:trHeight w:val="32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AA3E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FCB2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± 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E8FE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± 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382E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29BB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CFC9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3E97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0856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B125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B37A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47390" w:rsidRPr="00B221D8" w14:paraId="05DF98D8" w14:textId="77777777" w:rsidTr="00D73B17">
        <w:trPr>
          <w:trHeight w:val="32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4DA7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FA41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± 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4962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102A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± 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F3C0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D416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0078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± 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E971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± 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529D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± 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449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± 7</w:t>
            </w:r>
          </w:p>
        </w:tc>
      </w:tr>
      <w:tr w:rsidR="00847390" w:rsidRPr="00B221D8" w14:paraId="6421FE6E" w14:textId="77777777" w:rsidTr="00D73B17">
        <w:trPr>
          <w:trHeight w:val="32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36FC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5B4E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± 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9F9F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59E6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9CCE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52EA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D12B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± 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49B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± 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FADF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0240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47390" w:rsidRPr="00B221D8" w14:paraId="4BAA3789" w14:textId="77777777" w:rsidTr="00D73B17">
        <w:trPr>
          <w:trHeight w:val="32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B01D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ED1B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± 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CA7F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51FE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274F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D7B7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7566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± 11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B5CD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5AF5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288B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47390" w:rsidRPr="00B221D8" w14:paraId="47628499" w14:textId="77777777" w:rsidTr="00D73B17">
        <w:trPr>
          <w:trHeight w:val="32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50D8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52A7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± 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7E86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BAD0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9920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391D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FB3B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± 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DD46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B447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C65C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47390" w:rsidRPr="00B221D8" w14:paraId="52E82CB9" w14:textId="77777777" w:rsidTr="00D73B17">
        <w:trPr>
          <w:trHeight w:val="32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BEDF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29F6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77A4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AE09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78FE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8D6D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70AE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± 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942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± 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BCCA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± 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3C18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± 9</w:t>
            </w:r>
          </w:p>
        </w:tc>
      </w:tr>
      <w:tr w:rsidR="00847390" w:rsidRPr="00B221D8" w14:paraId="5DD6D1A7" w14:textId="77777777" w:rsidTr="00D73B17">
        <w:trPr>
          <w:trHeight w:val="32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A467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CC2C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9C2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B0A0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AFA9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AF72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AC70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± 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209F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6F18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C4F6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47390" w:rsidRPr="00B221D8" w14:paraId="7B9699EA" w14:textId="77777777" w:rsidTr="00D73B17">
        <w:trPr>
          <w:trHeight w:val="32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EE07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4DC5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667F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C72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81F9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1BC0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7CF9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± 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4FC7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± 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276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± 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CD3F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± 1</w:t>
            </w:r>
          </w:p>
        </w:tc>
      </w:tr>
      <w:tr w:rsidR="00847390" w:rsidRPr="00B221D8" w14:paraId="02734C3E" w14:textId="77777777" w:rsidTr="00D73B17">
        <w:trPr>
          <w:trHeight w:val="32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9068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BCEB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8D16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7FCE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AA25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4301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6298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± 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23E7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4815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2E6F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47390" w:rsidRPr="00B221D8" w14:paraId="10945CB1" w14:textId="77777777" w:rsidTr="00D73B17">
        <w:trPr>
          <w:trHeight w:val="32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99ED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E3CD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23FD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65C5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0DA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DC3D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E89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± 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3621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± 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6AF4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± 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D9BF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± 0</w:t>
            </w:r>
          </w:p>
        </w:tc>
      </w:tr>
      <w:tr w:rsidR="00847390" w:rsidRPr="00B221D8" w14:paraId="5E8974C7" w14:textId="77777777" w:rsidTr="00D73B17">
        <w:trPr>
          <w:trHeight w:val="324"/>
        </w:trPr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49FC9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29F4F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689DE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3E058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24984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B139C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C2C86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4FD41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461BC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± 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628D6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</w:tr>
    </w:tbl>
    <w:p w14:paraId="5A51EABB" w14:textId="77777777" w:rsidR="00847390" w:rsidRPr="00B221D8" w:rsidRDefault="00847390" w:rsidP="00847390">
      <w:pPr>
        <w:spacing w:before="160" w:after="0" w:line="48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B221D8">
        <w:rPr>
          <w:rFonts w:ascii="Times New Roman" w:eastAsia="Times New Roman" w:hAnsi="Times New Roman" w:cs="Times New Roman"/>
          <w:sz w:val="24"/>
          <w:vertAlign w:val="superscript"/>
        </w:rPr>
        <w:t>a</w:t>
      </w:r>
      <w:r w:rsidRPr="00B221D8">
        <w:rPr>
          <w:rFonts w:ascii="Times New Roman" w:eastAsia="Times New Roman" w:hAnsi="Times New Roman" w:cs="Times New Roman"/>
          <w:sz w:val="24"/>
        </w:rPr>
        <w:t>Abbreviations</w:t>
      </w:r>
      <w:proofErr w:type="spellEnd"/>
      <w:r w:rsidRPr="00B221D8">
        <w:rPr>
          <w:rFonts w:ascii="Times New Roman" w:eastAsia="Times New Roman" w:hAnsi="Times New Roman" w:cs="Times New Roman"/>
          <w:sz w:val="24"/>
        </w:rPr>
        <w:t>: PPO, protoporphyrinogen oxidase; PRE, preemergence; DAT, days after treatment</w:t>
      </w:r>
      <w:r>
        <w:rPr>
          <w:rFonts w:ascii="Times New Roman" w:eastAsia="Times New Roman" w:hAnsi="Times New Roman" w:cs="Times New Roman"/>
          <w:sz w:val="24"/>
        </w:rPr>
        <w:t>.</w:t>
      </w:r>
      <w:r w:rsidRPr="00B221D8">
        <w:rPr>
          <w:rFonts w:ascii="Times New Roman" w:eastAsia="Times New Roman" w:hAnsi="Times New Roman" w:cs="Times New Roman"/>
          <w:sz w:val="24"/>
        </w:rPr>
        <w:t xml:space="preserve"> </w:t>
      </w:r>
    </w:p>
    <w:p w14:paraId="13A6EC1E" w14:textId="77777777" w:rsidR="00847390" w:rsidRPr="00B221D8" w:rsidRDefault="00847390" w:rsidP="0084739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B221D8">
        <w:rPr>
          <w:rFonts w:ascii="Times New Roman" w:eastAsia="Times New Roman" w:hAnsi="Times New Roman" w:cs="Times New Roman"/>
          <w:sz w:val="24"/>
          <w:vertAlign w:val="superscript"/>
        </w:rPr>
        <w:t>b</w:t>
      </w:r>
      <w:r w:rsidRPr="00B221D8">
        <w:rPr>
          <w:rFonts w:ascii="Times New Roman" w:eastAsia="Times New Roman" w:hAnsi="Times New Roman" w:cs="Times New Roman"/>
          <w:sz w:val="24"/>
        </w:rPr>
        <w:t>Palmer</w:t>
      </w:r>
      <w:proofErr w:type="spellEnd"/>
      <w:r w:rsidRPr="00B221D8">
        <w:rPr>
          <w:rFonts w:ascii="Times New Roman" w:eastAsia="Times New Roman" w:hAnsi="Times New Roman" w:cs="Times New Roman"/>
          <w:sz w:val="24"/>
        </w:rPr>
        <w:t xml:space="preserve"> amaranth mortality assessments recorded 21 to 28 DAT. Field use rates (1X) included fomesafen at 210 g ai ha</w:t>
      </w:r>
      <w:r w:rsidRPr="00B221D8">
        <w:rPr>
          <w:rFonts w:ascii="Times New Roman" w:eastAsia="Times New Roman" w:hAnsi="Times New Roman" w:cs="Times New Roman"/>
          <w:sz w:val="24"/>
          <w:vertAlign w:val="superscript"/>
        </w:rPr>
        <w:t>-1</w:t>
      </w:r>
      <w:r w:rsidRPr="00B221D8">
        <w:rPr>
          <w:rFonts w:ascii="Times New Roman" w:eastAsia="Times New Roman" w:hAnsi="Times New Roman" w:cs="Times New Roman"/>
          <w:sz w:val="24"/>
        </w:rPr>
        <w:t>, flumioxazin at 57 g ai ha</w:t>
      </w:r>
      <w:r w:rsidRPr="00B221D8">
        <w:rPr>
          <w:rFonts w:ascii="Times New Roman" w:eastAsia="Times New Roman" w:hAnsi="Times New Roman" w:cs="Times New Roman"/>
          <w:sz w:val="24"/>
          <w:vertAlign w:val="superscript"/>
        </w:rPr>
        <w:t>-1</w:t>
      </w:r>
      <w:r w:rsidRPr="00B221D8">
        <w:rPr>
          <w:rFonts w:ascii="Times New Roman" w:eastAsia="Times New Roman" w:hAnsi="Times New Roman" w:cs="Times New Roman"/>
          <w:sz w:val="24"/>
        </w:rPr>
        <w:t>, oxyfluorfen at 561 g ai ha</w:t>
      </w:r>
      <w:r w:rsidRPr="00B221D8">
        <w:rPr>
          <w:rFonts w:ascii="Times New Roman" w:eastAsia="Times New Roman" w:hAnsi="Times New Roman" w:cs="Times New Roman"/>
          <w:sz w:val="24"/>
          <w:vertAlign w:val="superscript"/>
        </w:rPr>
        <w:t>-1</w:t>
      </w:r>
      <w:r w:rsidRPr="00B221D8">
        <w:rPr>
          <w:rFonts w:ascii="Times New Roman" w:eastAsia="Times New Roman" w:hAnsi="Times New Roman" w:cs="Times New Roman"/>
          <w:sz w:val="24"/>
        </w:rPr>
        <w:t>, and trifludimoxazin at 38 g ai ha</w:t>
      </w:r>
      <w:r w:rsidRPr="00B221D8">
        <w:rPr>
          <w:rFonts w:ascii="Times New Roman" w:eastAsia="Times New Roman" w:hAnsi="Times New Roman" w:cs="Times New Roman"/>
          <w:sz w:val="24"/>
          <w:vertAlign w:val="superscript"/>
        </w:rPr>
        <w:t>-1</w:t>
      </w:r>
      <w:r w:rsidRPr="00B221D8">
        <w:rPr>
          <w:rFonts w:ascii="Times New Roman" w:eastAsia="Times New Roman" w:hAnsi="Times New Roman" w:cs="Times New Roman"/>
          <w:sz w:val="24"/>
        </w:rPr>
        <w:t>. All experimental runs included a nontreated control for comparison.</w:t>
      </w:r>
      <w:r w:rsidRPr="00B221D8">
        <w:rPr>
          <w:rFonts w:ascii="Times New Roman" w:eastAsia="Times New Roman" w:hAnsi="Times New Roman" w:cs="Times New Roman"/>
          <w:sz w:val="24"/>
        </w:rPr>
        <w:br w:type="page"/>
      </w:r>
    </w:p>
    <w:p w14:paraId="05BCE8C2" w14:textId="10879B6E" w:rsidR="00847390" w:rsidRPr="00B221D8" w:rsidRDefault="000926D9" w:rsidP="00847390">
      <w:pPr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lastRenderedPageBreak/>
        <w:t xml:space="preserve">Supplementary </w:t>
      </w:r>
      <w:r w:rsidRPr="00785CBC">
        <w:rPr>
          <w:rFonts w:ascii="Times New Roman" w:eastAsia="Times New Roman" w:hAnsi="Times New Roman" w:cs="Times New Roman"/>
          <w:b/>
          <w:bCs/>
          <w:sz w:val="24"/>
        </w:rPr>
        <w:t xml:space="preserve">Table </w:t>
      </w:r>
      <w:r>
        <w:rPr>
          <w:rFonts w:ascii="Times New Roman" w:eastAsia="Times New Roman" w:hAnsi="Times New Roman" w:cs="Times New Roman"/>
          <w:b/>
          <w:bCs/>
          <w:sz w:val="24"/>
        </w:rPr>
        <w:t>S</w:t>
      </w:r>
      <w:r w:rsidR="00273A8B">
        <w:rPr>
          <w:rFonts w:ascii="Times New Roman" w:eastAsia="Times New Roman" w:hAnsi="Times New Roman" w:cs="Times New Roman"/>
          <w:b/>
          <w:bCs/>
          <w:sz w:val="24"/>
        </w:rPr>
        <w:t>4</w:t>
      </w:r>
      <w:r w:rsidR="00847390" w:rsidRPr="00785CBC">
        <w:rPr>
          <w:rFonts w:ascii="Times New Roman" w:eastAsia="Times New Roman" w:hAnsi="Times New Roman" w:cs="Times New Roman"/>
          <w:b/>
          <w:bCs/>
          <w:sz w:val="24"/>
        </w:rPr>
        <w:t>.</w:t>
      </w:r>
      <w:r w:rsidR="00847390" w:rsidRPr="00B221D8">
        <w:rPr>
          <w:rFonts w:ascii="Times New Roman" w:eastAsia="Times New Roman" w:hAnsi="Times New Roman" w:cs="Times New Roman"/>
          <w:sz w:val="24"/>
        </w:rPr>
        <w:t xml:space="preserve"> Palmer amaranth fresh-weight biomass reductions (%) ± standard error in response to PPO-inhibiting herbicides applied PRE between 2020 and 2022 in Tifton, </w:t>
      </w:r>
      <w:proofErr w:type="spellStart"/>
      <w:proofErr w:type="gramStart"/>
      <w:r w:rsidR="00847390" w:rsidRPr="00B221D8">
        <w:rPr>
          <w:rFonts w:ascii="Times New Roman" w:eastAsia="Times New Roman" w:hAnsi="Times New Roman" w:cs="Times New Roman"/>
          <w:sz w:val="24"/>
        </w:rPr>
        <w:t>GA.</w:t>
      </w:r>
      <w:r w:rsidR="00847390" w:rsidRPr="00B221D8">
        <w:rPr>
          <w:rFonts w:ascii="Times New Roman" w:eastAsia="Times New Roman" w:hAnsi="Times New Roman" w:cs="Times New Roman"/>
          <w:sz w:val="24"/>
          <w:vertAlign w:val="superscript"/>
        </w:rPr>
        <w:t>a</w:t>
      </w:r>
      <w:proofErr w:type="gramEnd"/>
      <w:r w:rsidR="00847390" w:rsidRPr="00B221D8">
        <w:rPr>
          <w:rFonts w:ascii="Times New Roman" w:eastAsia="Times New Roman" w:hAnsi="Times New Roman" w:cs="Times New Roman"/>
          <w:sz w:val="24"/>
          <w:vertAlign w:val="superscript"/>
        </w:rPr>
        <w:t>,b</w:t>
      </w:r>
      <w:proofErr w:type="spellEnd"/>
      <w:r w:rsidR="00847390" w:rsidRPr="00B221D8">
        <w:rPr>
          <w:rFonts w:ascii="Times New Roman" w:eastAsia="Times New Roman" w:hAnsi="Times New Roman" w:cs="Times New Roman"/>
          <w:sz w:val="24"/>
          <w:vertAlign w:val="superscript"/>
        </w:rPr>
        <w:t xml:space="preserve">   </w:t>
      </w:r>
      <w:r w:rsidR="00847390" w:rsidRPr="00B221D8"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W w:w="13134" w:type="dxa"/>
        <w:tblLook w:val="04A0" w:firstRow="1" w:lastRow="0" w:firstColumn="1" w:lastColumn="0" w:noHBand="0" w:noVBand="1"/>
      </w:tblPr>
      <w:tblGrid>
        <w:gridCol w:w="1002"/>
        <w:gridCol w:w="1278"/>
        <w:gridCol w:w="1438"/>
        <w:gridCol w:w="1411"/>
        <w:gridCol w:w="1800"/>
        <w:gridCol w:w="278"/>
        <w:gridCol w:w="1278"/>
        <w:gridCol w:w="1438"/>
        <w:gridCol w:w="1411"/>
        <w:gridCol w:w="1800"/>
      </w:tblGrid>
      <w:tr w:rsidR="00847390" w:rsidRPr="00B221D8" w14:paraId="05C0040A" w14:textId="77777777" w:rsidTr="00D73B17">
        <w:trPr>
          <w:trHeight w:val="334"/>
        </w:trPr>
        <w:tc>
          <w:tcPr>
            <w:tcW w:w="100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143F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 (x)</w:t>
            </w:r>
          </w:p>
          <w:p w14:paraId="3E279073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D6445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Susceptible population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7266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D89E6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Suspected resistant population</w:t>
            </w:r>
          </w:p>
        </w:tc>
      </w:tr>
      <w:tr w:rsidR="00847390" w:rsidRPr="00B221D8" w14:paraId="04AF2C39" w14:textId="77777777" w:rsidTr="00D73B17">
        <w:trPr>
          <w:trHeight w:val="334"/>
        </w:trPr>
        <w:tc>
          <w:tcPr>
            <w:tcW w:w="100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7B20D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65BF6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omesafen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2D1E6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lumioxazin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B1CC0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xyflurofen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AD46E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rifludimoxazin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46245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AB088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omesafen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3257A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lumioxazin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18B8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xyflurofen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22AC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rifludimoxazin</w:t>
            </w:r>
          </w:p>
        </w:tc>
      </w:tr>
      <w:tr w:rsidR="00847390" w:rsidRPr="00B221D8" w14:paraId="13114A6B" w14:textId="77777777" w:rsidTr="00D73B17">
        <w:trPr>
          <w:trHeight w:val="334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2EB8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0.00137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2288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A581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± 14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277F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± 11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009C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± 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59D5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0F47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FAE5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16CE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C12B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47390" w:rsidRPr="00B221D8" w14:paraId="2433AE2F" w14:textId="77777777" w:rsidTr="00D73B17">
        <w:trPr>
          <w:trHeight w:val="334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9C67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D15E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D498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± 13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B611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± 13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84C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± 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1DD5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4AEC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11B6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1BA7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B9C6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47390" w:rsidRPr="00B221D8" w14:paraId="49AA435C" w14:textId="77777777" w:rsidTr="00D73B17">
        <w:trPr>
          <w:trHeight w:val="334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FEF6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24EB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± 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2774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± 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9668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0AFE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8BBC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A6DA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E74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EF18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725E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47390" w:rsidRPr="00B221D8" w14:paraId="47CB2FBF" w14:textId="77777777" w:rsidTr="00D73B17">
        <w:trPr>
          <w:trHeight w:val="334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F7A4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1289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± 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084F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7FF5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± 0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E23A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9579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2AF4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± 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D756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± 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F275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± 2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41DA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± 7</w:t>
            </w:r>
          </w:p>
        </w:tc>
      </w:tr>
      <w:tr w:rsidR="00847390" w:rsidRPr="00B221D8" w14:paraId="63E1BAB6" w14:textId="77777777" w:rsidTr="00D73B17">
        <w:trPr>
          <w:trHeight w:val="334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8D46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9CEF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± 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42E2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AB92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E737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0765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5C1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± 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0916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± 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7611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6BA7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47390" w:rsidRPr="00B221D8" w14:paraId="515F7293" w14:textId="77777777" w:rsidTr="00D73B17">
        <w:trPr>
          <w:trHeight w:val="334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B82C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6AF1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± 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7C2A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1E37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FE58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520F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C5FF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± 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721E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E8BA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FCE9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47390" w:rsidRPr="00B221D8" w14:paraId="590FDF13" w14:textId="77777777" w:rsidTr="00D73B17">
        <w:trPr>
          <w:trHeight w:val="334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5C06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3E3B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± 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0E10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513C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20F9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B07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E3E5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± 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CA44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9022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44BE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47390" w:rsidRPr="00B221D8" w14:paraId="42F5FCF9" w14:textId="77777777" w:rsidTr="00D73B17">
        <w:trPr>
          <w:trHeight w:val="334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C2A1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757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AA3F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1B31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D449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B1D0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425E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± 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E6C5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± 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C624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4438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± 7</w:t>
            </w:r>
          </w:p>
        </w:tc>
      </w:tr>
      <w:tr w:rsidR="00847390" w:rsidRPr="00B221D8" w14:paraId="028CE481" w14:textId="77777777" w:rsidTr="00D73B17">
        <w:trPr>
          <w:trHeight w:val="334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B41F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F709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CBCA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F51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BAF0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4549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A88F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± 12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41C6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423E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FB00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47390" w:rsidRPr="00B221D8" w14:paraId="3475CA48" w14:textId="77777777" w:rsidTr="00D73B17">
        <w:trPr>
          <w:trHeight w:val="334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D07F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9BB6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8489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596F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ACBF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08C8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C1FD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± 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DEE1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± 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1AA8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6C5B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± 1</w:t>
            </w:r>
          </w:p>
        </w:tc>
      </w:tr>
      <w:tr w:rsidR="00847390" w:rsidRPr="00B221D8" w14:paraId="15DBF343" w14:textId="77777777" w:rsidTr="00D73B17">
        <w:trPr>
          <w:trHeight w:val="334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033A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7E18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3721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FA1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AC4F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FA7C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5232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± 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184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A2DA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36E0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47390" w:rsidRPr="00B221D8" w14:paraId="450A7B58" w14:textId="77777777" w:rsidTr="00D73B17">
        <w:trPr>
          <w:trHeight w:val="334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1A8C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3218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9644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767C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4D57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B15C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FD74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F540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± 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753D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6899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</w:tr>
      <w:tr w:rsidR="00847390" w:rsidRPr="00B221D8" w14:paraId="1B90EE21" w14:textId="77777777" w:rsidTr="00D73B17">
        <w:trPr>
          <w:trHeight w:val="334"/>
        </w:trPr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AAD92" w14:textId="77777777" w:rsidR="00847390" w:rsidRPr="00B221D8" w:rsidRDefault="00847390" w:rsidP="00D73B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18246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F6ECC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A913B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2477F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D9C6C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68113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28554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1AFAC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± 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D3041" w14:textId="77777777" w:rsidR="00847390" w:rsidRPr="00B221D8" w:rsidRDefault="00847390" w:rsidP="00D73B1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± 0</w:t>
            </w:r>
          </w:p>
        </w:tc>
      </w:tr>
    </w:tbl>
    <w:p w14:paraId="220C2A87" w14:textId="77777777" w:rsidR="00847390" w:rsidRPr="00B221D8" w:rsidRDefault="00847390" w:rsidP="00847390">
      <w:pPr>
        <w:spacing w:before="160" w:after="0" w:line="48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B221D8">
        <w:rPr>
          <w:rFonts w:ascii="Times New Roman" w:eastAsia="Times New Roman" w:hAnsi="Times New Roman" w:cs="Times New Roman"/>
          <w:sz w:val="24"/>
          <w:vertAlign w:val="superscript"/>
        </w:rPr>
        <w:t>a</w:t>
      </w:r>
      <w:r w:rsidRPr="00B221D8">
        <w:rPr>
          <w:rFonts w:ascii="Times New Roman" w:eastAsia="Times New Roman" w:hAnsi="Times New Roman" w:cs="Times New Roman"/>
          <w:sz w:val="24"/>
        </w:rPr>
        <w:t>Abbreviations</w:t>
      </w:r>
      <w:proofErr w:type="spellEnd"/>
      <w:r w:rsidRPr="00B221D8">
        <w:rPr>
          <w:rFonts w:ascii="Times New Roman" w:eastAsia="Times New Roman" w:hAnsi="Times New Roman" w:cs="Times New Roman"/>
          <w:sz w:val="24"/>
        </w:rPr>
        <w:t>: PPO, protoporphyrinogen oxidase; PRE, preemergence; DAT, days after treatment</w:t>
      </w:r>
      <w:r>
        <w:rPr>
          <w:rFonts w:ascii="Times New Roman" w:eastAsia="Times New Roman" w:hAnsi="Times New Roman" w:cs="Times New Roman"/>
          <w:sz w:val="24"/>
        </w:rPr>
        <w:t>.</w:t>
      </w:r>
      <w:r w:rsidRPr="00B221D8">
        <w:rPr>
          <w:rFonts w:ascii="Times New Roman" w:eastAsia="Times New Roman" w:hAnsi="Times New Roman" w:cs="Times New Roman"/>
          <w:sz w:val="24"/>
        </w:rPr>
        <w:t xml:space="preserve"> </w:t>
      </w:r>
    </w:p>
    <w:p w14:paraId="47C83BE8" w14:textId="77777777" w:rsidR="00847390" w:rsidRPr="00B221D8" w:rsidRDefault="00847390" w:rsidP="00847390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B221D8">
        <w:rPr>
          <w:rFonts w:ascii="Times New Roman" w:eastAsia="Times New Roman" w:hAnsi="Times New Roman" w:cs="Times New Roman"/>
          <w:sz w:val="24"/>
          <w:vertAlign w:val="superscript"/>
        </w:rPr>
        <w:t>b</w:t>
      </w:r>
      <w:r w:rsidRPr="00B221D8">
        <w:rPr>
          <w:rFonts w:ascii="Times New Roman" w:eastAsia="Times New Roman" w:hAnsi="Times New Roman" w:cs="Times New Roman"/>
          <w:sz w:val="24"/>
        </w:rPr>
        <w:t>Palmer</w:t>
      </w:r>
      <w:proofErr w:type="spellEnd"/>
      <w:r w:rsidRPr="00B221D8">
        <w:rPr>
          <w:rFonts w:ascii="Times New Roman" w:eastAsia="Times New Roman" w:hAnsi="Times New Roman" w:cs="Times New Roman"/>
          <w:sz w:val="24"/>
        </w:rPr>
        <w:t xml:space="preserve"> amaranth fresh-weight biomass assessments recorded 21 to 28 DAT. Field use rates (1X) included fomesafen at 210 g ai ha</w:t>
      </w:r>
      <w:r w:rsidRPr="00B221D8">
        <w:rPr>
          <w:rFonts w:ascii="Times New Roman" w:eastAsia="Times New Roman" w:hAnsi="Times New Roman" w:cs="Times New Roman"/>
          <w:sz w:val="24"/>
          <w:vertAlign w:val="superscript"/>
        </w:rPr>
        <w:t>-1</w:t>
      </w:r>
      <w:r w:rsidRPr="00B221D8">
        <w:rPr>
          <w:rFonts w:ascii="Times New Roman" w:eastAsia="Times New Roman" w:hAnsi="Times New Roman" w:cs="Times New Roman"/>
          <w:sz w:val="24"/>
        </w:rPr>
        <w:t>, flumioxazin at 57 g ai ha</w:t>
      </w:r>
      <w:r w:rsidRPr="00B221D8">
        <w:rPr>
          <w:rFonts w:ascii="Times New Roman" w:eastAsia="Times New Roman" w:hAnsi="Times New Roman" w:cs="Times New Roman"/>
          <w:sz w:val="24"/>
          <w:vertAlign w:val="superscript"/>
        </w:rPr>
        <w:t>-1</w:t>
      </w:r>
      <w:r w:rsidRPr="00B221D8">
        <w:rPr>
          <w:rFonts w:ascii="Times New Roman" w:eastAsia="Times New Roman" w:hAnsi="Times New Roman" w:cs="Times New Roman"/>
          <w:sz w:val="24"/>
        </w:rPr>
        <w:t>, oxyfluorfen at 561 g ai ha</w:t>
      </w:r>
      <w:r w:rsidRPr="00B221D8">
        <w:rPr>
          <w:rFonts w:ascii="Times New Roman" w:eastAsia="Times New Roman" w:hAnsi="Times New Roman" w:cs="Times New Roman"/>
          <w:sz w:val="24"/>
          <w:vertAlign w:val="superscript"/>
        </w:rPr>
        <w:t>-1</w:t>
      </w:r>
      <w:r w:rsidRPr="00B221D8">
        <w:rPr>
          <w:rFonts w:ascii="Times New Roman" w:eastAsia="Times New Roman" w:hAnsi="Times New Roman" w:cs="Times New Roman"/>
          <w:sz w:val="24"/>
        </w:rPr>
        <w:t>, and trifludimoxazin at 38 g ai ha</w:t>
      </w:r>
      <w:r w:rsidRPr="00B221D8">
        <w:rPr>
          <w:rFonts w:ascii="Times New Roman" w:eastAsia="Times New Roman" w:hAnsi="Times New Roman" w:cs="Times New Roman"/>
          <w:sz w:val="24"/>
          <w:vertAlign w:val="superscript"/>
        </w:rPr>
        <w:t>-1</w:t>
      </w:r>
      <w:r w:rsidRPr="00B221D8">
        <w:rPr>
          <w:rFonts w:ascii="Times New Roman" w:eastAsia="Times New Roman" w:hAnsi="Times New Roman" w:cs="Times New Roman"/>
          <w:sz w:val="24"/>
        </w:rPr>
        <w:t>. All experimental runs included a nontreated control for comparison.</w:t>
      </w:r>
    </w:p>
    <w:p w14:paraId="3661CDD3" w14:textId="38174867" w:rsidR="005937D4" w:rsidRPr="00847390" w:rsidRDefault="005937D4" w:rsidP="00847390"/>
    <w:sectPr w:rsidR="005937D4" w:rsidRPr="00847390" w:rsidSect="002479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P6EC5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41DE"/>
    <w:multiLevelType w:val="hybridMultilevel"/>
    <w:tmpl w:val="981AA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B0C7C"/>
    <w:multiLevelType w:val="hybridMultilevel"/>
    <w:tmpl w:val="E6305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53"/>
    <w:rsid w:val="000926D9"/>
    <w:rsid w:val="00247925"/>
    <w:rsid w:val="00273A8B"/>
    <w:rsid w:val="003D6AA9"/>
    <w:rsid w:val="004F5D20"/>
    <w:rsid w:val="005937D4"/>
    <w:rsid w:val="00714653"/>
    <w:rsid w:val="00847390"/>
    <w:rsid w:val="00B372A2"/>
    <w:rsid w:val="00B4211D"/>
    <w:rsid w:val="00CB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A14EF"/>
  <w15:chartTrackingRefBased/>
  <w15:docId w15:val="{88C3CC7A-99B2-457C-895F-3AA95A68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47390"/>
  </w:style>
  <w:style w:type="paragraph" w:styleId="Header">
    <w:name w:val="header"/>
    <w:basedOn w:val="Normal"/>
    <w:link w:val="HeaderChar"/>
    <w:uiPriority w:val="99"/>
    <w:unhideWhenUsed/>
    <w:rsid w:val="00847390"/>
    <w:pPr>
      <w:tabs>
        <w:tab w:val="center" w:pos="4680"/>
        <w:tab w:val="right" w:pos="9360"/>
      </w:tabs>
      <w:spacing w:after="0" w:line="480" w:lineRule="auto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4739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47390"/>
    <w:pPr>
      <w:tabs>
        <w:tab w:val="center" w:pos="4680"/>
        <w:tab w:val="right" w:pos="9360"/>
      </w:tabs>
      <w:spacing w:after="0" w:line="480" w:lineRule="auto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847390"/>
    <w:rPr>
      <w:sz w:val="24"/>
    </w:rPr>
  </w:style>
  <w:style w:type="numbering" w:customStyle="1" w:styleId="NoList11">
    <w:name w:val="No List11"/>
    <w:next w:val="NoList"/>
    <w:uiPriority w:val="99"/>
    <w:semiHidden/>
    <w:unhideWhenUsed/>
    <w:rsid w:val="00847390"/>
  </w:style>
  <w:style w:type="character" w:customStyle="1" w:styleId="Hyperlink1">
    <w:name w:val="Hyperlink1"/>
    <w:basedOn w:val="DefaultParagraphFont"/>
    <w:uiPriority w:val="99"/>
    <w:unhideWhenUsed/>
    <w:rsid w:val="00847390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84739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473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7390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73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3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39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473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7390"/>
    <w:pPr>
      <w:spacing w:after="0" w:line="480" w:lineRule="auto"/>
      <w:ind w:left="720"/>
      <w:contextualSpacing/>
    </w:pPr>
    <w:rPr>
      <w:sz w:val="24"/>
    </w:rPr>
  </w:style>
  <w:style w:type="paragraph" w:styleId="Revision">
    <w:name w:val="Revision"/>
    <w:hidden/>
    <w:uiPriority w:val="99"/>
    <w:semiHidden/>
    <w:rsid w:val="00847390"/>
    <w:pPr>
      <w:spacing w:after="0" w:line="240" w:lineRule="auto"/>
    </w:pPr>
    <w:rPr>
      <w:sz w:val="24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847390"/>
    <w:pPr>
      <w:spacing w:after="200" w:line="240" w:lineRule="auto"/>
    </w:pPr>
    <w:rPr>
      <w:i/>
      <w:iCs/>
      <w:color w:val="44546A"/>
      <w:sz w:val="18"/>
      <w:szCs w:val="18"/>
    </w:rPr>
  </w:style>
  <w:style w:type="table" w:styleId="TableGrid">
    <w:name w:val="Table Grid"/>
    <w:basedOn w:val="TableNormal"/>
    <w:uiPriority w:val="39"/>
    <w:rsid w:val="0084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2">
    <w:name w:val="Hyperlink2"/>
    <w:basedOn w:val="DefaultParagraphFont"/>
    <w:uiPriority w:val="99"/>
    <w:unhideWhenUsed/>
    <w:rsid w:val="00847390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847390"/>
    <w:rPr>
      <w:color w:val="800080"/>
      <w:u w:val="single"/>
    </w:rPr>
  </w:style>
  <w:style w:type="character" w:customStyle="1" w:styleId="normaltextrun">
    <w:name w:val="normaltextrun"/>
    <w:basedOn w:val="DefaultParagraphFont"/>
    <w:rsid w:val="00847390"/>
  </w:style>
  <w:style w:type="character" w:customStyle="1" w:styleId="eop">
    <w:name w:val="eop"/>
    <w:basedOn w:val="DefaultParagraphFont"/>
    <w:rsid w:val="00847390"/>
  </w:style>
  <w:style w:type="character" w:customStyle="1" w:styleId="fontstyle01">
    <w:name w:val="fontstyle01"/>
    <w:basedOn w:val="DefaultParagraphFont"/>
    <w:rsid w:val="00847390"/>
    <w:rPr>
      <w:rFonts w:ascii="AdvP6EC5" w:hAnsi="AdvP6EC5" w:hint="default"/>
      <w:b w:val="0"/>
      <w:bCs w:val="0"/>
      <w:i w:val="0"/>
      <w:iCs w:val="0"/>
      <w:color w:val="231F20"/>
      <w:sz w:val="28"/>
      <w:szCs w:val="28"/>
    </w:rPr>
  </w:style>
  <w:style w:type="paragraph" w:customStyle="1" w:styleId="Caption2">
    <w:name w:val="Caption2"/>
    <w:basedOn w:val="Normal"/>
    <w:next w:val="Normal"/>
    <w:uiPriority w:val="35"/>
    <w:semiHidden/>
    <w:unhideWhenUsed/>
    <w:qFormat/>
    <w:rsid w:val="00847390"/>
    <w:pPr>
      <w:spacing w:after="200" w:line="240" w:lineRule="auto"/>
    </w:pPr>
    <w:rPr>
      <w:i/>
      <w:iCs/>
      <w:color w:val="1F497D"/>
      <w:sz w:val="18"/>
      <w:szCs w:val="18"/>
    </w:rPr>
  </w:style>
  <w:style w:type="numbering" w:customStyle="1" w:styleId="NoList111">
    <w:name w:val="No List111"/>
    <w:next w:val="NoList"/>
    <w:uiPriority w:val="99"/>
    <w:semiHidden/>
    <w:unhideWhenUsed/>
    <w:rsid w:val="0084739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7390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8473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7390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47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919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Randell Singleton</dc:creator>
  <cp:keywords/>
  <dc:description/>
  <cp:lastModifiedBy>Taylor Randell Singleton</cp:lastModifiedBy>
  <cp:revision>2</cp:revision>
  <dcterms:created xsi:type="dcterms:W3CDTF">2023-10-20T13:36:00Z</dcterms:created>
  <dcterms:modified xsi:type="dcterms:W3CDTF">2023-10-20T13:36:00Z</dcterms:modified>
</cp:coreProperties>
</file>