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D250" w14:textId="77777777" w:rsidR="00D81C06" w:rsidRDefault="00D81C06" w:rsidP="00D81C06">
      <w:pPr>
        <w:spacing w:line="480" w:lineRule="auto"/>
        <w:rPr>
          <w:rFonts w:ascii="Arial" w:hAnsi="Arial" w:cs="Arial"/>
          <w:b/>
          <w:bCs/>
          <w:u w:val="single"/>
        </w:rPr>
      </w:pPr>
      <w:r w:rsidRPr="0079454C">
        <w:rPr>
          <w:rFonts w:ascii="Arial" w:hAnsi="Arial" w:cs="Arial"/>
          <w:b/>
          <w:bCs/>
          <w:u w:val="single"/>
        </w:rPr>
        <w:t>Supplemental Materials</w:t>
      </w:r>
    </w:p>
    <w:tbl>
      <w:tblPr>
        <w:tblStyle w:val="TableGrid"/>
        <w:tblpPr w:leftFromText="180" w:rightFromText="180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2231"/>
        <w:gridCol w:w="2177"/>
        <w:gridCol w:w="2111"/>
        <w:gridCol w:w="2111"/>
      </w:tblGrid>
      <w:tr w:rsidR="00D81C06" w:rsidRPr="005C31B2" w14:paraId="6D95D0FC" w14:textId="77777777" w:rsidTr="00552949">
        <w:tc>
          <w:tcPr>
            <w:tcW w:w="2231" w:type="dxa"/>
          </w:tcPr>
          <w:p w14:paraId="26904565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836EFD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2177" w:type="dxa"/>
          </w:tcPr>
          <w:p w14:paraId="07C2F09D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836EFD">
              <w:rPr>
                <w:rFonts w:ascii="Arial" w:hAnsi="Arial" w:cs="Arial"/>
              </w:rPr>
              <w:t xml:space="preserve">≤18 years old: </w:t>
            </w:r>
            <w:r w:rsidRPr="00C204C9">
              <w:rPr>
                <w:rFonts w:ascii="Arial" w:hAnsi="Arial" w:cs="Arial"/>
              </w:rPr>
              <w:t>49,380 (22.5%)</w:t>
            </w:r>
          </w:p>
        </w:tc>
        <w:tc>
          <w:tcPr>
            <w:tcW w:w="2111" w:type="dxa"/>
          </w:tcPr>
          <w:p w14:paraId="5C955DFF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&gt;18 years old: </w:t>
            </w:r>
            <w:r w:rsidRPr="00C204C9">
              <w:rPr>
                <w:rFonts w:ascii="Arial" w:hAnsi="Arial" w:cs="Arial"/>
              </w:rPr>
              <w:t>170,458 (77.5%)</w:t>
            </w:r>
          </w:p>
        </w:tc>
        <w:tc>
          <w:tcPr>
            <w:tcW w:w="2111" w:type="dxa"/>
          </w:tcPr>
          <w:p w14:paraId="6943EADB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81C06" w:rsidRPr="005C31B2" w14:paraId="56A2D932" w14:textId="77777777" w:rsidTr="00552949">
        <w:tc>
          <w:tcPr>
            <w:tcW w:w="2231" w:type="dxa"/>
          </w:tcPr>
          <w:p w14:paraId="277F564C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836EFD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2177" w:type="dxa"/>
          </w:tcPr>
          <w:p w14:paraId="5B1E7A19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Female: </w:t>
            </w:r>
            <w:r w:rsidRPr="00C204C9"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</w:rPr>
              <w:t>,</w:t>
            </w:r>
            <w:r w:rsidRPr="00C204C9">
              <w:rPr>
                <w:rFonts w:ascii="Arial" w:hAnsi="Arial" w:cs="Arial"/>
              </w:rPr>
              <w:t>936 (60.5%)</w:t>
            </w:r>
          </w:p>
        </w:tc>
        <w:tc>
          <w:tcPr>
            <w:tcW w:w="2111" w:type="dxa"/>
          </w:tcPr>
          <w:p w14:paraId="3B3EFEC7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Male: </w:t>
            </w:r>
            <w:r w:rsidRPr="00C204C9">
              <w:rPr>
                <w:rFonts w:ascii="Arial" w:hAnsi="Arial" w:cs="Arial"/>
              </w:rPr>
              <w:t>86898 (39.5%)</w:t>
            </w:r>
          </w:p>
        </w:tc>
        <w:tc>
          <w:tcPr>
            <w:tcW w:w="2111" w:type="dxa"/>
          </w:tcPr>
          <w:p w14:paraId="7AC0EF22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Unknown: 7 (&lt;0.01%)</w:t>
            </w:r>
          </w:p>
        </w:tc>
      </w:tr>
      <w:tr w:rsidR="00D81C06" w:rsidRPr="005C31B2" w14:paraId="15D24764" w14:textId="77777777" w:rsidTr="00552949">
        <w:tc>
          <w:tcPr>
            <w:tcW w:w="2231" w:type="dxa"/>
          </w:tcPr>
          <w:p w14:paraId="407337F1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836EFD">
              <w:rPr>
                <w:rFonts w:ascii="Arial" w:hAnsi="Arial" w:cs="Arial"/>
                <w:b/>
                <w:bCs/>
              </w:rPr>
              <w:t>Race</w:t>
            </w:r>
          </w:p>
        </w:tc>
        <w:tc>
          <w:tcPr>
            <w:tcW w:w="2177" w:type="dxa"/>
          </w:tcPr>
          <w:p w14:paraId="1F35FE28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White: </w:t>
            </w:r>
            <w:r w:rsidRPr="00C204C9">
              <w:rPr>
                <w:rFonts w:ascii="Arial" w:hAnsi="Arial" w:cs="Arial"/>
              </w:rPr>
              <w:t>168</w:t>
            </w:r>
            <w:r>
              <w:rPr>
                <w:rFonts w:ascii="Arial" w:hAnsi="Arial" w:cs="Arial"/>
              </w:rPr>
              <w:t>,</w:t>
            </w:r>
            <w:r w:rsidRPr="00C204C9">
              <w:rPr>
                <w:rFonts w:ascii="Arial" w:hAnsi="Arial" w:cs="Arial"/>
              </w:rPr>
              <w:t>444 (76.6%)</w:t>
            </w:r>
          </w:p>
        </w:tc>
        <w:tc>
          <w:tcPr>
            <w:tcW w:w="2111" w:type="dxa"/>
          </w:tcPr>
          <w:p w14:paraId="756403B1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Black: </w:t>
            </w:r>
            <w:r w:rsidRPr="00C204C9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,</w:t>
            </w:r>
            <w:r w:rsidRPr="00C204C9">
              <w:rPr>
                <w:rFonts w:ascii="Arial" w:hAnsi="Arial" w:cs="Arial"/>
              </w:rPr>
              <w:t>789 (9%)</w:t>
            </w:r>
          </w:p>
        </w:tc>
        <w:tc>
          <w:tcPr>
            <w:tcW w:w="2111" w:type="dxa"/>
          </w:tcPr>
          <w:p w14:paraId="18EEA23A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 </w:t>
            </w:r>
            <w:r w:rsidRPr="00C204C9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,</w:t>
            </w:r>
            <w:r w:rsidRPr="00C204C9">
              <w:rPr>
                <w:rFonts w:ascii="Arial" w:hAnsi="Arial" w:cs="Arial"/>
              </w:rPr>
              <w:t>605 (14.4%)</w:t>
            </w:r>
          </w:p>
        </w:tc>
      </w:tr>
      <w:tr w:rsidR="00D81C06" w:rsidRPr="005C31B2" w14:paraId="65398392" w14:textId="77777777" w:rsidTr="00552949">
        <w:tc>
          <w:tcPr>
            <w:tcW w:w="2231" w:type="dxa"/>
          </w:tcPr>
          <w:p w14:paraId="3F098345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836EFD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2177" w:type="dxa"/>
          </w:tcPr>
          <w:p w14:paraId="6AFDD3E4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Hispanic/Latino: </w:t>
            </w:r>
            <w:r w:rsidRPr="00C204C9">
              <w:rPr>
                <w:rFonts w:ascii="Arial" w:hAnsi="Arial" w:cs="Arial"/>
              </w:rPr>
              <w:t>14,911 (6.8%)</w:t>
            </w:r>
          </w:p>
        </w:tc>
        <w:tc>
          <w:tcPr>
            <w:tcW w:w="2111" w:type="dxa"/>
          </w:tcPr>
          <w:p w14:paraId="26B6CC43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Hispanic/Latino: </w:t>
            </w:r>
            <w:r w:rsidRPr="00C204C9">
              <w:rPr>
                <w:rFonts w:ascii="Arial" w:hAnsi="Arial" w:cs="Arial"/>
              </w:rPr>
              <w:t>204,927 (93.2%)</w:t>
            </w:r>
          </w:p>
        </w:tc>
        <w:tc>
          <w:tcPr>
            <w:tcW w:w="2111" w:type="dxa"/>
          </w:tcPr>
          <w:p w14:paraId="4DC6F889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81C06" w:rsidRPr="005C31B2" w14:paraId="2A08DCFC" w14:textId="77777777" w:rsidTr="00552949">
        <w:tc>
          <w:tcPr>
            <w:tcW w:w="2231" w:type="dxa"/>
          </w:tcPr>
          <w:p w14:paraId="6A797624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836EFD">
              <w:rPr>
                <w:rFonts w:ascii="Arial" w:hAnsi="Arial" w:cs="Arial"/>
                <w:b/>
                <w:bCs/>
              </w:rPr>
              <w:t>Primary Spoken Language</w:t>
            </w:r>
          </w:p>
        </w:tc>
        <w:tc>
          <w:tcPr>
            <w:tcW w:w="2177" w:type="dxa"/>
          </w:tcPr>
          <w:p w14:paraId="50B637D1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C204C9">
              <w:rPr>
                <w:rFonts w:ascii="Arial" w:hAnsi="Arial" w:cs="Arial"/>
              </w:rPr>
              <w:t>English: 212</w:t>
            </w:r>
            <w:r>
              <w:rPr>
                <w:rFonts w:ascii="Arial" w:hAnsi="Arial" w:cs="Arial"/>
              </w:rPr>
              <w:t>,</w:t>
            </w:r>
            <w:r w:rsidRPr="00C204C9">
              <w:rPr>
                <w:rFonts w:ascii="Arial" w:hAnsi="Arial" w:cs="Arial"/>
              </w:rPr>
              <w:t>987 (96.9%)</w:t>
            </w:r>
          </w:p>
        </w:tc>
        <w:tc>
          <w:tcPr>
            <w:tcW w:w="2111" w:type="dxa"/>
          </w:tcPr>
          <w:p w14:paraId="7988269D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C204C9">
              <w:rPr>
                <w:rFonts w:ascii="Arial" w:hAnsi="Arial" w:cs="Arial"/>
              </w:rPr>
              <w:t>Spanish: 4</w:t>
            </w:r>
            <w:r>
              <w:rPr>
                <w:rFonts w:ascii="Arial" w:hAnsi="Arial" w:cs="Arial"/>
              </w:rPr>
              <w:t>,</w:t>
            </w:r>
            <w:r w:rsidRPr="00C204C9">
              <w:rPr>
                <w:rFonts w:ascii="Arial" w:hAnsi="Arial" w:cs="Arial"/>
              </w:rPr>
              <w:t>405 (2%)</w:t>
            </w:r>
          </w:p>
        </w:tc>
        <w:tc>
          <w:tcPr>
            <w:tcW w:w="2111" w:type="dxa"/>
          </w:tcPr>
          <w:p w14:paraId="773E3F21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81C06" w:rsidRPr="005C31B2" w14:paraId="0C935503" w14:textId="77777777" w:rsidTr="00552949">
        <w:tc>
          <w:tcPr>
            <w:tcW w:w="2231" w:type="dxa"/>
          </w:tcPr>
          <w:p w14:paraId="31127D19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836EFD">
              <w:rPr>
                <w:rFonts w:ascii="Arial" w:hAnsi="Arial" w:cs="Arial"/>
                <w:b/>
                <w:bCs/>
              </w:rPr>
              <w:t>Provider Type</w:t>
            </w:r>
          </w:p>
        </w:tc>
        <w:tc>
          <w:tcPr>
            <w:tcW w:w="2177" w:type="dxa"/>
          </w:tcPr>
          <w:p w14:paraId="2D5601D9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C204C9">
              <w:rPr>
                <w:rFonts w:ascii="Arial" w:hAnsi="Arial" w:cs="Arial"/>
              </w:rPr>
              <w:t>NP: 113</w:t>
            </w:r>
            <w:r>
              <w:rPr>
                <w:rFonts w:ascii="Arial" w:hAnsi="Arial" w:cs="Arial"/>
              </w:rPr>
              <w:t>,</w:t>
            </w:r>
            <w:r w:rsidRPr="00C204C9">
              <w:rPr>
                <w:rFonts w:ascii="Arial" w:hAnsi="Arial" w:cs="Arial"/>
              </w:rPr>
              <w:t>408 (51.6%)</w:t>
            </w:r>
          </w:p>
        </w:tc>
        <w:tc>
          <w:tcPr>
            <w:tcW w:w="2111" w:type="dxa"/>
          </w:tcPr>
          <w:p w14:paraId="5791AC89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C204C9">
              <w:rPr>
                <w:rFonts w:ascii="Arial" w:hAnsi="Arial" w:cs="Arial"/>
              </w:rPr>
              <w:t>Physician: 68</w:t>
            </w:r>
            <w:r>
              <w:rPr>
                <w:rFonts w:ascii="Arial" w:hAnsi="Arial" w:cs="Arial"/>
              </w:rPr>
              <w:t>,</w:t>
            </w:r>
            <w:r w:rsidRPr="00C204C9">
              <w:rPr>
                <w:rFonts w:ascii="Arial" w:hAnsi="Arial" w:cs="Arial"/>
              </w:rPr>
              <w:t>621 (31.2%)</w:t>
            </w:r>
          </w:p>
        </w:tc>
        <w:tc>
          <w:tcPr>
            <w:tcW w:w="2111" w:type="dxa"/>
          </w:tcPr>
          <w:p w14:paraId="0A94E149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C204C9">
              <w:rPr>
                <w:rFonts w:ascii="Arial" w:hAnsi="Arial" w:cs="Arial"/>
              </w:rPr>
              <w:t>PA: 37</w:t>
            </w:r>
            <w:r>
              <w:rPr>
                <w:rFonts w:ascii="Arial" w:hAnsi="Arial" w:cs="Arial"/>
              </w:rPr>
              <w:t>,</w:t>
            </w:r>
            <w:r w:rsidRPr="00C204C9">
              <w:rPr>
                <w:rFonts w:ascii="Arial" w:hAnsi="Arial" w:cs="Arial"/>
              </w:rPr>
              <w:t>636 (17.1%)</w:t>
            </w:r>
          </w:p>
        </w:tc>
      </w:tr>
    </w:tbl>
    <w:p w14:paraId="0B30FD01" w14:textId="77777777" w:rsidR="00D81C06" w:rsidRDefault="00D81C06" w:rsidP="00D81C06">
      <w:pPr>
        <w:spacing w:line="480" w:lineRule="auto"/>
        <w:ind w:left="720"/>
        <w:rPr>
          <w:rFonts w:ascii="Arial" w:hAnsi="Arial" w:cs="Arial"/>
          <w:b/>
          <w:bCs/>
          <w:u w:val="single"/>
        </w:rPr>
      </w:pPr>
    </w:p>
    <w:p w14:paraId="7166C994" w14:textId="77777777" w:rsidR="00D81C06" w:rsidRDefault="00D81C06" w:rsidP="00D81C06">
      <w:pPr>
        <w:spacing w:line="480" w:lineRule="auto"/>
        <w:rPr>
          <w:rFonts w:ascii="Arial" w:hAnsi="Arial" w:cs="Arial"/>
        </w:rPr>
      </w:pPr>
      <w:r w:rsidRPr="00836EFD">
        <w:rPr>
          <w:rFonts w:ascii="Arial" w:hAnsi="Arial" w:cs="Arial"/>
          <w:b/>
          <w:bCs/>
        </w:rPr>
        <w:t xml:space="preserve">Supplemental Table 1. Demographic Data of Vanderbilt WIC encounters from 2023. </w:t>
      </w:r>
      <w:r w:rsidRPr="00836EFD">
        <w:rPr>
          <w:rFonts w:ascii="Arial" w:hAnsi="Arial" w:cs="Arial"/>
        </w:rPr>
        <w:t>219,838 total WIC encounters.</w:t>
      </w:r>
      <w:r w:rsidRPr="00836EFD">
        <w:rPr>
          <w:rFonts w:ascii="Arial" w:hAnsi="Arial" w:cs="Arial"/>
          <w:b/>
          <w:bCs/>
        </w:rPr>
        <w:t xml:space="preserve"> </w:t>
      </w:r>
      <w:r w:rsidRPr="00836EFD">
        <w:rPr>
          <w:rFonts w:ascii="Arial" w:hAnsi="Arial" w:cs="Arial"/>
        </w:rPr>
        <w:t>N= number of encounters meeting specified criteria. (%) reflect percentage of total WIC encounters.</w:t>
      </w:r>
    </w:p>
    <w:p w14:paraId="0F503824" w14:textId="77777777" w:rsidR="00D81C06" w:rsidRPr="00836EFD" w:rsidRDefault="00D81C06" w:rsidP="00D81C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4"/>
        <w:gridCol w:w="2084"/>
        <w:gridCol w:w="2151"/>
        <w:gridCol w:w="2151"/>
      </w:tblGrid>
      <w:tr w:rsidR="00D81C06" w:rsidRPr="0079454C" w14:paraId="10294D25" w14:textId="77777777" w:rsidTr="00552949">
        <w:tc>
          <w:tcPr>
            <w:tcW w:w="2244" w:type="dxa"/>
          </w:tcPr>
          <w:p w14:paraId="13867CD8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Charted Diagnosis</w:t>
            </w:r>
          </w:p>
        </w:tc>
        <w:tc>
          <w:tcPr>
            <w:tcW w:w="2084" w:type="dxa"/>
          </w:tcPr>
          <w:p w14:paraId="2970340D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79454C">
              <w:rPr>
                <w:rFonts w:ascii="Arial" w:hAnsi="Arial" w:cs="Arial"/>
                <w:b/>
                <w:bCs/>
              </w:rPr>
              <w:t>Appropriate</w:t>
            </w:r>
          </w:p>
        </w:tc>
        <w:tc>
          <w:tcPr>
            <w:tcW w:w="2151" w:type="dxa"/>
          </w:tcPr>
          <w:p w14:paraId="5089986F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Inappropriate due to Local Guidance</w:t>
            </w:r>
          </w:p>
        </w:tc>
        <w:tc>
          <w:tcPr>
            <w:tcW w:w="2151" w:type="dxa"/>
          </w:tcPr>
          <w:p w14:paraId="49A9BFA1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79454C">
              <w:rPr>
                <w:rFonts w:ascii="Arial" w:hAnsi="Arial" w:cs="Arial"/>
                <w:b/>
                <w:bCs/>
              </w:rPr>
              <w:t>Overly Broad or Guideline Inappropriate</w:t>
            </w:r>
          </w:p>
        </w:tc>
      </w:tr>
      <w:tr w:rsidR="00D81C06" w:rsidRPr="0079454C" w14:paraId="610097FA" w14:textId="77777777" w:rsidTr="00552949">
        <w:tc>
          <w:tcPr>
            <w:tcW w:w="2244" w:type="dxa"/>
          </w:tcPr>
          <w:p w14:paraId="1B814D20" w14:textId="77777777" w:rsidR="00D81C06" w:rsidRPr="0079454C" w:rsidDel="00675C56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Bronchitis or viral upper respiratory tract infection</w:t>
            </w:r>
          </w:p>
        </w:tc>
        <w:tc>
          <w:tcPr>
            <w:tcW w:w="2084" w:type="dxa"/>
          </w:tcPr>
          <w:p w14:paraId="4A787F72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836EFD">
              <w:rPr>
                <w:rFonts w:ascii="Arial" w:hAnsi="Arial" w:cs="Arial"/>
              </w:rPr>
              <w:t>No antibiotic</w:t>
            </w:r>
          </w:p>
        </w:tc>
        <w:tc>
          <w:tcPr>
            <w:tcW w:w="2151" w:type="dxa"/>
          </w:tcPr>
          <w:p w14:paraId="0BBE0272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836EFD">
              <w:rPr>
                <w:rFonts w:ascii="Arial" w:hAnsi="Arial" w:cs="Arial"/>
              </w:rPr>
              <w:t>No antibiotic</w:t>
            </w:r>
          </w:p>
        </w:tc>
        <w:tc>
          <w:tcPr>
            <w:tcW w:w="2151" w:type="dxa"/>
          </w:tcPr>
          <w:p w14:paraId="13709493" w14:textId="77777777" w:rsidR="00D81C06" w:rsidRPr="00836EFD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836EFD">
              <w:rPr>
                <w:rFonts w:ascii="Arial" w:hAnsi="Arial" w:cs="Arial"/>
              </w:rPr>
              <w:t>Any antibiotic</w:t>
            </w:r>
          </w:p>
        </w:tc>
      </w:tr>
      <w:tr w:rsidR="00D81C06" w:rsidRPr="0079454C" w14:paraId="23BE34F7" w14:textId="77777777" w:rsidTr="00552949">
        <w:tc>
          <w:tcPr>
            <w:tcW w:w="2244" w:type="dxa"/>
          </w:tcPr>
          <w:p w14:paraId="6ED34415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79454C">
              <w:rPr>
                <w:rFonts w:ascii="Arial" w:hAnsi="Arial" w:cs="Arial"/>
                <w:b/>
                <w:bCs/>
              </w:rPr>
              <w:t>UTI</w:t>
            </w:r>
          </w:p>
        </w:tc>
        <w:tc>
          <w:tcPr>
            <w:tcW w:w="2084" w:type="dxa"/>
          </w:tcPr>
          <w:p w14:paraId="39E7D9E8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Cephalexin, amoxicillin-clavulanate, nitrofurantoin</w:t>
            </w:r>
          </w:p>
        </w:tc>
        <w:tc>
          <w:tcPr>
            <w:tcW w:w="2151" w:type="dxa"/>
          </w:tcPr>
          <w:p w14:paraId="0E9F71ED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Trimethoprim-sulfamethoxazole, cefdinir</w:t>
            </w:r>
          </w:p>
        </w:tc>
        <w:tc>
          <w:tcPr>
            <w:tcW w:w="2151" w:type="dxa"/>
          </w:tcPr>
          <w:p w14:paraId="15E24001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Fluroquinolones, doxycycline</w:t>
            </w:r>
          </w:p>
        </w:tc>
      </w:tr>
      <w:tr w:rsidR="00D81C06" w:rsidRPr="0079454C" w14:paraId="1710612F" w14:textId="77777777" w:rsidTr="00552949">
        <w:tc>
          <w:tcPr>
            <w:tcW w:w="2244" w:type="dxa"/>
          </w:tcPr>
          <w:p w14:paraId="5302AFF6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79454C">
              <w:rPr>
                <w:rFonts w:ascii="Arial" w:hAnsi="Arial" w:cs="Arial"/>
                <w:b/>
                <w:bCs/>
              </w:rPr>
              <w:t>SSTI</w:t>
            </w:r>
          </w:p>
        </w:tc>
        <w:tc>
          <w:tcPr>
            <w:tcW w:w="2084" w:type="dxa"/>
          </w:tcPr>
          <w:p w14:paraId="29254E1B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Cephalexin, penicillin, amoxicillin, amoxicillin-clavulanate, trimethoprim-sulfamethoxazole</w:t>
            </w:r>
          </w:p>
        </w:tc>
        <w:tc>
          <w:tcPr>
            <w:tcW w:w="2151" w:type="dxa"/>
          </w:tcPr>
          <w:p w14:paraId="17321E34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Doxycycline, Clindamycin (if adult), erythromycin</w:t>
            </w:r>
          </w:p>
        </w:tc>
        <w:tc>
          <w:tcPr>
            <w:tcW w:w="2151" w:type="dxa"/>
          </w:tcPr>
          <w:p w14:paraId="78BD73CC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Fluroquinolones, cefdinir</w:t>
            </w:r>
          </w:p>
        </w:tc>
      </w:tr>
      <w:tr w:rsidR="00D81C06" w:rsidRPr="0079454C" w14:paraId="6F69B51D" w14:textId="77777777" w:rsidTr="00552949">
        <w:tc>
          <w:tcPr>
            <w:tcW w:w="2244" w:type="dxa"/>
          </w:tcPr>
          <w:p w14:paraId="6A6CF627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79454C">
              <w:rPr>
                <w:rFonts w:ascii="Arial" w:hAnsi="Arial" w:cs="Arial"/>
                <w:b/>
                <w:bCs/>
              </w:rPr>
              <w:t>AOM</w:t>
            </w:r>
          </w:p>
        </w:tc>
        <w:tc>
          <w:tcPr>
            <w:tcW w:w="2084" w:type="dxa"/>
          </w:tcPr>
          <w:p w14:paraId="712C2B34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Amoxicillin, amoxicillin-clavulanate</w:t>
            </w:r>
          </w:p>
        </w:tc>
        <w:tc>
          <w:tcPr>
            <w:tcW w:w="2151" w:type="dxa"/>
          </w:tcPr>
          <w:p w14:paraId="46825F74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Cefdinir</w:t>
            </w:r>
          </w:p>
        </w:tc>
        <w:tc>
          <w:tcPr>
            <w:tcW w:w="2151" w:type="dxa"/>
          </w:tcPr>
          <w:p w14:paraId="1294BED5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Fluroquinolones, azithromycin, doxycycline, trimethoprim-</w:t>
            </w:r>
            <w:r w:rsidRPr="0079454C">
              <w:rPr>
                <w:rFonts w:ascii="Arial" w:hAnsi="Arial" w:cs="Arial"/>
              </w:rPr>
              <w:lastRenderedPageBreak/>
              <w:t>sulfamethoxazole, cephalexin</w:t>
            </w:r>
          </w:p>
        </w:tc>
      </w:tr>
      <w:tr w:rsidR="00D81C06" w:rsidRPr="0079454C" w14:paraId="210F6EBA" w14:textId="77777777" w:rsidTr="00552949">
        <w:tc>
          <w:tcPr>
            <w:tcW w:w="2244" w:type="dxa"/>
          </w:tcPr>
          <w:p w14:paraId="4555FB2B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79454C">
              <w:rPr>
                <w:rFonts w:ascii="Arial" w:hAnsi="Arial" w:cs="Arial"/>
                <w:b/>
                <w:bCs/>
              </w:rPr>
              <w:lastRenderedPageBreak/>
              <w:t>GAS Pharyngitis</w:t>
            </w:r>
          </w:p>
        </w:tc>
        <w:tc>
          <w:tcPr>
            <w:tcW w:w="2084" w:type="dxa"/>
          </w:tcPr>
          <w:p w14:paraId="0E916E2D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Amoxicillin, penicillin</w:t>
            </w:r>
          </w:p>
        </w:tc>
        <w:tc>
          <w:tcPr>
            <w:tcW w:w="2151" w:type="dxa"/>
          </w:tcPr>
          <w:p w14:paraId="7C3C67BF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Cephalexin, clindamycin, azithromycin</w:t>
            </w:r>
          </w:p>
        </w:tc>
        <w:tc>
          <w:tcPr>
            <w:tcW w:w="2151" w:type="dxa"/>
          </w:tcPr>
          <w:p w14:paraId="3464FB74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Cefdinir, fluroquinolones, amoxicillin-clavulanate</w:t>
            </w:r>
          </w:p>
        </w:tc>
      </w:tr>
      <w:tr w:rsidR="00D81C06" w:rsidRPr="0079454C" w14:paraId="60C564B2" w14:textId="77777777" w:rsidTr="00552949">
        <w:tc>
          <w:tcPr>
            <w:tcW w:w="2244" w:type="dxa"/>
          </w:tcPr>
          <w:p w14:paraId="6817AA63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79454C">
              <w:rPr>
                <w:rFonts w:ascii="Arial" w:hAnsi="Arial" w:cs="Arial"/>
                <w:b/>
                <w:bCs/>
              </w:rPr>
              <w:t>Sinusitis</w:t>
            </w:r>
          </w:p>
        </w:tc>
        <w:tc>
          <w:tcPr>
            <w:tcW w:w="2084" w:type="dxa"/>
          </w:tcPr>
          <w:p w14:paraId="6EF0897B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Amoxicillin, amoxicillin-clavulanate, penicillin, doxycycline</w:t>
            </w:r>
          </w:p>
        </w:tc>
        <w:tc>
          <w:tcPr>
            <w:tcW w:w="2151" w:type="dxa"/>
          </w:tcPr>
          <w:p w14:paraId="1CD714A5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Cefdinir, azithromycin</w:t>
            </w:r>
          </w:p>
        </w:tc>
        <w:tc>
          <w:tcPr>
            <w:tcW w:w="2151" w:type="dxa"/>
          </w:tcPr>
          <w:p w14:paraId="023FB312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Trimethoprim-sulfamethoxazole, levofloxacin</w:t>
            </w:r>
          </w:p>
        </w:tc>
      </w:tr>
      <w:tr w:rsidR="00D81C06" w:rsidRPr="0079454C" w14:paraId="1D15FD58" w14:textId="77777777" w:rsidTr="00552949">
        <w:tc>
          <w:tcPr>
            <w:tcW w:w="2244" w:type="dxa"/>
          </w:tcPr>
          <w:p w14:paraId="0FB4F27C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79454C">
              <w:rPr>
                <w:rFonts w:ascii="Arial" w:hAnsi="Arial" w:cs="Arial"/>
                <w:b/>
                <w:bCs/>
              </w:rPr>
              <w:t>Pneumonia</w:t>
            </w:r>
          </w:p>
        </w:tc>
        <w:tc>
          <w:tcPr>
            <w:tcW w:w="2084" w:type="dxa"/>
          </w:tcPr>
          <w:p w14:paraId="2BC74628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Amoxicillin, amoxicillin-clavulanate, penicillin, doxycycline, cefpodoxime, azithromycin, levofloxacin</w:t>
            </w:r>
          </w:p>
        </w:tc>
        <w:tc>
          <w:tcPr>
            <w:tcW w:w="2151" w:type="dxa"/>
          </w:tcPr>
          <w:p w14:paraId="16DB2E79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Cefdinir</w:t>
            </w:r>
          </w:p>
        </w:tc>
        <w:tc>
          <w:tcPr>
            <w:tcW w:w="2151" w:type="dxa"/>
          </w:tcPr>
          <w:p w14:paraId="71928570" w14:textId="77777777" w:rsidR="00D81C06" w:rsidRPr="0079454C" w:rsidRDefault="00D81C06" w:rsidP="00552949">
            <w:pPr>
              <w:spacing w:line="480" w:lineRule="auto"/>
              <w:rPr>
                <w:rFonts w:ascii="Arial" w:hAnsi="Arial" w:cs="Arial"/>
              </w:rPr>
            </w:pPr>
            <w:r w:rsidRPr="0079454C">
              <w:rPr>
                <w:rFonts w:ascii="Arial" w:hAnsi="Arial" w:cs="Arial"/>
              </w:rPr>
              <w:t>ciprofloxacin</w:t>
            </w:r>
          </w:p>
        </w:tc>
      </w:tr>
    </w:tbl>
    <w:p w14:paraId="6FA4E2C5" w14:textId="77777777" w:rsidR="00D81C06" w:rsidRPr="0079454C" w:rsidRDefault="00D81C06" w:rsidP="00D81C06">
      <w:pPr>
        <w:spacing w:line="480" w:lineRule="auto"/>
        <w:ind w:left="720"/>
        <w:rPr>
          <w:rFonts w:ascii="Arial" w:hAnsi="Arial" w:cs="Arial"/>
        </w:rPr>
      </w:pPr>
    </w:p>
    <w:p w14:paraId="239C9C8D" w14:textId="77777777" w:rsidR="00D81C06" w:rsidRPr="0079454C" w:rsidRDefault="00D81C06" w:rsidP="00D81C06">
      <w:pPr>
        <w:spacing w:line="480" w:lineRule="auto"/>
        <w:rPr>
          <w:rFonts w:ascii="Arial" w:hAnsi="Arial" w:cs="Arial"/>
        </w:rPr>
      </w:pPr>
      <w:r w:rsidRPr="0079454C">
        <w:rPr>
          <w:rFonts w:ascii="Arial" w:hAnsi="Arial" w:cs="Arial"/>
          <w:b/>
          <w:bCs/>
        </w:rPr>
        <w:t xml:space="preserve">Supplemental Table </w:t>
      </w:r>
      <w:r>
        <w:rPr>
          <w:rFonts w:ascii="Arial" w:hAnsi="Arial" w:cs="Arial"/>
          <w:b/>
          <w:bCs/>
        </w:rPr>
        <w:t>2</w:t>
      </w:r>
      <w:r w:rsidRPr="0079454C">
        <w:rPr>
          <w:rFonts w:ascii="Arial" w:hAnsi="Arial" w:cs="Arial"/>
          <w:b/>
          <w:bCs/>
        </w:rPr>
        <w:t>. Definitions of appropriateness</w:t>
      </w:r>
      <w:r w:rsidRPr="0079454C">
        <w:rPr>
          <w:rFonts w:ascii="Arial" w:hAnsi="Arial" w:cs="Arial"/>
        </w:rPr>
        <w:t xml:space="preserve">. Antibiotic prescription appropriateness classification (appropriate, inappropriate based on local </w:t>
      </w:r>
      <w:r>
        <w:rPr>
          <w:rFonts w:ascii="Arial" w:hAnsi="Arial" w:cs="Arial"/>
        </w:rPr>
        <w:t>guidelines,</w:t>
      </w:r>
      <w:r w:rsidRPr="0079454C">
        <w:rPr>
          <w:rFonts w:ascii="Arial" w:hAnsi="Arial" w:cs="Arial"/>
        </w:rPr>
        <w:t xml:space="preserve"> or </w:t>
      </w:r>
      <w:r w:rsidRPr="0079454C">
        <w:rPr>
          <w:rFonts w:ascii="Arial" w:hAnsi="Arial" w:cs="Arial"/>
        </w:rPr>
        <w:lastRenderedPageBreak/>
        <w:t xml:space="preserve">inappropriate) based on </w:t>
      </w:r>
      <w:r>
        <w:rPr>
          <w:rFonts w:ascii="Arial" w:hAnsi="Arial" w:cs="Arial"/>
        </w:rPr>
        <w:t>charted diagnosis</w:t>
      </w:r>
      <w:r w:rsidRPr="0079454C">
        <w:rPr>
          <w:rFonts w:ascii="Arial" w:hAnsi="Arial" w:cs="Arial"/>
        </w:rPr>
        <w:t xml:space="preserve"> for antibiotic. UTI= urinary tract infection. AOM= acute otitis media. GAS= group A Streptococcus.</w:t>
      </w:r>
    </w:p>
    <w:p w14:paraId="4A2E7FCD" w14:textId="77777777" w:rsidR="00D81C06" w:rsidRPr="0079454C" w:rsidRDefault="00D81C06" w:rsidP="00D81C06">
      <w:pPr>
        <w:spacing w:line="480" w:lineRule="auto"/>
        <w:ind w:left="720"/>
        <w:rPr>
          <w:rFonts w:ascii="Arial" w:hAnsi="Arial" w:cs="Arial"/>
        </w:rPr>
      </w:pPr>
    </w:p>
    <w:p w14:paraId="74E9A640" w14:textId="77777777" w:rsidR="00D81C06" w:rsidRPr="0079454C" w:rsidRDefault="00D81C06" w:rsidP="00D81C06">
      <w:pPr>
        <w:spacing w:line="480" w:lineRule="auto"/>
        <w:rPr>
          <w:rFonts w:ascii="Arial" w:hAnsi="Arial" w:cs="Arial"/>
        </w:rPr>
      </w:pPr>
      <w:r w:rsidRPr="0079454C">
        <w:rPr>
          <w:rFonts w:ascii="Arial" w:hAnsi="Arial" w:cs="Arial"/>
          <w:b/>
          <w:bCs/>
        </w:rPr>
        <w:t xml:space="preserve">Supplemental Figure 1. Antibiotic Computerized Order Entry Mandatory Indication Options. </w:t>
      </w:r>
      <w:r w:rsidRPr="0079454C">
        <w:rPr>
          <w:rFonts w:ascii="Arial" w:hAnsi="Arial" w:cs="Arial"/>
        </w:rPr>
        <w:t xml:space="preserve">Indication options that providers were forced to select within the </w:t>
      </w:r>
      <w:r>
        <w:rPr>
          <w:rFonts w:ascii="Arial" w:hAnsi="Arial" w:cs="Arial"/>
        </w:rPr>
        <w:t>electronic orders</w:t>
      </w:r>
      <w:r w:rsidRPr="0079454C">
        <w:rPr>
          <w:rFonts w:ascii="Arial" w:hAnsi="Arial" w:cs="Arial"/>
        </w:rPr>
        <w:t>. Prescription could not be processed if an indication was not selected. In the above example no indication is selected so there is a red error message to the left of “indication” indicating that the order is not ready to be processed.</w:t>
      </w:r>
    </w:p>
    <w:p w14:paraId="4FEE9AC4" w14:textId="77777777" w:rsidR="00376BF3" w:rsidRDefault="00376BF3"/>
    <w:sectPr w:rsidR="00376BF3" w:rsidSect="00CA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06"/>
    <w:rsid w:val="001033BA"/>
    <w:rsid w:val="002F24BA"/>
    <w:rsid w:val="00376BF3"/>
    <w:rsid w:val="007E6DDD"/>
    <w:rsid w:val="00931A49"/>
    <w:rsid w:val="00BF75B8"/>
    <w:rsid w:val="00C746DE"/>
    <w:rsid w:val="00CA18BB"/>
    <w:rsid w:val="00D81C06"/>
    <w:rsid w:val="00F83015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0389C"/>
  <w14:defaultImageDpi w14:val="32767"/>
  <w15:chartTrackingRefBased/>
  <w15:docId w15:val="{66AC823A-515D-A043-A5A4-7BD34936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1C0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C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C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C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C0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C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C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C0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1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C0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C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C0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Oertli, Charlie E</dc:creator>
  <cp:keywords/>
  <dc:description/>
  <cp:lastModifiedBy>Oertli, Charlie E</cp:lastModifiedBy>
  <cp:revision>2</cp:revision>
  <dcterms:created xsi:type="dcterms:W3CDTF">2024-04-17T19:21:00Z</dcterms:created>
  <dcterms:modified xsi:type="dcterms:W3CDTF">2024-04-17T19:21:00Z</dcterms:modified>
</cp:coreProperties>
</file>