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5FE46" w14:textId="64D1F5AA" w:rsidR="005B5CE7" w:rsidRPr="00EE28F9" w:rsidRDefault="005B5CE7" w:rsidP="00EE28F9">
      <w:pPr>
        <w:rPr>
          <w:b/>
          <w:bCs/>
          <w:u w:val="single"/>
        </w:rPr>
      </w:pPr>
      <w:r w:rsidRPr="005B5CE7">
        <w:rPr>
          <w:b/>
          <w:bCs/>
          <w:u w:val="single"/>
        </w:rPr>
        <w:t>Supplementary Materials for:</w:t>
      </w:r>
    </w:p>
    <w:p w14:paraId="18F5438F" w14:textId="6AF13F46" w:rsidR="00850D19" w:rsidRPr="00850D19" w:rsidRDefault="00FA78AC" w:rsidP="00FA78AC">
      <w:pPr>
        <w:spacing w:after="120" w:line="276" w:lineRule="auto"/>
        <w:rPr>
          <w:rFonts w:asciiTheme="majorBidi" w:hAnsiTheme="majorBidi" w:cstheme="majorBidi"/>
          <w:sz w:val="28"/>
          <w:szCs w:val="28"/>
        </w:rPr>
      </w:pPr>
      <w:bookmarkStart w:id="0" w:name="_Hlk161259505"/>
      <w:r w:rsidRPr="00FA78AC">
        <w:rPr>
          <w:rFonts w:asciiTheme="majorBidi" w:hAnsiTheme="majorBidi" w:cstheme="majorBidi"/>
          <w:sz w:val="28"/>
          <w:szCs w:val="28"/>
        </w:rPr>
        <w:t>Using electronic medical records in hospital simulation for infection control intervention assessment</w:t>
      </w:r>
    </w:p>
    <w:bookmarkEnd w:id="0"/>
    <w:p w14:paraId="5B01CDC4" w14:textId="77777777" w:rsidR="005B5CE7" w:rsidRPr="00CC3E2F" w:rsidRDefault="005B5CE7" w:rsidP="005B5CE7">
      <w:pPr>
        <w:spacing w:after="120" w:line="276" w:lineRule="auto"/>
        <w:rPr>
          <w:rFonts w:asciiTheme="majorBidi" w:hAnsiTheme="majorBidi" w:cstheme="majorBidi"/>
          <w:szCs w:val="24"/>
        </w:rPr>
      </w:pPr>
    </w:p>
    <w:p w14:paraId="6F3FB39D" w14:textId="66AE1252" w:rsidR="005B5CE7" w:rsidRPr="00CC3E2F" w:rsidRDefault="005B5CE7" w:rsidP="005B5CE7">
      <w:pPr>
        <w:autoSpaceDE w:val="0"/>
        <w:autoSpaceDN w:val="0"/>
        <w:adjustRightInd w:val="0"/>
        <w:spacing w:after="120" w:line="276" w:lineRule="auto"/>
        <w:rPr>
          <w:rFonts w:asciiTheme="majorBidi" w:hAnsiTheme="majorBidi" w:cstheme="majorBidi"/>
          <w:szCs w:val="24"/>
        </w:rPr>
      </w:pPr>
      <w:r w:rsidRPr="00CC3E2F">
        <w:rPr>
          <w:rFonts w:asciiTheme="majorBidi" w:hAnsiTheme="majorBidi" w:cstheme="majorBidi"/>
          <w:szCs w:val="24"/>
        </w:rPr>
        <w:t>Fardad Haghpanah</w:t>
      </w:r>
      <w:r w:rsidRPr="00CC3E2F">
        <w:rPr>
          <w:rFonts w:asciiTheme="majorBidi" w:hAnsiTheme="majorBidi" w:cstheme="majorBidi"/>
          <w:szCs w:val="24"/>
          <w:vertAlign w:val="superscript"/>
        </w:rPr>
        <w:t>1</w:t>
      </w:r>
      <w:r w:rsidR="00EE28F9">
        <w:rPr>
          <w:rFonts w:asciiTheme="majorBidi" w:hAnsiTheme="majorBidi" w:cstheme="majorBidi"/>
          <w:szCs w:val="24"/>
          <w:vertAlign w:val="superscript"/>
        </w:rPr>
        <w:t>*</w:t>
      </w:r>
      <w:r w:rsidR="00850D19">
        <w:rPr>
          <w:rFonts w:asciiTheme="majorBidi" w:hAnsiTheme="majorBidi" w:cstheme="majorBidi"/>
          <w:szCs w:val="24"/>
        </w:rPr>
        <w:t xml:space="preserve"> and</w:t>
      </w:r>
      <w:r w:rsidRPr="00CC3E2F">
        <w:rPr>
          <w:rFonts w:asciiTheme="majorBidi" w:hAnsiTheme="majorBidi" w:cstheme="majorBidi"/>
          <w:szCs w:val="24"/>
        </w:rPr>
        <w:t xml:space="preserve"> Eili Klein</w:t>
      </w:r>
      <w:r w:rsidRPr="00CC3E2F">
        <w:rPr>
          <w:rFonts w:asciiTheme="majorBidi" w:hAnsiTheme="majorBidi" w:cstheme="majorBidi"/>
          <w:szCs w:val="24"/>
          <w:vertAlign w:val="superscript"/>
        </w:rPr>
        <w:t>1,2</w:t>
      </w:r>
      <w:r w:rsidRPr="00CC3E2F">
        <w:rPr>
          <w:rFonts w:asciiTheme="majorBidi" w:hAnsiTheme="majorBidi" w:cstheme="majorBidi"/>
          <w:szCs w:val="24"/>
        </w:rPr>
        <w:t>; for the CDC MInD-Healthcare Program</w:t>
      </w:r>
    </w:p>
    <w:p w14:paraId="79DA7EF3" w14:textId="77777777" w:rsidR="005B5CE7" w:rsidRPr="00CC3E2F" w:rsidRDefault="005B5CE7" w:rsidP="005B5CE7">
      <w:pPr>
        <w:autoSpaceDE w:val="0"/>
        <w:autoSpaceDN w:val="0"/>
        <w:adjustRightInd w:val="0"/>
        <w:spacing w:after="120" w:line="276" w:lineRule="auto"/>
        <w:rPr>
          <w:rFonts w:asciiTheme="majorBidi" w:hAnsiTheme="majorBidi" w:cstheme="majorBidi"/>
          <w:szCs w:val="24"/>
        </w:rPr>
      </w:pPr>
    </w:p>
    <w:p w14:paraId="4E45264A" w14:textId="77777777" w:rsidR="005B5CE7" w:rsidRPr="00CC3E2F" w:rsidRDefault="005B5CE7" w:rsidP="005B5CE7">
      <w:pPr>
        <w:autoSpaceDE w:val="0"/>
        <w:autoSpaceDN w:val="0"/>
        <w:adjustRightInd w:val="0"/>
        <w:spacing w:after="120" w:line="276" w:lineRule="auto"/>
        <w:rPr>
          <w:rFonts w:asciiTheme="majorBidi" w:hAnsiTheme="majorBidi" w:cstheme="majorBidi"/>
          <w:szCs w:val="24"/>
        </w:rPr>
      </w:pPr>
      <w:r w:rsidRPr="00CC3E2F">
        <w:rPr>
          <w:rFonts w:asciiTheme="majorBidi" w:hAnsiTheme="majorBidi" w:cstheme="majorBidi"/>
          <w:szCs w:val="24"/>
          <w:vertAlign w:val="superscript"/>
        </w:rPr>
        <w:t xml:space="preserve">1 </w:t>
      </w:r>
      <w:r w:rsidRPr="00CC3E2F">
        <w:rPr>
          <w:rFonts w:asciiTheme="majorBidi" w:hAnsiTheme="majorBidi" w:cstheme="majorBidi"/>
          <w:szCs w:val="24"/>
        </w:rPr>
        <w:t>One Health Trust, Washington, D.C., USA</w:t>
      </w:r>
    </w:p>
    <w:p w14:paraId="4DDAC205" w14:textId="77777777" w:rsidR="005B5CE7" w:rsidRPr="00CC3E2F" w:rsidRDefault="005B5CE7" w:rsidP="005B5CE7">
      <w:pPr>
        <w:spacing w:after="120" w:line="276" w:lineRule="auto"/>
        <w:rPr>
          <w:rFonts w:asciiTheme="majorBidi" w:hAnsiTheme="majorBidi" w:cstheme="majorBidi"/>
          <w:szCs w:val="24"/>
        </w:rPr>
      </w:pPr>
      <w:r w:rsidRPr="00CC3E2F">
        <w:rPr>
          <w:rFonts w:asciiTheme="majorBidi" w:hAnsiTheme="majorBidi" w:cstheme="majorBidi"/>
          <w:szCs w:val="24"/>
          <w:vertAlign w:val="superscript"/>
        </w:rPr>
        <w:t xml:space="preserve">2 </w:t>
      </w:r>
      <w:r w:rsidRPr="00CC3E2F">
        <w:rPr>
          <w:rFonts w:asciiTheme="majorBidi" w:hAnsiTheme="majorBidi" w:cstheme="majorBidi"/>
          <w:szCs w:val="24"/>
        </w:rPr>
        <w:t>Department of Emergency Medicine, Johns Hopkins School of Medicine, Baltimore, MD, USA</w:t>
      </w:r>
    </w:p>
    <w:p w14:paraId="026C7844" w14:textId="77777777" w:rsidR="005B5CE7" w:rsidRDefault="005B5CE7"/>
    <w:p w14:paraId="62699C02" w14:textId="77777777" w:rsidR="00EE28F9" w:rsidRDefault="00EE28F9" w:rsidP="00EE28F9">
      <w:pPr>
        <w:spacing w:after="120" w:line="276" w:lineRule="auto"/>
        <w:rPr>
          <w:rFonts w:asciiTheme="majorBidi" w:hAnsiTheme="majorBidi" w:cstheme="majorBidi"/>
          <w:szCs w:val="24"/>
        </w:rPr>
      </w:pPr>
      <w:r w:rsidRPr="00A5671E">
        <w:rPr>
          <w:rFonts w:asciiTheme="majorBidi" w:hAnsiTheme="majorBidi" w:cstheme="majorBidi"/>
          <w:szCs w:val="24"/>
          <w:vertAlign w:val="superscript"/>
        </w:rPr>
        <w:t>*</w:t>
      </w:r>
      <w:r>
        <w:rPr>
          <w:rFonts w:asciiTheme="majorBidi" w:hAnsiTheme="majorBidi" w:cstheme="majorBidi"/>
          <w:szCs w:val="24"/>
        </w:rPr>
        <w:t xml:space="preserve"> Corresponding author:</w:t>
      </w:r>
    </w:p>
    <w:p w14:paraId="0892D232" w14:textId="77777777" w:rsidR="00EE28F9" w:rsidRDefault="00EE28F9" w:rsidP="00EE28F9">
      <w:pPr>
        <w:spacing w:after="120" w:line="276" w:lineRule="auto"/>
        <w:rPr>
          <w:rFonts w:asciiTheme="majorBidi" w:hAnsiTheme="majorBidi" w:cstheme="majorBidi"/>
          <w:szCs w:val="24"/>
        </w:rPr>
      </w:pPr>
      <w:r w:rsidRPr="00A5671E">
        <w:rPr>
          <w:rFonts w:asciiTheme="majorBidi" w:hAnsiTheme="majorBidi" w:cstheme="majorBidi"/>
          <w:szCs w:val="24"/>
        </w:rPr>
        <w:t>5636 Connecticut Avenue NW,</w:t>
      </w:r>
      <w:r w:rsidRPr="00A5671E">
        <w:rPr>
          <w:rFonts w:asciiTheme="majorBidi" w:hAnsiTheme="majorBidi" w:cstheme="majorBidi"/>
          <w:szCs w:val="24"/>
        </w:rPr>
        <w:br/>
        <w:t>PO Box 42735, Washington, D.C.</w:t>
      </w:r>
      <w:r w:rsidRPr="00A5671E">
        <w:rPr>
          <w:rFonts w:asciiTheme="majorBidi" w:hAnsiTheme="majorBidi" w:cstheme="majorBidi"/>
          <w:szCs w:val="24"/>
        </w:rPr>
        <w:br/>
        <w:t>20015, U.S.A.</w:t>
      </w:r>
    </w:p>
    <w:p w14:paraId="03967700" w14:textId="77777777" w:rsidR="00EE28F9" w:rsidRDefault="00EE28F9" w:rsidP="00EE28F9">
      <w:pPr>
        <w:spacing w:after="120" w:line="276" w:lineRule="auto"/>
        <w:rPr>
          <w:rFonts w:asciiTheme="majorBidi" w:hAnsiTheme="majorBidi" w:cstheme="majorBidi"/>
          <w:szCs w:val="24"/>
        </w:rPr>
      </w:pPr>
      <w:hyperlink r:id="rId8" w:history="1">
        <w:r w:rsidRPr="00756767">
          <w:rPr>
            <w:rStyle w:val="Hyperlink"/>
            <w:rFonts w:asciiTheme="majorBidi" w:hAnsiTheme="majorBidi" w:cstheme="majorBidi"/>
            <w:szCs w:val="24"/>
          </w:rPr>
          <w:t>haghpanah@onehealthtrust.org</w:t>
        </w:r>
      </w:hyperlink>
      <w:r>
        <w:rPr>
          <w:rFonts w:asciiTheme="majorBidi" w:hAnsiTheme="majorBidi" w:cstheme="majorBidi"/>
          <w:szCs w:val="24"/>
        </w:rPr>
        <w:t xml:space="preserve"> </w:t>
      </w:r>
    </w:p>
    <w:p w14:paraId="185644A0" w14:textId="77777777" w:rsidR="005B5CE7" w:rsidRDefault="005B5CE7"/>
    <w:p w14:paraId="716A5EBC" w14:textId="77777777" w:rsidR="005B5CE7" w:rsidRDefault="005B5CE7"/>
    <w:p w14:paraId="4A2DD9C4" w14:textId="77777777" w:rsidR="005B5CE7" w:rsidRDefault="005B5CE7"/>
    <w:p w14:paraId="3C68A9A9" w14:textId="77777777" w:rsidR="005B5CE7" w:rsidRDefault="005B5CE7"/>
    <w:p w14:paraId="6A9CD019" w14:textId="77777777" w:rsidR="005B5CE7" w:rsidRDefault="005B5CE7"/>
    <w:p w14:paraId="15FD234A" w14:textId="77777777" w:rsidR="005B5CE7" w:rsidRDefault="005B5CE7"/>
    <w:p w14:paraId="4254A9ED" w14:textId="77777777" w:rsidR="005B5CE7" w:rsidRDefault="005B5CE7"/>
    <w:p w14:paraId="53BA7AC9" w14:textId="77777777" w:rsidR="005B5CE7" w:rsidRDefault="005B5CE7"/>
    <w:p w14:paraId="494994C7" w14:textId="77777777" w:rsidR="005B5CE7" w:rsidRDefault="005B5CE7"/>
    <w:p w14:paraId="15ED5381" w14:textId="77777777" w:rsidR="005B5CE7" w:rsidRDefault="005B5CE7"/>
    <w:p w14:paraId="12674453" w14:textId="77777777" w:rsidR="005B5CE7" w:rsidRDefault="005B5CE7"/>
    <w:p w14:paraId="19203FEA" w14:textId="77777777" w:rsidR="005B5CE7" w:rsidRDefault="005B5CE7"/>
    <w:p w14:paraId="1FA4CC59" w14:textId="77777777" w:rsidR="005B5CE7" w:rsidRDefault="005B5CE7"/>
    <w:p w14:paraId="07A3EBA0" w14:textId="77777777" w:rsidR="005B5CE7" w:rsidRDefault="005B5CE7"/>
    <w:p w14:paraId="3046BC90" w14:textId="77777777" w:rsidR="003C26C6" w:rsidRDefault="003C26C6">
      <w:pPr>
        <w:rPr>
          <w:b/>
          <w:bCs/>
        </w:rPr>
        <w:sectPr w:rsidR="003C26C6">
          <w:footerReference w:type="default" r:id="rId9"/>
          <w:pgSz w:w="12240" w:h="15840"/>
          <w:pgMar w:top="1440" w:right="1440" w:bottom="1440" w:left="1440" w:header="720" w:footer="720" w:gutter="0"/>
          <w:cols w:space="720"/>
          <w:docGrid w:linePitch="360"/>
        </w:sectPr>
      </w:pPr>
    </w:p>
    <w:p w14:paraId="7EBE5FF2" w14:textId="59DAF055" w:rsidR="00E64445" w:rsidRPr="00AA3510" w:rsidRDefault="00E64445">
      <w:pPr>
        <w:rPr>
          <w:b/>
          <w:bCs/>
          <w:sz w:val="28"/>
          <w:szCs w:val="24"/>
        </w:rPr>
      </w:pPr>
      <w:r w:rsidRPr="00AA3510">
        <w:rPr>
          <w:b/>
          <w:bCs/>
          <w:sz w:val="28"/>
          <w:szCs w:val="24"/>
        </w:rPr>
        <w:lastRenderedPageBreak/>
        <w:t>Appendix A: Methods</w:t>
      </w:r>
    </w:p>
    <w:p w14:paraId="5D1093A5" w14:textId="77777777" w:rsidR="00273782" w:rsidRDefault="00AA3510">
      <w:pPr>
        <w:rPr>
          <w:b/>
          <w:bCs/>
        </w:rPr>
      </w:pPr>
      <w:r>
        <w:rPr>
          <w:b/>
          <w:bCs/>
        </w:rPr>
        <w:t>A</w:t>
      </w:r>
      <w:r w:rsidR="00193B86">
        <w:rPr>
          <w:b/>
          <w:bCs/>
        </w:rPr>
        <w:t xml:space="preserve">2.2. </w:t>
      </w:r>
      <w:r w:rsidR="00273782">
        <w:rPr>
          <w:b/>
          <w:bCs/>
        </w:rPr>
        <w:t>Simulations</w:t>
      </w:r>
    </w:p>
    <w:p w14:paraId="7762DC60" w14:textId="664461AB" w:rsidR="00193B86" w:rsidRPr="00273782" w:rsidRDefault="00273782">
      <w:pPr>
        <w:rPr>
          <w:rFonts w:asciiTheme="majorBidi" w:hAnsiTheme="majorBidi" w:cstheme="majorBidi"/>
          <w:i/>
          <w:iCs/>
          <w:szCs w:val="24"/>
        </w:rPr>
      </w:pPr>
      <w:r w:rsidRPr="00273782">
        <w:rPr>
          <w:i/>
          <w:iCs/>
        </w:rPr>
        <w:t xml:space="preserve">A2.2.1. </w:t>
      </w:r>
      <w:r w:rsidR="00193B86" w:rsidRPr="00273782">
        <w:rPr>
          <w:rFonts w:asciiTheme="majorBidi" w:hAnsiTheme="majorBidi" w:cstheme="majorBidi"/>
          <w:i/>
          <w:iCs/>
          <w:szCs w:val="24"/>
        </w:rPr>
        <w:t>The agent-based model</w:t>
      </w:r>
    </w:p>
    <w:p w14:paraId="07BDB74D" w14:textId="0D1CD55A" w:rsidR="00193B86" w:rsidRDefault="00193B86" w:rsidP="00193B86">
      <w:pPr>
        <w:spacing w:after="120" w:line="276" w:lineRule="auto"/>
        <w:rPr>
          <w:rFonts w:asciiTheme="majorBidi" w:hAnsiTheme="majorBidi" w:cstheme="majorBidi"/>
          <w:szCs w:val="24"/>
        </w:rPr>
      </w:pPr>
      <w:r w:rsidRPr="0031503D">
        <w:rPr>
          <w:rFonts w:asciiTheme="majorBidi" w:hAnsiTheme="majorBidi" w:cstheme="majorBidi"/>
          <w:szCs w:val="24"/>
        </w:rPr>
        <w:t>Agent-</w:t>
      </w:r>
      <w:r>
        <w:rPr>
          <w:rFonts w:asciiTheme="majorBidi" w:hAnsiTheme="majorBidi" w:cstheme="majorBidi"/>
          <w:szCs w:val="24"/>
        </w:rPr>
        <w:t>B</w:t>
      </w:r>
      <w:r w:rsidRPr="0031503D">
        <w:rPr>
          <w:rFonts w:asciiTheme="majorBidi" w:hAnsiTheme="majorBidi" w:cstheme="majorBidi"/>
          <w:szCs w:val="24"/>
        </w:rPr>
        <w:t xml:space="preserve">ased </w:t>
      </w:r>
      <w:r>
        <w:rPr>
          <w:rFonts w:asciiTheme="majorBidi" w:hAnsiTheme="majorBidi" w:cstheme="majorBidi"/>
          <w:szCs w:val="24"/>
        </w:rPr>
        <w:t>M</w:t>
      </w:r>
      <w:r w:rsidRPr="0031503D">
        <w:rPr>
          <w:rFonts w:asciiTheme="majorBidi" w:hAnsiTheme="majorBidi" w:cstheme="majorBidi"/>
          <w:szCs w:val="24"/>
        </w:rPr>
        <w:t>odeling</w:t>
      </w:r>
      <w:r>
        <w:rPr>
          <w:rFonts w:asciiTheme="majorBidi" w:hAnsiTheme="majorBidi" w:cstheme="majorBidi"/>
          <w:szCs w:val="24"/>
        </w:rPr>
        <w:t xml:space="preserve"> (ABM)</w:t>
      </w:r>
      <w:r w:rsidRPr="0031503D">
        <w:rPr>
          <w:rFonts w:asciiTheme="majorBidi" w:hAnsiTheme="majorBidi" w:cstheme="majorBidi"/>
          <w:szCs w:val="24"/>
        </w:rPr>
        <w:t xml:space="preserve"> is a bottom-up </w:t>
      </w:r>
      <w:r>
        <w:rPr>
          <w:rFonts w:asciiTheme="majorBidi" w:hAnsiTheme="majorBidi" w:cstheme="majorBidi"/>
          <w:szCs w:val="24"/>
        </w:rPr>
        <w:t>simulation</w:t>
      </w:r>
      <w:r w:rsidRPr="0031503D">
        <w:rPr>
          <w:rFonts w:asciiTheme="majorBidi" w:hAnsiTheme="majorBidi" w:cstheme="majorBidi"/>
          <w:szCs w:val="24"/>
        </w:rPr>
        <w:t xml:space="preserve"> </w:t>
      </w:r>
      <w:r>
        <w:rPr>
          <w:rFonts w:asciiTheme="majorBidi" w:hAnsiTheme="majorBidi" w:cstheme="majorBidi"/>
          <w:szCs w:val="24"/>
        </w:rPr>
        <w:t>technique</w:t>
      </w:r>
      <w:r w:rsidRPr="0031503D">
        <w:rPr>
          <w:rFonts w:asciiTheme="majorBidi" w:hAnsiTheme="majorBidi" w:cstheme="majorBidi"/>
          <w:szCs w:val="24"/>
        </w:rPr>
        <w:t xml:space="preserve"> where complicated global </w:t>
      </w:r>
      <w:r>
        <w:rPr>
          <w:rFonts w:asciiTheme="majorBidi" w:hAnsiTheme="majorBidi" w:cstheme="majorBidi"/>
          <w:szCs w:val="24"/>
        </w:rPr>
        <w:t>patterns</w:t>
      </w:r>
      <w:r w:rsidRPr="0031503D">
        <w:rPr>
          <w:rFonts w:asciiTheme="majorBidi" w:hAnsiTheme="majorBidi" w:cstheme="majorBidi"/>
          <w:szCs w:val="24"/>
        </w:rPr>
        <w:t xml:space="preserve"> </w:t>
      </w:r>
      <w:r>
        <w:rPr>
          <w:rFonts w:asciiTheme="majorBidi" w:hAnsiTheme="majorBidi" w:cstheme="majorBidi"/>
          <w:szCs w:val="24"/>
        </w:rPr>
        <w:t>in</w:t>
      </w:r>
      <w:r w:rsidRPr="0031503D">
        <w:rPr>
          <w:rFonts w:asciiTheme="majorBidi" w:hAnsiTheme="majorBidi" w:cstheme="majorBidi"/>
          <w:szCs w:val="24"/>
        </w:rPr>
        <w:t xml:space="preserve"> a system can be simulated by modeling the fundamental elements (agents) of the system and their interactions with </w:t>
      </w:r>
      <w:r>
        <w:rPr>
          <w:rFonts w:asciiTheme="majorBidi" w:hAnsiTheme="majorBidi" w:cstheme="majorBidi"/>
          <w:szCs w:val="24"/>
        </w:rPr>
        <w:t xml:space="preserve">each </w:t>
      </w:r>
      <w:r w:rsidRPr="0031503D">
        <w:rPr>
          <w:rFonts w:asciiTheme="majorBidi" w:hAnsiTheme="majorBidi" w:cstheme="majorBidi"/>
          <w:szCs w:val="24"/>
        </w:rPr>
        <w:t xml:space="preserve">other </w:t>
      </w:r>
      <w:r>
        <w:rPr>
          <w:rFonts w:asciiTheme="majorBidi" w:hAnsiTheme="majorBidi" w:cstheme="majorBidi"/>
          <w:szCs w:val="24"/>
        </w:rPr>
        <w:t xml:space="preserve">and </w:t>
      </w:r>
      <w:r w:rsidRPr="0031503D">
        <w:rPr>
          <w:rFonts w:asciiTheme="majorBidi" w:hAnsiTheme="majorBidi" w:cstheme="majorBidi"/>
          <w:szCs w:val="24"/>
        </w:rPr>
        <w:t xml:space="preserve">the environment </w:t>
      </w:r>
      <w:r>
        <w:rPr>
          <w:rFonts w:asciiTheme="majorBidi" w:hAnsiTheme="majorBidi" w:cstheme="majorBidi"/>
          <w:szCs w:val="24"/>
        </w:rPr>
        <w:fldChar w:fldCharType="begin" w:fldLock="1"/>
      </w:r>
      <w:r w:rsidR="00FF76CD">
        <w:rPr>
          <w:rFonts w:asciiTheme="majorBidi" w:hAnsiTheme="majorBidi" w:cstheme="majorBidi"/>
          <w:szCs w:val="24"/>
        </w:rPr>
        <w:instrText>ADDIN CSL_CITATION {"citationItems":[{"id":"ITEM-1","itemData":{"ISBN":"9780387257464","ISSN":"15584542","PMID":"8910118402246030848","abstract":"This article argues that the agent-based computational model permits a distinctive approach to social science for which the term “generative” is suitable. In defending this terminology, features distinguishing the approach from both “inductive” and “deductive” science are given. Then, the following specific contributions to social science are discussed: The agent-based computational model is a new tool for empirical research. It offers a natural environment for the study of connectionist phenomena in social science. Agent-based modeling pro- vides a powerful way to address certain enduring—and especially interdisciplinary—questions. It allows one to subject certain core theories—such as neoclassical microeconomics—to important types of stress (e.g., the effect of evolving preferences). It permits one to study how rules of individual behavior give rise—or “map up”—to macroscopic regularities and organizations. In turn, one can employ laboratory behavioral research findings to select among competing agent-based (“bottom up”) models. The agent-based approach may well have the important effect of decoupling individual rationality from macroscopic equilibrium and of separating decision science from social science more generally. Agent-based modeling offers powerful new forms of hybrid theo- retical-computational work; these are particularly relevant to the study of non-equilibrium systems. The agent- based approach invites the interpretation of society as a distributed computational device, and in turn the interpretation of social dynamics as a type of computation. This interpretation raises important foundational issues in social science—some related to intractability, and some to undecidability proper. Finally, since “emer- gence” figures prominently in this literature, I take up the connection between agent-based modeling and classical emergentism, criticizing the latter and arguing that the two are incompatible.","author":[{"dropping-particle":"","family":"Epstein","given":"Joshua M.","non-dropping-particle":"","parse-names":false,"suffix":""}],"container-title":"Complexity","id":"ITEM-1","issue":"5","issued":{"date-parts":[["1999"]]},"page":"41-60","title":"Agent-Based Computational Models And Generative Social Science","type":"article-journal","volume":"4"},"uris":["http://www.mendeley.com/documents/?uuid=71966cb3-43c1-4695-bda0-0beed228c20f"]}],"mendeley":{"formattedCitation":"[1]","plainTextFormattedCitation":"[1]","previouslyFormattedCitation":"[1]"},"properties":{"noteIndex":0},"schema":"https://github.com/citation-style-language/schema/raw/master/csl-citation.json"}</w:instrText>
      </w:r>
      <w:r>
        <w:rPr>
          <w:rFonts w:asciiTheme="majorBidi" w:hAnsiTheme="majorBidi" w:cstheme="majorBidi"/>
          <w:szCs w:val="24"/>
        </w:rPr>
        <w:fldChar w:fldCharType="separate"/>
      </w:r>
      <w:r w:rsidR="00B77F18" w:rsidRPr="00B77F18">
        <w:rPr>
          <w:rFonts w:asciiTheme="majorBidi" w:hAnsiTheme="majorBidi" w:cstheme="majorBidi"/>
          <w:noProof/>
          <w:szCs w:val="24"/>
        </w:rPr>
        <w:t>[1]</w:t>
      </w:r>
      <w:r>
        <w:rPr>
          <w:rFonts w:asciiTheme="majorBidi" w:hAnsiTheme="majorBidi" w:cstheme="majorBidi"/>
          <w:szCs w:val="24"/>
        </w:rPr>
        <w:fldChar w:fldCharType="end"/>
      </w:r>
      <w:r w:rsidRPr="0031503D">
        <w:rPr>
          <w:rFonts w:asciiTheme="majorBidi" w:hAnsiTheme="majorBidi" w:cstheme="majorBidi"/>
          <w:szCs w:val="24"/>
        </w:rPr>
        <w:t xml:space="preserve">. </w:t>
      </w:r>
      <w:r>
        <w:rPr>
          <w:rFonts w:asciiTheme="majorBidi" w:hAnsiTheme="majorBidi" w:cstheme="majorBidi"/>
          <w:szCs w:val="24"/>
        </w:rPr>
        <w:t>The agent interactions are</w:t>
      </w:r>
      <w:r w:rsidRPr="0031503D">
        <w:rPr>
          <w:rFonts w:asciiTheme="majorBidi" w:hAnsiTheme="majorBidi" w:cstheme="majorBidi"/>
          <w:szCs w:val="24"/>
        </w:rPr>
        <w:t xml:space="preserve"> based on a set of decision rules while accounting </w:t>
      </w:r>
      <w:r>
        <w:rPr>
          <w:rFonts w:asciiTheme="majorBidi" w:hAnsiTheme="majorBidi" w:cstheme="majorBidi"/>
          <w:szCs w:val="24"/>
        </w:rPr>
        <w:t xml:space="preserve">for the </w:t>
      </w:r>
      <w:r w:rsidRPr="0031503D">
        <w:rPr>
          <w:rFonts w:asciiTheme="majorBidi" w:hAnsiTheme="majorBidi" w:cstheme="majorBidi"/>
          <w:szCs w:val="24"/>
        </w:rPr>
        <w:t xml:space="preserve">underlying </w:t>
      </w:r>
      <w:r>
        <w:rPr>
          <w:rFonts w:asciiTheme="majorBidi" w:hAnsiTheme="majorBidi" w:cstheme="majorBidi"/>
          <w:szCs w:val="24"/>
        </w:rPr>
        <w:t xml:space="preserve">heterogeneities and </w:t>
      </w:r>
      <w:r w:rsidRPr="0031503D">
        <w:rPr>
          <w:rFonts w:asciiTheme="majorBidi" w:hAnsiTheme="majorBidi" w:cstheme="majorBidi"/>
          <w:szCs w:val="24"/>
        </w:rPr>
        <w:t>uncertainties.</w:t>
      </w:r>
      <w:r>
        <w:rPr>
          <w:rFonts w:asciiTheme="majorBidi" w:hAnsiTheme="majorBidi" w:cstheme="majorBidi"/>
          <w:szCs w:val="24"/>
        </w:rPr>
        <w:t xml:space="preserve"> Woven together with </w:t>
      </w:r>
      <w:r w:rsidR="004A2B7B">
        <w:rPr>
          <w:rFonts w:asciiTheme="majorBidi" w:hAnsiTheme="majorBidi" w:cstheme="majorBidi"/>
          <w:szCs w:val="24"/>
        </w:rPr>
        <w:t>EMR</w:t>
      </w:r>
      <w:r>
        <w:rPr>
          <w:rFonts w:asciiTheme="majorBidi" w:hAnsiTheme="majorBidi" w:cstheme="majorBidi"/>
          <w:szCs w:val="24"/>
        </w:rPr>
        <w:t xml:space="preserve"> data, the ABM framework offers a means to conduct a micro-scale heterogeneous investigation of the underlying mechanisms of HAI transmission and their associated uncertainties. These uncertainty analyses </w:t>
      </w:r>
      <w:r w:rsidRPr="00CC3E2F">
        <w:rPr>
          <w:rFonts w:asciiTheme="majorBidi" w:hAnsiTheme="majorBidi" w:cstheme="majorBidi"/>
          <w:szCs w:val="24"/>
        </w:rPr>
        <w:t xml:space="preserve">can help </w:t>
      </w:r>
      <w:r>
        <w:rPr>
          <w:rFonts w:asciiTheme="majorBidi" w:hAnsiTheme="majorBidi" w:cstheme="majorBidi"/>
          <w:szCs w:val="24"/>
        </w:rPr>
        <w:t xml:space="preserve">to </w:t>
      </w:r>
      <w:r w:rsidRPr="00CC3E2F">
        <w:rPr>
          <w:rFonts w:asciiTheme="majorBidi" w:hAnsiTheme="majorBidi" w:cstheme="majorBidi"/>
          <w:szCs w:val="24"/>
        </w:rPr>
        <w:t>identify the most important sources of uncertainty</w:t>
      </w:r>
      <w:r>
        <w:rPr>
          <w:rFonts w:asciiTheme="majorBidi" w:hAnsiTheme="majorBidi" w:cstheme="majorBidi"/>
          <w:szCs w:val="24"/>
        </w:rPr>
        <w:t xml:space="preserve">, hence, </w:t>
      </w:r>
      <w:r w:rsidRPr="00CC3E2F">
        <w:rPr>
          <w:rFonts w:asciiTheme="majorBidi" w:hAnsiTheme="majorBidi" w:cstheme="majorBidi"/>
          <w:szCs w:val="24"/>
        </w:rPr>
        <w:t>improv</w:t>
      </w:r>
      <w:r>
        <w:rPr>
          <w:rFonts w:asciiTheme="majorBidi" w:hAnsiTheme="majorBidi" w:cstheme="majorBidi"/>
          <w:szCs w:val="24"/>
        </w:rPr>
        <w:t>ing</w:t>
      </w:r>
      <w:r w:rsidRPr="00CC3E2F">
        <w:rPr>
          <w:rFonts w:asciiTheme="majorBidi" w:hAnsiTheme="majorBidi" w:cstheme="majorBidi"/>
          <w:szCs w:val="24"/>
        </w:rPr>
        <w:t xml:space="preserve"> our understanding </w:t>
      </w:r>
      <w:r>
        <w:rPr>
          <w:rFonts w:asciiTheme="majorBidi" w:hAnsiTheme="majorBidi" w:cstheme="majorBidi"/>
          <w:szCs w:val="24"/>
        </w:rPr>
        <w:t xml:space="preserve">of </w:t>
      </w:r>
      <w:r w:rsidRPr="00CC3E2F">
        <w:rPr>
          <w:rFonts w:asciiTheme="majorBidi" w:hAnsiTheme="majorBidi" w:cstheme="majorBidi"/>
          <w:szCs w:val="24"/>
        </w:rPr>
        <w:t>transmission</w:t>
      </w:r>
      <w:r>
        <w:rPr>
          <w:rFonts w:asciiTheme="majorBidi" w:hAnsiTheme="majorBidi" w:cstheme="majorBidi"/>
          <w:szCs w:val="24"/>
        </w:rPr>
        <w:t xml:space="preserve"> pathways</w:t>
      </w:r>
      <w:r w:rsidRPr="00CC3E2F">
        <w:rPr>
          <w:rFonts w:asciiTheme="majorBidi" w:hAnsiTheme="majorBidi" w:cstheme="majorBidi"/>
          <w:szCs w:val="24"/>
        </w:rPr>
        <w:t>.</w:t>
      </w:r>
      <w:r>
        <w:rPr>
          <w:rFonts w:asciiTheme="majorBidi" w:hAnsiTheme="majorBidi" w:cstheme="majorBidi"/>
          <w:szCs w:val="24"/>
        </w:rPr>
        <w:t xml:space="preserve"> </w:t>
      </w:r>
    </w:p>
    <w:p w14:paraId="7D13A8BF" w14:textId="77777777" w:rsidR="00342C65" w:rsidRDefault="00342C65" w:rsidP="00342C65">
      <w:pPr>
        <w:spacing w:line="276" w:lineRule="auto"/>
        <w:rPr>
          <w:rFonts w:asciiTheme="majorBidi" w:hAnsiTheme="majorBidi" w:cstheme="majorBidi"/>
          <w:i/>
          <w:iCs/>
          <w:szCs w:val="24"/>
        </w:rPr>
      </w:pPr>
    </w:p>
    <w:p w14:paraId="63280B7E" w14:textId="575A2B6A" w:rsidR="00342C65" w:rsidRDefault="00AA3510" w:rsidP="00342C65">
      <w:pPr>
        <w:spacing w:line="276" w:lineRule="auto"/>
        <w:rPr>
          <w:rFonts w:asciiTheme="majorBidi" w:hAnsiTheme="majorBidi" w:cstheme="majorBidi"/>
          <w:i/>
          <w:iCs/>
          <w:szCs w:val="24"/>
        </w:rPr>
      </w:pPr>
      <w:r>
        <w:rPr>
          <w:rFonts w:asciiTheme="majorBidi" w:hAnsiTheme="majorBidi" w:cstheme="majorBidi"/>
          <w:i/>
          <w:iCs/>
          <w:szCs w:val="24"/>
        </w:rPr>
        <w:t>A</w:t>
      </w:r>
      <w:r w:rsidR="00342C65" w:rsidRPr="00CC3E2F">
        <w:rPr>
          <w:rFonts w:asciiTheme="majorBidi" w:hAnsiTheme="majorBidi" w:cstheme="majorBidi"/>
          <w:i/>
          <w:iCs/>
          <w:szCs w:val="24"/>
        </w:rPr>
        <w:t>2.</w:t>
      </w:r>
      <w:r w:rsidR="00342C65">
        <w:rPr>
          <w:rFonts w:asciiTheme="majorBidi" w:hAnsiTheme="majorBidi" w:cstheme="majorBidi"/>
          <w:i/>
          <w:iCs/>
          <w:szCs w:val="24"/>
        </w:rPr>
        <w:t>2</w:t>
      </w:r>
      <w:r w:rsidR="00342C65" w:rsidRPr="00CC3E2F">
        <w:rPr>
          <w:rFonts w:asciiTheme="majorBidi" w:hAnsiTheme="majorBidi" w:cstheme="majorBidi"/>
          <w:i/>
          <w:iCs/>
          <w:szCs w:val="24"/>
        </w:rPr>
        <w:t>.</w:t>
      </w:r>
      <w:r w:rsidR="00273782">
        <w:rPr>
          <w:rFonts w:asciiTheme="majorBidi" w:hAnsiTheme="majorBidi" w:cstheme="majorBidi"/>
          <w:i/>
          <w:iCs/>
          <w:szCs w:val="24"/>
        </w:rPr>
        <w:t>2</w:t>
      </w:r>
      <w:r w:rsidR="00342C65" w:rsidRPr="00CC3E2F">
        <w:rPr>
          <w:rFonts w:asciiTheme="majorBidi" w:hAnsiTheme="majorBidi" w:cstheme="majorBidi"/>
          <w:i/>
          <w:iCs/>
          <w:szCs w:val="24"/>
        </w:rPr>
        <w:t>. Model dynamics</w:t>
      </w:r>
    </w:p>
    <w:p w14:paraId="3DCF5954" w14:textId="7553731F" w:rsidR="00342C65" w:rsidRPr="00CC3E2F" w:rsidRDefault="00AA3510" w:rsidP="00342C65">
      <w:pPr>
        <w:spacing w:line="276" w:lineRule="auto"/>
        <w:rPr>
          <w:rFonts w:asciiTheme="majorBidi" w:hAnsiTheme="majorBidi" w:cstheme="majorBidi"/>
          <w:szCs w:val="24"/>
        </w:rPr>
      </w:pPr>
      <w:r>
        <w:rPr>
          <w:rFonts w:asciiTheme="majorBidi" w:hAnsiTheme="majorBidi" w:cstheme="majorBidi"/>
          <w:szCs w:val="24"/>
        </w:rPr>
        <w:t>A</w:t>
      </w:r>
      <w:r w:rsidR="00342C65" w:rsidRPr="00CC3E2F">
        <w:rPr>
          <w:rFonts w:asciiTheme="majorBidi" w:hAnsiTheme="majorBidi" w:cstheme="majorBidi"/>
          <w:szCs w:val="24"/>
        </w:rPr>
        <w:t>2.</w:t>
      </w:r>
      <w:r w:rsidR="00342C65">
        <w:rPr>
          <w:rFonts w:asciiTheme="majorBidi" w:hAnsiTheme="majorBidi" w:cstheme="majorBidi"/>
          <w:szCs w:val="24"/>
        </w:rPr>
        <w:t>2</w:t>
      </w:r>
      <w:r w:rsidR="00342C65" w:rsidRPr="00CC3E2F">
        <w:rPr>
          <w:rFonts w:asciiTheme="majorBidi" w:hAnsiTheme="majorBidi" w:cstheme="majorBidi"/>
          <w:szCs w:val="24"/>
        </w:rPr>
        <w:t>.</w:t>
      </w:r>
      <w:r w:rsidR="00273782">
        <w:rPr>
          <w:rFonts w:asciiTheme="majorBidi" w:hAnsiTheme="majorBidi" w:cstheme="majorBidi"/>
          <w:szCs w:val="24"/>
        </w:rPr>
        <w:t>2</w:t>
      </w:r>
      <w:r w:rsidR="00342C65" w:rsidRPr="00CC3E2F">
        <w:rPr>
          <w:rFonts w:asciiTheme="majorBidi" w:hAnsiTheme="majorBidi" w:cstheme="majorBidi"/>
          <w:szCs w:val="24"/>
        </w:rPr>
        <w:t>.1. Simulation setup</w:t>
      </w:r>
    </w:p>
    <w:p w14:paraId="56A2B3AC" w14:textId="77777777" w:rsidR="00342C65" w:rsidRPr="00CC3E2F" w:rsidRDefault="00342C65" w:rsidP="00342C65">
      <w:pPr>
        <w:spacing w:line="276" w:lineRule="auto"/>
        <w:rPr>
          <w:rFonts w:asciiTheme="majorBidi" w:hAnsiTheme="majorBidi" w:cstheme="majorBidi"/>
          <w:szCs w:val="24"/>
        </w:rPr>
      </w:pPr>
      <w:r w:rsidRPr="00CC3E2F">
        <w:rPr>
          <w:rFonts w:asciiTheme="majorBidi" w:hAnsiTheme="majorBidi" w:cstheme="majorBidi"/>
          <w:szCs w:val="24"/>
        </w:rPr>
        <w:t xml:space="preserve">At the beginning of each simulation, the hospital is initialized by creating the selected ICU </w:t>
      </w:r>
      <w:r>
        <w:rPr>
          <w:rFonts w:asciiTheme="majorBidi" w:hAnsiTheme="majorBidi" w:cstheme="majorBidi"/>
          <w:szCs w:val="24"/>
        </w:rPr>
        <w:t>departments</w:t>
      </w:r>
      <w:r w:rsidRPr="00CC3E2F">
        <w:rPr>
          <w:rFonts w:asciiTheme="majorBidi" w:hAnsiTheme="majorBidi" w:cstheme="majorBidi"/>
          <w:szCs w:val="24"/>
        </w:rPr>
        <w:t>. The hospital-wide event queue data is loaded, and the parameters of the model are adjusted if an intervention scenario is set to be implemented.</w:t>
      </w:r>
    </w:p>
    <w:p w14:paraId="3AD3A441" w14:textId="1518F280" w:rsidR="00342C65" w:rsidRPr="00CC3E2F" w:rsidRDefault="00AA3510" w:rsidP="00342C65">
      <w:pPr>
        <w:spacing w:line="276" w:lineRule="auto"/>
        <w:rPr>
          <w:rFonts w:asciiTheme="majorBidi" w:hAnsiTheme="majorBidi" w:cstheme="majorBidi"/>
          <w:szCs w:val="24"/>
        </w:rPr>
      </w:pPr>
      <w:r>
        <w:rPr>
          <w:rFonts w:asciiTheme="majorBidi" w:hAnsiTheme="majorBidi" w:cstheme="majorBidi"/>
          <w:szCs w:val="24"/>
        </w:rPr>
        <w:t>A</w:t>
      </w:r>
      <w:r w:rsidR="00342C65" w:rsidRPr="00CC3E2F">
        <w:rPr>
          <w:rFonts w:asciiTheme="majorBidi" w:hAnsiTheme="majorBidi" w:cstheme="majorBidi"/>
          <w:szCs w:val="24"/>
        </w:rPr>
        <w:t>2.</w:t>
      </w:r>
      <w:r w:rsidR="00342C65">
        <w:rPr>
          <w:rFonts w:asciiTheme="majorBidi" w:hAnsiTheme="majorBidi" w:cstheme="majorBidi"/>
          <w:szCs w:val="24"/>
        </w:rPr>
        <w:t>2</w:t>
      </w:r>
      <w:r w:rsidR="00342C65" w:rsidRPr="00CC3E2F">
        <w:rPr>
          <w:rFonts w:asciiTheme="majorBidi" w:hAnsiTheme="majorBidi" w:cstheme="majorBidi"/>
          <w:szCs w:val="24"/>
        </w:rPr>
        <w:t>.</w:t>
      </w:r>
      <w:r w:rsidR="00273782">
        <w:rPr>
          <w:rFonts w:asciiTheme="majorBidi" w:hAnsiTheme="majorBidi" w:cstheme="majorBidi"/>
          <w:szCs w:val="24"/>
        </w:rPr>
        <w:t>2</w:t>
      </w:r>
      <w:r w:rsidR="00342C65" w:rsidRPr="00CC3E2F">
        <w:rPr>
          <w:rFonts w:asciiTheme="majorBidi" w:hAnsiTheme="majorBidi" w:cstheme="majorBidi"/>
          <w:szCs w:val="24"/>
        </w:rPr>
        <w:t>.2. Daily routine</w:t>
      </w:r>
    </w:p>
    <w:p w14:paraId="64511220" w14:textId="77777777" w:rsidR="00342C65" w:rsidRPr="00CC3E2F" w:rsidRDefault="00342C65" w:rsidP="00342C65">
      <w:pPr>
        <w:spacing w:line="276" w:lineRule="auto"/>
        <w:rPr>
          <w:rFonts w:asciiTheme="majorBidi" w:hAnsiTheme="majorBidi" w:cstheme="majorBidi"/>
          <w:szCs w:val="24"/>
        </w:rPr>
      </w:pPr>
      <w:r w:rsidRPr="00CC3E2F">
        <w:rPr>
          <w:rFonts w:asciiTheme="majorBidi" w:hAnsiTheme="majorBidi" w:cstheme="majorBidi"/>
          <w:szCs w:val="24"/>
        </w:rPr>
        <w:t xml:space="preserve">The activities in each ICU are divided into two groups: (1) those with known time of occurrence from the event queue, and (2) activities with unknown time of occurrence, which are set to occur at the start of each day. These activities include colonized patients developing an infection based on probability of </w:t>
      </w:r>
      <w:r w:rsidRPr="00AB4B0D">
        <w:rPr>
          <w:rFonts w:asciiTheme="majorBidi" w:hAnsiTheme="majorBidi" w:cstheme="majorBidi"/>
          <w:szCs w:val="24"/>
        </w:rPr>
        <w:t>progression (</w:t>
      </w:r>
      <m:oMath>
        <m:sSub>
          <m:sSubPr>
            <m:ctrlPr>
              <w:rPr>
                <w:rFonts w:ascii="Cambria Math" w:hAnsi="Cambria Math" w:cstheme="majorBidi"/>
                <w:i/>
                <w:szCs w:val="24"/>
              </w:rPr>
            </m:ctrlPr>
          </m:sSubPr>
          <m:e>
            <m:r>
              <w:rPr>
                <w:rFonts w:ascii="Cambria Math" w:hAnsi="Cambria Math" w:cstheme="majorBidi"/>
                <w:szCs w:val="24"/>
              </w:rPr>
              <m:t>P</m:t>
            </m:r>
          </m:e>
          <m:sub>
            <m:r>
              <w:rPr>
                <w:rFonts w:ascii="Cambria Math" w:hAnsi="Cambria Math" w:cstheme="majorBidi"/>
                <w:szCs w:val="24"/>
              </w:rPr>
              <m:t>CI</m:t>
            </m:r>
          </m:sub>
        </m:sSub>
      </m:oMath>
      <w:r w:rsidRPr="00AB4B0D">
        <w:rPr>
          <w:rFonts w:asciiTheme="majorBidi" w:hAnsiTheme="majorBidi" w:cstheme="majorBidi"/>
          <w:szCs w:val="24"/>
        </w:rPr>
        <w:t>)</w:t>
      </w:r>
      <w:r>
        <w:rPr>
          <w:rFonts w:asciiTheme="majorBidi" w:hAnsiTheme="majorBidi" w:cstheme="majorBidi"/>
          <w:szCs w:val="24"/>
        </w:rPr>
        <w:t xml:space="preserve"> and </w:t>
      </w:r>
      <w:r w:rsidRPr="00AB4B0D">
        <w:rPr>
          <w:rFonts w:asciiTheme="majorBidi" w:hAnsiTheme="majorBidi" w:cstheme="majorBidi"/>
          <w:szCs w:val="24"/>
        </w:rPr>
        <w:t>pathogen</w:t>
      </w:r>
      <w:r w:rsidRPr="00CC3E2F">
        <w:rPr>
          <w:rFonts w:asciiTheme="majorBidi" w:hAnsiTheme="majorBidi" w:cstheme="majorBidi"/>
          <w:szCs w:val="24"/>
        </w:rPr>
        <w:t xml:space="preserve"> clearance from rooms environment based on the daily rate of natural clearance</w:t>
      </w:r>
      <w:r>
        <w:rPr>
          <w:rFonts w:asciiTheme="majorBidi" w:hAnsiTheme="majorBidi" w:cstheme="majorBidi"/>
          <w:szCs w:val="24"/>
        </w:rPr>
        <w:t xml:space="preserve"> (</w:t>
      </w:r>
      <m:oMath>
        <m:r>
          <w:rPr>
            <w:rFonts w:ascii="Cambria Math" w:hAnsi="Cambria Math" w:cstheme="majorBidi"/>
            <w:szCs w:val="24"/>
          </w:rPr>
          <m:t>λ</m:t>
        </m:r>
      </m:oMath>
      <w:r>
        <w:rPr>
          <w:rFonts w:asciiTheme="majorBidi" w:hAnsiTheme="majorBidi" w:cstheme="majorBidi"/>
          <w:szCs w:val="24"/>
        </w:rPr>
        <w:t>).</w:t>
      </w:r>
    </w:p>
    <w:p w14:paraId="15313E87" w14:textId="77777777" w:rsidR="00342C65" w:rsidRPr="00CC3E2F" w:rsidRDefault="00342C65" w:rsidP="00342C65">
      <w:pPr>
        <w:spacing w:line="276" w:lineRule="auto"/>
        <w:rPr>
          <w:rFonts w:asciiTheme="majorBidi" w:hAnsiTheme="majorBidi" w:cstheme="majorBidi"/>
          <w:szCs w:val="24"/>
        </w:rPr>
      </w:pPr>
      <w:r w:rsidRPr="00CC3E2F">
        <w:rPr>
          <w:rFonts w:asciiTheme="majorBidi" w:hAnsiTheme="majorBidi" w:cstheme="majorBidi"/>
          <w:szCs w:val="24"/>
        </w:rPr>
        <w:t xml:space="preserve">The time-stamped activities from the event queue are </w:t>
      </w:r>
      <w:r>
        <w:rPr>
          <w:rFonts w:asciiTheme="majorBidi" w:hAnsiTheme="majorBidi" w:cstheme="majorBidi"/>
          <w:szCs w:val="24"/>
        </w:rPr>
        <w:t>processed in order</w:t>
      </w:r>
      <w:r w:rsidRPr="00CC3E2F">
        <w:rPr>
          <w:rFonts w:asciiTheme="majorBidi" w:hAnsiTheme="majorBidi" w:cstheme="majorBidi"/>
          <w:szCs w:val="24"/>
        </w:rPr>
        <w:t xml:space="preserve">. On admission, a new patient is generated, unless in readmission cases where the corresponding patient agent is retrieved from the model memory. Each admitted/readmitted patient </w:t>
      </w:r>
      <w:r>
        <w:rPr>
          <w:rFonts w:asciiTheme="majorBidi" w:hAnsiTheme="majorBidi" w:cstheme="majorBidi"/>
          <w:szCs w:val="24"/>
        </w:rPr>
        <w:t>is</w:t>
      </w:r>
      <w:r w:rsidRPr="00CC3E2F">
        <w:rPr>
          <w:rFonts w:asciiTheme="majorBidi" w:hAnsiTheme="majorBidi" w:cstheme="majorBidi"/>
          <w:szCs w:val="24"/>
        </w:rPr>
        <w:t xml:space="preserve"> assigned to their room, </w:t>
      </w:r>
      <w:r>
        <w:rPr>
          <w:rFonts w:asciiTheme="majorBidi" w:hAnsiTheme="majorBidi" w:cstheme="majorBidi"/>
          <w:szCs w:val="24"/>
        </w:rPr>
        <w:t>with</w:t>
      </w:r>
      <w:r w:rsidRPr="00CC3E2F">
        <w:rPr>
          <w:rFonts w:asciiTheme="majorBidi" w:hAnsiTheme="majorBidi" w:cstheme="majorBidi"/>
          <w:szCs w:val="24"/>
        </w:rPr>
        <w:t xml:space="preserve"> their disease state determined </w:t>
      </w:r>
      <w:r>
        <w:rPr>
          <w:rFonts w:asciiTheme="majorBidi" w:hAnsiTheme="majorBidi" w:cstheme="majorBidi"/>
          <w:szCs w:val="24"/>
        </w:rPr>
        <w:t>from</w:t>
      </w:r>
      <w:r w:rsidRPr="00CC3E2F">
        <w:rPr>
          <w:rFonts w:asciiTheme="majorBidi" w:hAnsiTheme="majorBidi" w:cstheme="majorBidi"/>
          <w:szCs w:val="24"/>
        </w:rPr>
        <w:t xml:space="preserve"> a multinomial trial </w:t>
      </w:r>
      <w:r>
        <w:rPr>
          <w:rFonts w:asciiTheme="majorBidi" w:hAnsiTheme="majorBidi" w:cstheme="majorBidi"/>
          <w:szCs w:val="24"/>
        </w:rPr>
        <w:t>using the</w:t>
      </w:r>
      <w:r w:rsidRPr="00CC3E2F">
        <w:rPr>
          <w:rFonts w:asciiTheme="majorBidi" w:hAnsiTheme="majorBidi" w:cstheme="majorBidi"/>
          <w:szCs w:val="24"/>
        </w:rPr>
        <w:t xml:space="preserve"> admission status </w:t>
      </w:r>
      <w:r>
        <w:rPr>
          <w:rFonts w:asciiTheme="majorBidi" w:hAnsiTheme="majorBidi" w:cstheme="majorBidi"/>
          <w:szCs w:val="24"/>
        </w:rPr>
        <w:t>probabilities</w:t>
      </w:r>
      <w:r w:rsidRPr="00CC3E2F">
        <w:rPr>
          <w:rFonts w:asciiTheme="majorBidi" w:hAnsiTheme="majorBidi" w:cstheme="majorBidi"/>
          <w:szCs w:val="24"/>
        </w:rPr>
        <w:t>.</w:t>
      </w:r>
      <w:r>
        <w:rPr>
          <w:rFonts w:asciiTheme="majorBidi" w:hAnsiTheme="majorBidi" w:cstheme="majorBidi"/>
          <w:szCs w:val="24"/>
        </w:rPr>
        <w:t xml:space="preserve"> The disease state of </w:t>
      </w:r>
      <w:r w:rsidRPr="00CC3E2F">
        <w:rPr>
          <w:rFonts w:asciiTheme="majorBidi" w:hAnsiTheme="majorBidi" w:cstheme="majorBidi"/>
          <w:szCs w:val="24"/>
        </w:rPr>
        <w:t>readmitted</w:t>
      </w:r>
      <w:r>
        <w:rPr>
          <w:rFonts w:asciiTheme="majorBidi" w:hAnsiTheme="majorBidi" w:cstheme="majorBidi"/>
          <w:szCs w:val="24"/>
        </w:rPr>
        <w:t xml:space="preserve"> patients is assumed to be unchanged since their last discharge</w:t>
      </w:r>
      <w:r w:rsidRPr="00CC3E2F">
        <w:rPr>
          <w:rFonts w:asciiTheme="majorBidi" w:hAnsiTheme="majorBidi" w:cstheme="majorBidi"/>
          <w:szCs w:val="24"/>
        </w:rPr>
        <w:t>.</w:t>
      </w:r>
    </w:p>
    <w:p w14:paraId="1D387FE9" w14:textId="77777777" w:rsidR="00342C65" w:rsidRPr="00CC3E2F" w:rsidRDefault="00342C65" w:rsidP="00342C65">
      <w:pPr>
        <w:spacing w:line="276" w:lineRule="auto"/>
        <w:rPr>
          <w:rFonts w:asciiTheme="majorBidi" w:hAnsiTheme="majorBidi" w:cstheme="majorBidi"/>
          <w:szCs w:val="24"/>
        </w:rPr>
      </w:pPr>
      <w:r w:rsidRPr="00CC3E2F">
        <w:rPr>
          <w:rFonts w:asciiTheme="majorBidi" w:hAnsiTheme="majorBidi" w:cstheme="majorBidi"/>
          <w:szCs w:val="24"/>
        </w:rPr>
        <w:t xml:space="preserve">On discharge, the terminal disinfection protocol is executed in the patient’s room, which can clear the room contamination based on the room disinfection </w:t>
      </w:r>
      <w:r>
        <w:rPr>
          <w:rFonts w:asciiTheme="majorBidi" w:hAnsiTheme="majorBidi" w:cstheme="majorBidi"/>
          <w:szCs w:val="24"/>
        </w:rPr>
        <w:t>efficacy level</w:t>
      </w:r>
      <w:r w:rsidRPr="00AB4B0D">
        <w:rPr>
          <w:rFonts w:asciiTheme="majorBidi" w:hAnsiTheme="majorBidi" w:cstheme="majorBidi"/>
          <w:szCs w:val="24"/>
        </w:rPr>
        <w:t xml:space="preserve"> (</w:t>
      </w:r>
      <m:oMath>
        <m:sSub>
          <m:sSubPr>
            <m:ctrlPr>
              <w:rPr>
                <w:rFonts w:ascii="Cambria Math" w:hAnsi="Cambria Math" w:cstheme="majorBidi"/>
                <w:i/>
                <w:szCs w:val="24"/>
              </w:rPr>
            </m:ctrlPr>
          </m:sSubPr>
          <m:e>
            <m:r>
              <w:rPr>
                <w:rFonts w:ascii="Cambria Math" w:hAnsi="Cambria Math" w:cstheme="majorBidi"/>
                <w:szCs w:val="24"/>
              </w:rPr>
              <m:t>D</m:t>
            </m:r>
          </m:e>
          <m:sub>
            <m:r>
              <w:rPr>
                <w:rFonts w:ascii="Cambria Math" w:hAnsi="Cambria Math" w:cstheme="majorBidi"/>
                <w:szCs w:val="24"/>
              </w:rPr>
              <m:t>e</m:t>
            </m:r>
          </m:sub>
        </m:sSub>
      </m:oMath>
      <w:r w:rsidRPr="00AB4B0D">
        <w:rPr>
          <w:rFonts w:asciiTheme="majorBidi" w:hAnsiTheme="majorBidi" w:cstheme="majorBidi"/>
          <w:szCs w:val="24"/>
        </w:rPr>
        <w:t>). In</w:t>
      </w:r>
      <w:r w:rsidRPr="00CC3E2F">
        <w:rPr>
          <w:rFonts w:asciiTheme="majorBidi" w:hAnsiTheme="majorBidi" w:cstheme="majorBidi"/>
          <w:szCs w:val="24"/>
        </w:rPr>
        <w:t xml:space="preserve"> the case of transfer</w:t>
      </w:r>
      <w:r>
        <w:rPr>
          <w:rFonts w:asciiTheme="majorBidi" w:hAnsiTheme="majorBidi" w:cstheme="majorBidi"/>
          <w:szCs w:val="24"/>
        </w:rPr>
        <w:t>s</w:t>
      </w:r>
      <w:r w:rsidRPr="00CC3E2F">
        <w:rPr>
          <w:rFonts w:asciiTheme="majorBidi" w:hAnsiTheme="majorBidi" w:cstheme="majorBidi"/>
          <w:szCs w:val="24"/>
        </w:rPr>
        <w:t xml:space="preserve"> (i.e., when a patient </w:t>
      </w:r>
      <w:r>
        <w:rPr>
          <w:rFonts w:asciiTheme="majorBidi" w:hAnsiTheme="majorBidi" w:cstheme="majorBidi"/>
          <w:szCs w:val="24"/>
        </w:rPr>
        <w:t>is</w:t>
      </w:r>
      <w:r w:rsidRPr="00CC3E2F">
        <w:rPr>
          <w:rFonts w:asciiTheme="majorBidi" w:hAnsiTheme="majorBidi" w:cstheme="majorBidi"/>
          <w:szCs w:val="24"/>
        </w:rPr>
        <w:t xml:space="preserve"> readmitted after discharge</w:t>
      </w:r>
      <w:r>
        <w:rPr>
          <w:rFonts w:asciiTheme="majorBidi" w:hAnsiTheme="majorBidi" w:cstheme="majorBidi"/>
          <w:szCs w:val="24"/>
        </w:rPr>
        <w:t>d</w:t>
      </w:r>
      <w:r w:rsidRPr="00CC3E2F">
        <w:rPr>
          <w:rFonts w:asciiTheme="majorBidi" w:hAnsiTheme="majorBidi" w:cstheme="majorBidi"/>
          <w:szCs w:val="24"/>
        </w:rPr>
        <w:t>), the patient agent is not deleted from memory.</w:t>
      </w:r>
    </w:p>
    <w:p w14:paraId="1B8FD055" w14:textId="77777777" w:rsidR="00342C65" w:rsidRDefault="00342C65" w:rsidP="00342C65">
      <w:pPr>
        <w:spacing w:line="276" w:lineRule="auto"/>
        <w:rPr>
          <w:rFonts w:asciiTheme="majorBidi" w:hAnsiTheme="majorBidi" w:cstheme="majorBidi"/>
          <w:szCs w:val="24"/>
        </w:rPr>
      </w:pPr>
      <w:r w:rsidRPr="00CC3E2F">
        <w:rPr>
          <w:rFonts w:asciiTheme="majorBidi" w:hAnsiTheme="majorBidi" w:cstheme="majorBidi"/>
          <w:szCs w:val="24"/>
        </w:rPr>
        <w:t xml:space="preserve">For contact events, </w:t>
      </w:r>
      <w:r>
        <w:rPr>
          <w:rFonts w:asciiTheme="majorBidi" w:hAnsiTheme="majorBidi" w:cstheme="majorBidi"/>
          <w:szCs w:val="24"/>
        </w:rPr>
        <w:t>the following steps are simulated:</w:t>
      </w:r>
    </w:p>
    <w:p w14:paraId="773819AD" w14:textId="77777777" w:rsidR="00342C65" w:rsidRDefault="00342C65" w:rsidP="00342C65">
      <w:pPr>
        <w:pStyle w:val="ListParagraph"/>
        <w:numPr>
          <w:ilvl w:val="0"/>
          <w:numId w:val="1"/>
        </w:numPr>
        <w:spacing w:line="276" w:lineRule="auto"/>
        <w:rPr>
          <w:rFonts w:asciiTheme="majorBidi" w:hAnsiTheme="majorBidi" w:cstheme="majorBidi"/>
          <w:sz w:val="24"/>
          <w:szCs w:val="24"/>
        </w:rPr>
      </w:pPr>
      <w:r>
        <w:rPr>
          <w:rFonts w:asciiTheme="majorBidi" w:hAnsiTheme="majorBidi" w:cstheme="majorBidi"/>
          <w:sz w:val="24"/>
          <w:szCs w:val="24"/>
        </w:rPr>
        <w:lastRenderedPageBreak/>
        <w:t>Before patient contact:</w:t>
      </w:r>
    </w:p>
    <w:p w14:paraId="3E3E0905" w14:textId="77777777" w:rsidR="00342C65" w:rsidRDefault="00342C65" w:rsidP="00342C65">
      <w:pPr>
        <w:pStyle w:val="ListParagraph"/>
        <w:numPr>
          <w:ilvl w:val="1"/>
          <w:numId w:val="1"/>
        </w:numPr>
        <w:spacing w:line="276" w:lineRule="auto"/>
        <w:rPr>
          <w:rFonts w:asciiTheme="majorBidi" w:hAnsiTheme="majorBidi" w:cstheme="majorBidi"/>
          <w:sz w:val="24"/>
          <w:szCs w:val="24"/>
        </w:rPr>
      </w:pPr>
      <w:r>
        <w:rPr>
          <w:rFonts w:asciiTheme="majorBidi" w:hAnsiTheme="majorBidi" w:cstheme="majorBidi"/>
          <w:sz w:val="24"/>
          <w:szCs w:val="24"/>
        </w:rPr>
        <w:t>T</w:t>
      </w:r>
      <w:r w:rsidRPr="007872F9">
        <w:rPr>
          <w:rFonts w:asciiTheme="majorBidi" w:hAnsiTheme="majorBidi" w:cstheme="majorBidi"/>
          <w:sz w:val="24"/>
          <w:szCs w:val="24"/>
        </w:rPr>
        <w:t>he HCW may comply with wear</w:t>
      </w:r>
      <w:r>
        <w:rPr>
          <w:rFonts w:asciiTheme="majorBidi" w:hAnsiTheme="majorBidi" w:cstheme="majorBidi"/>
          <w:sz w:val="24"/>
          <w:szCs w:val="24"/>
        </w:rPr>
        <w:t>ing</w:t>
      </w:r>
      <w:r w:rsidRPr="007872F9">
        <w:rPr>
          <w:rFonts w:asciiTheme="majorBidi" w:hAnsiTheme="majorBidi" w:cstheme="majorBidi"/>
          <w:sz w:val="24"/>
          <w:szCs w:val="24"/>
        </w:rPr>
        <w:t xml:space="preserve"> PPE</w:t>
      </w:r>
      <w:r>
        <w:rPr>
          <w:rFonts w:asciiTheme="majorBidi" w:hAnsiTheme="majorBidi" w:cstheme="majorBidi"/>
          <w:sz w:val="24"/>
          <w:szCs w:val="24"/>
        </w:rPr>
        <w:t xml:space="preserve"> with some </w:t>
      </w:r>
      <w:r w:rsidRPr="001F0319">
        <w:rPr>
          <w:rFonts w:asciiTheme="majorBidi" w:hAnsiTheme="majorBidi" w:cstheme="majorBidi"/>
          <w:sz w:val="24"/>
          <w:szCs w:val="24"/>
        </w:rPr>
        <w:t>probability (</w:t>
      </w:r>
      <m:oMath>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c</m:t>
            </m:r>
          </m:sub>
        </m:sSub>
      </m:oMath>
      <w:r w:rsidRPr="001F0319">
        <w:rPr>
          <w:rFonts w:asciiTheme="majorBidi" w:hAnsiTheme="majorBidi" w:cstheme="majorBidi"/>
          <w:sz w:val="24"/>
          <w:szCs w:val="24"/>
        </w:rPr>
        <w:t>) if</w:t>
      </w:r>
      <w:r w:rsidRPr="007872F9">
        <w:rPr>
          <w:rFonts w:asciiTheme="majorBidi" w:hAnsiTheme="majorBidi" w:cstheme="majorBidi"/>
          <w:sz w:val="24"/>
          <w:szCs w:val="24"/>
        </w:rPr>
        <w:t xml:space="preserve"> the patient is under contact precautions. </w:t>
      </w:r>
    </w:p>
    <w:p w14:paraId="6CECD25D" w14:textId="77777777" w:rsidR="00342C65" w:rsidRDefault="00342C65" w:rsidP="00342C65">
      <w:pPr>
        <w:pStyle w:val="ListParagraph"/>
        <w:numPr>
          <w:ilvl w:val="1"/>
          <w:numId w:val="1"/>
        </w:numPr>
        <w:spacing w:line="276" w:lineRule="auto"/>
        <w:rPr>
          <w:rFonts w:asciiTheme="majorBidi" w:hAnsiTheme="majorBidi" w:cstheme="majorBidi"/>
          <w:sz w:val="24"/>
          <w:szCs w:val="24"/>
        </w:rPr>
      </w:pPr>
      <w:r w:rsidRPr="007872F9">
        <w:rPr>
          <w:rFonts w:asciiTheme="majorBidi" w:hAnsiTheme="majorBidi" w:cstheme="majorBidi"/>
          <w:sz w:val="24"/>
          <w:szCs w:val="24"/>
        </w:rPr>
        <w:t xml:space="preserve">If </w:t>
      </w:r>
      <w:r>
        <w:rPr>
          <w:rFonts w:asciiTheme="majorBidi" w:hAnsiTheme="majorBidi" w:cstheme="majorBidi"/>
          <w:sz w:val="24"/>
          <w:szCs w:val="24"/>
        </w:rPr>
        <w:t>the</w:t>
      </w:r>
      <w:r w:rsidRPr="007872F9">
        <w:rPr>
          <w:rFonts w:asciiTheme="majorBidi" w:hAnsiTheme="majorBidi" w:cstheme="majorBidi"/>
          <w:sz w:val="24"/>
          <w:szCs w:val="24"/>
        </w:rPr>
        <w:t xml:space="preserve"> patient is not under contact precautions, the HCW may wash their hands given the HCW hand hygiene compliance probability on </w:t>
      </w:r>
      <w:r w:rsidRPr="001F0319">
        <w:rPr>
          <w:rFonts w:asciiTheme="majorBidi" w:hAnsiTheme="majorBidi" w:cstheme="majorBidi"/>
          <w:sz w:val="24"/>
          <w:szCs w:val="24"/>
        </w:rPr>
        <w:t>entry (</w:t>
      </w:r>
      <m:oMath>
        <m:sSubSup>
          <m:sSubSupPr>
            <m:ctrlPr>
              <w:rPr>
                <w:rFonts w:ascii="Cambria Math" w:hAnsi="Cambria Math" w:cstheme="majorBidi"/>
                <w:i/>
                <w:sz w:val="24"/>
                <w:szCs w:val="24"/>
              </w:rPr>
            </m:ctrlPr>
          </m:sSubSupPr>
          <m:e>
            <m:r>
              <w:rPr>
                <w:rFonts w:ascii="Cambria Math" w:hAnsi="Cambria Math" w:cstheme="majorBidi"/>
                <w:sz w:val="24"/>
                <w:szCs w:val="24"/>
              </w:rPr>
              <m:t>H</m:t>
            </m:r>
          </m:e>
          <m:sub>
            <m:r>
              <w:rPr>
                <w:rFonts w:ascii="Cambria Math" w:hAnsi="Cambria Math" w:cstheme="majorBidi"/>
                <w:sz w:val="24"/>
                <w:szCs w:val="24"/>
              </w:rPr>
              <m:t>c</m:t>
            </m:r>
          </m:sub>
          <m:sup>
            <m:r>
              <w:rPr>
                <w:rFonts w:ascii="Cambria Math" w:hAnsi="Cambria Math" w:cstheme="majorBidi"/>
                <w:sz w:val="24"/>
                <w:szCs w:val="24"/>
              </w:rPr>
              <m:t>e</m:t>
            </m:r>
          </m:sup>
        </m:sSubSup>
      </m:oMath>
      <w:r w:rsidRPr="001F0319">
        <w:rPr>
          <w:rFonts w:asciiTheme="majorBidi" w:hAnsiTheme="majorBidi" w:cstheme="majorBidi"/>
          <w:sz w:val="24"/>
          <w:szCs w:val="24"/>
        </w:rPr>
        <w:t>), wh</w:t>
      </w:r>
      <w:r w:rsidRPr="007872F9">
        <w:rPr>
          <w:rFonts w:asciiTheme="majorBidi" w:hAnsiTheme="majorBidi" w:cstheme="majorBidi"/>
          <w:sz w:val="24"/>
          <w:szCs w:val="24"/>
        </w:rPr>
        <w:t>ich can remove the contamination from the HCW</w:t>
      </w:r>
      <w:r>
        <w:rPr>
          <w:rFonts w:asciiTheme="majorBidi" w:hAnsiTheme="majorBidi" w:cstheme="majorBidi"/>
          <w:sz w:val="24"/>
          <w:szCs w:val="24"/>
        </w:rPr>
        <w:t xml:space="preserve"> hands, though the contamination on their clothes (e.g., sleeves, scrubs, etc.) may remain based on the post-hand-washing residual contamination probability (</w:t>
      </w: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r</m:t>
            </m:r>
          </m:sub>
        </m:sSub>
      </m:oMath>
      <w:r>
        <w:rPr>
          <w:rFonts w:asciiTheme="majorBidi" w:hAnsiTheme="majorBidi" w:cstheme="majorBidi"/>
          <w:sz w:val="24"/>
          <w:szCs w:val="24"/>
        </w:rPr>
        <w:t>)</w:t>
      </w:r>
      <w:r w:rsidRPr="007872F9">
        <w:rPr>
          <w:rFonts w:asciiTheme="majorBidi" w:hAnsiTheme="majorBidi" w:cstheme="majorBidi"/>
          <w:sz w:val="24"/>
          <w:szCs w:val="24"/>
        </w:rPr>
        <w:t xml:space="preserve">. </w:t>
      </w:r>
    </w:p>
    <w:p w14:paraId="544F39E9" w14:textId="77777777" w:rsidR="00342C65" w:rsidRDefault="00342C65" w:rsidP="00342C65">
      <w:pPr>
        <w:pStyle w:val="ListParagraph"/>
        <w:numPr>
          <w:ilvl w:val="1"/>
          <w:numId w:val="1"/>
        </w:numPr>
        <w:spacing w:line="276" w:lineRule="auto"/>
        <w:rPr>
          <w:rFonts w:asciiTheme="majorBidi" w:hAnsiTheme="majorBidi" w:cstheme="majorBidi"/>
          <w:sz w:val="24"/>
          <w:szCs w:val="24"/>
        </w:rPr>
      </w:pPr>
      <w:r w:rsidRPr="007872F9">
        <w:rPr>
          <w:rFonts w:asciiTheme="majorBidi" w:hAnsiTheme="majorBidi" w:cstheme="majorBidi"/>
          <w:sz w:val="24"/>
          <w:szCs w:val="24"/>
        </w:rPr>
        <w:t>The HCW may contact the environment of the patient’s room. This allows for both environmental shedding by contaminated HCWs</w:t>
      </w:r>
      <w:r>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hr</m:t>
            </m:r>
          </m:sub>
        </m:sSub>
      </m:oMath>
      <w:r>
        <w:rPr>
          <w:rFonts w:asciiTheme="majorBidi" w:hAnsiTheme="majorBidi" w:cstheme="majorBidi"/>
          <w:sz w:val="24"/>
          <w:szCs w:val="24"/>
        </w:rPr>
        <w:t>)</w:t>
      </w:r>
      <w:r w:rsidRPr="007872F9">
        <w:rPr>
          <w:rFonts w:asciiTheme="majorBidi" w:hAnsiTheme="majorBidi" w:cstheme="majorBidi"/>
          <w:sz w:val="24"/>
          <w:szCs w:val="24"/>
        </w:rPr>
        <w:t xml:space="preserve"> and HCW contamination from a contaminated </w:t>
      </w:r>
      <w:r>
        <w:rPr>
          <w:rFonts w:asciiTheme="majorBidi" w:hAnsiTheme="majorBidi" w:cstheme="majorBidi"/>
          <w:sz w:val="24"/>
          <w:szCs w:val="24"/>
        </w:rPr>
        <w:t>room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rh</m:t>
            </m:r>
          </m:sub>
        </m:sSub>
      </m:oMath>
      <w:r>
        <w:rPr>
          <w:rFonts w:asciiTheme="majorBidi" w:hAnsiTheme="majorBidi" w:cstheme="majorBidi"/>
          <w:sz w:val="24"/>
          <w:szCs w:val="24"/>
        </w:rPr>
        <w:t>)</w:t>
      </w:r>
      <w:r w:rsidRPr="007872F9">
        <w:rPr>
          <w:rFonts w:asciiTheme="majorBidi" w:hAnsiTheme="majorBidi" w:cstheme="majorBidi"/>
          <w:sz w:val="24"/>
          <w:szCs w:val="24"/>
        </w:rPr>
        <w:t xml:space="preserve">. </w:t>
      </w:r>
    </w:p>
    <w:p w14:paraId="7E6D90DC" w14:textId="77777777" w:rsidR="00342C65" w:rsidRDefault="00342C65" w:rsidP="00342C65">
      <w:pPr>
        <w:pStyle w:val="ListParagraph"/>
        <w:numPr>
          <w:ilvl w:val="0"/>
          <w:numId w:val="1"/>
        </w:numPr>
        <w:spacing w:line="276" w:lineRule="auto"/>
        <w:rPr>
          <w:rFonts w:asciiTheme="majorBidi" w:hAnsiTheme="majorBidi" w:cstheme="majorBidi"/>
          <w:sz w:val="24"/>
          <w:szCs w:val="24"/>
        </w:rPr>
      </w:pPr>
      <w:r>
        <w:rPr>
          <w:rFonts w:asciiTheme="majorBidi" w:hAnsiTheme="majorBidi" w:cstheme="majorBidi"/>
          <w:sz w:val="24"/>
          <w:szCs w:val="24"/>
        </w:rPr>
        <w:t>During patient contact:</w:t>
      </w:r>
    </w:p>
    <w:p w14:paraId="4C5B335E" w14:textId="77777777" w:rsidR="00342C65" w:rsidRDefault="00342C65" w:rsidP="00342C65">
      <w:pPr>
        <w:pStyle w:val="ListParagraph"/>
        <w:numPr>
          <w:ilvl w:val="1"/>
          <w:numId w:val="1"/>
        </w:numPr>
        <w:spacing w:line="276" w:lineRule="auto"/>
        <w:rPr>
          <w:rFonts w:asciiTheme="majorBidi" w:hAnsiTheme="majorBidi" w:cstheme="majorBidi"/>
          <w:sz w:val="24"/>
          <w:szCs w:val="24"/>
        </w:rPr>
      </w:pPr>
      <w:r>
        <w:rPr>
          <w:rFonts w:asciiTheme="majorBidi" w:hAnsiTheme="majorBidi" w:cstheme="majorBidi"/>
          <w:sz w:val="24"/>
          <w:szCs w:val="24"/>
        </w:rPr>
        <w:t>I</w:t>
      </w:r>
      <w:r w:rsidRPr="007872F9">
        <w:rPr>
          <w:rFonts w:asciiTheme="majorBidi" w:hAnsiTheme="majorBidi" w:cstheme="majorBidi"/>
          <w:sz w:val="24"/>
          <w:szCs w:val="24"/>
        </w:rPr>
        <w:t xml:space="preserve">f the HCW or their PPE is contaminated, the patient may become colonized </w:t>
      </w:r>
      <w:r>
        <w:rPr>
          <w:rFonts w:asciiTheme="majorBidi" w:hAnsiTheme="majorBidi" w:cstheme="majorBidi"/>
          <w:sz w:val="24"/>
          <w:szCs w:val="24"/>
        </w:rPr>
        <w:t xml:space="preserve">with some </w:t>
      </w:r>
      <w:r w:rsidRPr="007872F9">
        <w:rPr>
          <w:rFonts w:asciiTheme="majorBidi" w:hAnsiTheme="majorBidi" w:cstheme="majorBidi"/>
          <w:sz w:val="24"/>
          <w:szCs w:val="24"/>
        </w:rPr>
        <w:t>prob</w:t>
      </w:r>
      <w:r w:rsidRPr="001F0319">
        <w:rPr>
          <w:rFonts w:asciiTheme="majorBidi" w:hAnsiTheme="majorBidi" w:cstheme="majorBidi"/>
          <w:sz w:val="24"/>
          <w:szCs w:val="24"/>
        </w:rPr>
        <w:t>ability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hp</m:t>
            </m:r>
          </m:sub>
        </m:sSub>
      </m:oMath>
      <w:r w:rsidRPr="001F0319">
        <w:rPr>
          <w:rFonts w:asciiTheme="majorBidi" w:hAnsiTheme="majorBidi" w:cstheme="majorBidi"/>
          <w:sz w:val="24"/>
          <w:szCs w:val="24"/>
        </w:rPr>
        <w:t>).</w:t>
      </w:r>
      <w:r w:rsidRPr="007872F9">
        <w:rPr>
          <w:rFonts w:asciiTheme="majorBidi" w:hAnsiTheme="majorBidi" w:cstheme="majorBidi"/>
          <w:sz w:val="24"/>
          <w:szCs w:val="24"/>
        </w:rPr>
        <w:t xml:space="preserve"> </w:t>
      </w:r>
    </w:p>
    <w:p w14:paraId="61CE8945" w14:textId="77777777" w:rsidR="00342C65" w:rsidRDefault="00342C65" w:rsidP="00342C65">
      <w:pPr>
        <w:pStyle w:val="ListParagraph"/>
        <w:numPr>
          <w:ilvl w:val="1"/>
          <w:numId w:val="1"/>
        </w:numPr>
        <w:spacing w:line="276" w:lineRule="auto"/>
        <w:rPr>
          <w:rFonts w:asciiTheme="majorBidi" w:hAnsiTheme="majorBidi" w:cstheme="majorBidi"/>
          <w:sz w:val="24"/>
          <w:szCs w:val="24"/>
        </w:rPr>
      </w:pPr>
      <w:r w:rsidRPr="007872F9">
        <w:rPr>
          <w:rFonts w:asciiTheme="majorBidi" w:hAnsiTheme="majorBidi" w:cstheme="majorBidi"/>
          <w:sz w:val="24"/>
          <w:szCs w:val="24"/>
        </w:rPr>
        <w:t xml:space="preserve">Similarly, a colonized patient can contaminate the HCW or their PPE with </w:t>
      </w:r>
      <w:r>
        <w:rPr>
          <w:rFonts w:asciiTheme="majorBidi" w:hAnsiTheme="majorBidi" w:cstheme="majorBidi"/>
          <w:sz w:val="24"/>
          <w:szCs w:val="24"/>
        </w:rPr>
        <w:t>some</w:t>
      </w:r>
      <w:r w:rsidRPr="007872F9">
        <w:rPr>
          <w:rFonts w:asciiTheme="majorBidi" w:hAnsiTheme="majorBidi" w:cstheme="majorBidi"/>
          <w:sz w:val="24"/>
          <w:szCs w:val="24"/>
        </w:rPr>
        <w:t xml:space="preserve"> </w:t>
      </w:r>
      <w:r w:rsidRPr="001F0319">
        <w:rPr>
          <w:rFonts w:asciiTheme="majorBidi" w:hAnsiTheme="majorBidi" w:cstheme="majorBidi"/>
          <w:sz w:val="24"/>
          <w:szCs w:val="24"/>
        </w:rPr>
        <w:t>probability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ph</m:t>
            </m:r>
          </m:sub>
        </m:sSub>
      </m:oMath>
      <w:r w:rsidRPr="001F0319">
        <w:rPr>
          <w:rFonts w:asciiTheme="majorBidi" w:hAnsiTheme="majorBidi" w:cstheme="majorBidi"/>
          <w:sz w:val="24"/>
          <w:szCs w:val="24"/>
        </w:rPr>
        <w:t>).</w:t>
      </w:r>
      <w:r w:rsidRPr="007872F9">
        <w:rPr>
          <w:rFonts w:asciiTheme="majorBidi" w:hAnsiTheme="majorBidi" w:cstheme="majorBidi"/>
          <w:sz w:val="24"/>
          <w:szCs w:val="24"/>
        </w:rPr>
        <w:t xml:space="preserve"> </w:t>
      </w:r>
    </w:p>
    <w:p w14:paraId="4B74FA07" w14:textId="77777777" w:rsidR="00342C65" w:rsidRDefault="00342C65" w:rsidP="00342C65">
      <w:pPr>
        <w:pStyle w:val="ListParagraph"/>
        <w:numPr>
          <w:ilvl w:val="0"/>
          <w:numId w:val="1"/>
        </w:numPr>
        <w:spacing w:line="276" w:lineRule="auto"/>
        <w:rPr>
          <w:rFonts w:asciiTheme="majorBidi" w:hAnsiTheme="majorBidi" w:cstheme="majorBidi"/>
          <w:sz w:val="24"/>
          <w:szCs w:val="24"/>
        </w:rPr>
      </w:pPr>
      <w:r w:rsidRPr="007872F9">
        <w:rPr>
          <w:rFonts w:asciiTheme="majorBidi" w:hAnsiTheme="majorBidi" w:cstheme="majorBidi"/>
          <w:sz w:val="24"/>
          <w:szCs w:val="24"/>
        </w:rPr>
        <w:t>After patient contact:</w:t>
      </w:r>
    </w:p>
    <w:p w14:paraId="61A8AFD7" w14:textId="77777777" w:rsidR="00342C65" w:rsidRDefault="00342C65" w:rsidP="00342C65">
      <w:pPr>
        <w:pStyle w:val="ListParagraph"/>
        <w:numPr>
          <w:ilvl w:val="1"/>
          <w:numId w:val="1"/>
        </w:numPr>
        <w:spacing w:line="276" w:lineRule="auto"/>
        <w:rPr>
          <w:rFonts w:asciiTheme="majorBidi" w:hAnsiTheme="majorBidi" w:cstheme="majorBidi"/>
          <w:sz w:val="24"/>
          <w:szCs w:val="24"/>
        </w:rPr>
      </w:pPr>
      <w:r>
        <w:rPr>
          <w:rFonts w:asciiTheme="majorBidi" w:hAnsiTheme="majorBidi" w:cstheme="majorBidi"/>
          <w:sz w:val="24"/>
          <w:szCs w:val="24"/>
        </w:rPr>
        <w:t>T</w:t>
      </w:r>
      <w:r w:rsidRPr="007872F9">
        <w:rPr>
          <w:rFonts w:asciiTheme="majorBidi" w:hAnsiTheme="majorBidi" w:cstheme="majorBidi"/>
          <w:sz w:val="24"/>
          <w:szCs w:val="24"/>
        </w:rPr>
        <w:t xml:space="preserve">he HCW </w:t>
      </w:r>
      <w:r>
        <w:rPr>
          <w:rFonts w:asciiTheme="majorBidi" w:hAnsiTheme="majorBidi" w:cstheme="majorBidi"/>
          <w:sz w:val="24"/>
          <w:szCs w:val="24"/>
        </w:rPr>
        <w:t xml:space="preserve">may </w:t>
      </w:r>
      <w:r w:rsidRPr="007872F9">
        <w:rPr>
          <w:rFonts w:asciiTheme="majorBidi" w:hAnsiTheme="majorBidi" w:cstheme="majorBidi"/>
          <w:sz w:val="24"/>
          <w:szCs w:val="24"/>
        </w:rPr>
        <w:t xml:space="preserve">contact the </w:t>
      </w:r>
      <w:r>
        <w:rPr>
          <w:rFonts w:asciiTheme="majorBidi" w:hAnsiTheme="majorBidi" w:cstheme="majorBidi"/>
          <w:sz w:val="24"/>
          <w:szCs w:val="24"/>
        </w:rPr>
        <w:t xml:space="preserve">patient’s </w:t>
      </w:r>
      <w:r w:rsidRPr="007872F9">
        <w:rPr>
          <w:rFonts w:asciiTheme="majorBidi" w:hAnsiTheme="majorBidi" w:cstheme="majorBidi"/>
          <w:sz w:val="24"/>
          <w:szCs w:val="24"/>
        </w:rPr>
        <w:t xml:space="preserve">environment again, which </w:t>
      </w:r>
      <w:r>
        <w:rPr>
          <w:rFonts w:asciiTheme="majorBidi" w:hAnsiTheme="majorBidi" w:cstheme="majorBidi"/>
          <w:sz w:val="24"/>
          <w:szCs w:val="24"/>
        </w:rPr>
        <w:t xml:space="preserve">with a probability </w:t>
      </w:r>
      <w:r w:rsidRPr="007872F9">
        <w:rPr>
          <w:rFonts w:asciiTheme="majorBidi" w:hAnsiTheme="majorBidi" w:cstheme="majorBidi"/>
          <w:sz w:val="24"/>
          <w:szCs w:val="24"/>
        </w:rPr>
        <w:t>may lead to environmental contamination</w:t>
      </w:r>
      <w:r>
        <w:rPr>
          <w:rFonts w:asciiTheme="majorBidi" w:hAnsiTheme="majorBidi" w:cstheme="majorBidi"/>
          <w:sz w:val="24"/>
          <w:szCs w:val="24"/>
        </w:rPr>
        <w:t xml:space="preserve"> if the HCW or their PPE is </w:t>
      </w:r>
      <w:r w:rsidRPr="001F0319">
        <w:rPr>
          <w:rFonts w:asciiTheme="majorBidi" w:hAnsiTheme="majorBidi" w:cstheme="majorBidi"/>
          <w:sz w:val="24"/>
          <w:szCs w:val="24"/>
        </w:rPr>
        <w:t>contaminated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hr</m:t>
            </m:r>
          </m:sub>
        </m:sSub>
      </m:oMath>
      <w:r w:rsidRPr="001F0319">
        <w:rPr>
          <w:rFonts w:asciiTheme="majorBidi" w:hAnsiTheme="majorBidi" w:cstheme="majorBidi"/>
          <w:sz w:val="24"/>
          <w:szCs w:val="24"/>
        </w:rPr>
        <w:t>).</w:t>
      </w:r>
      <w:r w:rsidRPr="007872F9">
        <w:rPr>
          <w:rFonts w:asciiTheme="majorBidi" w:hAnsiTheme="majorBidi" w:cstheme="majorBidi"/>
          <w:sz w:val="24"/>
          <w:szCs w:val="24"/>
        </w:rPr>
        <w:t xml:space="preserve"> </w:t>
      </w:r>
    </w:p>
    <w:p w14:paraId="1F6EA805" w14:textId="5486F76D" w:rsidR="00342C65" w:rsidRPr="00020A15" w:rsidRDefault="00342C65" w:rsidP="00342C65">
      <w:pPr>
        <w:pStyle w:val="ListParagraph"/>
        <w:numPr>
          <w:ilvl w:val="1"/>
          <w:numId w:val="1"/>
        </w:numPr>
        <w:spacing w:line="276" w:lineRule="auto"/>
        <w:rPr>
          <w:rFonts w:asciiTheme="majorBidi" w:hAnsiTheme="majorBidi" w:cstheme="majorBidi"/>
          <w:sz w:val="24"/>
          <w:szCs w:val="24"/>
        </w:rPr>
      </w:pPr>
      <w:r w:rsidRPr="00020A15">
        <w:rPr>
          <w:rFonts w:asciiTheme="majorBidi" w:hAnsiTheme="majorBidi" w:cstheme="majorBidi"/>
          <w:sz w:val="24"/>
          <w:szCs w:val="24"/>
        </w:rPr>
        <w:t xml:space="preserve">The HCW discards their PPE, if </w:t>
      </w:r>
      <w:r>
        <w:rPr>
          <w:rFonts w:asciiTheme="majorBidi" w:hAnsiTheme="majorBidi" w:cstheme="majorBidi"/>
          <w:sz w:val="24"/>
          <w:szCs w:val="24"/>
        </w:rPr>
        <w:t>using</w:t>
      </w:r>
      <w:r w:rsidRPr="00020A15">
        <w:rPr>
          <w:rFonts w:asciiTheme="majorBidi" w:hAnsiTheme="majorBidi" w:cstheme="majorBidi"/>
          <w:sz w:val="24"/>
          <w:szCs w:val="24"/>
        </w:rPr>
        <w:t>, otherwise</w:t>
      </w:r>
      <w:r w:rsidRPr="008924A6">
        <w:rPr>
          <w:rFonts w:asciiTheme="majorBidi" w:hAnsiTheme="majorBidi" w:cstheme="majorBidi"/>
          <w:sz w:val="24"/>
          <w:szCs w:val="24"/>
        </w:rPr>
        <w:t>, they may comply with hand washing when exiting the room, based on the hygiene compliance probability on exit (</w:t>
      </w:r>
      <m:oMath>
        <m:sSubSup>
          <m:sSubSupPr>
            <m:ctrlPr>
              <w:rPr>
                <w:rFonts w:ascii="Cambria Math" w:hAnsi="Cambria Math" w:cstheme="majorBidi"/>
                <w:i/>
                <w:sz w:val="24"/>
                <w:szCs w:val="24"/>
              </w:rPr>
            </m:ctrlPr>
          </m:sSubSupPr>
          <m:e>
            <m:r>
              <w:rPr>
                <w:rFonts w:ascii="Cambria Math" w:hAnsi="Cambria Math" w:cstheme="majorBidi"/>
                <w:sz w:val="24"/>
                <w:szCs w:val="24"/>
              </w:rPr>
              <m:t>H</m:t>
            </m:r>
          </m:e>
          <m:sub>
            <m:r>
              <w:rPr>
                <w:rFonts w:ascii="Cambria Math" w:hAnsi="Cambria Math" w:cstheme="majorBidi"/>
                <w:sz w:val="24"/>
                <w:szCs w:val="24"/>
              </w:rPr>
              <m:t>c</m:t>
            </m:r>
          </m:sub>
          <m:sup>
            <m:r>
              <w:rPr>
                <w:rFonts w:ascii="Cambria Math" w:hAnsi="Cambria Math" w:cstheme="majorBidi"/>
                <w:sz w:val="24"/>
                <w:szCs w:val="24"/>
              </w:rPr>
              <m:t>x</m:t>
            </m:r>
          </m:sup>
        </m:sSubSup>
      </m:oMath>
      <w:r w:rsidRPr="008924A6">
        <w:rPr>
          <w:rFonts w:asciiTheme="majorBidi" w:hAnsiTheme="majorBidi" w:cstheme="majorBidi"/>
          <w:sz w:val="24"/>
          <w:szCs w:val="24"/>
        </w:rPr>
        <w:t>), which could be different than that on entry (</w:t>
      </w:r>
      <w:r w:rsidR="008924A6" w:rsidRPr="008924A6">
        <w:rPr>
          <w:rFonts w:asciiTheme="majorBidi" w:hAnsiTheme="majorBidi" w:cstheme="majorBidi"/>
          <w:sz w:val="24"/>
          <w:szCs w:val="24"/>
        </w:rPr>
        <w:fldChar w:fldCharType="begin"/>
      </w:r>
      <w:r w:rsidR="008924A6" w:rsidRPr="008924A6">
        <w:rPr>
          <w:rFonts w:asciiTheme="majorBidi" w:hAnsiTheme="majorBidi" w:cstheme="majorBidi"/>
          <w:sz w:val="24"/>
          <w:szCs w:val="24"/>
        </w:rPr>
        <w:instrText xml:space="preserve"> REF _Ref163034837 \h  \* MERGEFORMAT </w:instrText>
      </w:r>
      <w:r w:rsidR="008924A6" w:rsidRPr="008924A6">
        <w:rPr>
          <w:rFonts w:asciiTheme="majorBidi" w:hAnsiTheme="majorBidi" w:cstheme="majorBidi"/>
          <w:sz w:val="24"/>
          <w:szCs w:val="24"/>
        </w:rPr>
      </w:r>
      <w:r w:rsidR="008924A6" w:rsidRPr="008924A6">
        <w:rPr>
          <w:rFonts w:asciiTheme="majorBidi" w:hAnsiTheme="majorBidi" w:cstheme="majorBidi"/>
          <w:sz w:val="24"/>
          <w:szCs w:val="24"/>
        </w:rPr>
        <w:fldChar w:fldCharType="separate"/>
      </w:r>
      <w:r w:rsidR="003C02BD" w:rsidRPr="003C02BD">
        <w:rPr>
          <w:rFonts w:asciiTheme="majorBidi" w:hAnsiTheme="majorBidi" w:cstheme="majorBidi"/>
          <w:sz w:val="24"/>
          <w:szCs w:val="24"/>
        </w:rPr>
        <w:t>Table A1</w:t>
      </w:r>
      <w:r w:rsidR="008924A6" w:rsidRPr="008924A6">
        <w:rPr>
          <w:rFonts w:asciiTheme="majorBidi" w:hAnsiTheme="majorBidi" w:cstheme="majorBidi"/>
          <w:sz w:val="24"/>
          <w:szCs w:val="24"/>
        </w:rPr>
        <w:fldChar w:fldCharType="end"/>
      </w:r>
      <w:r w:rsidRPr="008924A6">
        <w:rPr>
          <w:rFonts w:asciiTheme="majorBidi" w:hAnsiTheme="majorBidi" w:cstheme="majorBidi"/>
          <w:sz w:val="24"/>
          <w:szCs w:val="24"/>
        </w:rPr>
        <w:t>).</w:t>
      </w:r>
    </w:p>
    <w:p w14:paraId="73308448" w14:textId="442DAAC0" w:rsidR="00342C65" w:rsidRDefault="00342C65" w:rsidP="00342C65">
      <w:pPr>
        <w:spacing w:line="276" w:lineRule="auto"/>
        <w:rPr>
          <w:rFonts w:asciiTheme="majorBidi" w:hAnsiTheme="majorBidi" w:cstheme="majorBidi"/>
          <w:szCs w:val="24"/>
        </w:rPr>
      </w:pPr>
      <w:r>
        <w:rPr>
          <w:rFonts w:asciiTheme="majorBidi" w:hAnsiTheme="majorBidi" w:cstheme="majorBidi"/>
          <w:szCs w:val="24"/>
        </w:rPr>
        <w:t>It is important to note that we assume that HCWs always correctly use PPE (when compl</w:t>
      </w:r>
      <w:r w:rsidR="008924A6">
        <w:rPr>
          <w:rFonts w:asciiTheme="majorBidi" w:hAnsiTheme="majorBidi" w:cstheme="majorBidi"/>
          <w:szCs w:val="24"/>
        </w:rPr>
        <w:t>y</w:t>
      </w:r>
      <w:r>
        <w:rPr>
          <w:rFonts w:asciiTheme="majorBidi" w:hAnsiTheme="majorBidi" w:cstheme="majorBidi"/>
          <w:szCs w:val="24"/>
        </w:rPr>
        <w:t>), and this does not affect the contamination state of HCWs</w:t>
      </w:r>
      <w:r w:rsidRPr="007872F9">
        <w:rPr>
          <w:rFonts w:asciiTheme="majorBidi" w:hAnsiTheme="majorBidi" w:cstheme="majorBidi"/>
          <w:szCs w:val="24"/>
        </w:rPr>
        <w:t xml:space="preserve">. </w:t>
      </w:r>
      <w:r>
        <w:rPr>
          <w:rFonts w:asciiTheme="majorBidi" w:hAnsiTheme="majorBidi" w:cstheme="majorBidi"/>
          <w:szCs w:val="24"/>
        </w:rPr>
        <w:t>When a contaminated</w:t>
      </w:r>
      <w:r w:rsidRPr="007872F9">
        <w:rPr>
          <w:rFonts w:asciiTheme="majorBidi" w:hAnsiTheme="majorBidi" w:cstheme="majorBidi"/>
          <w:szCs w:val="24"/>
        </w:rPr>
        <w:t xml:space="preserve"> HCW </w:t>
      </w:r>
      <w:r>
        <w:rPr>
          <w:rFonts w:asciiTheme="majorBidi" w:hAnsiTheme="majorBidi" w:cstheme="majorBidi"/>
          <w:szCs w:val="24"/>
        </w:rPr>
        <w:t>uses</w:t>
      </w:r>
      <w:r w:rsidRPr="007872F9">
        <w:rPr>
          <w:rFonts w:asciiTheme="majorBidi" w:hAnsiTheme="majorBidi" w:cstheme="majorBidi"/>
          <w:szCs w:val="24"/>
        </w:rPr>
        <w:t xml:space="preserve"> PPE</w:t>
      </w:r>
      <w:r>
        <w:rPr>
          <w:rFonts w:asciiTheme="majorBidi" w:hAnsiTheme="majorBidi" w:cstheme="majorBidi"/>
          <w:szCs w:val="24"/>
        </w:rPr>
        <w:t>, she does n</w:t>
      </w:r>
      <w:r w:rsidRPr="007872F9">
        <w:rPr>
          <w:rFonts w:asciiTheme="majorBidi" w:hAnsiTheme="majorBidi" w:cstheme="majorBidi"/>
          <w:szCs w:val="24"/>
        </w:rPr>
        <w:t xml:space="preserve">ot directly transmit pathogens to patients, </w:t>
      </w:r>
      <w:r>
        <w:rPr>
          <w:rFonts w:asciiTheme="majorBidi" w:hAnsiTheme="majorBidi" w:cstheme="majorBidi"/>
          <w:szCs w:val="24"/>
        </w:rPr>
        <w:t xml:space="preserve">unless the PPE was contaminated when the HCW contacted a patient’s environment before attending to the patient. </w:t>
      </w:r>
      <w:r w:rsidRPr="007872F9">
        <w:rPr>
          <w:rFonts w:asciiTheme="majorBidi" w:hAnsiTheme="majorBidi" w:cstheme="majorBidi"/>
          <w:szCs w:val="24"/>
        </w:rPr>
        <w:t>However, since HCW</w:t>
      </w:r>
      <w:r>
        <w:rPr>
          <w:rFonts w:asciiTheme="majorBidi" w:hAnsiTheme="majorBidi" w:cstheme="majorBidi"/>
          <w:szCs w:val="24"/>
        </w:rPr>
        <w:t>s</w:t>
      </w:r>
      <w:r w:rsidRPr="007872F9">
        <w:rPr>
          <w:rFonts w:asciiTheme="majorBidi" w:hAnsiTheme="majorBidi" w:cstheme="majorBidi"/>
          <w:szCs w:val="24"/>
        </w:rPr>
        <w:t xml:space="preserve"> discard PPE after each visit, the risk of transmission </w:t>
      </w:r>
      <w:r>
        <w:rPr>
          <w:rFonts w:asciiTheme="majorBidi" w:hAnsiTheme="majorBidi" w:cstheme="majorBidi"/>
          <w:szCs w:val="24"/>
        </w:rPr>
        <w:t>to</w:t>
      </w:r>
      <w:r w:rsidRPr="007872F9">
        <w:rPr>
          <w:rFonts w:asciiTheme="majorBidi" w:hAnsiTheme="majorBidi" w:cstheme="majorBidi"/>
          <w:szCs w:val="24"/>
        </w:rPr>
        <w:t xml:space="preserve"> the next patient will remain unchanged.</w:t>
      </w:r>
      <w:r>
        <w:rPr>
          <w:rFonts w:asciiTheme="majorBidi" w:hAnsiTheme="majorBidi" w:cstheme="majorBidi"/>
          <w:szCs w:val="24"/>
        </w:rPr>
        <w:t xml:space="preserve"> Furthermore, when</w:t>
      </w:r>
      <w:r w:rsidRPr="007872F9">
        <w:rPr>
          <w:rFonts w:asciiTheme="majorBidi" w:hAnsiTheme="majorBidi" w:cstheme="majorBidi"/>
          <w:szCs w:val="24"/>
        </w:rPr>
        <w:t xml:space="preserve"> </w:t>
      </w:r>
      <w:r>
        <w:rPr>
          <w:rFonts w:asciiTheme="majorBidi" w:hAnsiTheme="majorBidi" w:cstheme="majorBidi"/>
          <w:szCs w:val="24"/>
        </w:rPr>
        <w:t>a contaminated</w:t>
      </w:r>
      <w:r w:rsidRPr="007872F9">
        <w:rPr>
          <w:rFonts w:asciiTheme="majorBidi" w:hAnsiTheme="majorBidi" w:cstheme="majorBidi"/>
          <w:szCs w:val="24"/>
        </w:rPr>
        <w:t xml:space="preserve"> HCW</w:t>
      </w:r>
      <w:r>
        <w:rPr>
          <w:rFonts w:asciiTheme="majorBidi" w:hAnsiTheme="majorBidi" w:cstheme="majorBidi"/>
          <w:szCs w:val="24"/>
        </w:rPr>
        <w:t xml:space="preserve"> uses</w:t>
      </w:r>
      <w:r w:rsidRPr="007872F9">
        <w:rPr>
          <w:rFonts w:asciiTheme="majorBidi" w:hAnsiTheme="majorBidi" w:cstheme="majorBidi"/>
          <w:szCs w:val="24"/>
        </w:rPr>
        <w:t xml:space="preserve"> PPE, </w:t>
      </w:r>
      <w:r>
        <w:rPr>
          <w:rFonts w:asciiTheme="majorBidi" w:hAnsiTheme="majorBidi" w:cstheme="majorBidi"/>
          <w:szCs w:val="24"/>
        </w:rPr>
        <w:t xml:space="preserve">it </w:t>
      </w:r>
      <w:r w:rsidRPr="007872F9">
        <w:rPr>
          <w:rFonts w:asciiTheme="majorBidi" w:hAnsiTheme="majorBidi" w:cstheme="majorBidi"/>
          <w:szCs w:val="24"/>
        </w:rPr>
        <w:t>prevent</w:t>
      </w:r>
      <w:r>
        <w:rPr>
          <w:rFonts w:asciiTheme="majorBidi" w:hAnsiTheme="majorBidi" w:cstheme="majorBidi"/>
          <w:szCs w:val="24"/>
        </w:rPr>
        <w:t>s</w:t>
      </w:r>
      <w:r w:rsidRPr="007872F9">
        <w:rPr>
          <w:rFonts w:asciiTheme="majorBidi" w:hAnsiTheme="majorBidi" w:cstheme="majorBidi"/>
          <w:szCs w:val="24"/>
        </w:rPr>
        <w:t xml:space="preserve"> environmental shedding</w:t>
      </w:r>
      <w:r>
        <w:rPr>
          <w:rFonts w:asciiTheme="majorBidi" w:hAnsiTheme="majorBidi" w:cstheme="majorBidi"/>
          <w:szCs w:val="24"/>
        </w:rPr>
        <w:t xml:space="preserve"> from the HCW</w:t>
      </w:r>
      <w:r w:rsidRPr="007872F9">
        <w:rPr>
          <w:rFonts w:asciiTheme="majorBidi" w:hAnsiTheme="majorBidi" w:cstheme="majorBidi"/>
          <w:szCs w:val="24"/>
        </w:rPr>
        <w:t>.</w:t>
      </w:r>
    </w:p>
    <w:p w14:paraId="274FAE67" w14:textId="77777777" w:rsidR="00342C65" w:rsidRDefault="00342C65" w:rsidP="00342C65">
      <w:pPr>
        <w:spacing w:line="276" w:lineRule="auto"/>
        <w:rPr>
          <w:rFonts w:asciiTheme="majorBidi" w:hAnsiTheme="majorBidi" w:cstheme="majorBidi"/>
          <w:szCs w:val="24"/>
        </w:rPr>
      </w:pPr>
      <w:r w:rsidRPr="00020A15">
        <w:rPr>
          <w:rFonts w:asciiTheme="majorBidi" w:hAnsiTheme="majorBidi" w:cstheme="majorBidi"/>
          <w:szCs w:val="24"/>
        </w:rPr>
        <w:t xml:space="preserve">To account for direct environmental colonization from a contaminated room (aside from HCW-mediated environmental contamination), a Bernoulli trial is conducted every </w:t>
      </w:r>
      <w:r>
        <w:rPr>
          <w:rFonts w:asciiTheme="majorBidi" w:hAnsiTheme="majorBidi" w:cstheme="majorBidi"/>
          <w:szCs w:val="24"/>
        </w:rPr>
        <w:t>hour</w:t>
      </w:r>
      <w:r w:rsidRPr="00020A15">
        <w:rPr>
          <w:rFonts w:asciiTheme="majorBidi" w:hAnsiTheme="majorBidi" w:cstheme="majorBidi"/>
          <w:szCs w:val="24"/>
        </w:rPr>
        <w:t xml:space="preserve"> with a success probability equal to the </w:t>
      </w:r>
      <w:r>
        <w:rPr>
          <w:rFonts w:asciiTheme="majorBidi" w:hAnsiTheme="majorBidi" w:cstheme="majorBidi"/>
          <w:szCs w:val="24"/>
        </w:rPr>
        <w:t>hourly</w:t>
      </w:r>
      <w:r w:rsidRPr="00020A15">
        <w:rPr>
          <w:rFonts w:asciiTheme="majorBidi" w:hAnsiTheme="majorBidi" w:cstheme="majorBidi"/>
          <w:szCs w:val="24"/>
        </w:rPr>
        <w:t xml:space="preserve"> probability of direct environmental colonizatio</w:t>
      </w:r>
      <w:r w:rsidRPr="006B46DE">
        <w:rPr>
          <w:rFonts w:asciiTheme="majorBidi" w:hAnsiTheme="majorBidi" w:cstheme="majorBidi"/>
          <w:szCs w:val="24"/>
        </w:rPr>
        <w:t>n (</w:t>
      </w:r>
      <m:oMath>
        <m:sSub>
          <m:sSubPr>
            <m:ctrlPr>
              <w:rPr>
                <w:rFonts w:ascii="Cambria Math" w:hAnsi="Cambria Math" w:cstheme="majorBidi"/>
                <w:i/>
                <w:szCs w:val="24"/>
              </w:rPr>
            </m:ctrlPr>
          </m:sSubPr>
          <m:e>
            <m:r>
              <w:rPr>
                <w:rFonts w:ascii="Cambria Math" w:hAnsi="Cambria Math" w:cstheme="majorBidi"/>
                <w:szCs w:val="24"/>
              </w:rPr>
              <m:t>P</m:t>
            </m:r>
          </m:e>
          <m:sub>
            <m:r>
              <w:rPr>
                <w:rFonts w:ascii="Cambria Math" w:hAnsi="Cambria Math" w:cstheme="majorBidi"/>
                <w:szCs w:val="24"/>
              </w:rPr>
              <m:t>rp</m:t>
            </m:r>
          </m:sub>
        </m:sSub>
      </m:oMath>
      <w:r w:rsidRPr="006B46DE">
        <w:rPr>
          <w:rFonts w:asciiTheme="majorBidi" w:hAnsiTheme="majorBidi" w:cstheme="majorBidi"/>
          <w:szCs w:val="24"/>
        </w:rPr>
        <w:t>).</w:t>
      </w:r>
      <w:r w:rsidRPr="00020A15">
        <w:rPr>
          <w:rFonts w:asciiTheme="majorBidi" w:hAnsiTheme="majorBidi" w:cstheme="majorBidi"/>
          <w:szCs w:val="24"/>
        </w:rPr>
        <w:t xml:space="preserve"> </w:t>
      </w:r>
    </w:p>
    <w:p w14:paraId="36E25CCA" w14:textId="3AC6237C" w:rsidR="00342C65" w:rsidRPr="00CC3E2F" w:rsidRDefault="00AA3510" w:rsidP="00342C65">
      <w:pPr>
        <w:spacing w:line="276" w:lineRule="auto"/>
        <w:rPr>
          <w:rFonts w:asciiTheme="majorBidi" w:hAnsiTheme="majorBidi" w:cstheme="majorBidi"/>
          <w:szCs w:val="24"/>
        </w:rPr>
      </w:pPr>
      <w:r>
        <w:rPr>
          <w:rFonts w:asciiTheme="majorBidi" w:hAnsiTheme="majorBidi" w:cstheme="majorBidi"/>
          <w:szCs w:val="24"/>
        </w:rPr>
        <w:t>A</w:t>
      </w:r>
      <w:r w:rsidR="00342C65" w:rsidRPr="00CC3E2F">
        <w:rPr>
          <w:rFonts w:asciiTheme="majorBidi" w:hAnsiTheme="majorBidi" w:cstheme="majorBidi"/>
          <w:szCs w:val="24"/>
        </w:rPr>
        <w:t>2.</w:t>
      </w:r>
      <w:r w:rsidR="00342C65">
        <w:rPr>
          <w:rFonts w:asciiTheme="majorBidi" w:hAnsiTheme="majorBidi" w:cstheme="majorBidi"/>
          <w:szCs w:val="24"/>
        </w:rPr>
        <w:t>2</w:t>
      </w:r>
      <w:r w:rsidR="00342C65" w:rsidRPr="00CC3E2F">
        <w:rPr>
          <w:rFonts w:asciiTheme="majorBidi" w:hAnsiTheme="majorBidi" w:cstheme="majorBidi"/>
          <w:szCs w:val="24"/>
        </w:rPr>
        <w:t>.</w:t>
      </w:r>
      <w:r w:rsidR="00273782">
        <w:rPr>
          <w:rFonts w:asciiTheme="majorBidi" w:hAnsiTheme="majorBidi" w:cstheme="majorBidi"/>
          <w:szCs w:val="24"/>
        </w:rPr>
        <w:t>2</w:t>
      </w:r>
      <w:r w:rsidR="00342C65" w:rsidRPr="00CC3E2F">
        <w:rPr>
          <w:rFonts w:asciiTheme="majorBidi" w:hAnsiTheme="majorBidi" w:cstheme="majorBidi"/>
          <w:szCs w:val="24"/>
        </w:rPr>
        <w:t>.</w:t>
      </w:r>
      <w:r w:rsidR="00342C65">
        <w:rPr>
          <w:rFonts w:asciiTheme="majorBidi" w:hAnsiTheme="majorBidi" w:cstheme="majorBidi"/>
          <w:szCs w:val="24"/>
        </w:rPr>
        <w:t>3</w:t>
      </w:r>
      <w:r w:rsidR="00342C65" w:rsidRPr="00CC3E2F">
        <w:rPr>
          <w:rFonts w:asciiTheme="majorBidi" w:hAnsiTheme="majorBidi" w:cstheme="majorBidi"/>
          <w:szCs w:val="24"/>
        </w:rPr>
        <w:t xml:space="preserve">. </w:t>
      </w:r>
      <w:r w:rsidR="00342C65">
        <w:rPr>
          <w:rFonts w:asciiTheme="majorBidi" w:hAnsiTheme="majorBidi" w:cstheme="majorBidi"/>
          <w:szCs w:val="24"/>
        </w:rPr>
        <w:t>Active surveillance</w:t>
      </w:r>
    </w:p>
    <w:p w14:paraId="250E9424" w14:textId="0EBF0A08" w:rsidR="00342C65" w:rsidRDefault="00342C65" w:rsidP="00342C65">
      <w:pPr>
        <w:spacing w:line="276" w:lineRule="auto"/>
        <w:rPr>
          <w:rFonts w:asciiTheme="majorBidi" w:hAnsiTheme="majorBidi" w:cstheme="majorBidi"/>
          <w:szCs w:val="24"/>
        </w:rPr>
      </w:pPr>
      <w:r w:rsidRPr="00CC3E2F">
        <w:rPr>
          <w:rFonts w:asciiTheme="majorBidi" w:hAnsiTheme="majorBidi" w:cstheme="majorBidi"/>
          <w:szCs w:val="24"/>
        </w:rPr>
        <w:t xml:space="preserve">Per the infection prevention protocols in place at the </w:t>
      </w:r>
      <w:r>
        <w:rPr>
          <w:rFonts w:asciiTheme="majorBidi" w:hAnsiTheme="majorBidi" w:cstheme="majorBidi"/>
          <w:szCs w:val="24"/>
        </w:rPr>
        <w:t xml:space="preserve">time in the </w:t>
      </w:r>
      <w:r w:rsidRPr="00CC3E2F">
        <w:rPr>
          <w:rFonts w:asciiTheme="majorBidi" w:hAnsiTheme="majorBidi" w:cstheme="majorBidi"/>
          <w:szCs w:val="24"/>
        </w:rPr>
        <w:t xml:space="preserve">Hospital, patients </w:t>
      </w:r>
      <w:r>
        <w:rPr>
          <w:rFonts w:asciiTheme="majorBidi" w:hAnsiTheme="majorBidi" w:cstheme="majorBidi"/>
          <w:szCs w:val="24"/>
        </w:rPr>
        <w:t xml:space="preserve">were supposed to </w:t>
      </w:r>
      <w:r w:rsidRPr="00CC3E2F">
        <w:rPr>
          <w:rFonts w:asciiTheme="majorBidi" w:hAnsiTheme="majorBidi" w:cstheme="majorBidi"/>
          <w:szCs w:val="24"/>
        </w:rPr>
        <w:t>receive MRSA and VRE colonization screening</w:t>
      </w:r>
      <w:r>
        <w:rPr>
          <w:rFonts w:asciiTheme="majorBidi" w:hAnsiTheme="majorBidi" w:cstheme="majorBidi"/>
          <w:szCs w:val="24"/>
        </w:rPr>
        <w:t xml:space="preserve"> within 48 hours of ICU admission, followed by regular screening every seven days afterwards. However, compliance rates with screening are not 100% due to several factors (e.g., workload, patient disposition, etc.). </w:t>
      </w:r>
      <w:r w:rsidRPr="00F560C9">
        <w:rPr>
          <w:rFonts w:asciiTheme="majorBidi" w:hAnsiTheme="majorBidi" w:cstheme="majorBidi"/>
          <w:szCs w:val="24"/>
        </w:rPr>
        <w:t>The</w:t>
      </w:r>
      <w:r>
        <w:rPr>
          <w:rFonts w:asciiTheme="majorBidi" w:hAnsiTheme="majorBidi" w:cstheme="majorBidi"/>
          <w:szCs w:val="24"/>
        </w:rPr>
        <w:t xml:space="preserve"> screening </w:t>
      </w:r>
      <w:r>
        <w:rPr>
          <w:rFonts w:asciiTheme="majorBidi" w:hAnsiTheme="majorBidi" w:cstheme="majorBidi"/>
          <w:szCs w:val="24"/>
        </w:rPr>
        <w:lastRenderedPageBreak/>
        <w:t>compliance level during the study period (Jully</w:t>
      </w:r>
      <w:r w:rsidRPr="00CC3E2F">
        <w:rPr>
          <w:rFonts w:asciiTheme="majorBidi" w:hAnsiTheme="majorBidi" w:cstheme="majorBidi"/>
          <w:szCs w:val="24"/>
        </w:rPr>
        <w:t xml:space="preserve"> 1, 2017, to July 1, 2018</w:t>
      </w:r>
      <w:r>
        <w:rPr>
          <w:rFonts w:asciiTheme="majorBidi" w:hAnsiTheme="majorBidi" w:cstheme="majorBidi"/>
          <w:szCs w:val="24"/>
        </w:rPr>
        <w:t>) was 78-88% for VRE and 76-90% for MRSA across the six ICUs (</w:t>
      </w:r>
      <w:r w:rsidR="006615F4">
        <w:rPr>
          <w:rFonts w:asciiTheme="majorBidi" w:hAnsiTheme="majorBidi" w:cstheme="majorBidi"/>
          <w:szCs w:val="24"/>
        </w:rPr>
        <w:fldChar w:fldCharType="begin"/>
      </w:r>
      <w:r w:rsidR="006615F4">
        <w:rPr>
          <w:rFonts w:asciiTheme="majorBidi" w:hAnsiTheme="majorBidi" w:cstheme="majorBidi"/>
          <w:szCs w:val="24"/>
        </w:rPr>
        <w:instrText xml:space="preserve"> REF _Ref163034837 \h </w:instrText>
      </w:r>
      <w:r w:rsidR="006615F4">
        <w:rPr>
          <w:rFonts w:asciiTheme="majorBidi" w:hAnsiTheme="majorBidi" w:cstheme="majorBidi"/>
          <w:szCs w:val="24"/>
        </w:rPr>
      </w:r>
      <w:r w:rsidR="006615F4">
        <w:rPr>
          <w:rFonts w:asciiTheme="majorBidi" w:hAnsiTheme="majorBidi" w:cstheme="majorBidi"/>
          <w:szCs w:val="24"/>
        </w:rPr>
        <w:fldChar w:fldCharType="separate"/>
      </w:r>
      <w:r w:rsidR="003C02BD">
        <w:t>Table A</w:t>
      </w:r>
      <w:r w:rsidR="003C02BD">
        <w:rPr>
          <w:noProof/>
        </w:rPr>
        <w:t>1</w:t>
      </w:r>
      <w:r w:rsidR="006615F4">
        <w:rPr>
          <w:rFonts w:asciiTheme="majorBidi" w:hAnsiTheme="majorBidi" w:cstheme="majorBidi"/>
          <w:szCs w:val="24"/>
        </w:rPr>
        <w:fldChar w:fldCharType="end"/>
      </w:r>
      <w:r>
        <w:rPr>
          <w:rFonts w:asciiTheme="majorBidi" w:hAnsiTheme="majorBidi" w:cstheme="majorBidi"/>
          <w:szCs w:val="24"/>
        </w:rPr>
        <w:t>). In the model, we assume that c</w:t>
      </w:r>
      <w:r w:rsidRPr="00CC3E2F">
        <w:rPr>
          <w:rFonts w:asciiTheme="majorBidi" w:hAnsiTheme="majorBidi" w:cstheme="majorBidi"/>
          <w:szCs w:val="24"/>
        </w:rPr>
        <w:t>olonization screening</w:t>
      </w:r>
      <w:r>
        <w:rPr>
          <w:rFonts w:asciiTheme="majorBidi" w:hAnsiTheme="majorBidi" w:cstheme="majorBidi"/>
          <w:szCs w:val="24"/>
        </w:rPr>
        <w:t xml:space="preserve"> </w:t>
      </w:r>
      <w:r w:rsidRPr="00CC3E2F">
        <w:rPr>
          <w:rFonts w:asciiTheme="majorBidi" w:hAnsiTheme="majorBidi" w:cstheme="majorBidi"/>
          <w:szCs w:val="24"/>
        </w:rPr>
        <w:t xml:space="preserve">is performed once every 7 days on </w:t>
      </w:r>
      <w:r>
        <w:rPr>
          <w:rFonts w:asciiTheme="majorBidi" w:hAnsiTheme="majorBidi" w:cstheme="majorBidi"/>
          <w:szCs w:val="24"/>
        </w:rPr>
        <w:t>a fraction of patients, determined by the screening compliance level</w:t>
      </w:r>
      <w:r w:rsidRPr="00F560C9">
        <w:rPr>
          <w:rFonts w:asciiTheme="majorBidi" w:hAnsiTheme="majorBidi" w:cstheme="majorBidi"/>
          <w:szCs w:val="24"/>
        </w:rPr>
        <w:t xml:space="preserve"> (</w:t>
      </w:r>
      <m:oMath>
        <m:sSub>
          <m:sSubPr>
            <m:ctrlPr>
              <w:rPr>
                <w:rFonts w:ascii="Cambria Math" w:hAnsi="Cambria Math" w:cstheme="majorBidi"/>
                <w:i/>
                <w:szCs w:val="24"/>
              </w:rPr>
            </m:ctrlPr>
          </m:sSubPr>
          <m:e>
            <m:r>
              <w:rPr>
                <w:rFonts w:ascii="Cambria Math" w:hAnsi="Cambria Math" w:cstheme="majorBidi"/>
                <w:szCs w:val="24"/>
              </w:rPr>
              <m:t>C</m:t>
            </m:r>
          </m:e>
          <m:sub>
            <m:r>
              <w:rPr>
                <w:rFonts w:ascii="Cambria Math" w:hAnsi="Cambria Math" w:cstheme="majorBidi"/>
                <w:szCs w:val="24"/>
              </w:rPr>
              <m:t>c</m:t>
            </m:r>
          </m:sub>
        </m:sSub>
      </m:oMath>
      <w:r w:rsidRPr="00F560C9">
        <w:rPr>
          <w:rFonts w:asciiTheme="majorBidi" w:hAnsiTheme="majorBidi" w:cstheme="majorBidi"/>
          <w:szCs w:val="24"/>
        </w:rPr>
        <w:t>),</w:t>
      </w:r>
      <w:r w:rsidRPr="00CC3E2F">
        <w:rPr>
          <w:rFonts w:asciiTheme="majorBidi" w:hAnsiTheme="majorBidi" w:cstheme="majorBidi"/>
          <w:szCs w:val="24"/>
        </w:rPr>
        <w:t xml:space="preserve"> starting from day 1, using a Bernoulli trial with a success probability equal to </w:t>
      </w:r>
      <w:r>
        <w:rPr>
          <w:rFonts w:asciiTheme="majorBidi" w:hAnsiTheme="majorBidi" w:cstheme="majorBidi"/>
          <w:szCs w:val="24"/>
        </w:rPr>
        <w:t xml:space="preserve">the </w:t>
      </w:r>
      <w:r w:rsidRPr="00CC3E2F">
        <w:rPr>
          <w:rFonts w:asciiTheme="majorBidi" w:hAnsiTheme="majorBidi" w:cstheme="majorBidi"/>
          <w:szCs w:val="24"/>
        </w:rPr>
        <w:t xml:space="preserve">test </w:t>
      </w:r>
      <w:r w:rsidRPr="00F560C9">
        <w:rPr>
          <w:rFonts w:asciiTheme="majorBidi" w:hAnsiTheme="majorBidi" w:cstheme="majorBidi"/>
          <w:szCs w:val="24"/>
        </w:rPr>
        <w:t>accuracy (</w:t>
      </w:r>
      <m:oMath>
        <m:sSub>
          <m:sSubPr>
            <m:ctrlPr>
              <w:rPr>
                <w:rFonts w:ascii="Cambria Math" w:hAnsi="Cambria Math" w:cstheme="majorBidi"/>
                <w:i/>
                <w:szCs w:val="24"/>
              </w:rPr>
            </m:ctrlPr>
          </m:sSubPr>
          <m:e>
            <m:r>
              <w:rPr>
                <w:rFonts w:ascii="Cambria Math" w:hAnsi="Cambria Math" w:cstheme="majorBidi"/>
                <w:szCs w:val="24"/>
              </w:rPr>
              <m:t>C</m:t>
            </m:r>
          </m:e>
          <m:sub>
            <m:r>
              <w:rPr>
                <w:rFonts w:ascii="Cambria Math" w:hAnsi="Cambria Math" w:cstheme="majorBidi"/>
                <w:szCs w:val="24"/>
              </w:rPr>
              <m:t>a</m:t>
            </m:r>
          </m:sub>
        </m:sSub>
      </m:oMath>
      <w:r w:rsidRPr="00F560C9">
        <w:rPr>
          <w:rFonts w:asciiTheme="majorBidi" w:hAnsiTheme="majorBidi" w:cstheme="majorBidi"/>
          <w:szCs w:val="24"/>
        </w:rPr>
        <w:t xml:space="preserve">). </w:t>
      </w:r>
      <w:r>
        <w:rPr>
          <w:rFonts w:asciiTheme="majorBidi" w:hAnsiTheme="majorBidi" w:cstheme="majorBidi"/>
          <w:szCs w:val="24"/>
        </w:rPr>
        <w:t xml:space="preserve">For patients with </w:t>
      </w:r>
      <w:r w:rsidRPr="00CC3E2F">
        <w:rPr>
          <w:rFonts w:asciiTheme="majorBidi" w:hAnsiTheme="majorBidi" w:cstheme="majorBidi"/>
          <w:szCs w:val="24"/>
        </w:rPr>
        <w:t>a</w:t>
      </w:r>
      <w:r>
        <w:rPr>
          <w:rFonts w:asciiTheme="majorBidi" w:hAnsiTheme="majorBidi" w:cstheme="majorBidi"/>
          <w:szCs w:val="24"/>
        </w:rPr>
        <w:t xml:space="preserve"> positive</w:t>
      </w:r>
      <w:r w:rsidRPr="00CC3E2F">
        <w:rPr>
          <w:rFonts w:asciiTheme="majorBidi" w:hAnsiTheme="majorBidi" w:cstheme="majorBidi"/>
          <w:szCs w:val="24"/>
        </w:rPr>
        <w:t xml:space="preserve"> </w:t>
      </w:r>
      <w:r>
        <w:rPr>
          <w:rFonts w:asciiTheme="majorBidi" w:hAnsiTheme="majorBidi" w:cstheme="majorBidi"/>
          <w:szCs w:val="24"/>
        </w:rPr>
        <w:t xml:space="preserve">culture </w:t>
      </w:r>
      <w:r w:rsidRPr="00CC3E2F">
        <w:rPr>
          <w:rFonts w:asciiTheme="majorBidi" w:hAnsiTheme="majorBidi" w:cstheme="majorBidi"/>
          <w:szCs w:val="24"/>
        </w:rPr>
        <w:t xml:space="preserve">test, </w:t>
      </w:r>
      <w:r>
        <w:rPr>
          <w:rFonts w:asciiTheme="majorBidi" w:hAnsiTheme="majorBidi" w:cstheme="majorBidi"/>
          <w:szCs w:val="24"/>
        </w:rPr>
        <w:t xml:space="preserve">their status is changed to </w:t>
      </w:r>
      <w:r w:rsidRPr="00D53654">
        <w:rPr>
          <w:rFonts w:asciiTheme="majorBidi" w:hAnsiTheme="majorBidi" w:cstheme="majorBidi"/>
          <w:szCs w:val="24"/>
        </w:rPr>
        <w:t>detected colonized</w:t>
      </w:r>
      <w:r>
        <w:rPr>
          <w:rFonts w:asciiTheme="majorBidi" w:hAnsiTheme="majorBidi" w:cstheme="majorBidi"/>
          <w:szCs w:val="24"/>
        </w:rPr>
        <w:t xml:space="preserve"> (</w:t>
      </w:r>
      <w:r w:rsidRPr="00D53654">
        <w:rPr>
          <w:rFonts w:asciiTheme="majorBidi" w:hAnsiTheme="majorBidi" w:cstheme="majorBidi"/>
          <w:i/>
          <w:iCs/>
          <w:szCs w:val="24"/>
        </w:rPr>
        <w:t>DC</w:t>
      </w:r>
      <w:r>
        <w:rPr>
          <w:rFonts w:asciiTheme="majorBidi" w:hAnsiTheme="majorBidi" w:cstheme="majorBidi"/>
          <w:szCs w:val="24"/>
        </w:rPr>
        <w:t xml:space="preserve">), and they are </w:t>
      </w:r>
      <w:r w:rsidRPr="00CC3E2F">
        <w:rPr>
          <w:rFonts w:asciiTheme="majorBidi" w:hAnsiTheme="majorBidi" w:cstheme="majorBidi"/>
          <w:szCs w:val="24"/>
        </w:rPr>
        <w:t xml:space="preserve">put under contact precautions for the rest of their stay. </w:t>
      </w:r>
    </w:p>
    <w:p w14:paraId="25F92ADB" w14:textId="77777777" w:rsidR="00CE6B9D" w:rsidRDefault="00CE6B9D" w:rsidP="00CE6B9D">
      <w:r>
        <w:t xml:space="preserve">To calculate compliance, we calculated the time between admission and first culture test. Those patients that had a culture test within 48 hours from admission were regarded as </w:t>
      </w:r>
      <w:r w:rsidRPr="006912D1">
        <w:rPr>
          <w:i/>
          <w:iCs/>
        </w:rPr>
        <w:t>screened on admission</w:t>
      </w:r>
      <w:r>
        <w:t xml:space="preserve">. Patients that were transferred to other ICUs, or discharged and readmitted to the same ICU were regarded as new “admissions” and required to be screened again. The admission screening compliance was calculated by taking the ratio of </w:t>
      </w:r>
      <w:r w:rsidRPr="006912D1">
        <w:rPr>
          <w:i/>
          <w:iCs/>
        </w:rPr>
        <w:t>screened on admission</w:t>
      </w:r>
      <w:r>
        <w:t xml:space="preserve"> patients to all patients for each ICU.</w:t>
      </w:r>
    </w:p>
    <w:p w14:paraId="62EDEB13" w14:textId="77777777" w:rsidR="00CE6B9D" w:rsidRDefault="00CE6B9D" w:rsidP="00CE6B9D"/>
    <w:p w14:paraId="5C6017BC" w14:textId="5B70D959" w:rsidR="00CE6B9D" w:rsidRDefault="00CE6B9D" w:rsidP="00CE6B9D">
      <w:pPr>
        <w:pStyle w:val="Caption"/>
        <w:keepNext/>
      </w:pPr>
      <w:bookmarkStart w:id="1" w:name="_Ref163034837"/>
      <w:r>
        <w:t xml:space="preserve">Table </w:t>
      </w:r>
      <w:r w:rsidR="00AA3510">
        <w:t>A</w:t>
      </w:r>
      <w:fldSimple w:instr=" SEQ Table \* ARABIC ">
        <w:r w:rsidR="00223C41">
          <w:rPr>
            <w:noProof/>
          </w:rPr>
          <w:t>1</w:t>
        </w:r>
      </w:fldSimple>
      <w:bookmarkEnd w:id="1"/>
      <w:r>
        <w:t xml:space="preserve">. Admission surveillance compliance for VRE and MRSA during </w:t>
      </w:r>
      <w:r>
        <w:rPr>
          <w:rFonts w:asciiTheme="majorBidi" w:hAnsiTheme="majorBidi" w:cstheme="majorBidi"/>
          <w:szCs w:val="24"/>
        </w:rPr>
        <w:t>the study period</w:t>
      </w:r>
    </w:p>
    <w:tbl>
      <w:tblPr>
        <w:tblStyle w:val="TableGrid"/>
        <w:tblW w:w="5000" w:type="pct"/>
        <w:tblLook w:val="04A0" w:firstRow="1" w:lastRow="0" w:firstColumn="1" w:lastColumn="0" w:noHBand="0" w:noVBand="1"/>
      </w:tblPr>
      <w:tblGrid>
        <w:gridCol w:w="2691"/>
        <w:gridCol w:w="3230"/>
        <w:gridCol w:w="3429"/>
      </w:tblGrid>
      <w:tr w:rsidR="00CE6B9D" w:rsidRPr="006912D1" w14:paraId="2AEC6A35" w14:textId="77777777" w:rsidTr="006A699A">
        <w:trPr>
          <w:trHeight w:val="288"/>
        </w:trPr>
        <w:tc>
          <w:tcPr>
            <w:tcW w:w="1446" w:type="pct"/>
            <w:noWrap/>
            <w:vAlign w:val="center"/>
            <w:hideMark/>
          </w:tcPr>
          <w:p w14:paraId="6D7B6D59" w14:textId="77777777" w:rsidR="00CE6B9D" w:rsidRPr="006912D1" w:rsidRDefault="00CE6B9D" w:rsidP="006A699A">
            <w:pPr>
              <w:spacing w:before="60" w:after="60"/>
              <w:rPr>
                <w:b/>
                <w:bCs/>
              </w:rPr>
            </w:pPr>
            <w:r w:rsidRPr="006912D1">
              <w:rPr>
                <w:b/>
                <w:bCs/>
              </w:rPr>
              <w:t>ICU</w:t>
            </w:r>
          </w:p>
        </w:tc>
        <w:tc>
          <w:tcPr>
            <w:tcW w:w="1727" w:type="pct"/>
            <w:noWrap/>
            <w:vAlign w:val="center"/>
            <w:hideMark/>
          </w:tcPr>
          <w:p w14:paraId="331ED84F" w14:textId="77777777" w:rsidR="00CE6B9D" w:rsidRPr="006912D1" w:rsidRDefault="00CE6B9D" w:rsidP="006A699A">
            <w:pPr>
              <w:spacing w:before="60" w:after="60"/>
              <w:jc w:val="center"/>
              <w:rPr>
                <w:b/>
                <w:bCs/>
              </w:rPr>
            </w:pPr>
            <w:r w:rsidRPr="006912D1">
              <w:rPr>
                <w:b/>
                <w:bCs/>
              </w:rPr>
              <w:t>VRE surveillance compliance</w:t>
            </w:r>
          </w:p>
        </w:tc>
        <w:tc>
          <w:tcPr>
            <w:tcW w:w="1827" w:type="pct"/>
            <w:noWrap/>
            <w:vAlign w:val="center"/>
            <w:hideMark/>
          </w:tcPr>
          <w:p w14:paraId="415D149C" w14:textId="77777777" w:rsidR="00CE6B9D" w:rsidRPr="006912D1" w:rsidRDefault="00CE6B9D" w:rsidP="006A699A">
            <w:pPr>
              <w:spacing w:before="60" w:after="60"/>
              <w:jc w:val="center"/>
              <w:rPr>
                <w:b/>
                <w:bCs/>
              </w:rPr>
            </w:pPr>
            <w:r w:rsidRPr="006912D1">
              <w:rPr>
                <w:b/>
                <w:bCs/>
              </w:rPr>
              <w:t>MRSA surveillance compliance</w:t>
            </w:r>
          </w:p>
        </w:tc>
      </w:tr>
      <w:tr w:rsidR="00CE6B9D" w:rsidRPr="006912D1" w14:paraId="27EA4FA7" w14:textId="77777777" w:rsidTr="006A699A">
        <w:trPr>
          <w:trHeight w:val="288"/>
        </w:trPr>
        <w:tc>
          <w:tcPr>
            <w:tcW w:w="1446" w:type="pct"/>
            <w:noWrap/>
            <w:vAlign w:val="center"/>
            <w:hideMark/>
          </w:tcPr>
          <w:p w14:paraId="4AB33C4F" w14:textId="6084E664" w:rsidR="00CE6B9D" w:rsidRPr="006912D1" w:rsidRDefault="008022BD" w:rsidP="006A699A">
            <w:pPr>
              <w:spacing w:before="60" w:after="60"/>
            </w:pPr>
            <w:r>
              <w:t>CCU</w:t>
            </w:r>
          </w:p>
        </w:tc>
        <w:tc>
          <w:tcPr>
            <w:tcW w:w="1727" w:type="pct"/>
            <w:noWrap/>
            <w:vAlign w:val="center"/>
            <w:hideMark/>
          </w:tcPr>
          <w:p w14:paraId="591D805C" w14:textId="77777777" w:rsidR="00CE6B9D" w:rsidRPr="006912D1" w:rsidRDefault="00CE6B9D" w:rsidP="006A699A">
            <w:pPr>
              <w:spacing w:before="60" w:after="60"/>
              <w:jc w:val="center"/>
            </w:pPr>
            <w:r>
              <w:t>80</w:t>
            </w:r>
            <w:r w:rsidRPr="006912D1">
              <w:t>%</w:t>
            </w:r>
          </w:p>
        </w:tc>
        <w:tc>
          <w:tcPr>
            <w:tcW w:w="1827" w:type="pct"/>
            <w:noWrap/>
            <w:vAlign w:val="center"/>
            <w:hideMark/>
          </w:tcPr>
          <w:p w14:paraId="5BD22535" w14:textId="77777777" w:rsidR="00CE6B9D" w:rsidRPr="006912D1" w:rsidRDefault="00CE6B9D" w:rsidP="006A699A">
            <w:pPr>
              <w:spacing w:before="60" w:after="60"/>
              <w:jc w:val="center"/>
            </w:pPr>
            <w:r w:rsidRPr="006912D1">
              <w:t>76%</w:t>
            </w:r>
          </w:p>
        </w:tc>
      </w:tr>
      <w:tr w:rsidR="00CE6B9D" w:rsidRPr="006912D1" w14:paraId="05B8999A" w14:textId="77777777" w:rsidTr="006A699A">
        <w:trPr>
          <w:trHeight w:val="288"/>
        </w:trPr>
        <w:tc>
          <w:tcPr>
            <w:tcW w:w="1446" w:type="pct"/>
            <w:noWrap/>
            <w:vAlign w:val="center"/>
            <w:hideMark/>
          </w:tcPr>
          <w:p w14:paraId="62FE74A2" w14:textId="55A7233F" w:rsidR="00CE6B9D" w:rsidRPr="006912D1" w:rsidRDefault="008022BD" w:rsidP="006A699A">
            <w:pPr>
              <w:spacing w:before="60" w:after="60"/>
            </w:pPr>
            <w:r>
              <w:t>CVSU</w:t>
            </w:r>
          </w:p>
        </w:tc>
        <w:tc>
          <w:tcPr>
            <w:tcW w:w="1727" w:type="pct"/>
            <w:noWrap/>
            <w:vAlign w:val="center"/>
            <w:hideMark/>
          </w:tcPr>
          <w:p w14:paraId="56CD692E" w14:textId="77777777" w:rsidR="00CE6B9D" w:rsidRPr="006912D1" w:rsidRDefault="00CE6B9D" w:rsidP="006A699A">
            <w:pPr>
              <w:spacing w:before="60" w:after="60"/>
              <w:jc w:val="center"/>
            </w:pPr>
            <w:r w:rsidRPr="006912D1">
              <w:t>80%</w:t>
            </w:r>
          </w:p>
        </w:tc>
        <w:tc>
          <w:tcPr>
            <w:tcW w:w="1827" w:type="pct"/>
            <w:noWrap/>
            <w:vAlign w:val="center"/>
            <w:hideMark/>
          </w:tcPr>
          <w:p w14:paraId="2148ECFE" w14:textId="77777777" w:rsidR="00CE6B9D" w:rsidRPr="006912D1" w:rsidRDefault="00CE6B9D" w:rsidP="006A699A">
            <w:pPr>
              <w:spacing w:before="60" w:after="60"/>
              <w:jc w:val="center"/>
            </w:pPr>
            <w:r w:rsidRPr="006912D1">
              <w:t>80%</w:t>
            </w:r>
          </w:p>
        </w:tc>
      </w:tr>
      <w:tr w:rsidR="00CE6B9D" w:rsidRPr="006912D1" w14:paraId="4E1D18C0" w14:textId="77777777" w:rsidTr="006A699A">
        <w:trPr>
          <w:trHeight w:val="288"/>
        </w:trPr>
        <w:tc>
          <w:tcPr>
            <w:tcW w:w="1446" w:type="pct"/>
            <w:noWrap/>
            <w:vAlign w:val="center"/>
            <w:hideMark/>
          </w:tcPr>
          <w:p w14:paraId="15E96DCF" w14:textId="1C318E62" w:rsidR="00CE6B9D" w:rsidRPr="006912D1" w:rsidRDefault="008022BD" w:rsidP="006A699A">
            <w:pPr>
              <w:spacing w:before="60" w:after="60"/>
            </w:pPr>
            <w:r>
              <w:t>MICU</w:t>
            </w:r>
          </w:p>
        </w:tc>
        <w:tc>
          <w:tcPr>
            <w:tcW w:w="1727" w:type="pct"/>
            <w:noWrap/>
            <w:vAlign w:val="center"/>
            <w:hideMark/>
          </w:tcPr>
          <w:p w14:paraId="37264EE7" w14:textId="77777777" w:rsidR="00CE6B9D" w:rsidRPr="006912D1" w:rsidRDefault="00CE6B9D" w:rsidP="006A699A">
            <w:pPr>
              <w:spacing w:before="60" w:after="60"/>
              <w:jc w:val="center"/>
            </w:pPr>
            <w:r w:rsidRPr="006912D1">
              <w:t>88%</w:t>
            </w:r>
          </w:p>
        </w:tc>
        <w:tc>
          <w:tcPr>
            <w:tcW w:w="1827" w:type="pct"/>
            <w:noWrap/>
            <w:vAlign w:val="center"/>
            <w:hideMark/>
          </w:tcPr>
          <w:p w14:paraId="53ADD04E" w14:textId="77777777" w:rsidR="00CE6B9D" w:rsidRPr="006912D1" w:rsidRDefault="00CE6B9D" w:rsidP="006A699A">
            <w:pPr>
              <w:spacing w:before="60" w:after="60"/>
              <w:jc w:val="center"/>
            </w:pPr>
            <w:r w:rsidRPr="006912D1">
              <w:t>90%</w:t>
            </w:r>
          </w:p>
        </w:tc>
      </w:tr>
      <w:tr w:rsidR="00CE6B9D" w:rsidRPr="006912D1" w14:paraId="31CECC6D" w14:textId="77777777" w:rsidTr="006A699A">
        <w:trPr>
          <w:trHeight w:val="288"/>
        </w:trPr>
        <w:tc>
          <w:tcPr>
            <w:tcW w:w="1446" w:type="pct"/>
            <w:noWrap/>
            <w:vAlign w:val="center"/>
            <w:hideMark/>
          </w:tcPr>
          <w:p w14:paraId="4D4B647A" w14:textId="02B610E6" w:rsidR="00CE6B9D" w:rsidRPr="006912D1" w:rsidRDefault="008022BD" w:rsidP="006A699A">
            <w:pPr>
              <w:spacing w:before="60" w:after="60"/>
            </w:pPr>
            <w:r>
              <w:t>NCCU</w:t>
            </w:r>
          </w:p>
        </w:tc>
        <w:tc>
          <w:tcPr>
            <w:tcW w:w="1727" w:type="pct"/>
            <w:noWrap/>
            <w:vAlign w:val="center"/>
            <w:hideMark/>
          </w:tcPr>
          <w:p w14:paraId="605A7748" w14:textId="77777777" w:rsidR="00CE6B9D" w:rsidRPr="006912D1" w:rsidRDefault="00CE6B9D" w:rsidP="006A699A">
            <w:pPr>
              <w:spacing w:before="60" w:after="60"/>
              <w:jc w:val="center"/>
            </w:pPr>
            <w:r w:rsidRPr="006912D1">
              <w:t>80%</w:t>
            </w:r>
          </w:p>
        </w:tc>
        <w:tc>
          <w:tcPr>
            <w:tcW w:w="1827" w:type="pct"/>
            <w:noWrap/>
            <w:vAlign w:val="center"/>
            <w:hideMark/>
          </w:tcPr>
          <w:p w14:paraId="099EF2A1" w14:textId="77777777" w:rsidR="00CE6B9D" w:rsidRPr="006912D1" w:rsidRDefault="00CE6B9D" w:rsidP="006A699A">
            <w:pPr>
              <w:spacing w:before="60" w:after="60"/>
              <w:jc w:val="center"/>
            </w:pPr>
            <w:r w:rsidRPr="006912D1">
              <w:t>80%</w:t>
            </w:r>
          </w:p>
        </w:tc>
      </w:tr>
      <w:tr w:rsidR="00CE6B9D" w:rsidRPr="006912D1" w14:paraId="5A2E2491" w14:textId="77777777" w:rsidTr="006A699A">
        <w:trPr>
          <w:trHeight w:val="288"/>
        </w:trPr>
        <w:tc>
          <w:tcPr>
            <w:tcW w:w="1446" w:type="pct"/>
            <w:noWrap/>
            <w:vAlign w:val="center"/>
            <w:hideMark/>
          </w:tcPr>
          <w:p w14:paraId="65854571" w14:textId="32A34BB0" w:rsidR="00CE6B9D" w:rsidRPr="006912D1" w:rsidRDefault="008022BD" w:rsidP="006A699A">
            <w:pPr>
              <w:spacing w:before="60" w:after="60"/>
            </w:pPr>
            <w:r>
              <w:t>SICU</w:t>
            </w:r>
          </w:p>
        </w:tc>
        <w:tc>
          <w:tcPr>
            <w:tcW w:w="1727" w:type="pct"/>
            <w:noWrap/>
            <w:vAlign w:val="center"/>
            <w:hideMark/>
          </w:tcPr>
          <w:p w14:paraId="44C5E3B5" w14:textId="77777777" w:rsidR="00CE6B9D" w:rsidRPr="006912D1" w:rsidRDefault="00CE6B9D" w:rsidP="006A699A">
            <w:pPr>
              <w:spacing w:before="60" w:after="60"/>
              <w:jc w:val="center"/>
            </w:pPr>
            <w:r w:rsidRPr="006912D1">
              <w:t>79%</w:t>
            </w:r>
          </w:p>
        </w:tc>
        <w:tc>
          <w:tcPr>
            <w:tcW w:w="1827" w:type="pct"/>
            <w:noWrap/>
            <w:vAlign w:val="center"/>
            <w:hideMark/>
          </w:tcPr>
          <w:p w14:paraId="76BD608E" w14:textId="77777777" w:rsidR="00CE6B9D" w:rsidRPr="006912D1" w:rsidRDefault="00CE6B9D" w:rsidP="006A699A">
            <w:pPr>
              <w:spacing w:before="60" w:after="60"/>
              <w:jc w:val="center"/>
            </w:pPr>
            <w:r w:rsidRPr="006912D1">
              <w:t>79%</w:t>
            </w:r>
          </w:p>
        </w:tc>
      </w:tr>
      <w:tr w:rsidR="00CE6B9D" w:rsidRPr="006912D1" w14:paraId="0340E3C0" w14:textId="77777777" w:rsidTr="006A699A">
        <w:trPr>
          <w:trHeight w:val="288"/>
        </w:trPr>
        <w:tc>
          <w:tcPr>
            <w:tcW w:w="1446" w:type="pct"/>
            <w:noWrap/>
            <w:vAlign w:val="center"/>
            <w:hideMark/>
          </w:tcPr>
          <w:p w14:paraId="373DA79E" w14:textId="571310EB" w:rsidR="00CE6B9D" w:rsidRPr="006912D1" w:rsidRDefault="008022BD" w:rsidP="006A699A">
            <w:pPr>
              <w:spacing w:before="60" w:after="60"/>
            </w:pPr>
            <w:r>
              <w:t>WSICU</w:t>
            </w:r>
          </w:p>
        </w:tc>
        <w:tc>
          <w:tcPr>
            <w:tcW w:w="1727" w:type="pct"/>
            <w:noWrap/>
            <w:vAlign w:val="center"/>
            <w:hideMark/>
          </w:tcPr>
          <w:p w14:paraId="5354232D" w14:textId="77777777" w:rsidR="00CE6B9D" w:rsidRPr="006912D1" w:rsidRDefault="00CE6B9D" w:rsidP="006A699A">
            <w:pPr>
              <w:spacing w:before="60" w:after="60"/>
              <w:jc w:val="center"/>
            </w:pPr>
            <w:r w:rsidRPr="006912D1">
              <w:t>78%</w:t>
            </w:r>
          </w:p>
        </w:tc>
        <w:tc>
          <w:tcPr>
            <w:tcW w:w="1827" w:type="pct"/>
            <w:noWrap/>
            <w:vAlign w:val="center"/>
            <w:hideMark/>
          </w:tcPr>
          <w:p w14:paraId="5DD659D3" w14:textId="77777777" w:rsidR="00CE6B9D" w:rsidRPr="006912D1" w:rsidRDefault="00CE6B9D" w:rsidP="006A699A">
            <w:pPr>
              <w:spacing w:before="60" w:after="60"/>
              <w:jc w:val="center"/>
            </w:pPr>
            <w:r w:rsidRPr="006912D1">
              <w:t>80%</w:t>
            </w:r>
          </w:p>
        </w:tc>
      </w:tr>
    </w:tbl>
    <w:p w14:paraId="2D6565A5" w14:textId="77777777" w:rsidR="00CE6B9D" w:rsidRDefault="00CE6B9D" w:rsidP="00342C65">
      <w:pPr>
        <w:spacing w:line="276" w:lineRule="auto"/>
        <w:rPr>
          <w:rFonts w:asciiTheme="majorBidi" w:hAnsiTheme="majorBidi" w:cstheme="majorBidi"/>
          <w:szCs w:val="24"/>
        </w:rPr>
      </w:pPr>
    </w:p>
    <w:p w14:paraId="3B55EBFD" w14:textId="28621DA4" w:rsidR="00342C65" w:rsidRPr="00CC3E2F" w:rsidRDefault="00AA3510" w:rsidP="00342C65">
      <w:pPr>
        <w:spacing w:line="276" w:lineRule="auto"/>
        <w:rPr>
          <w:rFonts w:asciiTheme="majorBidi" w:hAnsiTheme="majorBidi" w:cstheme="majorBidi"/>
          <w:szCs w:val="24"/>
        </w:rPr>
      </w:pPr>
      <w:r>
        <w:rPr>
          <w:rFonts w:asciiTheme="majorBidi" w:hAnsiTheme="majorBidi" w:cstheme="majorBidi"/>
          <w:szCs w:val="24"/>
        </w:rPr>
        <w:t>A</w:t>
      </w:r>
      <w:r w:rsidR="00342C65" w:rsidRPr="00CC3E2F">
        <w:rPr>
          <w:rFonts w:asciiTheme="majorBidi" w:hAnsiTheme="majorBidi" w:cstheme="majorBidi"/>
          <w:szCs w:val="24"/>
        </w:rPr>
        <w:t>2.</w:t>
      </w:r>
      <w:r w:rsidR="00342C65">
        <w:rPr>
          <w:rFonts w:asciiTheme="majorBidi" w:hAnsiTheme="majorBidi" w:cstheme="majorBidi"/>
          <w:szCs w:val="24"/>
        </w:rPr>
        <w:t>2</w:t>
      </w:r>
      <w:r w:rsidR="00342C65" w:rsidRPr="00CC3E2F">
        <w:rPr>
          <w:rFonts w:asciiTheme="majorBidi" w:hAnsiTheme="majorBidi" w:cstheme="majorBidi"/>
          <w:szCs w:val="24"/>
        </w:rPr>
        <w:t>.</w:t>
      </w:r>
      <w:r w:rsidR="00273782">
        <w:rPr>
          <w:rFonts w:asciiTheme="majorBidi" w:hAnsiTheme="majorBidi" w:cstheme="majorBidi"/>
          <w:szCs w:val="24"/>
        </w:rPr>
        <w:t>2</w:t>
      </w:r>
      <w:r w:rsidR="00342C65" w:rsidRPr="00CC3E2F">
        <w:rPr>
          <w:rFonts w:asciiTheme="majorBidi" w:hAnsiTheme="majorBidi" w:cstheme="majorBidi"/>
          <w:szCs w:val="24"/>
        </w:rPr>
        <w:t>.</w:t>
      </w:r>
      <w:r w:rsidR="00342C65">
        <w:rPr>
          <w:rFonts w:asciiTheme="majorBidi" w:hAnsiTheme="majorBidi" w:cstheme="majorBidi"/>
          <w:szCs w:val="24"/>
        </w:rPr>
        <w:t>4</w:t>
      </w:r>
      <w:r w:rsidR="00342C65" w:rsidRPr="00CC3E2F">
        <w:rPr>
          <w:rFonts w:asciiTheme="majorBidi" w:hAnsiTheme="majorBidi" w:cstheme="majorBidi"/>
          <w:szCs w:val="24"/>
        </w:rPr>
        <w:t>. Infection from colonization</w:t>
      </w:r>
    </w:p>
    <w:p w14:paraId="6A4B2A9D" w14:textId="1A331DE7" w:rsidR="00342C65" w:rsidRDefault="00342C65" w:rsidP="00342C65">
      <w:pPr>
        <w:spacing w:line="276" w:lineRule="auto"/>
        <w:rPr>
          <w:rFonts w:asciiTheme="majorBidi" w:hAnsiTheme="majorBidi" w:cstheme="majorBidi"/>
          <w:szCs w:val="24"/>
        </w:rPr>
      </w:pPr>
      <w:r>
        <w:rPr>
          <w:rFonts w:asciiTheme="majorBidi" w:hAnsiTheme="majorBidi" w:cstheme="majorBidi"/>
          <w:szCs w:val="24"/>
        </w:rPr>
        <w:t>The disease state of c</w:t>
      </w:r>
      <w:r w:rsidRPr="00CC3E2F">
        <w:rPr>
          <w:rFonts w:asciiTheme="majorBidi" w:hAnsiTheme="majorBidi" w:cstheme="majorBidi"/>
          <w:szCs w:val="24"/>
        </w:rPr>
        <w:t xml:space="preserve">olonized patients may </w:t>
      </w:r>
      <w:r>
        <w:rPr>
          <w:rFonts w:asciiTheme="majorBidi" w:hAnsiTheme="majorBidi" w:cstheme="majorBidi"/>
          <w:szCs w:val="24"/>
        </w:rPr>
        <w:t xml:space="preserve">progress into </w:t>
      </w:r>
      <w:r w:rsidRPr="00CC3E2F">
        <w:rPr>
          <w:rFonts w:asciiTheme="majorBidi" w:hAnsiTheme="majorBidi" w:cstheme="majorBidi"/>
          <w:szCs w:val="24"/>
        </w:rPr>
        <w:t>infect</w:t>
      </w:r>
      <w:r>
        <w:rPr>
          <w:rFonts w:asciiTheme="majorBidi" w:hAnsiTheme="majorBidi" w:cstheme="majorBidi"/>
          <w:szCs w:val="24"/>
        </w:rPr>
        <w:t xml:space="preserve">ed </w:t>
      </w:r>
      <w:r w:rsidRPr="00CC3E2F">
        <w:rPr>
          <w:rFonts w:asciiTheme="majorBidi" w:hAnsiTheme="majorBidi" w:cstheme="majorBidi"/>
          <w:szCs w:val="24"/>
        </w:rPr>
        <w:t xml:space="preserve">with </w:t>
      </w:r>
      <w:r>
        <w:rPr>
          <w:rFonts w:asciiTheme="majorBidi" w:hAnsiTheme="majorBidi" w:cstheme="majorBidi"/>
          <w:szCs w:val="24"/>
        </w:rPr>
        <w:t>some</w:t>
      </w:r>
      <w:r w:rsidRPr="00CC3E2F">
        <w:rPr>
          <w:rFonts w:asciiTheme="majorBidi" w:hAnsiTheme="majorBidi" w:cstheme="majorBidi"/>
          <w:szCs w:val="24"/>
        </w:rPr>
        <w:t xml:space="preserve"> probability. </w:t>
      </w:r>
      <w:r>
        <w:rPr>
          <w:rFonts w:asciiTheme="majorBidi" w:hAnsiTheme="majorBidi" w:cstheme="majorBidi"/>
          <w:szCs w:val="24"/>
        </w:rPr>
        <w:t xml:space="preserve">This probability is estimated based on the distribution for the time from first positive culture test to time of infection onset. For each infected patient, the specimen collection time of the first positive culture test was taken as an estimation for time of colonization. For infected patients without a culture test, the admission time was used. Time of infection onset was assumed to be the time of specimen collection for the infection diagnosis test. The time difference between the two data entries was calculated as the </w:t>
      </w:r>
      <w:bookmarkStart w:id="2" w:name="_Hlk161260024"/>
      <w:r w:rsidRPr="00131824">
        <w:rPr>
          <w:rFonts w:asciiTheme="majorBidi" w:hAnsiTheme="majorBidi" w:cstheme="majorBidi"/>
          <w:i/>
          <w:iCs/>
          <w:szCs w:val="24"/>
        </w:rPr>
        <w:t>time</w:t>
      </w:r>
      <w:r>
        <w:rPr>
          <w:rFonts w:asciiTheme="majorBidi" w:hAnsiTheme="majorBidi" w:cstheme="majorBidi"/>
          <w:i/>
          <w:iCs/>
          <w:szCs w:val="24"/>
        </w:rPr>
        <w:t>-</w:t>
      </w:r>
      <w:r w:rsidRPr="00131824">
        <w:rPr>
          <w:rFonts w:asciiTheme="majorBidi" w:hAnsiTheme="majorBidi" w:cstheme="majorBidi"/>
          <w:i/>
          <w:iCs/>
          <w:szCs w:val="24"/>
        </w:rPr>
        <w:t>to</w:t>
      </w:r>
      <w:r>
        <w:rPr>
          <w:rFonts w:asciiTheme="majorBidi" w:hAnsiTheme="majorBidi" w:cstheme="majorBidi"/>
          <w:i/>
          <w:iCs/>
          <w:szCs w:val="24"/>
        </w:rPr>
        <w:t>-</w:t>
      </w:r>
      <w:r w:rsidRPr="00131824">
        <w:rPr>
          <w:rFonts w:asciiTheme="majorBidi" w:hAnsiTheme="majorBidi" w:cstheme="majorBidi"/>
          <w:i/>
          <w:iCs/>
          <w:szCs w:val="24"/>
        </w:rPr>
        <w:t>infection</w:t>
      </w:r>
      <w:r>
        <w:rPr>
          <w:rFonts w:asciiTheme="majorBidi" w:hAnsiTheme="majorBidi" w:cstheme="majorBidi"/>
          <w:i/>
          <w:iCs/>
          <w:szCs w:val="24"/>
        </w:rPr>
        <w:t xml:space="preserve"> </w:t>
      </w:r>
      <w:bookmarkEnd w:id="2"/>
      <w:r>
        <w:rPr>
          <w:rFonts w:asciiTheme="majorBidi" w:hAnsiTheme="majorBidi" w:cstheme="majorBidi"/>
          <w:szCs w:val="24"/>
        </w:rPr>
        <w:t xml:space="preserve">variable (in hours). Based on this data, the probability </w:t>
      </w:r>
      <w:r w:rsidRPr="000D6FDF">
        <w:rPr>
          <w:rFonts w:asciiTheme="majorBidi" w:hAnsiTheme="majorBidi" w:cstheme="majorBidi"/>
          <w:szCs w:val="24"/>
        </w:rPr>
        <w:t>distribution of time</w:t>
      </w:r>
      <w:r>
        <w:rPr>
          <w:rFonts w:asciiTheme="majorBidi" w:hAnsiTheme="majorBidi" w:cstheme="majorBidi"/>
          <w:szCs w:val="24"/>
        </w:rPr>
        <w:t>-</w:t>
      </w:r>
      <w:r w:rsidRPr="000D6FDF">
        <w:rPr>
          <w:rFonts w:asciiTheme="majorBidi" w:hAnsiTheme="majorBidi" w:cstheme="majorBidi"/>
          <w:szCs w:val="24"/>
        </w:rPr>
        <w:t>to</w:t>
      </w:r>
      <w:r>
        <w:rPr>
          <w:rFonts w:asciiTheme="majorBidi" w:hAnsiTheme="majorBidi" w:cstheme="majorBidi"/>
          <w:szCs w:val="24"/>
        </w:rPr>
        <w:t>-</w:t>
      </w:r>
      <w:r w:rsidRPr="006A5FA8">
        <w:rPr>
          <w:rFonts w:asciiTheme="majorBidi" w:hAnsiTheme="majorBidi" w:cstheme="majorBidi"/>
          <w:szCs w:val="24"/>
        </w:rPr>
        <w:t>infection (</w:t>
      </w:r>
      <m:oMath>
        <m:sSub>
          <m:sSubPr>
            <m:ctrlPr>
              <w:rPr>
                <w:rFonts w:ascii="Cambria Math" w:hAnsi="Cambria Math" w:cstheme="majorBidi"/>
                <w:i/>
                <w:szCs w:val="24"/>
              </w:rPr>
            </m:ctrlPr>
          </m:sSubPr>
          <m:e>
            <m:r>
              <w:rPr>
                <w:rFonts w:ascii="Cambria Math" w:hAnsi="Cambria Math" w:cstheme="majorBidi"/>
                <w:szCs w:val="24"/>
              </w:rPr>
              <m:t>T</m:t>
            </m:r>
          </m:e>
          <m:sub>
            <m:r>
              <w:rPr>
                <w:rFonts w:ascii="Cambria Math" w:hAnsi="Cambria Math" w:cstheme="majorBidi"/>
                <w:szCs w:val="24"/>
              </w:rPr>
              <m:t>CI</m:t>
            </m:r>
          </m:sub>
        </m:sSub>
      </m:oMath>
      <w:r w:rsidRPr="006A5FA8">
        <w:rPr>
          <w:rFonts w:asciiTheme="majorBidi" w:hAnsiTheme="majorBidi" w:cstheme="majorBidi"/>
          <w:szCs w:val="24"/>
        </w:rPr>
        <w:t>)</w:t>
      </w:r>
      <w:r>
        <w:rPr>
          <w:rFonts w:asciiTheme="majorBidi" w:hAnsiTheme="majorBidi" w:cstheme="majorBidi"/>
          <w:i/>
          <w:iCs/>
          <w:szCs w:val="24"/>
        </w:rPr>
        <w:t xml:space="preserve"> </w:t>
      </w:r>
      <w:r>
        <w:rPr>
          <w:rFonts w:asciiTheme="majorBidi" w:hAnsiTheme="majorBidi" w:cstheme="majorBidi"/>
          <w:szCs w:val="24"/>
        </w:rPr>
        <w:t>was constructed with a Gaussian Kernel Density (</w:t>
      </w:r>
      <w:r w:rsidR="008924A6">
        <w:rPr>
          <w:rFonts w:asciiTheme="majorBidi" w:hAnsiTheme="majorBidi" w:cstheme="majorBidi"/>
          <w:szCs w:val="24"/>
        </w:rPr>
        <w:fldChar w:fldCharType="begin"/>
      </w:r>
      <w:r w:rsidR="008924A6">
        <w:rPr>
          <w:rFonts w:asciiTheme="majorBidi" w:hAnsiTheme="majorBidi" w:cstheme="majorBidi"/>
          <w:szCs w:val="24"/>
        </w:rPr>
        <w:instrText xml:space="preserve"> REF _Ref163034796 \h </w:instrText>
      </w:r>
      <w:r w:rsidR="008924A6">
        <w:rPr>
          <w:rFonts w:asciiTheme="majorBidi" w:hAnsiTheme="majorBidi" w:cstheme="majorBidi"/>
          <w:szCs w:val="24"/>
        </w:rPr>
      </w:r>
      <w:r w:rsidR="008924A6">
        <w:rPr>
          <w:rFonts w:asciiTheme="majorBidi" w:hAnsiTheme="majorBidi" w:cstheme="majorBidi"/>
          <w:szCs w:val="24"/>
        </w:rPr>
        <w:fldChar w:fldCharType="separate"/>
      </w:r>
      <w:r w:rsidR="003C02BD">
        <w:t>Figure A</w:t>
      </w:r>
      <w:r w:rsidR="003C02BD">
        <w:rPr>
          <w:noProof/>
        </w:rPr>
        <w:t>1</w:t>
      </w:r>
      <w:r w:rsidR="008924A6">
        <w:rPr>
          <w:rFonts w:asciiTheme="majorBidi" w:hAnsiTheme="majorBidi" w:cstheme="majorBidi"/>
          <w:szCs w:val="24"/>
        </w:rPr>
        <w:fldChar w:fldCharType="end"/>
      </w:r>
      <w:r>
        <w:rPr>
          <w:rFonts w:asciiTheme="majorBidi" w:hAnsiTheme="majorBidi" w:cstheme="majorBidi"/>
          <w:szCs w:val="24"/>
        </w:rPr>
        <w:t xml:space="preserve">) using the </w:t>
      </w:r>
      <w:r w:rsidRPr="000D6FDF">
        <w:rPr>
          <w:rFonts w:asciiTheme="majorBidi" w:hAnsiTheme="majorBidi" w:cstheme="majorBidi"/>
          <w:szCs w:val="24"/>
        </w:rPr>
        <w:t>scikit-learn</w:t>
      </w:r>
      <w:r>
        <w:rPr>
          <w:rFonts w:asciiTheme="majorBidi" w:hAnsiTheme="majorBidi" w:cstheme="majorBidi"/>
          <w:szCs w:val="24"/>
        </w:rPr>
        <w:t xml:space="preserve"> package in python </w:t>
      </w:r>
      <w:r>
        <w:rPr>
          <w:rFonts w:asciiTheme="majorBidi" w:hAnsiTheme="majorBidi" w:cstheme="majorBidi"/>
          <w:szCs w:val="24"/>
        </w:rPr>
        <w:fldChar w:fldCharType="begin" w:fldLock="1"/>
      </w:r>
      <w:r w:rsidR="00FF76CD">
        <w:rPr>
          <w:rFonts w:asciiTheme="majorBidi" w:hAnsiTheme="majorBidi" w:cstheme="majorBidi"/>
          <w:szCs w:val="24"/>
        </w:rPr>
        <w:instrText>ADDIN CSL_CITATION {"citationItems":[{"id":"ITEM-1","itemData":{"author":[{"dropping-particle":"","family":"Pedregosa, F. and Varoquaux, G. and Gramfort, A. and Michel","given":"V.","non-dropping-particle":"","parse-names":false,"suffix":""},{"dropping-particle":"","family":"and Thirion, B. and Grisel, O. and Blondel, M. and Prettenhofer","given":"P.","non-dropping-particle":"","parse-names":false,"suffix":""},{"dropping-particle":"","family":"and Weiss, R. and Dubourg, V. and Vanderplas, J. and Passos","given":"A. and","non-dropping-particle":"","parse-names":false,"suffix":""},{"dropping-particle":"","family":"Cournapeau, D. and Brucher, M. and Perrot, M. and Duchesnay","given":"E.","non-dropping-particle":"","parse-names":false,"suffix":""}],"container-title":"Journal of Machine Learning Research","id":"ITEM-1","issued":{"date-parts":[["2011"]]},"page":"2825--2830","title":"Scikit-learn: Machine Learning in Python","type":"article-journal","volume":"12"},"uris":["http://www.mendeley.com/documents/?uuid=8b5b15d0-67d7-49f7-8efe-235ebeae0c90"]}],"mendeley":{"formattedCitation":"[2]","plainTextFormattedCitation":"[2]","previouslyFormattedCitation":"[2]"},"properties":{"noteIndex":0},"schema":"https://github.com/citation-style-language/schema/raw/master/csl-citation.json"}</w:instrText>
      </w:r>
      <w:r>
        <w:rPr>
          <w:rFonts w:asciiTheme="majorBidi" w:hAnsiTheme="majorBidi" w:cstheme="majorBidi"/>
          <w:szCs w:val="24"/>
        </w:rPr>
        <w:fldChar w:fldCharType="separate"/>
      </w:r>
      <w:r w:rsidR="00B77F18" w:rsidRPr="00B77F18">
        <w:rPr>
          <w:rFonts w:asciiTheme="majorBidi" w:hAnsiTheme="majorBidi" w:cstheme="majorBidi"/>
          <w:noProof/>
          <w:szCs w:val="24"/>
        </w:rPr>
        <w:t>[2]</w:t>
      </w:r>
      <w:r>
        <w:rPr>
          <w:rFonts w:asciiTheme="majorBidi" w:hAnsiTheme="majorBidi" w:cstheme="majorBidi"/>
          <w:szCs w:val="24"/>
        </w:rPr>
        <w:fldChar w:fldCharType="end"/>
      </w:r>
      <w:r>
        <w:rPr>
          <w:rFonts w:asciiTheme="majorBidi" w:hAnsiTheme="majorBidi" w:cstheme="majorBidi"/>
          <w:szCs w:val="24"/>
        </w:rPr>
        <w:t xml:space="preserve">. </w:t>
      </w:r>
    </w:p>
    <w:p w14:paraId="60AEC3D7" w14:textId="0E35B4DE" w:rsidR="00342C65" w:rsidRDefault="00342C65" w:rsidP="00342C65">
      <w:pPr>
        <w:spacing w:line="276" w:lineRule="auto"/>
        <w:rPr>
          <w:rFonts w:asciiTheme="majorBidi" w:hAnsiTheme="majorBidi" w:cstheme="majorBidi"/>
          <w:szCs w:val="24"/>
        </w:rPr>
      </w:pPr>
      <w:r>
        <w:rPr>
          <w:rFonts w:asciiTheme="majorBidi" w:hAnsiTheme="majorBidi" w:cstheme="majorBidi"/>
          <w:szCs w:val="24"/>
        </w:rPr>
        <w:t xml:space="preserve">For each colonized patient, a sample is drawn from the </w:t>
      </w:r>
      <w:r w:rsidRPr="000D6FDF">
        <w:rPr>
          <w:rFonts w:asciiTheme="majorBidi" w:hAnsiTheme="majorBidi" w:cstheme="majorBidi"/>
          <w:szCs w:val="24"/>
        </w:rPr>
        <w:t>time</w:t>
      </w:r>
      <w:r>
        <w:rPr>
          <w:rFonts w:asciiTheme="majorBidi" w:hAnsiTheme="majorBidi" w:cstheme="majorBidi"/>
          <w:szCs w:val="24"/>
        </w:rPr>
        <w:t>-</w:t>
      </w:r>
      <w:r w:rsidRPr="000D6FDF">
        <w:rPr>
          <w:rFonts w:asciiTheme="majorBidi" w:hAnsiTheme="majorBidi" w:cstheme="majorBidi"/>
          <w:szCs w:val="24"/>
        </w:rPr>
        <w:t>to</w:t>
      </w:r>
      <w:r>
        <w:rPr>
          <w:rFonts w:asciiTheme="majorBidi" w:hAnsiTheme="majorBidi" w:cstheme="majorBidi"/>
          <w:szCs w:val="24"/>
        </w:rPr>
        <w:t>-</w:t>
      </w:r>
      <w:r w:rsidRPr="000D6FDF">
        <w:rPr>
          <w:rFonts w:asciiTheme="majorBidi" w:hAnsiTheme="majorBidi" w:cstheme="majorBidi"/>
          <w:szCs w:val="24"/>
        </w:rPr>
        <w:t>infection</w:t>
      </w:r>
      <w:r>
        <w:rPr>
          <w:rFonts w:asciiTheme="majorBidi" w:hAnsiTheme="majorBidi" w:cstheme="majorBidi"/>
          <w:szCs w:val="24"/>
        </w:rPr>
        <w:t xml:space="preserve"> distribution. If the patient’s </w:t>
      </w:r>
      <w:r w:rsidRPr="000D6FDF">
        <w:rPr>
          <w:rFonts w:asciiTheme="majorBidi" w:hAnsiTheme="majorBidi" w:cstheme="majorBidi"/>
          <w:szCs w:val="24"/>
        </w:rPr>
        <w:t>time</w:t>
      </w:r>
      <w:r>
        <w:rPr>
          <w:rFonts w:asciiTheme="majorBidi" w:hAnsiTheme="majorBidi" w:cstheme="majorBidi"/>
          <w:szCs w:val="24"/>
        </w:rPr>
        <w:t>-</w:t>
      </w:r>
      <w:r w:rsidRPr="000D6FDF">
        <w:rPr>
          <w:rFonts w:asciiTheme="majorBidi" w:hAnsiTheme="majorBidi" w:cstheme="majorBidi"/>
          <w:szCs w:val="24"/>
        </w:rPr>
        <w:t>to</w:t>
      </w:r>
      <w:r>
        <w:rPr>
          <w:rFonts w:asciiTheme="majorBidi" w:hAnsiTheme="majorBidi" w:cstheme="majorBidi"/>
          <w:szCs w:val="24"/>
        </w:rPr>
        <w:t>-</w:t>
      </w:r>
      <w:r w:rsidRPr="000D6FDF">
        <w:rPr>
          <w:rFonts w:asciiTheme="majorBidi" w:hAnsiTheme="majorBidi" w:cstheme="majorBidi"/>
          <w:szCs w:val="24"/>
        </w:rPr>
        <w:t>infection</w:t>
      </w:r>
      <w:r>
        <w:rPr>
          <w:rFonts w:asciiTheme="majorBidi" w:hAnsiTheme="majorBidi" w:cstheme="majorBidi"/>
          <w:szCs w:val="24"/>
        </w:rPr>
        <w:t xml:space="preserve"> (</w:t>
      </w:r>
      <m:oMath>
        <m:r>
          <m:rPr>
            <m:sty m:val="p"/>
          </m:rPr>
          <w:rPr>
            <w:rFonts w:ascii="Cambria Math" w:hAnsi="Cambria Math" w:cstheme="majorBidi"/>
            <w:szCs w:val="24"/>
          </w:rPr>
          <m:t>Δ</m:t>
        </m:r>
        <m:sSub>
          <m:sSubPr>
            <m:ctrlPr>
              <w:rPr>
                <w:rFonts w:ascii="Cambria Math" w:hAnsi="Cambria Math" w:cstheme="majorBidi"/>
                <w:i/>
                <w:szCs w:val="24"/>
              </w:rPr>
            </m:ctrlPr>
          </m:sSubPr>
          <m:e>
            <m:r>
              <w:rPr>
                <w:rFonts w:ascii="Cambria Math" w:hAnsi="Cambria Math" w:cstheme="majorBidi"/>
                <w:szCs w:val="24"/>
              </w:rPr>
              <m:t>t</m:t>
            </m:r>
          </m:e>
          <m:sub>
            <m:r>
              <w:rPr>
                <w:rFonts w:ascii="Cambria Math" w:hAnsi="Cambria Math" w:cstheme="majorBidi"/>
                <w:szCs w:val="24"/>
              </w:rPr>
              <m:t>I</m:t>
            </m:r>
          </m:sub>
        </m:sSub>
      </m:oMath>
      <w:r>
        <w:rPr>
          <w:rFonts w:asciiTheme="majorBidi" w:hAnsiTheme="majorBidi" w:cstheme="majorBidi"/>
          <w:szCs w:val="24"/>
        </w:rPr>
        <w:t xml:space="preserve">) is shorter than the remaining time to discharge, the patient’s </w:t>
      </w:r>
      <w:r>
        <w:rPr>
          <w:rFonts w:asciiTheme="majorBidi" w:hAnsiTheme="majorBidi" w:cstheme="majorBidi"/>
          <w:szCs w:val="24"/>
        </w:rPr>
        <w:lastRenderedPageBreak/>
        <w:t xml:space="preserve">disease state is changed to </w:t>
      </w:r>
      <w:r w:rsidRPr="00947CB1">
        <w:rPr>
          <w:rFonts w:asciiTheme="majorBidi" w:hAnsiTheme="majorBidi" w:cstheme="majorBidi"/>
          <w:i/>
          <w:iCs/>
          <w:szCs w:val="24"/>
        </w:rPr>
        <w:t>infected</w:t>
      </w:r>
      <w:r>
        <w:rPr>
          <w:rFonts w:asciiTheme="majorBidi" w:hAnsiTheme="majorBidi" w:cstheme="majorBidi"/>
          <w:szCs w:val="24"/>
        </w:rPr>
        <w:t xml:space="preserve"> (</w:t>
      </w:r>
      <w:r w:rsidRPr="00651F94">
        <w:rPr>
          <w:rFonts w:asciiTheme="majorBidi" w:hAnsiTheme="majorBidi" w:cstheme="majorBidi"/>
          <w:i/>
          <w:iCs/>
          <w:szCs w:val="24"/>
        </w:rPr>
        <w:t>I</w:t>
      </w:r>
      <w:r>
        <w:rPr>
          <w:rFonts w:asciiTheme="majorBidi" w:hAnsiTheme="majorBidi" w:cstheme="majorBidi"/>
          <w:szCs w:val="24"/>
        </w:rPr>
        <w:t xml:space="preserve">) after </w:t>
      </w:r>
      <m:oMath>
        <m:r>
          <m:rPr>
            <m:sty m:val="p"/>
          </m:rPr>
          <w:rPr>
            <w:rFonts w:ascii="Cambria Math" w:hAnsi="Cambria Math" w:cstheme="majorBidi"/>
            <w:szCs w:val="24"/>
          </w:rPr>
          <m:t>Δ</m:t>
        </m:r>
        <m:sSub>
          <m:sSubPr>
            <m:ctrlPr>
              <w:rPr>
                <w:rFonts w:ascii="Cambria Math" w:hAnsi="Cambria Math" w:cstheme="majorBidi"/>
                <w:i/>
                <w:szCs w:val="24"/>
              </w:rPr>
            </m:ctrlPr>
          </m:sSubPr>
          <m:e>
            <m:r>
              <w:rPr>
                <w:rFonts w:ascii="Cambria Math" w:hAnsi="Cambria Math" w:cstheme="majorBidi"/>
                <w:szCs w:val="24"/>
              </w:rPr>
              <m:t>t</m:t>
            </m:r>
          </m:e>
          <m:sub>
            <m:r>
              <w:rPr>
                <w:rFonts w:ascii="Cambria Math" w:hAnsi="Cambria Math" w:cstheme="majorBidi"/>
                <w:szCs w:val="24"/>
              </w:rPr>
              <m:t>I</m:t>
            </m:r>
          </m:sub>
        </m:sSub>
      </m:oMath>
      <w:r>
        <w:rPr>
          <w:rFonts w:asciiTheme="majorBidi" w:hAnsiTheme="majorBidi" w:cstheme="majorBidi"/>
          <w:szCs w:val="24"/>
        </w:rPr>
        <w:t xml:space="preserve"> hours. </w:t>
      </w:r>
      <w:r w:rsidR="008022BD">
        <w:rPr>
          <w:rFonts w:asciiTheme="majorBidi" w:hAnsiTheme="majorBidi" w:cstheme="majorBidi"/>
          <w:szCs w:val="24"/>
        </w:rPr>
        <w:t xml:space="preserve">Infected </w:t>
      </w:r>
      <w:r>
        <w:rPr>
          <w:rFonts w:asciiTheme="majorBidi" w:hAnsiTheme="majorBidi" w:cstheme="majorBidi"/>
          <w:szCs w:val="24"/>
        </w:rPr>
        <w:t xml:space="preserve">patients are </w:t>
      </w:r>
      <w:r w:rsidRPr="00CC3E2F">
        <w:rPr>
          <w:rFonts w:asciiTheme="majorBidi" w:hAnsiTheme="majorBidi" w:cstheme="majorBidi"/>
          <w:szCs w:val="24"/>
        </w:rPr>
        <w:t xml:space="preserve">put under contact precautions for the remainder of their stay. </w:t>
      </w:r>
    </w:p>
    <w:p w14:paraId="697721A0" w14:textId="77777777" w:rsidR="00CE6B9D" w:rsidRDefault="00CE6B9D" w:rsidP="00CE6B9D">
      <w:pPr>
        <w:keepNext/>
      </w:pPr>
      <w:r>
        <w:rPr>
          <w:noProof/>
        </w:rPr>
        <w:drawing>
          <wp:inline distT="0" distB="0" distL="0" distR="0" wp14:anchorId="51A1D031" wp14:editId="47BCCFE0">
            <wp:extent cx="5943600" cy="1717675"/>
            <wp:effectExtent l="0" t="0" r="0" b="0"/>
            <wp:docPr id="551991146" name="Picture 2" descr="A group of graphs showing the growt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91146" name="Picture 2" descr="A group of graphs showing the growth of a number of people&#10;&#10;Description automatically generated with medium confidence"/>
                    <pic:cNvPicPr/>
                  </pic:nvPicPr>
                  <pic:blipFill rotWithShape="1">
                    <a:blip r:embed="rId10"/>
                    <a:srcRect t="69174"/>
                    <a:stretch/>
                  </pic:blipFill>
                  <pic:spPr bwMode="auto">
                    <a:xfrm>
                      <a:off x="0" y="0"/>
                      <a:ext cx="5943600" cy="1717675"/>
                    </a:xfrm>
                    <a:prstGeom prst="rect">
                      <a:avLst/>
                    </a:prstGeom>
                    <a:ln>
                      <a:noFill/>
                    </a:ln>
                    <a:extLst>
                      <a:ext uri="{53640926-AAD7-44D8-BBD7-CCE9431645EC}">
                        <a14:shadowObscured xmlns:a14="http://schemas.microsoft.com/office/drawing/2010/main"/>
                      </a:ext>
                    </a:extLst>
                  </pic:spPr>
                </pic:pic>
              </a:graphicData>
            </a:graphic>
          </wp:inline>
        </w:drawing>
      </w:r>
    </w:p>
    <w:p w14:paraId="1A51DD41" w14:textId="630D2175" w:rsidR="00CE6B9D" w:rsidRDefault="00CE6B9D" w:rsidP="00CE6B9D">
      <w:pPr>
        <w:pStyle w:val="Caption"/>
      </w:pPr>
      <w:bookmarkStart w:id="3" w:name="_Ref163034796"/>
      <w:r>
        <w:t xml:space="preserve">Figure </w:t>
      </w:r>
      <w:r w:rsidR="00AA3510">
        <w:t>A</w:t>
      </w:r>
      <w:fldSimple w:instr=" SEQ Figure \* ARABIC ">
        <w:r>
          <w:rPr>
            <w:noProof/>
          </w:rPr>
          <w:t>1</w:t>
        </w:r>
      </w:fldSimple>
      <w:bookmarkEnd w:id="3"/>
      <w:r>
        <w:t>. Gaussian kernel density estimation of time to infection from admission (left) and first positive culture test (right).</w:t>
      </w:r>
    </w:p>
    <w:p w14:paraId="34CBBFF4" w14:textId="77777777" w:rsidR="006B4780" w:rsidRDefault="006B4780" w:rsidP="006912D1"/>
    <w:p w14:paraId="4D9D0EA1" w14:textId="4B7DCDC1" w:rsidR="00C66428" w:rsidRPr="00273782" w:rsidRDefault="00C66428" w:rsidP="00C66428">
      <w:pPr>
        <w:spacing w:after="120" w:line="480" w:lineRule="auto"/>
        <w:rPr>
          <w:rFonts w:asciiTheme="majorBidi" w:hAnsiTheme="majorBidi" w:cstheme="majorBidi"/>
          <w:i/>
          <w:iCs/>
          <w:szCs w:val="24"/>
        </w:rPr>
      </w:pPr>
      <w:r w:rsidRPr="00273782">
        <w:rPr>
          <w:rFonts w:asciiTheme="majorBidi" w:hAnsiTheme="majorBidi" w:cstheme="majorBidi"/>
          <w:i/>
          <w:iCs/>
          <w:szCs w:val="24"/>
        </w:rPr>
        <w:t>A2.</w:t>
      </w:r>
      <w:r w:rsidR="00273782" w:rsidRPr="00273782">
        <w:rPr>
          <w:rFonts w:asciiTheme="majorBidi" w:hAnsiTheme="majorBidi" w:cstheme="majorBidi"/>
          <w:i/>
          <w:iCs/>
          <w:szCs w:val="24"/>
        </w:rPr>
        <w:t>2.</w:t>
      </w:r>
      <w:r w:rsidRPr="00273782">
        <w:rPr>
          <w:rFonts w:asciiTheme="majorBidi" w:hAnsiTheme="majorBidi" w:cstheme="majorBidi"/>
          <w:i/>
          <w:iCs/>
          <w:szCs w:val="24"/>
        </w:rPr>
        <w:t>3. Parameterization</w:t>
      </w:r>
    </w:p>
    <w:p w14:paraId="5E65E657" w14:textId="43764270" w:rsidR="005F38FE" w:rsidRPr="00273782" w:rsidRDefault="00AA3510">
      <w:r w:rsidRPr="00273782">
        <w:t>A</w:t>
      </w:r>
      <w:r w:rsidR="005F38FE" w:rsidRPr="00273782">
        <w:t>2.</w:t>
      </w:r>
      <w:r w:rsidR="00273782" w:rsidRPr="00273782">
        <w:t>2.</w:t>
      </w:r>
      <w:r w:rsidR="005F38FE" w:rsidRPr="00273782">
        <w:t>3.1. Prior distributions</w:t>
      </w:r>
    </w:p>
    <w:p w14:paraId="482E427F" w14:textId="660D7C36" w:rsidR="00223C41" w:rsidRDefault="00223C41" w:rsidP="00615A70">
      <w:pPr>
        <w:spacing w:after="120" w:line="276" w:lineRule="auto"/>
        <w:rPr>
          <w:rFonts w:asciiTheme="majorBidi" w:hAnsiTheme="majorBidi" w:cstheme="majorBidi"/>
          <w:szCs w:val="24"/>
        </w:rPr>
      </w:pPr>
      <w:r w:rsidRPr="00CC3E2F">
        <w:rPr>
          <w:rFonts w:asciiTheme="majorBidi" w:hAnsiTheme="majorBidi" w:cstheme="majorBidi"/>
          <w:szCs w:val="24"/>
        </w:rPr>
        <w:t>We defined the probability distribution of random variables in the model based on the findings from the literature (</w:t>
      </w:r>
      <w:r>
        <w:rPr>
          <w:rFonts w:asciiTheme="majorBidi" w:hAnsiTheme="majorBidi" w:cstheme="majorBidi"/>
          <w:szCs w:val="24"/>
        </w:rPr>
        <w:fldChar w:fldCharType="begin"/>
      </w:r>
      <w:r>
        <w:rPr>
          <w:rFonts w:asciiTheme="majorBidi" w:hAnsiTheme="majorBidi" w:cstheme="majorBidi"/>
          <w:szCs w:val="24"/>
        </w:rPr>
        <w:instrText xml:space="preserve"> REF _Ref174438319 \h </w:instrText>
      </w:r>
      <w:r>
        <w:rPr>
          <w:rFonts w:asciiTheme="majorBidi" w:hAnsiTheme="majorBidi" w:cstheme="majorBidi"/>
          <w:szCs w:val="24"/>
        </w:rPr>
      </w:r>
      <w:r>
        <w:rPr>
          <w:rFonts w:asciiTheme="majorBidi" w:hAnsiTheme="majorBidi" w:cstheme="majorBidi"/>
          <w:szCs w:val="24"/>
        </w:rPr>
        <w:fldChar w:fldCharType="separate"/>
      </w:r>
      <w:r>
        <w:t>Table A</w:t>
      </w:r>
      <w:r>
        <w:rPr>
          <w:noProof/>
        </w:rPr>
        <w:t>2</w:t>
      </w:r>
      <w:r>
        <w:rPr>
          <w:rFonts w:asciiTheme="majorBidi" w:hAnsiTheme="majorBidi" w:cstheme="majorBidi"/>
          <w:szCs w:val="24"/>
        </w:rPr>
        <w:fldChar w:fldCharType="end"/>
      </w:r>
      <w:r w:rsidRPr="00CC3E2F">
        <w:rPr>
          <w:rFonts w:asciiTheme="majorBidi" w:hAnsiTheme="majorBidi" w:cstheme="majorBidi"/>
          <w:szCs w:val="24"/>
        </w:rPr>
        <w:t xml:space="preserve">). We </w:t>
      </w:r>
      <w:r>
        <w:rPr>
          <w:rFonts w:asciiTheme="majorBidi" w:hAnsiTheme="majorBidi" w:cstheme="majorBidi"/>
          <w:szCs w:val="24"/>
        </w:rPr>
        <w:t>used</w:t>
      </w:r>
      <w:r w:rsidRPr="00CC3E2F">
        <w:rPr>
          <w:rFonts w:asciiTheme="majorBidi" w:hAnsiTheme="majorBidi" w:cstheme="majorBidi"/>
          <w:szCs w:val="24"/>
        </w:rPr>
        <w:t xml:space="preserve"> uniform distributions to</w:t>
      </w:r>
      <w:r>
        <w:rPr>
          <w:rFonts w:asciiTheme="majorBidi" w:hAnsiTheme="majorBidi" w:cstheme="majorBidi"/>
          <w:szCs w:val="24"/>
        </w:rPr>
        <w:t xml:space="preserve"> allow for an</w:t>
      </w:r>
      <w:r w:rsidRPr="00CC3E2F">
        <w:rPr>
          <w:rFonts w:asciiTheme="majorBidi" w:hAnsiTheme="majorBidi" w:cstheme="majorBidi"/>
          <w:szCs w:val="24"/>
        </w:rPr>
        <w:t xml:space="preserve"> unbiased</w:t>
      </w:r>
      <w:r>
        <w:rPr>
          <w:rFonts w:asciiTheme="majorBidi" w:hAnsiTheme="majorBidi" w:cstheme="majorBidi"/>
          <w:szCs w:val="24"/>
        </w:rPr>
        <w:t xml:space="preserve"> uncertainty analysis</w:t>
      </w:r>
      <w:r w:rsidRPr="00CC3E2F">
        <w:rPr>
          <w:rFonts w:asciiTheme="majorBidi" w:hAnsiTheme="majorBidi" w:cstheme="majorBidi"/>
          <w:szCs w:val="24"/>
        </w:rPr>
        <w:t>.</w:t>
      </w:r>
    </w:p>
    <w:p w14:paraId="062268CE" w14:textId="778BC5C0" w:rsidR="00615A70" w:rsidRDefault="00615A70" w:rsidP="00615A70">
      <w:pPr>
        <w:spacing w:after="120" w:line="276" w:lineRule="auto"/>
        <w:rPr>
          <w:rFonts w:asciiTheme="majorBidi" w:hAnsiTheme="majorBidi" w:cstheme="majorBidi"/>
          <w:szCs w:val="24"/>
        </w:rPr>
      </w:pPr>
      <w:r w:rsidRPr="00CC3E2F">
        <w:rPr>
          <w:rFonts w:asciiTheme="majorBidi" w:hAnsiTheme="majorBidi" w:cstheme="majorBidi"/>
          <w:szCs w:val="24"/>
        </w:rPr>
        <w:t xml:space="preserve">The contamination-related parameters were assumed to take equal values as there is no evidence that would suggest otherwise. </w:t>
      </w:r>
      <w:r w:rsidRPr="005F2BA7">
        <w:rPr>
          <w:rFonts w:asciiTheme="majorBidi" w:hAnsiTheme="majorBidi" w:cstheme="majorBidi"/>
          <w:szCs w:val="24"/>
        </w:rPr>
        <w:t>These parameters are the daily probability of room contamination by colonized patients</w:t>
      </w:r>
      <w:r>
        <w:rPr>
          <w:rFonts w:asciiTheme="majorBidi" w:hAnsiTheme="majorBidi" w:cstheme="majorBidi"/>
          <w:szCs w:val="24"/>
        </w:rPr>
        <w:t xml:space="preserve"> (</w:t>
      </w:r>
      <m:oMath>
        <m:sSub>
          <m:sSubPr>
            <m:ctrlPr>
              <w:rPr>
                <w:rFonts w:ascii="Cambria Math" w:hAnsi="Cambria Math" w:cstheme="majorBidi"/>
                <w:i/>
                <w:szCs w:val="24"/>
              </w:rPr>
            </m:ctrlPr>
          </m:sSubPr>
          <m:e>
            <m:r>
              <w:rPr>
                <w:rFonts w:ascii="Cambria Math" w:hAnsi="Cambria Math" w:cstheme="majorBidi"/>
                <w:szCs w:val="24"/>
              </w:rPr>
              <m:t>P</m:t>
            </m:r>
          </m:e>
          <m:sub>
            <m:r>
              <w:rPr>
                <w:rFonts w:ascii="Cambria Math" w:hAnsi="Cambria Math" w:cstheme="majorBidi"/>
                <w:szCs w:val="24"/>
              </w:rPr>
              <m:t>pr</m:t>
            </m:r>
          </m:sub>
        </m:sSub>
      </m:oMath>
      <w:r>
        <w:rPr>
          <w:rFonts w:asciiTheme="majorBidi" w:hAnsiTheme="majorBidi" w:cstheme="majorBidi"/>
          <w:szCs w:val="24"/>
        </w:rPr>
        <w:t>)</w:t>
      </w:r>
      <w:r w:rsidRPr="005F2BA7">
        <w:rPr>
          <w:rFonts w:asciiTheme="majorBidi" w:hAnsiTheme="majorBidi" w:cstheme="majorBidi"/>
          <w:szCs w:val="24"/>
        </w:rPr>
        <w:t>, the probability of HCW contamination by a colonized patient</w:t>
      </w:r>
      <w:r>
        <w:rPr>
          <w:rFonts w:asciiTheme="majorBidi" w:hAnsiTheme="majorBidi" w:cstheme="majorBidi"/>
          <w:szCs w:val="24"/>
        </w:rPr>
        <w:t xml:space="preserve"> (</w:t>
      </w:r>
      <m:oMath>
        <m:sSub>
          <m:sSubPr>
            <m:ctrlPr>
              <w:rPr>
                <w:rFonts w:ascii="Cambria Math" w:hAnsi="Cambria Math" w:cstheme="majorBidi"/>
                <w:i/>
                <w:szCs w:val="24"/>
              </w:rPr>
            </m:ctrlPr>
          </m:sSubPr>
          <m:e>
            <m:r>
              <w:rPr>
                <w:rFonts w:ascii="Cambria Math" w:hAnsi="Cambria Math" w:cstheme="majorBidi"/>
                <w:szCs w:val="24"/>
              </w:rPr>
              <m:t>P</m:t>
            </m:r>
          </m:e>
          <m:sub>
            <m:r>
              <w:rPr>
                <w:rFonts w:ascii="Cambria Math" w:hAnsi="Cambria Math" w:cstheme="majorBidi"/>
                <w:szCs w:val="24"/>
              </w:rPr>
              <m:t>ph</m:t>
            </m:r>
          </m:sub>
        </m:sSub>
      </m:oMath>
      <w:r>
        <w:rPr>
          <w:rFonts w:asciiTheme="majorBidi" w:hAnsiTheme="majorBidi" w:cstheme="majorBidi"/>
          <w:szCs w:val="24"/>
        </w:rPr>
        <w:t>)</w:t>
      </w:r>
      <w:r w:rsidRPr="005F2BA7">
        <w:rPr>
          <w:rFonts w:asciiTheme="majorBidi" w:hAnsiTheme="majorBidi" w:cstheme="majorBidi"/>
          <w:szCs w:val="24"/>
        </w:rPr>
        <w:t>, the probability of HCW contamination from contaminated environment</w:t>
      </w:r>
      <w:r>
        <w:rPr>
          <w:rFonts w:asciiTheme="majorBidi" w:hAnsiTheme="majorBidi" w:cstheme="majorBidi"/>
          <w:szCs w:val="24"/>
        </w:rPr>
        <w:t xml:space="preserve"> (</w:t>
      </w:r>
      <m:oMath>
        <m:sSub>
          <m:sSubPr>
            <m:ctrlPr>
              <w:rPr>
                <w:rFonts w:ascii="Cambria Math" w:hAnsi="Cambria Math" w:cstheme="majorBidi"/>
                <w:i/>
                <w:szCs w:val="24"/>
              </w:rPr>
            </m:ctrlPr>
          </m:sSubPr>
          <m:e>
            <m:r>
              <w:rPr>
                <w:rFonts w:ascii="Cambria Math" w:hAnsi="Cambria Math" w:cstheme="majorBidi"/>
                <w:szCs w:val="24"/>
              </w:rPr>
              <m:t>P</m:t>
            </m:r>
          </m:e>
          <m:sub>
            <m:r>
              <w:rPr>
                <w:rFonts w:ascii="Cambria Math" w:hAnsi="Cambria Math" w:cstheme="majorBidi"/>
                <w:szCs w:val="24"/>
              </w:rPr>
              <m:t>rh</m:t>
            </m:r>
          </m:sub>
        </m:sSub>
      </m:oMath>
      <w:r>
        <w:rPr>
          <w:rFonts w:asciiTheme="majorBidi" w:hAnsiTheme="majorBidi" w:cstheme="majorBidi"/>
          <w:szCs w:val="24"/>
        </w:rPr>
        <w:t>)</w:t>
      </w:r>
      <w:r w:rsidRPr="005F2BA7">
        <w:rPr>
          <w:rFonts w:asciiTheme="majorBidi" w:hAnsiTheme="majorBidi" w:cstheme="majorBidi"/>
          <w:szCs w:val="24"/>
        </w:rPr>
        <w:t>, and the probability of environmental contamination from a contaminated HCW</w:t>
      </w:r>
      <w:r>
        <w:rPr>
          <w:rFonts w:asciiTheme="majorBidi" w:hAnsiTheme="majorBidi" w:cstheme="majorBidi"/>
          <w:szCs w:val="24"/>
        </w:rPr>
        <w:t xml:space="preserve"> (</w:t>
      </w:r>
      <m:oMath>
        <m:sSub>
          <m:sSubPr>
            <m:ctrlPr>
              <w:rPr>
                <w:rFonts w:ascii="Cambria Math" w:hAnsi="Cambria Math" w:cstheme="majorBidi"/>
                <w:i/>
                <w:szCs w:val="24"/>
              </w:rPr>
            </m:ctrlPr>
          </m:sSubPr>
          <m:e>
            <m:r>
              <w:rPr>
                <w:rFonts w:ascii="Cambria Math" w:hAnsi="Cambria Math" w:cstheme="majorBidi"/>
                <w:szCs w:val="24"/>
              </w:rPr>
              <m:t>P</m:t>
            </m:r>
          </m:e>
          <m:sub>
            <m:r>
              <w:rPr>
                <w:rFonts w:ascii="Cambria Math" w:hAnsi="Cambria Math" w:cstheme="majorBidi"/>
                <w:szCs w:val="24"/>
              </w:rPr>
              <m:t>hr</m:t>
            </m:r>
          </m:sub>
        </m:sSub>
      </m:oMath>
      <w:r>
        <w:rPr>
          <w:rFonts w:asciiTheme="majorBidi" w:hAnsiTheme="majorBidi" w:cstheme="majorBidi"/>
          <w:szCs w:val="24"/>
        </w:rPr>
        <w:t>)</w:t>
      </w:r>
      <w:r w:rsidRPr="005F2BA7">
        <w:rPr>
          <w:rFonts w:asciiTheme="majorBidi" w:hAnsiTheme="majorBidi" w:cstheme="majorBidi"/>
          <w:szCs w:val="24"/>
        </w:rPr>
        <w:t>.</w:t>
      </w:r>
    </w:p>
    <w:p w14:paraId="6678A14F" w14:textId="77777777" w:rsidR="00223C41" w:rsidRDefault="00223C41" w:rsidP="00615A70">
      <w:pPr>
        <w:spacing w:after="120" w:line="276" w:lineRule="auto"/>
        <w:rPr>
          <w:rFonts w:asciiTheme="majorBidi" w:hAnsiTheme="majorBidi" w:cstheme="majorBidi"/>
          <w:szCs w:val="24"/>
        </w:rPr>
        <w:sectPr w:rsidR="00223C41" w:rsidSect="00831679">
          <w:pgSz w:w="12240" w:h="15840"/>
          <w:pgMar w:top="1440" w:right="1440" w:bottom="1440" w:left="1440" w:header="720" w:footer="720" w:gutter="0"/>
          <w:cols w:space="720"/>
          <w:docGrid w:linePitch="360"/>
        </w:sectPr>
      </w:pPr>
    </w:p>
    <w:p w14:paraId="41707326" w14:textId="77777777" w:rsidR="00223C41" w:rsidRDefault="00223C41" w:rsidP="00615A70">
      <w:pPr>
        <w:spacing w:after="120" w:line="276" w:lineRule="auto"/>
        <w:rPr>
          <w:rFonts w:asciiTheme="majorBidi" w:hAnsiTheme="majorBidi" w:cstheme="majorBidi"/>
          <w:szCs w:val="24"/>
        </w:rPr>
      </w:pPr>
    </w:p>
    <w:p w14:paraId="0EFC621A" w14:textId="3FADFD5B" w:rsidR="00223C41" w:rsidRDefault="00223C41" w:rsidP="00223C41">
      <w:pPr>
        <w:pStyle w:val="Caption"/>
        <w:keepNext/>
      </w:pPr>
      <w:bookmarkStart w:id="4" w:name="_Ref174438319"/>
      <w:r>
        <w:t>Table A</w:t>
      </w:r>
      <w:fldSimple w:instr=" SEQ Table \* ARABIC ">
        <w:r>
          <w:rPr>
            <w:noProof/>
          </w:rPr>
          <w:t>2</w:t>
        </w:r>
      </w:fldSimple>
      <w:bookmarkEnd w:id="4"/>
      <w:r>
        <w:t xml:space="preserve">. </w:t>
      </w:r>
      <w:r>
        <w:rPr>
          <w:rFonts w:asciiTheme="majorBidi" w:hAnsiTheme="majorBidi" w:cstheme="majorBidi"/>
          <w:szCs w:val="24"/>
        </w:rPr>
        <w:t>M</w:t>
      </w:r>
      <w:r w:rsidRPr="003B06EC">
        <w:rPr>
          <w:rFonts w:asciiTheme="majorBidi" w:hAnsiTheme="majorBidi" w:cstheme="majorBidi"/>
          <w:szCs w:val="24"/>
        </w:rPr>
        <w:t>odel parameters and their probability distributions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565"/>
        <w:gridCol w:w="1979"/>
        <w:gridCol w:w="1531"/>
        <w:gridCol w:w="1619"/>
        <w:gridCol w:w="1256"/>
      </w:tblGrid>
      <w:tr w:rsidR="00223C41" w:rsidRPr="00105F3F" w14:paraId="47FBFA58" w14:textId="77777777" w:rsidTr="00513E7F">
        <w:tc>
          <w:tcPr>
            <w:tcW w:w="2535" w:type="pct"/>
            <w:vAlign w:val="center"/>
          </w:tcPr>
          <w:p w14:paraId="4CFA52F8" w14:textId="77777777" w:rsidR="00223C41" w:rsidRPr="00105F3F" w:rsidRDefault="00223C41" w:rsidP="00223C41">
            <w:pPr>
              <w:spacing w:beforeLines="60" w:before="144" w:afterLines="60" w:after="144" w:line="240" w:lineRule="auto"/>
              <w:ind w:left="29" w:right="29"/>
              <w:rPr>
                <w:rFonts w:asciiTheme="majorBidi" w:hAnsiTheme="majorBidi" w:cstheme="majorBidi"/>
                <w:b/>
                <w:bCs/>
                <w:sz w:val="20"/>
                <w:szCs w:val="20"/>
              </w:rPr>
            </w:pPr>
            <w:bookmarkStart w:id="5" w:name="_Hlk161135990"/>
            <w:r w:rsidRPr="00105F3F">
              <w:rPr>
                <w:rFonts w:asciiTheme="majorBidi" w:hAnsiTheme="majorBidi" w:cstheme="majorBidi"/>
                <w:b/>
                <w:bCs/>
                <w:sz w:val="20"/>
                <w:szCs w:val="20"/>
              </w:rPr>
              <w:t xml:space="preserve">Parameter </w:t>
            </w:r>
          </w:p>
        </w:tc>
        <w:tc>
          <w:tcPr>
            <w:tcW w:w="764" w:type="pct"/>
            <w:vAlign w:val="center"/>
          </w:tcPr>
          <w:p w14:paraId="3A4DDFB1" w14:textId="77777777" w:rsidR="00223C41" w:rsidRPr="00510028" w:rsidRDefault="00223C41" w:rsidP="00223C41">
            <w:pPr>
              <w:spacing w:beforeLines="60" w:before="144" w:afterLines="60" w:after="144" w:line="240" w:lineRule="auto"/>
              <w:ind w:left="29" w:right="29"/>
              <w:jc w:val="center"/>
              <w:rPr>
                <w:rFonts w:asciiTheme="majorBidi" w:hAnsiTheme="majorBidi" w:cstheme="majorBidi"/>
                <w:b/>
                <w:bCs/>
                <w:sz w:val="20"/>
                <w:szCs w:val="20"/>
                <w:vertAlign w:val="superscript"/>
              </w:rPr>
            </w:pPr>
            <w:r w:rsidRPr="00105F3F">
              <w:rPr>
                <w:rFonts w:asciiTheme="majorBidi" w:hAnsiTheme="majorBidi" w:cstheme="majorBidi"/>
                <w:b/>
                <w:bCs/>
                <w:sz w:val="20"/>
                <w:szCs w:val="20"/>
              </w:rPr>
              <w:t>Prior distribution</w:t>
            </w:r>
            <w:r w:rsidRPr="00510028">
              <w:rPr>
                <w:rFonts w:asciiTheme="majorBidi" w:hAnsiTheme="majorBidi" w:cstheme="majorBidi"/>
                <w:b/>
                <w:bCs/>
                <w:sz w:val="20"/>
                <w:szCs w:val="20"/>
                <w:vertAlign w:val="superscript"/>
              </w:rPr>
              <w:t>*</w:t>
            </w:r>
          </w:p>
        </w:tc>
        <w:tc>
          <w:tcPr>
            <w:tcW w:w="591" w:type="pct"/>
            <w:vAlign w:val="center"/>
          </w:tcPr>
          <w:p w14:paraId="588B5CD8"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b/>
                <w:bCs/>
                <w:sz w:val="20"/>
                <w:szCs w:val="20"/>
              </w:rPr>
            </w:pPr>
            <w:r w:rsidRPr="00105F3F">
              <w:rPr>
                <w:rFonts w:asciiTheme="majorBidi" w:hAnsiTheme="majorBidi" w:cstheme="majorBidi"/>
                <w:b/>
                <w:bCs/>
                <w:sz w:val="20"/>
                <w:szCs w:val="20"/>
              </w:rPr>
              <w:t>Source</w:t>
            </w:r>
          </w:p>
        </w:tc>
        <w:tc>
          <w:tcPr>
            <w:tcW w:w="625" w:type="pct"/>
            <w:vAlign w:val="center"/>
          </w:tcPr>
          <w:p w14:paraId="7575B89C" w14:textId="77777777" w:rsidR="00223C41" w:rsidRPr="00510028" w:rsidRDefault="00223C41" w:rsidP="00223C41">
            <w:pPr>
              <w:spacing w:beforeLines="60" w:before="144" w:afterLines="60" w:after="144" w:line="240" w:lineRule="auto"/>
              <w:ind w:left="29" w:right="29"/>
              <w:jc w:val="center"/>
              <w:rPr>
                <w:rFonts w:asciiTheme="majorBidi" w:hAnsiTheme="majorBidi" w:cstheme="majorBidi"/>
                <w:b/>
                <w:bCs/>
                <w:sz w:val="20"/>
                <w:szCs w:val="20"/>
              </w:rPr>
            </w:pPr>
            <w:r>
              <w:rPr>
                <w:rFonts w:asciiTheme="majorBidi" w:hAnsiTheme="majorBidi" w:cstheme="majorBidi"/>
                <w:b/>
                <w:bCs/>
                <w:sz w:val="20"/>
                <w:szCs w:val="20"/>
              </w:rPr>
              <w:t>Relaxed distribution</w:t>
            </w:r>
            <w:r>
              <w:rPr>
                <w:rFonts w:asciiTheme="majorBidi" w:hAnsiTheme="majorBidi" w:cstheme="majorBidi"/>
                <w:b/>
                <w:bCs/>
                <w:sz w:val="20"/>
                <w:szCs w:val="20"/>
                <w:vertAlign w:val="superscript"/>
              </w:rPr>
              <w:t>**</w:t>
            </w:r>
          </w:p>
        </w:tc>
        <w:tc>
          <w:tcPr>
            <w:tcW w:w="485" w:type="pct"/>
            <w:vAlign w:val="center"/>
          </w:tcPr>
          <w:p w14:paraId="40383953"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b/>
                <w:bCs/>
                <w:sz w:val="20"/>
                <w:szCs w:val="20"/>
              </w:rPr>
            </w:pPr>
            <w:r w:rsidRPr="00105F3F">
              <w:rPr>
                <w:rFonts w:asciiTheme="majorBidi" w:hAnsiTheme="majorBidi" w:cstheme="majorBidi"/>
                <w:b/>
                <w:bCs/>
                <w:sz w:val="20"/>
                <w:szCs w:val="20"/>
              </w:rPr>
              <w:t>Sampled per</w:t>
            </w:r>
          </w:p>
        </w:tc>
      </w:tr>
      <w:tr w:rsidR="00223C41" w:rsidRPr="00105F3F" w14:paraId="058CC57A" w14:textId="77777777" w:rsidTr="00513E7F">
        <w:tc>
          <w:tcPr>
            <w:tcW w:w="2535" w:type="pct"/>
          </w:tcPr>
          <w:p w14:paraId="28BFEFF7"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sidRPr="00105F3F">
              <w:rPr>
                <w:rFonts w:asciiTheme="majorBidi" w:hAnsiTheme="majorBidi" w:cstheme="majorBidi"/>
                <w:sz w:val="20"/>
                <w:szCs w:val="20"/>
              </w:rPr>
              <w:t>Admission prevalence (</w:t>
            </w:r>
            <m:oMath>
              <m:sSub>
                <m:sSubPr>
                  <m:ctrlPr>
                    <w:rPr>
                      <w:rFonts w:ascii="Cambria Math" w:hAnsi="Cambria Math" w:cstheme="majorBidi"/>
                      <w:i/>
                      <w:sz w:val="20"/>
                      <w:szCs w:val="20"/>
                    </w:rPr>
                  </m:ctrlPr>
                </m:sSubPr>
                <m:e>
                  <m:r>
                    <w:rPr>
                      <w:rFonts w:ascii="Cambria Math" w:hAnsi="Cambria Math" w:cstheme="majorBidi"/>
                      <w:sz w:val="20"/>
                      <w:szCs w:val="20"/>
                    </w:rPr>
                    <m:t>ρ</m:t>
                  </m:r>
                </m:e>
                <m:sub>
                  <m:r>
                    <w:rPr>
                      <w:rFonts w:ascii="Cambria Math" w:hAnsi="Cambria Math" w:cstheme="majorBidi"/>
                      <w:sz w:val="20"/>
                      <w:szCs w:val="20"/>
                    </w:rPr>
                    <m:t>C</m:t>
                  </m:r>
                </m:sub>
              </m:sSub>
            </m:oMath>
            <w:r w:rsidRPr="00105F3F">
              <w:rPr>
                <w:rFonts w:asciiTheme="majorBidi" w:hAnsiTheme="majorBidi" w:cstheme="majorBidi"/>
                <w:sz w:val="20"/>
                <w:szCs w:val="20"/>
              </w:rPr>
              <w:t>)</w:t>
            </w:r>
          </w:p>
        </w:tc>
        <w:tc>
          <w:tcPr>
            <w:tcW w:w="764" w:type="pct"/>
            <w:vAlign w:val="center"/>
          </w:tcPr>
          <w:p w14:paraId="6665A315" w14:textId="189D7AAB" w:rsidR="00223C41" w:rsidRPr="00484D73" w:rsidRDefault="00223C41" w:rsidP="00223C41">
            <w:pPr>
              <w:spacing w:beforeLines="60" w:before="144" w:afterLines="60" w:after="144" w:line="240" w:lineRule="auto"/>
              <w:ind w:left="29" w:right="29"/>
              <w:jc w:val="center"/>
              <w:rPr>
                <w:rFonts w:asciiTheme="majorBidi" w:hAnsiTheme="majorBidi" w:cstheme="majorBidi"/>
                <w:sz w:val="20"/>
                <w:szCs w:val="20"/>
                <w:vertAlign w:val="superscript"/>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0.01,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proofErr w:type="gramStart"/>
            <w:r w:rsidRPr="00105F3F">
              <w:rPr>
                <w:rFonts w:asciiTheme="majorBidi" w:hAnsiTheme="majorBidi" w:cstheme="majorBidi"/>
                <w:sz w:val="20"/>
                <w:szCs w:val="20"/>
              </w:rPr>
              <w:t>0.15</w:t>
            </w:r>
            <w:r>
              <w:rPr>
                <w:rFonts w:asciiTheme="majorBidi" w:hAnsiTheme="majorBidi" w:cstheme="majorBidi"/>
                <w:sz w:val="20"/>
                <w:szCs w:val="20"/>
              </w:rPr>
              <w:t>]</w:t>
            </w:r>
            <w:r w:rsidR="00484D73">
              <w:rPr>
                <w:rFonts w:asciiTheme="majorBidi" w:hAnsiTheme="majorBidi" w:cstheme="majorBidi"/>
                <w:sz w:val="20"/>
                <w:szCs w:val="20"/>
                <w:vertAlign w:val="superscript"/>
              </w:rPr>
              <w:t>a</w:t>
            </w:r>
            <w:proofErr w:type="gramEnd"/>
          </w:p>
        </w:tc>
        <w:tc>
          <w:tcPr>
            <w:tcW w:w="591" w:type="pct"/>
            <w:vAlign w:val="center"/>
          </w:tcPr>
          <w:p w14:paraId="642E39FD" w14:textId="45983723"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Pr>
                <w:rFonts w:asciiTheme="majorBidi" w:hAnsiTheme="majorBidi" w:cstheme="majorBidi"/>
                <w:sz w:val="20"/>
                <w:szCs w:val="20"/>
              </w:rPr>
              <w:t>EMR</w:t>
            </w:r>
            <w:r w:rsidRPr="00105F3F">
              <w:rPr>
                <w:rFonts w:asciiTheme="majorBidi" w:hAnsiTheme="majorBidi" w:cstheme="majorBidi"/>
                <w:sz w:val="20"/>
                <w:szCs w:val="20"/>
              </w:rPr>
              <w:t xml:space="preserve">s and </w:t>
            </w:r>
            <w:r w:rsidRPr="00105F3F">
              <w:rPr>
                <w:rFonts w:asciiTheme="majorBidi" w:hAnsiTheme="majorBidi" w:cstheme="majorBidi"/>
                <w:sz w:val="20"/>
                <w:szCs w:val="20"/>
              </w:rPr>
              <w:fldChar w:fldCharType="begin" w:fldLock="1"/>
            </w:r>
            <w:r w:rsidR="00614E4E">
              <w:rPr>
                <w:rFonts w:asciiTheme="majorBidi" w:hAnsiTheme="majorBidi" w:cstheme="majorBidi"/>
                <w:sz w:val="20"/>
                <w:szCs w:val="20"/>
              </w:rPr>
              <w:instrText>ADDIN CSL_CITATION {"citationItems":[{"id":"ITEM-1","itemData":{"DOI":"10.1097/CCM.0B013E3182A66BB8","ISSN":"00903493","PMID":"24145849","abstract":"OBJECTIVE:: To estimate the prevalence and significance of nasal methicillin-resistant Staphylococcus aureus colonization in the ICU and its predictive value for development of methicillin-resistant S. aureus infection. DATA SOURCES:: MEDLINE and EMBASE and reference lists of all eligible articles. STUDY SELECTION:: Studies providing raw data on nasal methicillin-resistant S. aureus colonization at ICU admission, published up to February 2013. Analyses were restricted in the general ICU setting. Medical, surgical, and interdisciplinary ICUs were eligible. ICU studies referring solely on highly specialized ICUs populations and reports on methicillin-resistant S. aureus outbreaks were excluded. DATA EXTRACTION:: Two authors independently assessed study eligibility and extrapolated data in a blinded fashion. The two outcomes of interest were the prevalence estimate of methicillin-resistant S. aureus nasal colonization at admission in the ICU and the sensitivity/specificity of colonization in predicting methicillin-resistant S. aureus-associated infections. DATA SYNTHESIS:: Meta-analysis, using a random-effect model, and meta-regression were performed. Pooled data extracted from 63,740 evaluable ICU patients provided an estimated prevalence of methicillin-resistant S. aureus nasal colonization at admission of 7.0% (95% CI, 5.8-8.3). Prevalence was higher for North American studies (8.9%; 95% CI, 7.1-10.7) and for patients screened using polymerase chain reaction (14.0%; 95% CI, 9.6-19). A significant per year increase in methicillin-resistant S. aureus colonization was also noted. In 17,738 evaluable patients, methicillin-resistant S. aureus infections (4.1%; 95% CI, 2.0-6.8) developed in 589 patients. The relative risk for colonized patients was 8.33 (95% CI, 3.61-19.20). Methicillin-resistant S. aureus nasal carriage had a high specificity (0.96; 95% CI, 0.90-0.98) but low sensitivity (0.32; 95% CI, 0.20-0.48) to predict methicillin-resistant S. aureus-associated infections, with corresponding positive and negative predictive values at 0.25 (95% CI, 0.11-0.39) and 0.97 (95% CI, 0.83-1.00), respectively. CONCLUSIONS:: Among ICU patients, 5.8-8.3% of patients are colonized by methicillin-resistant S. aureus at admission, with a significant upward trend. Methicillin-resistant S. aureus colonization is associated with a more than eight-fold increase in the risk of associated infections during ICU stay, and methicillin-resistant S. aureus infection develops in…","author":[{"dropping-particle":"","family":"Ziakas","given":"Panayiotis D.","non-dropping-particle":"","parse-names":false,"suffix":""},{"dropping-particle":"","family":"Anagnostou","given":"Theodora","non-dropping-particle":"","parse-names":false,"suffix":""},{"dropping-particle":"","family":"Mylonakis","given":"Eleftherios","non-dropping-particle":"","parse-names":false,"suffix":""}],"container-title":"Critical Care Medicine","id":"ITEM-1","issue":"2","issued":{"date-parts":[["2014","2"]]},"page":"433-444","title":"The prevalence and significance of methicillin-resistant staphylococcus aureus colonization at admission in the general ICU setting: A meta-analysis of published studies","type":"article-journal","volume":"42"},"uris":["http://www.mendeley.com/documents/?uuid=d6a9a738-2495-3877-bee8-2ec6b41cf691"]},{"id":"ITEM-2","itemData":{"DOI":"10.1371/JOURNAL.PONE.0075658","ISSN":"1932-6203","PMID":"24086603","abstract":"BackgroundThe burden and significance of vancomycin-resistant enterococci (VRE) colonization in the ICU is not clearly understood.   MethodsWe searched PubMed and EMBASE up to May 2013 for studies reporting the prevalence of VRE upon admission to the ICU and performed a meta-analysis to assess rates and trends of VRE colonization. We calculated the prevalence of VRE on admission and the acquisition (colonization and/or infection) rates to estimate time trends and the impact of colonization on ensuing VRE infections.   FindingsAcross 37 studies (62,959 patients at risk), the estimated prevalence of VRE on admission to the ICU was 8.8% (7.1-10.6). Estimates were more consistent when cultures were obtained within 24 hours from admission. The VRE acquisition rate was 8.8% (95% CI 6.9-11.0) across 26 evaluable studies (35,364 patients at risk). Across US studies, VRE acquisition rate was 10.2% (95% CI 7.7-13.0) and demonstrated significant decline in annual trends. We used the US estimate of colonization on admission [12.3% (10.5-14.3)] to evaluate the impact of VRE colonization on admission in overall VRE prevalence. We demonstrated that VRE colonization on admission is a major determinant of the overall VRE burden in the ICU. Importantly, among colonized patients (including admitted and/or acquired cases) the VRE infection rates vary widely from 0-45% (with the risk of VRE bacteremia being reported from 0-16%) and &lt;2% among those without a proven colonization.   ConclusionIn summary, up to 10.6% of patients admitted in the ICU are colonized with VRE on admission and a similar percentage will acquire VRE during their ICU stay. Importantly, colonization on admission is a major determinant of VRE dynamics in the ICU and the risk of VRE-related infections is close related to colonization.","author":[{"dropping-particle":"","family":"Ziakas","given":"Panayiotis D.","non-dropping-particle":"","parse-names":false,"suffix":""},{"dropping-particle":"","family":"Thapa","given":"Rachana","non-dropping-particle":"","parse-names":false,"suffix":""},{"dropping-particle":"","family":"Rice","given":"Louis B.","non-dropping-particle":"","parse-names":false,"suffix":""},{"dropping-particle":"","family":"Mylonakis","given":"Eleftherios","non-dropping-particle":"","parse-names":false,"suffix":""}],"container-title":"PLOS ONE","id":"ITEM-2","issue":"9","issued":{"date-parts":[["2013","9","27"]]},"page":"e75658","publisher":"Public Library of Science","title":"Trends and Significance of VRE Colonization in the ICU: A Meta-Analysis of Published Studies","type":"article-journal","volume":"8"},"uris":["http://www.mendeley.com/documents/?uuid=1676cdbd-78a1-3647-8119-be0abf247d42"]}],"mendeley":{"formattedCitation":"[3,4]","plainTextFormattedCitation":"[3,4]","previouslyFormattedCitation":"[3,4]"},"properties":{"noteIndex":0},"schema":"https://github.com/citation-style-language/schema/raw/master/csl-citation.json"}</w:instrText>
            </w:r>
            <w:r w:rsidRPr="00105F3F">
              <w:rPr>
                <w:rFonts w:asciiTheme="majorBidi" w:hAnsiTheme="majorBidi" w:cstheme="majorBidi"/>
                <w:sz w:val="20"/>
                <w:szCs w:val="20"/>
              </w:rPr>
              <w:fldChar w:fldCharType="separate"/>
            </w:r>
            <w:r w:rsidR="004F21C2" w:rsidRPr="004F21C2">
              <w:rPr>
                <w:rFonts w:asciiTheme="majorBidi" w:hAnsiTheme="majorBidi" w:cstheme="majorBidi"/>
                <w:noProof/>
                <w:sz w:val="20"/>
                <w:szCs w:val="20"/>
              </w:rPr>
              <w:t>[3,4]</w:t>
            </w:r>
            <w:r w:rsidRPr="00105F3F">
              <w:rPr>
                <w:rFonts w:asciiTheme="majorBidi" w:hAnsiTheme="majorBidi" w:cstheme="majorBidi"/>
                <w:sz w:val="20"/>
                <w:szCs w:val="20"/>
              </w:rPr>
              <w:fldChar w:fldCharType="end"/>
            </w:r>
          </w:p>
        </w:tc>
        <w:tc>
          <w:tcPr>
            <w:tcW w:w="625" w:type="pct"/>
            <w:vAlign w:val="center"/>
          </w:tcPr>
          <w:p w14:paraId="5C738530"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0.5]</w:t>
            </w:r>
          </w:p>
        </w:tc>
        <w:tc>
          <w:tcPr>
            <w:tcW w:w="485" w:type="pct"/>
            <w:vAlign w:val="center"/>
          </w:tcPr>
          <w:p w14:paraId="56C959F4"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Simulation</w:t>
            </w:r>
          </w:p>
        </w:tc>
      </w:tr>
      <w:tr w:rsidR="00223C41" w:rsidRPr="00105F3F" w14:paraId="0788B79E" w14:textId="77777777" w:rsidTr="00513E7F">
        <w:tc>
          <w:tcPr>
            <w:tcW w:w="2535" w:type="pct"/>
          </w:tcPr>
          <w:p w14:paraId="04809903"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sidRPr="00105F3F">
              <w:rPr>
                <w:rFonts w:asciiTheme="majorBidi" w:hAnsiTheme="majorBidi" w:cstheme="majorBidi"/>
                <w:sz w:val="20"/>
                <w:szCs w:val="20"/>
              </w:rPr>
              <w:t>Culture test accuracy (</w:t>
            </w:r>
            <m:oMath>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a</m:t>
                  </m:r>
                </m:sub>
              </m:sSub>
            </m:oMath>
            <w:r w:rsidRPr="00105F3F">
              <w:rPr>
                <w:rFonts w:asciiTheme="majorBidi" w:hAnsiTheme="majorBidi" w:cstheme="majorBidi"/>
                <w:sz w:val="20"/>
                <w:szCs w:val="20"/>
              </w:rPr>
              <w:t>)</w:t>
            </w:r>
          </w:p>
        </w:tc>
        <w:tc>
          <w:tcPr>
            <w:tcW w:w="764" w:type="pct"/>
            <w:vAlign w:val="center"/>
          </w:tcPr>
          <w:p w14:paraId="547ACAB3"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0.4, </w:t>
            </w:r>
            <m:oMath>
              <m:r>
                <w:rPr>
                  <w:rFonts w:ascii="Cambria Math" w:hAnsi="Cambria Math" w:cstheme="majorBidi"/>
                  <w:sz w:val="20"/>
                  <w:szCs w:val="20"/>
                </w:rPr>
                <m:t>b</m:t>
              </m:r>
            </m:oMath>
            <w:r w:rsidRPr="00105F3F">
              <w:rPr>
                <w:rFonts w:asciiTheme="majorBidi" w:hAnsiTheme="majorBidi" w:cstheme="majorBidi"/>
                <w:sz w:val="20"/>
                <w:szCs w:val="20"/>
              </w:rPr>
              <w:t xml:space="preserve"> = 0.95</w:t>
            </w:r>
            <w:r>
              <w:rPr>
                <w:rFonts w:asciiTheme="majorBidi" w:hAnsiTheme="majorBidi" w:cstheme="majorBidi"/>
                <w:sz w:val="20"/>
                <w:szCs w:val="20"/>
              </w:rPr>
              <w:t>]</w:t>
            </w:r>
          </w:p>
        </w:tc>
        <w:tc>
          <w:tcPr>
            <w:tcW w:w="591" w:type="pct"/>
            <w:vAlign w:val="center"/>
          </w:tcPr>
          <w:p w14:paraId="05BF213A" w14:textId="320E1A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fldChar w:fldCharType="begin" w:fldLock="1"/>
            </w:r>
            <w:r w:rsidR="00614E4E">
              <w:rPr>
                <w:rFonts w:asciiTheme="majorBidi" w:hAnsiTheme="majorBidi" w:cstheme="majorBidi"/>
                <w:sz w:val="20"/>
                <w:szCs w:val="20"/>
              </w:rPr>
              <w:instrText>ADDIN CSL_CITATION {"citationItems":[{"id":"ITEM-1","itemData":{"DOI":"10.1111/J.1469-0691.2010.03202.X","ISSN":"1198-743X","abstract":"A systematic review and meta-analysis were performed to determine and compare the sensitivity and specificity of PCR-based and culture-based diagnostic tests for methicillin-resistant Staphylococcus aureus (MRSA). Our analysis included 74 accuracy measurements from 29 publications. Nine tests were evaluated: the PCR-based Genotype MRSA Direct and IDI-MRSA, the chromogenic media CHROMagar, Chromogenic MRSA Medium, MRSA ID, MRSA Select and ORSAB, and the nonchromogenic culture media MSA-Cefoxitin and MSA-Oxacillin. For four chromogenic media, incubation periods of 18-24 and 48h were evaluated. Considerable heterogeneity was detected in most analyses. A significantly higher sensitivity was found for the overall PCR pooled estimate (92.5; 95% CI 87.4-95.9) and the chromogenic media after 48h of incubation (87.6; 95% CI 82.1-91.6) compared to the overall sensitivity of chromogenic media after 18-24h (78.3; 95% CI 71.0-84.1). The specificity of chromogenic media after 18-24h (98.6; 95% CI 97.7-99.1) was higher than the specificity of PCR (97.0; 95% CI 94.5-98.4) but declined after 48h of incubation (94.7; 95% CI 91.6-96.8).The most sensitive chromogenic medium after 18-24h of incubation was Chromogenic MRSA Medium (sensitivity: 89.3; 95% CI 72.8-96.3), whereas the most specific chromogenic medium after 18-24h of incubation was MRSA Select (specificity: 99.4; 95% CI 98.6-99.7). After 48h of incubation, MRSA Select had the highest sensitivity (93.2; 95% CI 83.5-97.0), whereas CHROMagar had the highest specificity (96.4; 95% CI 91.3-98.5). This meta-analysis showed statistically significant differences in diagnostic accuracy between several of the tests and the test methods evaluated. A reduction of the incubation time of chromogenic media (from 48 to 18-24h) increases specificity but reduces sensitivity. © 2010 The Authors. Journal Compilation © 2010 European Society of Clinical Microbiology and Infectious Diseases.","author":[{"dropping-particle":"","family":"Luteijn","given":"J. M.","non-dropping-particle":"","parse-names":false,"suffix":""},{"dropping-particle":"","family":"Hubben","given":"G. A.A.","non-dropping-particle":"","parse-names":false,"suffix":""},{"dropping-particle":"","family":"Pechlivanoglou","given":"P.","non-dropping-particle":"","parse-names":false,"suffix":""},{"dropping-particle":"","family":"Bonten","given":"M. J.","non-dropping-particle":"","parse-names":false,"suffix":""},{"dropping-particle":"","family":"Postma","given":"M. J.","non-dropping-particle":"","parse-names":false,"suffix":""}],"container-title":"Clinical Microbiology and Infection","id":"ITEM-1","issue":"2","issued":{"date-parts":[["2011","2","1"]]},"page":"146-154","publisher":"Elsevier","title":"Diagnostic accuracy of culture-based and PCR-based detection tests for methicillin-resistant Staphylococcus aureus: a meta-analysis","type":"article-journal","volume":"17"},"uris":["http://www.mendeley.com/documents/?uuid=466b5aaa-155f-306c-bb1d-8ebf3d63c0c1"]},{"id":"ITEM-2","itemData":{"DOI":"10.9778/CMAJO.20170034","ISSN":"2291-0026","PMID":"28814382","abstract":"Background: Swab screening for vancomycin-resistant Enterococcus (VRE) is used to identify VRE carriers and thus prevent transmission of this organism. We tested whether screening results could have unintended benefits in predicting the vancomycin susceptibility of subsequent Enterococcus infections experienced by these patients. \n\nMethods: We conducted a retrospective cohort study of all patients admitted to a large tertiary care hospital between 2010 and 2015 who underwent swab screening for VRE before experiencing an Enterococcus sterile-site infection. We derived test characteristics using the screening result as the test variable predicting the presence or absence of vancomycin resistance in the sterile-site Enterococcus species.\n\nResults: Culture results for sterile-site samples were positive for Enterococcus for 619 patients during the study period. Of these, 488 (79%) had previously undergone VRE screening. A total of 19 (4%) of the 488 screening results were positive for VRE, and 10 (2%) of the sterile-site Enterococcus isolates were resistant to vancomycin. The overall specificity of VRE swabs was 97% (95% confidence interval [CI] 96%-99%), sensitivity was 70% (95% CI 35%-93%), the positive likelihood ratio was 28 (95% CI 14-56), and the negative likelihood ratio was 0.31 (95% CI 0.12-0.79). The post-test probability of vancomycin resistance in a sterile-site culture, given a positive result with VRE screening swab, was 37% using study data and 83% using published aggregate prevalence data for VRE in the United States. \n\nInterpretation: Prior VRE screening swab results represent a useful tool for predicting vancomycin resistance in sterile-site Enterococcus infections. Patients with a positive result for VRE screening swab and Enterococcus identified by culture of sterile-site samples should receive empiric treatment with linezolid or daptomycin until sensitivity results are available.","author":[{"dropping-particle":"","family":"Brasg","given":"Ian","non-dropping-particle":"","parse-names":false,"suffix":""},{"dropping-particle":"","family":"Elligsen","given":"Marion","non-dropping-particle":"","parse-names":false,"suffix":""},{"dropping-particle":"","family":"MacFadden","given":"Derek","non-dropping-particle":"","parse-names":false,"suffix":""},{"dropping-particle":"","family":"Daneman","given":"Nick","non-dropping-particle":"","parse-names":false,"suffix":""}],"container-title":"Canadian Medical Association Open Access Journal","id":"ITEM-2","issue":"3","issued":{"date-parts":[["2017","8","15"]]},"page":"E632-E637","publisher":"Canadian Medical Association Open Access Journal","title":"Predictive utility of swab screening for vancomycin-resistant Enterococcus in selection of empiric antibiotics for Enterococcus sterile-site infections: a retrospective cohort study","type":"article-journal","volume":"5"},"uris":["http://www.mendeley.com/documents/?uuid=95e5545f-51d8-3839-8292-7713defe8a17"]}],"mendeley":{"formattedCitation":"[5,6]","plainTextFormattedCitation":"[5,6]","previouslyFormattedCitation":"[5,6]"},"properties":{"noteIndex":0},"schema":"https://github.com/citation-style-language/schema/raw/master/csl-citation.json"}</w:instrText>
            </w:r>
            <w:r w:rsidRPr="00105F3F">
              <w:rPr>
                <w:rFonts w:asciiTheme="majorBidi" w:hAnsiTheme="majorBidi" w:cstheme="majorBidi"/>
                <w:sz w:val="20"/>
                <w:szCs w:val="20"/>
              </w:rPr>
              <w:fldChar w:fldCharType="separate"/>
            </w:r>
            <w:r w:rsidR="004F21C2" w:rsidRPr="004F21C2">
              <w:rPr>
                <w:rFonts w:asciiTheme="majorBidi" w:hAnsiTheme="majorBidi" w:cstheme="majorBidi"/>
                <w:noProof/>
                <w:sz w:val="20"/>
                <w:szCs w:val="20"/>
              </w:rPr>
              <w:t>[5,6]</w:t>
            </w:r>
            <w:r w:rsidRPr="00105F3F">
              <w:rPr>
                <w:rFonts w:asciiTheme="majorBidi" w:hAnsiTheme="majorBidi" w:cstheme="majorBidi"/>
                <w:sz w:val="20"/>
                <w:szCs w:val="20"/>
              </w:rPr>
              <w:fldChar w:fldCharType="end"/>
            </w:r>
          </w:p>
        </w:tc>
        <w:tc>
          <w:tcPr>
            <w:tcW w:w="625" w:type="pct"/>
            <w:vAlign w:val="center"/>
          </w:tcPr>
          <w:p w14:paraId="106A6CA3"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1]</w:t>
            </w:r>
          </w:p>
        </w:tc>
        <w:tc>
          <w:tcPr>
            <w:tcW w:w="485" w:type="pct"/>
            <w:vAlign w:val="center"/>
          </w:tcPr>
          <w:p w14:paraId="5DD67664"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Simulation</w:t>
            </w:r>
          </w:p>
        </w:tc>
      </w:tr>
      <w:tr w:rsidR="00223C41" w:rsidRPr="00105F3F" w14:paraId="76A1178C" w14:textId="77777777" w:rsidTr="00513E7F">
        <w:tc>
          <w:tcPr>
            <w:tcW w:w="2535" w:type="pct"/>
          </w:tcPr>
          <w:p w14:paraId="22F8E159"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highlight w:val="yellow"/>
              </w:rPr>
            </w:pPr>
            <w:r w:rsidRPr="00105F3F">
              <w:rPr>
                <w:rFonts w:asciiTheme="majorBidi" w:hAnsiTheme="majorBidi" w:cstheme="majorBidi"/>
                <w:sz w:val="20"/>
                <w:szCs w:val="20"/>
              </w:rPr>
              <w:t>Active surveillance compliance (</w:t>
            </w:r>
            <m:oMath>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c</m:t>
                  </m:r>
                </m:sub>
              </m:sSub>
            </m:oMath>
            <w:r w:rsidRPr="00105F3F">
              <w:rPr>
                <w:rFonts w:asciiTheme="majorBidi" w:hAnsiTheme="majorBidi" w:cstheme="majorBidi"/>
                <w:sz w:val="20"/>
                <w:szCs w:val="20"/>
              </w:rPr>
              <w:t>)</w:t>
            </w:r>
          </w:p>
        </w:tc>
        <w:tc>
          <w:tcPr>
            <w:tcW w:w="764" w:type="pct"/>
            <w:vAlign w:val="center"/>
          </w:tcPr>
          <w:p w14:paraId="40E9C89B"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0.75, </w:t>
            </w:r>
            <m:oMath>
              <m:r>
                <w:rPr>
                  <w:rFonts w:ascii="Cambria Math" w:hAnsi="Cambria Math" w:cstheme="majorBidi"/>
                  <w:sz w:val="20"/>
                  <w:szCs w:val="20"/>
                </w:rPr>
                <m:t>b</m:t>
              </m:r>
            </m:oMath>
            <w:r w:rsidRPr="00105F3F">
              <w:rPr>
                <w:rFonts w:asciiTheme="majorBidi" w:hAnsiTheme="majorBidi" w:cstheme="majorBidi"/>
                <w:sz w:val="20"/>
                <w:szCs w:val="20"/>
              </w:rPr>
              <w:t xml:space="preserve"> = 0.9</w:t>
            </w:r>
            <w:r>
              <w:rPr>
                <w:rFonts w:asciiTheme="majorBidi" w:hAnsiTheme="majorBidi" w:cstheme="majorBidi"/>
                <w:sz w:val="20"/>
                <w:szCs w:val="20"/>
              </w:rPr>
              <w:t>]</w:t>
            </w:r>
          </w:p>
        </w:tc>
        <w:tc>
          <w:tcPr>
            <w:tcW w:w="591" w:type="pct"/>
            <w:vAlign w:val="center"/>
          </w:tcPr>
          <w:p w14:paraId="63C1C1C4"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Pr>
                <w:rFonts w:asciiTheme="majorBidi" w:hAnsiTheme="majorBidi" w:cstheme="majorBidi"/>
                <w:sz w:val="20"/>
                <w:szCs w:val="20"/>
              </w:rPr>
              <w:t>EMR</w:t>
            </w:r>
            <w:r w:rsidRPr="00105F3F">
              <w:rPr>
                <w:rFonts w:asciiTheme="majorBidi" w:hAnsiTheme="majorBidi" w:cstheme="majorBidi"/>
                <w:sz w:val="20"/>
                <w:szCs w:val="20"/>
              </w:rPr>
              <w:t>s</w:t>
            </w:r>
          </w:p>
        </w:tc>
        <w:tc>
          <w:tcPr>
            <w:tcW w:w="625" w:type="pct"/>
            <w:vAlign w:val="center"/>
          </w:tcPr>
          <w:p w14:paraId="1B3365C8"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w:t>
            </w:r>
            <w:r>
              <w:rPr>
                <w:rFonts w:asciiTheme="majorBidi" w:hAnsiTheme="majorBidi" w:cstheme="majorBidi"/>
                <w:sz w:val="20"/>
                <w:szCs w:val="20"/>
              </w:rPr>
              <w:t>0.75</w:t>
            </w:r>
            <w:r w:rsidRPr="00105F3F">
              <w:rPr>
                <w:rFonts w:asciiTheme="majorBidi" w:hAnsiTheme="majorBidi" w:cstheme="majorBidi"/>
                <w:sz w:val="20"/>
                <w:szCs w:val="20"/>
              </w:rPr>
              <w:t xml:space="preserve">,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1]</w:t>
            </w:r>
          </w:p>
        </w:tc>
        <w:tc>
          <w:tcPr>
            <w:tcW w:w="485" w:type="pct"/>
            <w:vAlign w:val="center"/>
          </w:tcPr>
          <w:p w14:paraId="1DD45A83"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Simulation</w:t>
            </w:r>
          </w:p>
        </w:tc>
      </w:tr>
      <w:tr w:rsidR="00223C41" w:rsidRPr="00105F3F" w14:paraId="223659A0" w14:textId="77777777" w:rsidTr="00513E7F">
        <w:tc>
          <w:tcPr>
            <w:tcW w:w="2535" w:type="pct"/>
          </w:tcPr>
          <w:p w14:paraId="1D114C66"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Pr>
                <w:rFonts w:asciiTheme="majorBidi" w:hAnsiTheme="majorBidi" w:cstheme="majorBidi"/>
                <w:sz w:val="20"/>
                <w:szCs w:val="20"/>
              </w:rPr>
              <w:t xml:space="preserve">Mean </w:t>
            </w:r>
            <w:r w:rsidRPr="00105F3F">
              <w:rPr>
                <w:rFonts w:asciiTheme="majorBidi" w:hAnsiTheme="majorBidi" w:cstheme="majorBidi"/>
                <w:sz w:val="20"/>
                <w:szCs w:val="20"/>
              </w:rPr>
              <w:t>HCW hygiene compliance probability on entry (</w:t>
            </w:r>
            <m:oMath>
              <m:acc>
                <m:accPr>
                  <m:chr m:val="̅"/>
                  <m:ctrlPr>
                    <w:rPr>
                      <w:rFonts w:ascii="Cambria Math" w:hAnsi="Cambria Math" w:cstheme="majorBidi"/>
                      <w:i/>
                      <w:sz w:val="20"/>
                      <w:szCs w:val="20"/>
                    </w:rPr>
                  </m:ctrlPr>
                </m:accPr>
                <m:e>
                  <m:sSubSup>
                    <m:sSubSupPr>
                      <m:ctrlPr>
                        <w:rPr>
                          <w:rFonts w:ascii="Cambria Math" w:hAnsi="Cambria Math" w:cstheme="majorBidi"/>
                          <w:i/>
                          <w:sz w:val="20"/>
                          <w:szCs w:val="20"/>
                        </w:rPr>
                      </m:ctrlPr>
                    </m:sSubSupPr>
                    <m:e>
                      <m:r>
                        <w:rPr>
                          <w:rFonts w:ascii="Cambria Math" w:hAnsi="Cambria Math" w:cstheme="majorBidi"/>
                          <w:sz w:val="20"/>
                          <w:szCs w:val="20"/>
                        </w:rPr>
                        <m:t>H</m:t>
                      </m:r>
                    </m:e>
                    <m:sub>
                      <m:r>
                        <w:rPr>
                          <w:rFonts w:ascii="Cambria Math" w:hAnsi="Cambria Math" w:cstheme="majorBidi"/>
                          <w:sz w:val="20"/>
                          <w:szCs w:val="20"/>
                        </w:rPr>
                        <m:t>c</m:t>
                      </m:r>
                    </m:sub>
                    <m:sup>
                      <m:r>
                        <w:rPr>
                          <w:rFonts w:ascii="Cambria Math" w:hAnsi="Cambria Math" w:cstheme="majorBidi"/>
                          <w:sz w:val="20"/>
                          <w:szCs w:val="20"/>
                        </w:rPr>
                        <m:t>e</m:t>
                      </m:r>
                    </m:sup>
                  </m:sSubSup>
                </m:e>
              </m:acc>
            </m:oMath>
            <w:r w:rsidRPr="00105F3F">
              <w:rPr>
                <w:rFonts w:asciiTheme="majorBidi" w:hAnsiTheme="majorBidi" w:cstheme="majorBidi"/>
                <w:sz w:val="20"/>
                <w:szCs w:val="20"/>
              </w:rPr>
              <w:t>)</w:t>
            </w:r>
          </w:p>
        </w:tc>
        <w:tc>
          <w:tcPr>
            <w:tcW w:w="764" w:type="pct"/>
            <w:vAlign w:val="center"/>
          </w:tcPr>
          <w:p w14:paraId="3BACA651"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0.5, </w:t>
            </w:r>
            <m:oMath>
              <m:r>
                <w:rPr>
                  <w:rFonts w:ascii="Cambria Math" w:hAnsi="Cambria Math" w:cstheme="majorBidi"/>
                  <w:sz w:val="20"/>
                  <w:szCs w:val="20"/>
                </w:rPr>
                <m:t>b</m:t>
              </m:r>
            </m:oMath>
            <w:r w:rsidRPr="00105F3F">
              <w:rPr>
                <w:rFonts w:asciiTheme="majorBidi" w:hAnsiTheme="majorBidi" w:cstheme="majorBidi"/>
                <w:sz w:val="20"/>
                <w:szCs w:val="20"/>
              </w:rPr>
              <w:t xml:space="preserve"> = 0.7</w:t>
            </w:r>
            <w:r>
              <w:rPr>
                <w:rFonts w:asciiTheme="majorBidi" w:hAnsiTheme="majorBidi" w:cstheme="majorBidi"/>
                <w:sz w:val="20"/>
                <w:szCs w:val="20"/>
              </w:rPr>
              <w:t>]</w:t>
            </w:r>
          </w:p>
        </w:tc>
        <w:tc>
          <w:tcPr>
            <w:tcW w:w="591" w:type="pct"/>
            <w:vAlign w:val="center"/>
          </w:tcPr>
          <w:p w14:paraId="69755348" w14:textId="7904B6CE"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fldChar w:fldCharType="begin" w:fldLock="1"/>
            </w:r>
            <w:r w:rsidR="00614E4E">
              <w:rPr>
                <w:rFonts w:asciiTheme="majorBidi" w:hAnsiTheme="majorBidi" w:cstheme="majorBidi"/>
                <w:sz w:val="20"/>
                <w:szCs w:val="20"/>
              </w:rPr>
              <w:instrText>ADDIN CSL_CITATION {"citationItems":[{"id":"ITEM-1","itemData":{"DOI":"10.1001/JAMA.2013.277815","ISSN":"0098-7484","PMID":"24097234","abstract":"&lt;h3&gt;Importance&lt;/h3&gt;&lt;p&gt;Antibiotic-resistant bacteria are associated with increased patient morbidity and mortality. It is unknown whether wearing gloves and gowns for all patient contact in the intensive care unit (ICU) decreases acquisition of antibiotic-resistant bacteria.&lt;/p&gt;&lt;h3&gt;Objective&lt;/h3&gt;&lt;p&gt;To assess whether wearing gloves and gowns for all patient contact in the ICU decreases acquisition of methicillin-resistant&lt;i&gt;Staphylococcus aureus&lt;/i&gt;(MRSA) or vancomycin-resistant&lt;i&gt;Enterococcus&lt;/i&gt;(VRE) compared with usual care.&lt;/p&gt;&lt;h3&gt;Design, Setting, and Participants&lt;/h3&gt;&lt;p&gt;Cluster-randomized trial in 20 medical and surgical ICUs in 20 US hospitals from January 4, 2012, to October 4, 2012.&lt;/p&gt;&lt;h3&gt;Interventions&lt;/h3&gt;&lt;p&gt;In the intervention ICUs, all health care workers were required to wear gloves and gowns for all patient contact and when entering any patient room.&lt;/p&gt;&lt;h3&gt;Main Outcomes and Measures&lt;/h3&gt;&lt;p&gt;The primary outcome was acquisition of MRSA or VRE based on surveillance cultures collected on admission and discharge from the ICU. Secondary outcomes included individual VRE acquisition, MRSA acquisition, frequency of health care worker visits, hand hygiene compliance, health care–associated infections, and adverse events.&lt;/p&gt;&lt;h3&gt;Results&lt;/h3&gt;&lt;p&gt;From the 26 180 patients included, 92 241 swabs were collected for the primary outcome. Intervention ICUs had a decrease in the primary outcome of MRSA or VRE from 21.35 acquisitions per 1000 patient-days (95% CI, 17.57 to 25.94) in the baseline period to 16.91 acquisitions per 1000 patient-days (95% CI, 14.09 to 20.28) in the study period, whereas control ICUs had a decrease in MRSA or VRE from 19.02 acquisitions per 1000 patient-days (95% CI, 14.20 to 25.49) in the baseline period to 16.29 acquisitions per 1000 patient-days (95% CI, 13.48 to 19.68) in the study period, a difference in changes that was not statistically significant (difference, −1.71 acquisitions per 1000 person-days, 95% CI, −6.15 to 2.73;&lt;i&gt;P&lt;/i&gt; = .57). For key secondary outcomes, there was no difference in VRE acquisition with the intervention (difference,  0.89 acquisitions per 1000 person-days; 95% CI, −4.27 to 6.04,&lt;i&gt;P&lt;/i&gt; = .70), whereas for MRSA, there were fewer acquisitions with the intervention (difference, −2.98 acquisitions per 1000 person-days; 95% CI, −5.58 to −0.38;&lt;i&gt;P&lt;/i&gt; = .046). Universal glove and gown use also decreased health care worker room entry (4.28 vs 5.24 entries per hour, difference, −0.96; 95% CI, −1.71 to −0.21…","author":[{"dropping-particle":"","family":"Harris","given":"Anthony D.","non-dropping-particle":"","parse-names":false,"suffix":""},{"dropping-particle":"","family":"Pineles","given":"Lisa","non-dropping-particle":"","parse-names":false,"suffix":""},{"dropping-particle":"","family":"Belton","given":"Beverly","non-dropping-particle":"","parse-names":false,"suffix":""},{"dropping-particle":"","family":"Johnson","given":"J. Kristie","non-dropping-particle":"","parse-names":false,"suffix":""},{"dropping-particle":"","family":"Shardell","given":"Michelle","non-dropping-particle":"","parse-names":false,"suffix":""},{"dropping-particle":"","family":"Loeb","given":"Mark","non-dropping-particle":"","parse-names":false,"suffix":""},{"dropping-particle":"","family":"Newhouse","given":"Robin","non-dropping-particle":"","parse-names":false,"suffix":""},{"dropping-particle":"","family":"Dembry","given":"Louise","non-dropping-particle":"","parse-names":false,"suffix":""},{"dropping-particle":"","family":"Braun","given":"Barbara","non-dropping-particle":"","parse-names":false,"suffix":""},{"dropping-particle":"","family":"Perencevich","given":"Eli N.","non-dropping-particle":"","parse-names":false,"suffix":""},{"dropping-particle":"","family":"Hall","given":"Kendall K.","non-dropping-particle":"","parse-names":false,"suffix":""},{"dropping-particle":"","family":"Morgan","given":"Daniel J.","non-dropping-particle":"","parse-names":false,"suffix":""},{"dropping-particle":"","family":"Shahryar","given":"Syed K.","non-dropping-particle":"","parse-names":false,"suffix":""},{"dropping-particle":"","family":"Price","given":"Connie S.","non-dropping-particle":"","parse-names":false,"suffix":""},{"dropping-particle":"","family":"Gadbaw","given":"Joseph J.","non-dropping-particle":"","parse-names":false,"suffix":""},{"dropping-particle":"","family":"Drees","given":"Marci","non-dropping-particle":"","parse-names":false,"suffix":""},{"dropping-particle":"","family":"Kett","given":"Daniel H.","non-dropping-particle":"","parse-names":false,"suffix":""},{"dropping-particle":"","family":"Muñoz-Price","given":"L. Silvia","non-dropping-particle":"","parse-names":false,"suffix":""},{"dropping-particle":"","family":"Jacob","given":"Jesse T.","non-dropping-particle":"","parse-names":false,"suffix":""},{"dropping-particle":"","family":"Herwaldt","given":"Loreen A.","non-dropping-particle":"","parse-names":false,"suffix":""},{"dropping-particle":"","family":"Sulis","given":"Carol A.","non-dropping-particle":"","parse-names":false,"suffix":""},{"dropping-particle":"","family":"Yokoe","given":"Deborah S.","non-dropping-particle":"","parse-names":false,"suffix":""},{"dropping-particle":"","family":"Maragakis","given":"Lisa","non-dropping-particle":"","parse-names":false,"suffix":""},{"dropping-particle":"","family":"Lissauer","given":"Matthew E.","non-dropping-particle":"","parse-names":false,"suffix":""},{"dropping-particle":"","family":"Zervos","given":"Marcus J.","non-dropping-particle":"","parse-names":false,"suffix":""},{"dropping-particle":"","family":"Warren","given":"David K.","non-dropping-particle":"","parse-names":false,"suffix":""},{"dropping-particle":"","family":"Carver","given":"Robin L.","non-dropping-particle":"","parse-names":false,"suffix":""},{"dropping-particle":"","family":"Anderson","given":"Deverick J.","non-dropping-particle":"","parse-names":false,"suffix":""},{"dropping-particle":"","family":"Calfee","given":"David P.","non-dropping-particle":"","parse-names":false,"suffix":""},{"dropping-particle":"","family":"Bowling","given":"Jason E.","non-dropping-particle":"","parse-names":false,"suffix":""},{"dropping-particle":"","family":"Safdar","given":"Nasia","non-dropping-particle":"","parse-names":false,"suffix":""}],"container-title":"JAMA","id":"ITEM-1","issue":"15","issued":{"date-parts":[["2013","10","16"]]},"page":"1571-1580","publisher":"American Medical Association","title":"Universal Glove and Gown Use and Acquisition of Antibiotic-Resistant Bacteria in the ICU: A Randomized Trial","type":"article-journal","volume":"310"},"uris":["http://www.mendeley.com/documents/?uuid=4c06c43b-e717-32c8-a9b3-1d8cded10501"]},{"id":"ITEM-2","itemData":{"DOI":"10.1001/ARCHINTE.160.7.1017","ISSN":"0003-9926","PMID":"10761968","abstract":"&lt;h3&gt;Context&lt;/h3&gt;&lt;p&gt;Under routine hospital conditions handwashing compliance of health care workers including nurses, physicians, and others (eg, physical therapists and radiologic technicians) is unacceptably low.&lt;/p&gt;&lt;h3&gt;Objectives&lt;/h3&gt;&lt;p&gt;To investigate the efficacy of an education/feedback intervention and patient awareness program (cognitive approach) on handwashing compliance of health care workers; and to compare the acceptance of a new and increasingly accessible alcohol-based waterless hand disinfectant (technical approach) with the standard sink/soap combination.&lt;/p&gt;&lt;h3&gt;Design&lt;/h3&gt;&lt;p&gt;A 6-month, prospective, observational study.&lt;/p&gt;&lt;h3&gt;Setting&lt;/h3&gt;&lt;p&gt;One medical intensive care unit (ICU), 1 cardiac surgery ICU, and 1 general medical ward located in a 728-bed, tertiary care, teaching facility.&lt;/p&gt;&lt;h3&gt;Participants&lt;/h3&gt;&lt;p&gt;Medical caregivers in each of the above settings.&lt;/p&gt;&lt;h3&gt;Interventions&lt;/h3&gt;&lt;p&gt;Implementation of an education/feedback intervention program (6 in-service sessions per each ICU) and patient awareness program, followed by a new, increasingly accessible, alcohol-based, waterless hand antiseptic agent, initially available at a ratio of 1 dispenser for every 4 patients and subsequently 1 for each patient.&lt;/p&gt;&lt;h3&gt;Main Outcome Measure&lt;/h3&gt;&lt;p&gt;Direct observation of handwashing for 1575 potential opportunities monitored over 120 hours randomized for both time of day and bed locations.&lt;/p&gt;&lt;h3&gt;Results&lt;/h3&gt;&lt;p&gt;Baseline handwashing compliance before and after defined events was 9% and 22% for health care workers in the medical ICU and 3% and 13% for health care workers in the cardiac surgery ICU, respectively. After the education/feedback intervention program, handwashing compliance changed little (medical ICU, 14% [before] and 25% [after]; cardiac surgery ICU, 6% [before] and 13% [after]). Observations after introduction of the new, increasingly accessible, alcohol-based, waterless hand antiseptic revealed significantly higher handwashing rates (&lt;i&gt;P&lt;/i&gt;&amp;lt;.05), and handwashing compliance improved as accessibility was enhanced—before 19% and after 41% with 1 dispenser per 4 beds; and before 23% and after 48% with 1 dispenser for each bed.&lt;/p&gt;&lt;h3&gt;Conclusions&lt;/h3&gt;&lt;p&gt;Education/feedback intervention and patient awareness programs failed to improve handwashing compliance. However, introduction of easily accessible dispensers with an alcohol-based waterless handwashing antiseptic led to significantly higher handwashing rates among health care workers.&lt;/p&gt;","author":[{"dropping-particle":"","family":"Bischoff","given":"Werner E.","non-dropping-particle":"","parse-names":false,"suffix":""},{"dropping-particle":"","family":"Reynolds","given":"Tammy M.","non-dropping-particle":"","parse-names":false,"suffix":""},{"dropping-particle":"","family":"Sessler","given":"Curtis N.","non-dropping-particle":"","parse-names":false,"suffix":""},{"dropping-particle":"","family":"Edmond","given":"Michael B.","non-dropping-particle":"","parse-names":false,"suffix":""},{"dropping-particle":"","family":"Wenzel","given":"Richard P.","non-dropping-particle":"","parse-names":false,"suffix":""}],"container-title":"Archives of Internal Medicine","id":"ITEM-2","issue":"7","issued":{"date-parts":[["2000","4","10"]]},"page":"1017-1021","publisher":"American Medical Association","title":"Handwashing Compliance by Health Care Workers: The Impact of Introducing an Accessible, Alcohol-Based Hand Antiseptic","type":"article-journal","volume":"160"},"uris":["http://www.mendeley.com/documents/?uuid=c88d2a3b-8f7f-3896-be4e-5de1e73d1499"]},{"id":"ITEM-3","itemData":{"DOI":"10.1086/524333","ISSN":"0899-823X","PMID":"18171181","abstract":"Background.There are limited data from prospective studies to indicate whether improvement in hand hygiene associated with the use of alcohol-based hand hygiene products results in improved patient outcomes.Design.A 2-year, prospective, controlled, cross-over trial of alcohol-based hand gel.Setting.The study was conducted in 2 medical-surgical ICUs for adults, each with 12 beds, from August 2001 to September 2003 at a university-associated, tertiary care teaching hospital.Methods.An alcohol-based hand gel was provided in one critical care unit and not provided in the other. After 1 year, the assignment was reversed. The hand hygiene adherence rate and the incidence of nosocomial infection were monitored. Samples for culture were obtained from nurses' hands every 2 months.Results.During 17,994 minutes of observation, which included 3,678 opportunities for hand hygiene, adherence rates improved dramatically after the introduction of hand gel, increasing from 37% to 68% in one unit and from 38% to 69% in the other unit (P &amp;lt; .001). Improvement was observed among all groups of healthcare workers. Hand hygiene rates were better at higher workloads when hand gel was available in the unit (P = .02). No substantial change in the rates of device-associated infection, infection due to multidrug-resistant pathogens, or infection due to Clostridium difficile was observed. Culture of samples from the hands of nursing staff revealed that an increased number of microbes and an increased number of microbe species was associated with longer fingernails (ie, more than 2 mm long), the wearing of rings, and/or lack of access to hand gel.Conclusions.The introduction of alcohol-based gel resulted in a significant and sustained improvement in the rate of hand hygiene adherence. Fingernail length greater than 2 mm, wearing rings, and lack of access to hand gel were associated with increased microbial carriage on the hands. This improvement in the hand hygiene adherence rate was not associated with detectable changes in the incidence of healthcare-associated infection.","author":[{"dropping-particle":"","family":"Rupp","given":"Mark E.","non-dropping-particle":"","parse-names":false,"suffix":""},{"dropping-particle":"","family":"Fitzgerald","given":"Teresa","non-dropping-particle":"","parse-names":false,"suffix":""},{"dropping-particle":"","family":"Puumala","given":"Susan","non-dropping-particle":"","parse-names":false,"suffix":""},{"dropping-particle":"","family":"Anderson","given":"James R.","non-dropping-particle":"","parse-names":false,"suffix":""},{"dropping-particle":"","family":"Craig","given":"Rita","non-dropping-particle":"","parse-names":false,"suffix":""},{"dropping-particle":"","family":"Iwen","given":"Peter C.","non-dropping-particle":"","parse-names":false,"suffix":""},{"dropping-particle":"","family":"Jourdan","given":"Dawn","non-dropping-particle":"","parse-names":false,"suffix":""},{"dropping-particle":"","family":"Keuchel","given":"Janet","non-dropping-particle":"","parse-names":false,"suffix":""},{"dropping-particle":"","family":"Marion","given":"Nedra","non-dropping-particle":"","parse-names":false,"suffix":""},{"dropping-particle":"","family":"Peterson","given":"Delayne","non-dropping-particle":"","parse-names":false,"suffix":""},{"dropping-particle":"","family":"Sholtz","given":"Lee","non-dropping-particle":"","parse-names":false,"suffix":""},{"dropping-particle":"","family":"Smith","given":"Valerie","non-dropping-particle":"","parse-names":false,"suffix":""}],"container-title":"Infection Control &amp; Hospital Epidemiology","id":"ITEM-3","issue":"1","issued":{"date-parts":[["2008","1"]]},"page":"8-15","publisher":"Cambridge University Press","title":"Prospective, Controlled, Cross-Over Trial of Alcohol-Based Hand Gel in Critical Care Units","type":"article-journal","volume":"29"},"uris":["http://www.mendeley.com/documents/?uuid=7e893da9-d178-396f-a7fa-829d988db1ff"]},{"id":"ITEM-4","itemData":{"DOI":"10.1186/S13054-015-1008-4/TABLES/1","ISSN":"1466609X","PMID":"26271619","abstract":"Introduction: Hand hygiene is an effective, low-cost intervention that prevents the spread of multidrug-resistant bacteria. Despite mandatory education and reminders, compliance by physicians in our hospital remained stubbornly low. Our objective was to study whether surveillance by our unit coordinator (secretary) paired with regular feedback to chiefs of service would increase physician hand hygiene compliance in the ICU. Method: The ICU unit coordinator was trained to observe and measure hand hygiene compliance. Data were collected on hand hygiene compliance at room entry and exit for 9months. Percentage compliance for each medical and surgical subspecialty was reported to chiefs of service at the end of each month. Comparative rankings by service were widely distributed throughout the physician organization and the medical center. Results: The hand hygiene compliance rate among physicians increased from 65.1% to 91.6% during the study period (p &lt;0.0001). More importantly in the succeeding 24months after study completion, physician hand hygiene compliance remained &gt;90% in every month. Conclusions: Physician hand hygiene compliance increased as a consequence of the surveillance conducted by a full-time ICU team member, leading to a highly significant increase in the number of observations. In turn, this allowed for specific comparative monthly feedback to individual chiefs of service. Over the next 2years after the study ended, these gains were sustained, suggesting an enduring culture change in physician behavior.","author":[{"dropping-particle":"","family":"Reich","given":"John Adam","non-dropping-particle":"","parse-names":false,"suffix":""},{"dropping-particle":"","family":"Goodstein","given":"Monica E.","non-dropping-particle":"","parse-names":false,"suffix":""},{"dropping-particle":"","family":"Callahan","given":"Susan E.","non-dropping-particle":"","parse-names":false,"suffix":""},{"dropping-particle":"","family":"Callahan","given":"Kathleen M.","non-dropping-particle":"","parse-names":false,"suffix":""},{"dropping-particle":"","family":"Crossley","given":"Lindsay W.","non-dropping-particle":"","parse-names":false,"suffix":""},{"dropping-particle":"","family":"Doron","given":"Shira I.","non-dropping-particle":"","parse-names":false,"suffix":""},{"dropping-particle":"","family":"Snydman","given":"David R.","non-dropping-particle":"","parse-names":false,"suffix":""},{"dropping-particle":"","family":"Nasraway","given":"Stanley A.","non-dropping-particle":"","parse-names":false,"suffix":""}],"container-title":"Critical Care","id":"ITEM-4","issue":"1","issued":{"date-parts":[["2015","8","14"]]},"page":"1-6","publisher":"BioMed Central Ltd.","title":"Physician report cards and rankings yield long-lasting hand hygiene compliance exceeding 90%","type":"article-journal","volume":"19"},"uris":["http://www.mendeley.com/documents/?uuid=32edbd49-4335-39c9-b36f-365d30722192"]}],"mendeley":{"formattedCitation":"[7–10]","plainTextFormattedCitation":"[7–10]","previouslyFormattedCitation":"[7–10]"},"properties":{"noteIndex":0},"schema":"https://github.com/citation-style-language/schema/raw/master/csl-citation.json"}</w:instrText>
            </w:r>
            <w:r w:rsidRPr="00105F3F">
              <w:rPr>
                <w:rFonts w:asciiTheme="majorBidi" w:hAnsiTheme="majorBidi" w:cstheme="majorBidi"/>
                <w:sz w:val="20"/>
                <w:szCs w:val="20"/>
              </w:rPr>
              <w:fldChar w:fldCharType="separate"/>
            </w:r>
            <w:r w:rsidR="004F21C2" w:rsidRPr="004F21C2">
              <w:rPr>
                <w:rFonts w:asciiTheme="majorBidi" w:hAnsiTheme="majorBidi" w:cstheme="majorBidi"/>
                <w:noProof/>
                <w:sz w:val="20"/>
                <w:szCs w:val="20"/>
              </w:rPr>
              <w:t>[7–10]</w:t>
            </w:r>
            <w:r w:rsidRPr="00105F3F">
              <w:rPr>
                <w:rFonts w:asciiTheme="majorBidi" w:hAnsiTheme="majorBidi" w:cstheme="majorBidi"/>
                <w:sz w:val="20"/>
                <w:szCs w:val="20"/>
              </w:rPr>
              <w:fldChar w:fldCharType="end"/>
            </w:r>
          </w:p>
        </w:tc>
        <w:tc>
          <w:tcPr>
            <w:tcW w:w="625" w:type="pct"/>
            <w:vAlign w:val="center"/>
          </w:tcPr>
          <w:p w14:paraId="5508D389"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w:t>
            </w:r>
            <w:r>
              <w:rPr>
                <w:rFonts w:asciiTheme="majorBidi" w:hAnsiTheme="majorBidi" w:cstheme="majorBidi"/>
                <w:sz w:val="20"/>
                <w:szCs w:val="20"/>
              </w:rPr>
              <w:t>.5</w:t>
            </w:r>
            <w:r w:rsidRPr="00105F3F">
              <w:rPr>
                <w:rFonts w:asciiTheme="majorBidi" w:hAnsiTheme="majorBidi" w:cstheme="majorBidi"/>
                <w:sz w:val="20"/>
                <w:szCs w:val="20"/>
              </w:rPr>
              <w:t xml:space="preserve">,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1]</w:t>
            </w:r>
          </w:p>
        </w:tc>
        <w:tc>
          <w:tcPr>
            <w:tcW w:w="485" w:type="pct"/>
            <w:vAlign w:val="center"/>
          </w:tcPr>
          <w:p w14:paraId="4EA81B91"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HCW</w:t>
            </w:r>
          </w:p>
        </w:tc>
      </w:tr>
      <w:tr w:rsidR="00223C41" w:rsidRPr="00105F3F" w14:paraId="20DEF740" w14:textId="77777777" w:rsidTr="00513E7F">
        <w:tc>
          <w:tcPr>
            <w:tcW w:w="2535" w:type="pct"/>
          </w:tcPr>
          <w:p w14:paraId="1A1921B3"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Pr>
                <w:rFonts w:asciiTheme="majorBidi" w:hAnsiTheme="majorBidi" w:cstheme="majorBidi"/>
                <w:sz w:val="20"/>
                <w:szCs w:val="20"/>
              </w:rPr>
              <w:t xml:space="preserve">Mean </w:t>
            </w:r>
            <w:r w:rsidRPr="00105F3F">
              <w:rPr>
                <w:rFonts w:asciiTheme="majorBidi" w:hAnsiTheme="majorBidi" w:cstheme="majorBidi"/>
                <w:sz w:val="20"/>
                <w:szCs w:val="20"/>
              </w:rPr>
              <w:t>HCW hygiene compliance probability on exit (</w:t>
            </w:r>
            <m:oMath>
              <m:acc>
                <m:accPr>
                  <m:chr m:val="̅"/>
                  <m:ctrlPr>
                    <w:rPr>
                      <w:rFonts w:ascii="Cambria Math" w:hAnsi="Cambria Math" w:cstheme="majorBidi"/>
                      <w:i/>
                      <w:sz w:val="20"/>
                      <w:szCs w:val="20"/>
                    </w:rPr>
                  </m:ctrlPr>
                </m:accPr>
                <m:e>
                  <m:sSubSup>
                    <m:sSubSupPr>
                      <m:ctrlPr>
                        <w:rPr>
                          <w:rFonts w:ascii="Cambria Math" w:hAnsi="Cambria Math" w:cstheme="majorBidi"/>
                          <w:i/>
                          <w:sz w:val="20"/>
                          <w:szCs w:val="20"/>
                        </w:rPr>
                      </m:ctrlPr>
                    </m:sSubSupPr>
                    <m:e>
                      <m:r>
                        <w:rPr>
                          <w:rFonts w:ascii="Cambria Math" w:hAnsi="Cambria Math" w:cstheme="majorBidi"/>
                          <w:sz w:val="20"/>
                          <w:szCs w:val="20"/>
                        </w:rPr>
                        <m:t>H</m:t>
                      </m:r>
                    </m:e>
                    <m:sub>
                      <m:r>
                        <w:rPr>
                          <w:rFonts w:ascii="Cambria Math" w:hAnsi="Cambria Math" w:cstheme="majorBidi"/>
                          <w:sz w:val="20"/>
                          <w:szCs w:val="20"/>
                        </w:rPr>
                        <m:t>c</m:t>
                      </m:r>
                    </m:sub>
                    <m:sup>
                      <m:r>
                        <w:rPr>
                          <w:rFonts w:ascii="Cambria Math" w:hAnsi="Cambria Math" w:cstheme="majorBidi"/>
                          <w:sz w:val="20"/>
                          <w:szCs w:val="20"/>
                        </w:rPr>
                        <m:t>x</m:t>
                      </m:r>
                    </m:sup>
                  </m:sSubSup>
                </m:e>
              </m:acc>
            </m:oMath>
            <w:r w:rsidRPr="00105F3F">
              <w:rPr>
                <w:rFonts w:asciiTheme="majorBidi" w:hAnsiTheme="majorBidi" w:cstheme="majorBidi"/>
                <w:sz w:val="20"/>
                <w:szCs w:val="20"/>
              </w:rPr>
              <w:t>)</w:t>
            </w:r>
          </w:p>
        </w:tc>
        <w:tc>
          <w:tcPr>
            <w:tcW w:w="764" w:type="pct"/>
            <w:vAlign w:val="center"/>
          </w:tcPr>
          <w:p w14:paraId="512E89F2"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0.6, </w:t>
            </w:r>
            <m:oMath>
              <m:r>
                <w:rPr>
                  <w:rFonts w:ascii="Cambria Math" w:hAnsi="Cambria Math" w:cstheme="majorBidi"/>
                  <w:sz w:val="20"/>
                  <w:szCs w:val="20"/>
                </w:rPr>
                <m:t>b</m:t>
              </m:r>
            </m:oMath>
            <w:r w:rsidRPr="00105F3F">
              <w:rPr>
                <w:rFonts w:asciiTheme="majorBidi" w:hAnsiTheme="majorBidi" w:cstheme="majorBidi"/>
                <w:sz w:val="20"/>
                <w:szCs w:val="20"/>
              </w:rPr>
              <w:t xml:space="preserve"> = 0.9</w:t>
            </w:r>
            <w:r>
              <w:rPr>
                <w:rFonts w:asciiTheme="majorBidi" w:hAnsiTheme="majorBidi" w:cstheme="majorBidi"/>
                <w:sz w:val="20"/>
                <w:szCs w:val="20"/>
              </w:rPr>
              <w:t>]</w:t>
            </w:r>
          </w:p>
        </w:tc>
        <w:tc>
          <w:tcPr>
            <w:tcW w:w="591" w:type="pct"/>
            <w:vAlign w:val="center"/>
          </w:tcPr>
          <w:p w14:paraId="016EF26B" w14:textId="4352DE32"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fldChar w:fldCharType="begin" w:fldLock="1"/>
            </w:r>
            <w:r w:rsidR="00614E4E">
              <w:rPr>
                <w:rFonts w:asciiTheme="majorBidi" w:hAnsiTheme="majorBidi" w:cstheme="majorBidi"/>
                <w:sz w:val="20"/>
                <w:szCs w:val="20"/>
              </w:rPr>
              <w:instrText>ADDIN CSL_CITATION {"citationItems":[{"id":"ITEM-1","itemData":{"DOI":"10.1001/JAMA.2013.277815","ISSN":"0098-7484","PMID":"24097234","abstract":"&lt;h3&gt;Importance&lt;/h3&gt;&lt;p&gt;Antibiotic-resistant bacteria are associated with increased patient morbidity and mortality. It is unknown whether wearing gloves and gowns for all patient contact in the intensive care unit (ICU) decreases acquisition of antibiotic-resistant bacteria.&lt;/p&gt;&lt;h3&gt;Objective&lt;/h3&gt;&lt;p&gt;To assess whether wearing gloves and gowns for all patient contact in the ICU decreases acquisition of methicillin-resistant&lt;i&gt;Staphylococcus aureus&lt;/i&gt;(MRSA) or vancomycin-resistant&lt;i&gt;Enterococcus&lt;/i&gt;(VRE) compared with usual care.&lt;/p&gt;&lt;h3&gt;Design, Setting, and Participants&lt;/h3&gt;&lt;p&gt;Cluster-randomized trial in 20 medical and surgical ICUs in 20 US hospitals from January 4, 2012, to October 4, 2012.&lt;/p&gt;&lt;h3&gt;Interventions&lt;/h3&gt;&lt;p&gt;In the intervention ICUs, all health care workers were required to wear gloves and gowns for all patient contact and when entering any patient room.&lt;/p&gt;&lt;h3&gt;Main Outcomes and Measures&lt;/h3&gt;&lt;p&gt;The primary outcome was acquisition of MRSA or VRE based on surveillance cultures collected on admission and discharge from the ICU. Secondary outcomes included individual VRE acquisition, MRSA acquisition, frequency of health care worker visits, hand hygiene compliance, health care–associated infections, and adverse events.&lt;/p&gt;&lt;h3&gt;Results&lt;/h3&gt;&lt;p&gt;From the 26 180 patients included, 92 241 swabs were collected for the primary outcome. Intervention ICUs had a decrease in the primary outcome of MRSA or VRE from 21.35 acquisitions per 1000 patient-days (95% CI, 17.57 to 25.94) in the baseline period to 16.91 acquisitions per 1000 patient-days (95% CI, 14.09 to 20.28) in the study period, whereas control ICUs had a decrease in MRSA or VRE from 19.02 acquisitions per 1000 patient-days (95% CI, 14.20 to 25.49) in the baseline period to 16.29 acquisitions per 1000 patient-days (95% CI, 13.48 to 19.68) in the study period, a difference in changes that was not statistically significant (difference, −1.71 acquisitions per 1000 person-days, 95% CI, −6.15 to 2.73;&lt;i&gt;P&lt;/i&gt; = .57). For key secondary outcomes, there was no difference in VRE acquisition with the intervention (difference,  0.89 acquisitions per 1000 person-days; 95% CI, −4.27 to 6.04,&lt;i&gt;P&lt;/i&gt; = .70), whereas for MRSA, there were fewer acquisitions with the intervention (difference, −2.98 acquisitions per 1000 person-days; 95% CI, −5.58 to −0.38;&lt;i&gt;P&lt;/i&gt; = .046). Universal glove and gown use also decreased health care worker room entry (4.28 vs 5.24 entries per hour, difference, −0.96; 95% CI, −1.71 to −0.21…","author":[{"dropping-particle":"","family":"Harris","given":"Anthony D.","non-dropping-particle":"","parse-names":false,"suffix":""},{"dropping-particle":"","family":"Pineles","given":"Lisa","non-dropping-particle":"","parse-names":false,"suffix":""},{"dropping-particle":"","family":"Belton","given":"Beverly","non-dropping-particle":"","parse-names":false,"suffix":""},{"dropping-particle":"","family":"Johnson","given":"J. Kristie","non-dropping-particle":"","parse-names":false,"suffix":""},{"dropping-particle":"","family":"Shardell","given":"Michelle","non-dropping-particle":"","parse-names":false,"suffix":""},{"dropping-particle":"","family":"Loeb","given":"Mark","non-dropping-particle":"","parse-names":false,"suffix":""},{"dropping-particle":"","family":"Newhouse","given":"Robin","non-dropping-particle":"","parse-names":false,"suffix":""},{"dropping-particle":"","family":"Dembry","given":"Louise","non-dropping-particle":"","parse-names":false,"suffix":""},{"dropping-particle":"","family":"Braun","given":"Barbara","non-dropping-particle":"","parse-names":false,"suffix":""},{"dropping-particle":"","family":"Perencevich","given":"Eli N.","non-dropping-particle":"","parse-names":false,"suffix":""},{"dropping-particle":"","family":"Hall","given":"Kendall K.","non-dropping-particle":"","parse-names":false,"suffix":""},{"dropping-particle":"","family":"Morgan","given":"Daniel J.","non-dropping-particle":"","parse-names":false,"suffix":""},{"dropping-particle":"","family":"Shahryar","given":"Syed K.","non-dropping-particle":"","parse-names":false,"suffix":""},{"dropping-particle":"","family":"Price","given":"Connie S.","non-dropping-particle":"","parse-names":false,"suffix":""},{"dropping-particle":"","family":"Gadbaw","given":"Joseph J.","non-dropping-particle":"","parse-names":false,"suffix":""},{"dropping-particle":"","family":"Drees","given":"Marci","non-dropping-particle":"","parse-names":false,"suffix":""},{"dropping-particle":"","family":"Kett","given":"Daniel H.","non-dropping-particle":"","parse-names":false,"suffix":""},{"dropping-particle":"","family":"Muñoz-Price","given":"L. Silvia","non-dropping-particle":"","parse-names":false,"suffix":""},{"dropping-particle":"","family":"Jacob","given":"Jesse T.","non-dropping-particle":"","parse-names":false,"suffix":""},{"dropping-particle":"","family":"Herwaldt","given":"Loreen A.","non-dropping-particle":"","parse-names":false,"suffix":""},{"dropping-particle":"","family":"Sulis","given":"Carol A.","non-dropping-particle":"","parse-names":false,"suffix":""},{"dropping-particle":"","family":"Yokoe","given":"Deborah S.","non-dropping-particle":"","parse-names":false,"suffix":""},{"dropping-particle":"","family":"Maragakis","given":"Lisa","non-dropping-particle":"","parse-names":false,"suffix":""},{"dropping-particle":"","family":"Lissauer","given":"Matthew E.","non-dropping-particle":"","parse-names":false,"suffix":""},{"dropping-particle":"","family":"Zervos","given":"Marcus J.","non-dropping-particle":"","parse-names":false,"suffix":""},{"dropping-particle":"","family":"Warren","given":"David K.","non-dropping-particle":"","parse-names":false,"suffix":""},{"dropping-particle":"","family":"Carver","given":"Robin L.","non-dropping-particle":"","parse-names":false,"suffix":""},{"dropping-particle":"","family":"Anderson","given":"Deverick J.","non-dropping-particle":"","parse-names":false,"suffix":""},{"dropping-particle":"","family":"Calfee","given":"David P.","non-dropping-particle":"","parse-names":false,"suffix":""},{"dropping-particle":"","family":"Bowling","given":"Jason E.","non-dropping-particle":"","parse-names":false,"suffix":""},{"dropping-particle":"","family":"Safdar","given":"Nasia","non-dropping-particle":"","parse-names":false,"suffix":""}],"container-title":"JAMA","id":"ITEM-1","issue":"15","issued":{"date-parts":[["2013","10","16"]]},"page":"1571-1580","publisher":"American Medical Association","title":"Universal Glove and Gown Use and Acquisition of Antibiotic-Resistant Bacteria in the ICU: A Randomized Trial","type":"article-journal","volume":"310"},"uris":["http://www.mendeley.com/documents/?uuid=4c06c43b-e717-32c8-a9b3-1d8cded10501"]},{"id":"ITEM-2","itemData":{"DOI":"10.1001/ARCHINTE.160.7.1017","ISSN":"0003-9926","PMID":"10761968","abstract":"&lt;h3&gt;Context&lt;/h3&gt;&lt;p&gt;Under routine hospital conditions handwashing compliance of health care workers including nurses, physicians, and others (eg, physical therapists and radiologic technicians) is unacceptably low.&lt;/p&gt;&lt;h3&gt;Objectives&lt;/h3&gt;&lt;p&gt;To investigate the efficacy of an education/feedback intervention and patient awareness program (cognitive approach) on handwashing compliance of health care workers; and to compare the acceptance of a new and increasingly accessible alcohol-based waterless hand disinfectant (technical approach) with the standard sink/soap combination.&lt;/p&gt;&lt;h3&gt;Design&lt;/h3&gt;&lt;p&gt;A 6-month, prospective, observational study.&lt;/p&gt;&lt;h3&gt;Setting&lt;/h3&gt;&lt;p&gt;One medical intensive care unit (ICU), 1 cardiac surgery ICU, and 1 general medical ward located in a 728-bed, tertiary care, teaching facility.&lt;/p&gt;&lt;h3&gt;Participants&lt;/h3&gt;&lt;p&gt;Medical caregivers in each of the above settings.&lt;/p&gt;&lt;h3&gt;Interventions&lt;/h3&gt;&lt;p&gt;Implementation of an education/feedback intervention program (6 in-service sessions per each ICU) and patient awareness program, followed by a new, increasingly accessible, alcohol-based, waterless hand antiseptic agent, initially available at a ratio of 1 dispenser for every 4 patients and subsequently 1 for each patient.&lt;/p&gt;&lt;h3&gt;Main Outcome Measure&lt;/h3&gt;&lt;p&gt;Direct observation of handwashing for 1575 potential opportunities monitored over 120 hours randomized for both time of day and bed locations.&lt;/p&gt;&lt;h3&gt;Results&lt;/h3&gt;&lt;p&gt;Baseline handwashing compliance before and after defined events was 9% and 22% for health care workers in the medical ICU and 3% and 13% for health care workers in the cardiac surgery ICU, respectively. After the education/feedback intervention program, handwashing compliance changed little (medical ICU, 14% [before] and 25% [after]; cardiac surgery ICU, 6% [before] and 13% [after]). Observations after introduction of the new, increasingly accessible, alcohol-based, waterless hand antiseptic revealed significantly higher handwashing rates (&lt;i&gt;P&lt;/i&gt;&amp;lt;.05), and handwashing compliance improved as accessibility was enhanced—before 19% and after 41% with 1 dispenser per 4 beds; and before 23% and after 48% with 1 dispenser for each bed.&lt;/p&gt;&lt;h3&gt;Conclusions&lt;/h3&gt;&lt;p&gt;Education/feedback intervention and patient awareness programs failed to improve handwashing compliance. However, introduction of easily accessible dispensers with an alcohol-based waterless handwashing antiseptic led to significantly higher handwashing rates among health care workers.&lt;/p&gt;","author":[{"dropping-particle":"","family":"Bischoff","given":"Werner E.","non-dropping-particle":"","parse-names":false,"suffix":""},{"dropping-particle":"","family":"Reynolds","given":"Tammy M.","non-dropping-particle":"","parse-names":false,"suffix":""},{"dropping-particle":"","family":"Sessler","given":"Curtis N.","non-dropping-particle":"","parse-names":false,"suffix":""},{"dropping-particle":"","family":"Edmond","given":"Michael B.","non-dropping-particle":"","parse-names":false,"suffix":""},{"dropping-particle":"","family":"Wenzel","given":"Richard P.","non-dropping-particle":"","parse-names":false,"suffix":""}],"container-title":"Archives of Internal Medicine","id":"ITEM-2","issue":"7","issued":{"date-parts":[["2000","4","10"]]},"page":"1017-1021","publisher":"American Medical Association","title":"Handwashing Compliance by Health Care Workers: The Impact of Introducing an Accessible, Alcohol-Based Hand Antiseptic","type":"article-journal","volume":"160"},"uris":["http://www.mendeley.com/documents/?uuid=c88d2a3b-8f7f-3896-be4e-5de1e73d1499"]},{"id":"ITEM-3","itemData":{"DOI":"10.1086/524333","ISSN":"0899-823X","PMID":"18171181","abstract":"Background.There are limited data from prospective studies to indicate whether improvement in hand hygiene associated with the use of alcohol-based hand hygiene products results in improved patient outcomes.Design.A 2-year, prospective, controlled, cross-over trial of alcohol-based hand gel.Setting.The study was conducted in 2 medical-surgical ICUs for adults, each with 12 beds, from August 2001 to September 2003 at a university-associated, tertiary care teaching hospital.Methods.An alcohol-based hand gel was provided in one critical care unit and not provided in the other. After 1 year, the assignment was reversed. The hand hygiene adherence rate and the incidence of nosocomial infection were monitored. Samples for culture were obtained from nurses' hands every 2 months.Results.During 17,994 minutes of observation, which included 3,678 opportunities for hand hygiene, adherence rates improved dramatically after the introduction of hand gel, increasing from 37% to 68% in one unit and from 38% to 69% in the other unit (P &amp;lt; .001). Improvement was observed among all groups of healthcare workers. Hand hygiene rates were better at higher workloads when hand gel was available in the unit (P = .02). No substantial change in the rates of device-associated infection, infection due to multidrug-resistant pathogens, or infection due to Clostridium difficile was observed. Culture of samples from the hands of nursing staff revealed that an increased number of microbes and an increased number of microbe species was associated with longer fingernails (ie, more than 2 mm long), the wearing of rings, and/or lack of access to hand gel.Conclusions.The introduction of alcohol-based gel resulted in a significant and sustained improvement in the rate of hand hygiene adherence. Fingernail length greater than 2 mm, wearing rings, and lack of access to hand gel were associated with increased microbial carriage on the hands. This improvement in the hand hygiene adherence rate was not associated with detectable changes in the incidence of healthcare-associated infection.","author":[{"dropping-particle":"","family":"Rupp","given":"Mark E.","non-dropping-particle":"","parse-names":false,"suffix":""},{"dropping-particle":"","family":"Fitzgerald","given":"Teresa","non-dropping-particle":"","parse-names":false,"suffix":""},{"dropping-particle":"","family":"Puumala","given":"Susan","non-dropping-particle":"","parse-names":false,"suffix":""},{"dropping-particle":"","family":"Anderson","given":"James R.","non-dropping-particle":"","parse-names":false,"suffix":""},{"dropping-particle":"","family":"Craig","given":"Rita","non-dropping-particle":"","parse-names":false,"suffix":""},{"dropping-particle":"","family":"Iwen","given":"Peter C.","non-dropping-particle":"","parse-names":false,"suffix":""},{"dropping-particle":"","family":"Jourdan","given":"Dawn","non-dropping-particle":"","parse-names":false,"suffix":""},{"dropping-particle":"","family":"Keuchel","given":"Janet","non-dropping-particle":"","parse-names":false,"suffix":""},{"dropping-particle":"","family":"Marion","given":"Nedra","non-dropping-particle":"","parse-names":false,"suffix":""},{"dropping-particle":"","family":"Peterson","given":"Delayne","non-dropping-particle":"","parse-names":false,"suffix":""},{"dropping-particle":"","family":"Sholtz","given":"Lee","non-dropping-particle":"","parse-names":false,"suffix":""},{"dropping-particle":"","family":"Smith","given":"Valerie","non-dropping-particle":"","parse-names":false,"suffix":""}],"container-title":"Infection Control &amp; Hospital Epidemiology","id":"ITEM-3","issue":"1","issued":{"date-parts":[["2008","1"]]},"page":"8-15","publisher":"Cambridge University Press","title":"Prospective, Controlled, Cross-Over Trial of Alcohol-Based Hand Gel in Critical Care Units","type":"article-journal","volume":"29"},"uris":["http://www.mendeley.com/documents/?uuid=7e893da9-d178-396f-a7fa-829d988db1ff"]},{"id":"ITEM-4","itemData":{"DOI":"10.1186/S13054-015-1008-4/TABLES/1","ISSN":"1466609X","PMID":"26271619","abstract":"Introduction: Hand hygiene is an effective, low-cost intervention that prevents the spread of multidrug-resistant bacteria. Despite mandatory education and reminders, compliance by physicians in our hospital remained stubbornly low. Our objective was to study whether surveillance by our unit coordinator (secretary) paired with regular feedback to chiefs of service would increase physician hand hygiene compliance in the ICU. Method: The ICU unit coordinator was trained to observe and measure hand hygiene compliance. Data were collected on hand hygiene compliance at room entry and exit for 9months. Percentage compliance for each medical and surgical subspecialty was reported to chiefs of service at the end of each month. Comparative rankings by service were widely distributed throughout the physician organization and the medical center. Results: The hand hygiene compliance rate among physicians increased from 65.1% to 91.6% during the study period (p &lt;0.0001). More importantly in the succeeding 24months after study completion, physician hand hygiene compliance remained &gt;90% in every month. Conclusions: Physician hand hygiene compliance increased as a consequence of the surveillance conducted by a full-time ICU team member, leading to a highly significant increase in the number of observations. In turn, this allowed for specific comparative monthly feedback to individual chiefs of service. Over the next 2years after the study ended, these gains were sustained, suggesting an enduring culture change in physician behavior.","author":[{"dropping-particle":"","family":"Reich","given":"John Adam","non-dropping-particle":"","parse-names":false,"suffix":""},{"dropping-particle":"","family":"Goodstein","given":"Monica E.","non-dropping-particle":"","parse-names":false,"suffix":""},{"dropping-particle":"","family":"Callahan","given":"Susan E.","non-dropping-particle":"","parse-names":false,"suffix":""},{"dropping-particle":"","family":"Callahan","given":"Kathleen M.","non-dropping-particle":"","parse-names":false,"suffix":""},{"dropping-particle":"","family":"Crossley","given":"Lindsay W.","non-dropping-particle":"","parse-names":false,"suffix":""},{"dropping-particle":"","family":"Doron","given":"Shira I.","non-dropping-particle":"","parse-names":false,"suffix":""},{"dropping-particle":"","family":"Snydman","given":"David R.","non-dropping-particle":"","parse-names":false,"suffix":""},{"dropping-particle":"","family":"Nasraway","given":"Stanley A.","non-dropping-particle":"","parse-names":false,"suffix":""}],"container-title":"Critical Care","id":"ITEM-4","issue":"1","issued":{"date-parts":[["2015","8","14"]]},"page":"1-6","publisher":"BioMed Central Ltd.","title":"Physician report cards and rankings yield long-lasting hand hygiene compliance exceeding 90%","type":"article-journal","volume":"19"},"uris":["http://www.mendeley.com/documents/?uuid=32edbd49-4335-39c9-b36f-365d30722192"]}],"mendeley":{"formattedCitation":"[7–10]","plainTextFormattedCitation":"[7–10]","previouslyFormattedCitation":"[7–10]"},"properties":{"noteIndex":0},"schema":"https://github.com/citation-style-language/schema/raw/master/csl-citation.json"}</w:instrText>
            </w:r>
            <w:r w:rsidRPr="00105F3F">
              <w:rPr>
                <w:rFonts w:asciiTheme="majorBidi" w:hAnsiTheme="majorBidi" w:cstheme="majorBidi"/>
                <w:sz w:val="20"/>
                <w:szCs w:val="20"/>
              </w:rPr>
              <w:fldChar w:fldCharType="separate"/>
            </w:r>
            <w:r w:rsidR="004F21C2" w:rsidRPr="004F21C2">
              <w:rPr>
                <w:rFonts w:asciiTheme="majorBidi" w:hAnsiTheme="majorBidi" w:cstheme="majorBidi"/>
                <w:noProof/>
                <w:sz w:val="20"/>
                <w:szCs w:val="20"/>
              </w:rPr>
              <w:t>[7–10]</w:t>
            </w:r>
            <w:r w:rsidRPr="00105F3F">
              <w:rPr>
                <w:rFonts w:asciiTheme="majorBidi" w:hAnsiTheme="majorBidi" w:cstheme="majorBidi"/>
                <w:sz w:val="20"/>
                <w:szCs w:val="20"/>
              </w:rPr>
              <w:fldChar w:fldCharType="end"/>
            </w:r>
          </w:p>
        </w:tc>
        <w:tc>
          <w:tcPr>
            <w:tcW w:w="625" w:type="pct"/>
            <w:vAlign w:val="center"/>
          </w:tcPr>
          <w:p w14:paraId="18569CC2"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w:t>
            </w:r>
            <w:r>
              <w:rPr>
                <w:rFonts w:asciiTheme="majorBidi" w:hAnsiTheme="majorBidi" w:cstheme="majorBidi"/>
                <w:sz w:val="20"/>
                <w:szCs w:val="20"/>
              </w:rPr>
              <w:t>.6</w:t>
            </w:r>
            <w:r w:rsidRPr="00105F3F">
              <w:rPr>
                <w:rFonts w:asciiTheme="majorBidi" w:hAnsiTheme="majorBidi" w:cstheme="majorBidi"/>
                <w:sz w:val="20"/>
                <w:szCs w:val="20"/>
              </w:rPr>
              <w:t xml:space="preserve">,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1]</w:t>
            </w:r>
          </w:p>
        </w:tc>
        <w:tc>
          <w:tcPr>
            <w:tcW w:w="485" w:type="pct"/>
            <w:vAlign w:val="center"/>
          </w:tcPr>
          <w:p w14:paraId="4DC8868F"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HCW</w:t>
            </w:r>
          </w:p>
        </w:tc>
      </w:tr>
      <w:tr w:rsidR="00223C41" w:rsidRPr="00105F3F" w14:paraId="1416A12B" w14:textId="77777777" w:rsidTr="00513E7F">
        <w:tc>
          <w:tcPr>
            <w:tcW w:w="2535" w:type="pct"/>
          </w:tcPr>
          <w:p w14:paraId="24C02592"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sidRPr="00105F3F">
              <w:rPr>
                <w:rFonts w:asciiTheme="majorBidi" w:hAnsiTheme="majorBidi" w:cstheme="majorBidi"/>
                <w:sz w:val="20"/>
                <w:szCs w:val="20"/>
              </w:rPr>
              <w:t>HCW</w:t>
            </w:r>
            <w:r>
              <w:rPr>
                <w:rFonts w:asciiTheme="majorBidi" w:hAnsiTheme="majorBidi" w:cstheme="majorBidi"/>
                <w:sz w:val="20"/>
                <w:szCs w:val="20"/>
              </w:rPr>
              <w:t xml:space="preserve"> </w:t>
            </w:r>
            <w:r w:rsidRPr="00105F3F">
              <w:rPr>
                <w:rFonts w:asciiTheme="majorBidi" w:hAnsiTheme="majorBidi" w:cstheme="majorBidi"/>
                <w:sz w:val="20"/>
                <w:szCs w:val="20"/>
              </w:rPr>
              <w:t>hygiene compliance variability from mean (</w:t>
            </w:r>
            <m:oMath>
              <m:sSub>
                <m:sSubPr>
                  <m:ctrlPr>
                    <w:rPr>
                      <w:rFonts w:ascii="Cambria Math" w:hAnsi="Cambria Math" w:cstheme="majorBidi"/>
                      <w:i/>
                      <w:sz w:val="20"/>
                      <w:szCs w:val="20"/>
                    </w:rPr>
                  </m:ctrlPr>
                </m:sSubPr>
                <m:e>
                  <m:r>
                    <w:rPr>
                      <w:rFonts w:ascii="Cambria Math" w:hAnsi="Cambria Math" w:cstheme="majorBidi"/>
                      <w:sz w:val="20"/>
                      <w:szCs w:val="20"/>
                    </w:rPr>
                    <m:t>σ</m:t>
                  </m:r>
                </m:e>
                <m:sub>
                  <m:sSub>
                    <m:sSubPr>
                      <m:ctrlPr>
                        <w:rPr>
                          <w:rFonts w:ascii="Cambria Math" w:hAnsi="Cambria Math" w:cstheme="majorBidi"/>
                          <w:i/>
                          <w:sz w:val="20"/>
                          <w:szCs w:val="20"/>
                        </w:rPr>
                      </m:ctrlPr>
                    </m:sSubPr>
                    <m:e>
                      <m:r>
                        <w:rPr>
                          <w:rFonts w:ascii="Cambria Math" w:hAnsi="Cambria Math" w:cstheme="majorBidi"/>
                          <w:sz w:val="20"/>
                          <w:szCs w:val="20"/>
                        </w:rPr>
                        <m:t>H</m:t>
                      </m:r>
                    </m:e>
                    <m:sub>
                      <m:r>
                        <w:rPr>
                          <w:rFonts w:ascii="Cambria Math" w:hAnsi="Cambria Math" w:cstheme="majorBidi"/>
                          <w:sz w:val="20"/>
                          <w:szCs w:val="20"/>
                        </w:rPr>
                        <m:t>c</m:t>
                      </m:r>
                    </m:sub>
                  </m:sSub>
                </m:sub>
              </m:sSub>
            </m:oMath>
            <w:r w:rsidRPr="00105F3F">
              <w:rPr>
                <w:rFonts w:asciiTheme="majorBidi" w:hAnsiTheme="majorBidi" w:cstheme="majorBidi"/>
                <w:sz w:val="20"/>
                <w:szCs w:val="20"/>
              </w:rPr>
              <w:t>)</w:t>
            </w:r>
          </w:p>
        </w:tc>
        <w:tc>
          <w:tcPr>
            <w:tcW w:w="764" w:type="pct"/>
            <w:vAlign w:val="center"/>
          </w:tcPr>
          <w:p w14:paraId="7A6E2B47"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 </w:t>
            </w:r>
            <m:oMath>
              <m:r>
                <w:rPr>
                  <w:rFonts w:ascii="Cambria Math" w:hAnsi="Cambria Math" w:cstheme="majorBidi"/>
                  <w:sz w:val="20"/>
                  <w:szCs w:val="20"/>
                </w:rPr>
                <m:t>b</m:t>
              </m:r>
            </m:oMath>
            <w:r w:rsidRPr="00105F3F">
              <w:rPr>
                <w:rFonts w:asciiTheme="majorBidi" w:hAnsiTheme="majorBidi" w:cstheme="majorBidi"/>
                <w:sz w:val="20"/>
                <w:szCs w:val="20"/>
              </w:rPr>
              <w:t xml:space="preserve"> = 0.</w:t>
            </w:r>
            <w:r>
              <w:rPr>
                <w:rFonts w:asciiTheme="majorBidi" w:hAnsiTheme="majorBidi" w:cstheme="majorBidi"/>
                <w:sz w:val="20"/>
                <w:szCs w:val="20"/>
              </w:rPr>
              <w:t>2]</w:t>
            </w:r>
          </w:p>
        </w:tc>
        <w:tc>
          <w:tcPr>
            <w:tcW w:w="591" w:type="pct"/>
            <w:vAlign w:val="center"/>
          </w:tcPr>
          <w:p w14:paraId="6F7F2971"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Assumed</w:t>
            </w:r>
          </w:p>
        </w:tc>
        <w:tc>
          <w:tcPr>
            <w:tcW w:w="625" w:type="pct"/>
            <w:vAlign w:val="center"/>
          </w:tcPr>
          <w:p w14:paraId="7C65CE8E"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0.2]</w:t>
            </w:r>
          </w:p>
        </w:tc>
        <w:tc>
          <w:tcPr>
            <w:tcW w:w="485" w:type="pct"/>
            <w:vAlign w:val="center"/>
          </w:tcPr>
          <w:p w14:paraId="68B21D30"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Simulation</w:t>
            </w:r>
          </w:p>
        </w:tc>
      </w:tr>
      <w:tr w:rsidR="00223C41" w:rsidRPr="00105F3F" w14:paraId="49554DBF" w14:textId="77777777" w:rsidTr="00513E7F">
        <w:tc>
          <w:tcPr>
            <w:tcW w:w="2535" w:type="pct"/>
          </w:tcPr>
          <w:p w14:paraId="4331A339"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sidRPr="00105F3F">
              <w:rPr>
                <w:rFonts w:asciiTheme="majorBidi" w:hAnsiTheme="majorBidi" w:cstheme="majorBidi"/>
                <w:sz w:val="20"/>
                <w:szCs w:val="20"/>
              </w:rPr>
              <w:t>HCW hygiene compliance probability</w:t>
            </w:r>
            <w:r>
              <w:rPr>
                <w:rFonts w:asciiTheme="majorBidi" w:hAnsiTheme="majorBidi" w:cstheme="majorBidi"/>
                <w:sz w:val="20"/>
                <w:szCs w:val="20"/>
              </w:rPr>
              <w:t xml:space="preserve"> (</w:t>
            </w:r>
            <m:oMath>
              <m:sSubSup>
                <m:sSubSupPr>
                  <m:ctrlPr>
                    <w:rPr>
                      <w:rFonts w:ascii="Cambria Math" w:hAnsi="Cambria Math" w:cstheme="majorBidi"/>
                      <w:i/>
                      <w:sz w:val="20"/>
                      <w:szCs w:val="20"/>
                    </w:rPr>
                  </m:ctrlPr>
                </m:sSubSupPr>
                <m:e>
                  <m:r>
                    <w:rPr>
                      <w:rFonts w:ascii="Cambria Math" w:hAnsi="Cambria Math" w:cstheme="majorBidi"/>
                      <w:sz w:val="20"/>
                      <w:szCs w:val="20"/>
                    </w:rPr>
                    <m:t>H</m:t>
                  </m:r>
                </m:e>
                <m:sub>
                  <m:r>
                    <w:rPr>
                      <w:rFonts w:ascii="Cambria Math" w:hAnsi="Cambria Math" w:cstheme="majorBidi"/>
                      <w:sz w:val="20"/>
                      <w:szCs w:val="20"/>
                    </w:rPr>
                    <m:t>c</m:t>
                  </m:r>
                </m:sub>
                <m:sup>
                  <m:r>
                    <w:rPr>
                      <w:rFonts w:ascii="Cambria Math" w:hAnsi="Cambria Math" w:cstheme="majorBidi"/>
                      <w:sz w:val="20"/>
                      <w:szCs w:val="20"/>
                    </w:rPr>
                    <m:t>c</m:t>
                  </m:r>
                </m:sup>
              </m:sSubSup>
              <m:r>
                <w:rPr>
                  <w:rFonts w:ascii="Cambria Math" w:hAnsi="Cambria Math" w:cstheme="majorBidi"/>
                  <w:sz w:val="20"/>
                  <w:szCs w:val="20"/>
                </w:rPr>
                <m:t>)</m:t>
              </m:r>
            </m:oMath>
          </w:p>
        </w:tc>
        <w:tc>
          <w:tcPr>
            <w:tcW w:w="764" w:type="pct"/>
            <w:vAlign w:val="center"/>
          </w:tcPr>
          <w:p w14:paraId="624F88D0" w14:textId="6C77A84B" w:rsidR="00223C41" w:rsidRPr="00484D73" w:rsidRDefault="00223C41" w:rsidP="00223C41">
            <w:pPr>
              <w:spacing w:beforeLines="60" w:before="144" w:afterLines="60" w:after="144" w:line="240" w:lineRule="auto"/>
              <w:ind w:left="29" w:right="29"/>
              <w:jc w:val="center"/>
              <w:rPr>
                <w:rFonts w:asciiTheme="majorBidi" w:hAnsiTheme="majorBidi" w:cstheme="majorBidi"/>
                <w:sz w:val="20"/>
                <w:szCs w:val="20"/>
                <w:vertAlign w:val="superscript"/>
              </w:rPr>
            </w:pPr>
            <w:r w:rsidRPr="00B81A47">
              <w:rPr>
                <w:rFonts w:asciiTheme="majorBidi" w:hAnsiTheme="majorBidi" w:cstheme="majorBidi"/>
                <w:i/>
                <w:iCs/>
                <w:sz w:val="20"/>
                <w:szCs w:val="20"/>
              </w:rPr>
              <w:t>Beta</w:t>
            </w:r>
            <w:r>
              <w:rPr>
                <w:rFonts w:asciiTheme="majorBidi" w:hAnsiTheme="majorBidi" w:cstheme="majorBidi"/>
                <w:sz w:val="20"/>
                <w:szCs w:val="20"/>
              </w:rPr>
              <w:t xml:space="preserve"> (</w:t>
            </w:r>
            <m:oMath>
              <m:acc>
                <m:accPr>
                  <m:chr m:val="̅"/>
                  <m:ctrlPr>
                    <w:rPr>
                      <w:rFonts w:ascii="Cambria Math" w:hAnsi="Cambria Math" w:cstheme="majorBidi"/>
                      <w:i/>
                      <w:sz w:val="20"/>
                      <w:szCs w:val="20"/>
                    </w:rPr>
                  </m:ctrlPr>
                </m:accPr>
                <m:e>
                  <m:sSubSup>
                    <m:sSubSupPr>
                      <m:ctrlPr>
                        <w:rPr>
                          <w:rFonts w:ascii="Cambria Math" w:hAnsi="Cambria Math" w:cstheme="majorBidi"/>
                          <w:i/>
                          <w:sz w:val="20"/>
                          <w:szCs w:val="20"/>
                        </w:rPr>
                      </m:ctrlPr>
                    </m:sSubSupPr>
                    <m:e>
                      <m:r>
                        <w:rPr>
                          <w:rFonts w:ascii="Cambria Math" w:hAnsi="Cambria Math" w:cstheme="majorBidi"/>
                          <w:sz w:val="20"/>
                          <w:szCs w:val="20"/>
                        </w:rPr>
                        <m:t>H</m:t>
                      </m:r>
                    </m:e>
                    <m:sub>
                      <m:r>
                        <w:rPr>
                          <w:rFonts w:ascii="Cambria Math" w:hAnsi="Cambria Math" w:cstheme="majorBidi"/>
                          <w:sz w:val="20"/>
                          <w:szCs w:val="20"/>
                        </w:rPr>
                        <m:t>c</m:t>
                      </m:r>
                    </m:sub>
                    <m:sup>
                      <m:r>
                        <w:rPr>
                          <w:rFonts w:ascii="Cambria Math" w:hAnsi="Cambria Math" w:cstheme="majorBidi"/>
                          <w:sz w:val="20"/>
                          <w:szCs w:val="20"/>
                        </w:rPr>
                        <m:t>e</m:t>
                      </m:r>
                    </m:sup>
                  </m:sSubSup>
                </m:e>
              </m:acc>
            </m:oMath>
            <w:r>
              <w:rPr>
                <w:rFonts w:asciiTheme="majorBidi" w:hAnsiTheme="majorBid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σ</m:t>
                  </m:r>
                </m:e>
                <m:sub>
                  <m:sSub>
                    <m:sSubPr>
                      <m:ctrlPr>
                        <w:rPr>
                          <w:rFonts w:ascii="Cambria Math" w:hAnsi="Cambria Math" w:cstheme="majorBidi"/>
                          <w:i/>
                          <w:sz w:val="20"/>
                          <w:szCs w:val="20"/>
                        </w:rPr>
                      </m:ctrlPr>
                    </m:sSubPr>
                    <m:e>
                      <m:r>
                        <w:rPr>
                          <w:rFonts w:ascii="Cambria Math" w:hAnsi="Cambria Math" w:cstheme="majorBidi"/>
                          <w:sz w:val="20"/>
                          <w:szCs w:val="20"/>
                        </w:rPr>
                        <m:t>H</m:t>
                      </m:r>
                    </m:e>
                    <m:sub>
                      <m:r>
                        <w:rPr>
                          <w:rFonts w:ascii="Cambria Math" w:hAnsi="Cambria Math" w:cstheme="majorBidi"/>
                          <w:sz w:val="20"/>
                          <w:szCs w:val="20"/>
                        </w:rPr>
                        <m:t>c</m:t>
                      </m:r>
                    </m:sub>
                  </m:sSub>
                </m:sub>
              </m:sSub>
            </m:oMath>
            <w:r>
              <w:rPr>
                <w:rFonts w:asciiTheme="majorBidi" w:hAnsiTheme="majorBidi" w:cstheme="majorBidi"/>
                <w:sz w:val="20"/>
                <w:szCs w:val="20"/>
              </w:rPr>
              <w:t>)</w:t>
            </w:r>
            <w:r w:rsidR="00484D73">
              <w:rPr>
                <w:rFonts w:asciiTheme="majorBidi" w:hAnsiTheme="majorBidi" w:cstheme="majorBidi"/>
                <w:sz w:val="20"/>
                <w:szCs w:val="20"/>
                <w:vertAlign w:val="superscript"/>
              </w:rPr>
              <w:t>b</w:t>
            </w:r>
          </w:p>
        </w:tc>
        <w:tc>
          <w:tcPr>
            <w:tcW w:w="591" w:type="pct"/>
            <w:vAlign w:val="center"/>
          </w:tcPr>
          <w:p w14:paraId="20407BDD"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Assumed</w:t>
            </w:r>
          </w:p>
        </w:tc>
        <w:tc>
          <w:tcPr>
            <w:tcW w:w="625" w:type="pct"/>
            <w:vAlign w:val="center"/>
          </w:tcPr>
          <w:p w14:paraId="64DCA121"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Beta</w:t>
            </w:r>
            <w:r>
              <w:rPr>
                <w:rFonts w:asciiTheme="majorBidi" w:hAnsiTheme="majorBidi" w:cstheme="majorBidi"/>
                <w:sz w:val="20"/>
                <w:szCs w:val="20"/>
              </w:rPr>
              <w:t xml:space="preserve"> (</w:t>
            </w:r>
            <m:oMath>
              <m:acc>
                <m:accPr>
                  <m:chr m:val="̅"/>
                  <m:ctrlPr>
                    <w:rPr>
                      <w:rFonts w:ascii="Cambria Math" w:hAnsi="Cambria Math" w:cstheme="majorBidi"/>
                      <w:i/>
                      <w:sz w:val="20"/>
                      <w:szCs w:val="20"/>
                    </w:rPr>
                  </m:ctrlPr>
                </m:accPr>
                <m:e>
                  <m:sSubSup>
                    <m:sSubSupPr>
                      <m:ctrlPr>
                        <w:rPr>
                          <w:rFonts w:ascii="Cambria Math" w:hAnsi="Cambria Math" w:cstheme="majorBidi"/>
                          <w:i/>
                          <w:sz w:val="20"/>
                          <w:szCs w:val="20"/>
                        </w:rPr>
                      </m:ctrlPr>
                    </m:sSubSupPr>
                    <m:e>
                      <m:r>
                        <w:rPr>
                          <w:rFonts w:ascii="Cambria Math" w:hAnsi="Cambria Math" w:cstheme="majorBidi"/>
                          <w:sz w:val="20"/>
                          <w:szCs w:val="20"/>
                        </w:rPr>
                        <m:t>H</m:t>
                      </m:r>
                    </m:e>
                    <m:sub>
                      <m:r>
                        <w:rPr>
                          <w:rFonts w:ascii="Cambria Math" w:hAnsi="Cambria Math" w:cstheme="majorBidi"/>
                          <w:sz w:val="20"/>
                          <w:szCs w:val="20"/>
                        </w:rPr>
                        <m:t>c</m:t>
                      </m:r>
                    </m:sub>
                    <m:sup>
                      <m:r>
                        <w:rPr>
                          <w:rFonts w:ascii="Cambria Math" w:hAnsi="Cambria Math" w:cstheme="majorBidi"/>
                          <w:sz w:val="20"/>
                          <w:szCs w:val="20"/>
                        </w:rPr>
                        <m:t>e</m:t>
                      </m:r>
                    </m:sup>
                  </m:sSubSup>
                </m:e>
              </m:acc>
            </m:oMath>
            <w:r>
              <w:rPr>
                <w:rFonts w:asciiTheme="majorBidi" w:hAnsiTheme="majorBid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σ</m:t>
                  </m:r>
                </m:e>
                <m:sub>
                  <m:sSub>
                    <m:sSubPr>
                      <m:ctrlPr>
                        <w:rPr>
                          <w:rFonts w:ascii="Cambria Math" w:hAnsi="Cambria Math" w:cstheme="majorBidi"/>
                          <w:i/>
                          <w:sz w:val="20"/>
                          <w:szCs w:val="20"/>
                        </w:rPr>
                      </m:ctrlPr>
                    </m:sSubPr>
                    <m:e>
                      <m:r>
                        <w:rPr>
                          <w:rFonts w:ascii="Cambria Math" w:hAnsi="Cambria Math" w:cstheme="majorBidi"/>
                          <w:sz w:val="20"/>
                          <w:szCs w:val="20"/>
                        </w:rPr>
                        <m:t>H</m:t>
                      </m:r>
                    </m:e>
                    <m:sub>
                      <m:r>
                        <w:rPr>
                          <w:rFonts w:ascii="Cambria Math" w:hAnsi="Cambria Math" w:cstheme="majorBidi"/>
                          <w:sz w:val="20"/>
                          <w:szCs w:val="20"/>
                        </w:rPr>
                        <m:t>c</m:t>
                      </m:r>
                    </m:sub>
                  </m:sSub>
                </m:sub>
              </m:sSub>
            </m:oMath>
            <w:r>
              <w:rPr>
                <w:rFonts w:asciiTheme="majorBidi" w:hAnsiTheme="majorBidi" w:cstheme="majorBidi"/>
                <w:sz w:val="20"/>
                <w:szCs w:val="20"/>
              </w:rPr>
              <w:t>)</w:t>
            </w:r>
          </w:p>
        </w:tc>
        <w:tc>
          <w:tcPr>
            <w:tcW w:w="485" w:type="pct"/>
            <w:vAlign w:val="center"/>
          </w:tcPr>
          <w:p w14:paraId="7F1E52A4"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HCW</w:t>
            </w:r>
          </w:p>
        </w:tc>
      </w:tr>
      <w:tr w:rsidR="00223C41" w:rsidRPr="00105F3F" w14:paraId="2F5152A1" w14:textId="77777777" w:rsidTr="00513E7F">
        <w:tc>
          <w:tcPr>
            <w:tcW w:w="2535" w:type="pct"/>
          </w:tcPr>
          <w:p w14:paraId="68946F14"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sidRPr="00105F3F">
              <w:rPr>
                <w:rFonts w:asciiTheme="majorBidi" w:hAnsiTheme="majorBidi" w:cstheme="majorBidi"/>
                <w:sz w:val="20"/>
                <w:szCs w:val="20"/>
              </w:rPr>
              <w:t>Mean HCW PPE compliance probability (</w:t>
            </w:r>
            <m:oMath>
              <m:acc>
                <m:accPr>
                  <m:chr m:val="̅"/>
                  <m:ctrlPr>
                    <w:rPr>
                      <w:rFonts w:ascii="Cambria Math" w:hAnsi="Cambria Math" w:cstheme="majorBidi"/>
                      <w:i/>
                      <w:sz w:val="20"/>
                      <w:szCs w:val="20"/>
                    </w:rPr>
                  </m:ctrlPr>
                </m:accPr>
                <m:e>
                  <m:sSub>
                    <m:sSubPr>
                      <m:ctrlPr>
                        <w:rPr>
                          <w:rFonts w:ascii="Cambria Math" w:hAnsi="Cambria Math" w:cstheme="majorBidi"/>
                          <w:i/>
                          <w:sz w:val="20"/>
                          <w:szCs w:val="20"/>
                        </w:rPr>
                      </m:ctrlPr>
                    </m:sSubPr>
                    <m:e>
                      <m:r>
                        <w:rPr>
                          <w:rFonts w:ascii="Cambria Math" w:hAnsi="Cambria Math" w:cstheme="majorBidi"/>
                          <w:sz w:val="20"/>
                          <w:szCs w:val="20"/>
                        </w:rPr>
                        <m:t>E</m:t>
                      </m:r>
                    </m:e>
                    <m:sub>
                      <m:r>
                        <w:rPr>
                          <w:rFonts w:ascii="Cambria Math" w:hAnsi="Cambria Math" w:cstheme="majorBidi"/>
                          <w:sz w:val="20"/>
                          <w:szCs w:val="20"/>
                        </w:rPr>
                        <m:t>c</m:t>
                      </m:r>
                    </m:sub>
                  </m:sSub>
                </m:e>
              </m:acc>
            </m:oMath>
            <w:r w:rsidRPr="00105F3F">
              <w:rPr>
                <w:rFonts w:asciiTheme="majorBidi" w:hAnsiTheme="majorBidi" w:cstheme="majorBidi"/>
                <w:sz w:val="20"/>
                <w:szCs w:val="20"/>
              </w:rPr>
              <w:t>)</w:t>
            </w:r>
          </w:p>
        </w:tc>
        <w:tc>
          <w:tcPr>
            <w:tcW w:w="764" w:type="pct"/>
            <w:vAlign w:val="center"/>
          </w:tcPr>
          <w:p w14:paraId="2176322D"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0.8, </w:t>
            </w:r>
            <m:oMath>
              <m:r>
                <w:rPr>
                  <w:rFonts w:ascii="Cambria Math" w:hAnsi="Cambria Math" w:cstheme="majorBidi"/>
                  <w:sz w:val="20"/>
                  <w:szCs w:val="20"/>
                </w:rPr>
                <m:t>b</m:t>
              </m:r>
            </m:oMath>
            <w:r w:rsidRPr="00105F3F">
              <w:rPr>
                <w:rFonts w:asciiTheme="majorBidi" w:hAnsiTheme="majorBidi" w:cstheme="majorBidi"/>
                <w:sz w:val="20"/>
                <w:szCs w:val="20"/>
              </w:rPr>
              <w:t xml:space="preserve"> = 0.9</w:t>
            </w:r>
            <w:r>
              <w:rPr>
                <w:rFonts w:asciiTheme="majorBidi" w:hAnsiTheme="majorBidi" w:cstheme="majorBidi"/>
                <w:sz w:val="20"/>
                <w:szCs w:val="20"/>
              </w:rPr>
              <w:t>]</w:t>
            </w:r>
          </w:p>
        </w:tc>
        <w:tc>
          <w:tcPr>
            <w:tcW w:w="591" w:type="pct"/>
            <w:vAlign w:val="center"/>
          </w:tcPr>
          <w:p w14:paraId="4E6FAF01" w14:textId="168FA2B4"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fldChar w:fldCharType="begin" w:fldLock="1"/>
            </w:r>
            <w:r w:rsidR="00614E4E">
              <w:rPr>
                <w:rFonts w:asciiTheme="majorBidi" w:hAnsiTheme="majorBidi" w:cstheme="majorBidi"/>
                <w:sz w:val="20"/>
                <w:szCs w:val="20"/>
              </w:rPr>
              <w:instrText>ADDIN CSL_CITATION {"citationItems":[{"id":"ITEM-1","itemData":{"DOI":"10.1001/JAMA.2013.277815","ISSN":"0098-7484","PMID":"24097234","abstract":"&lt;h3&gt;Importance&lt;/h3&gt;&lt;p&gt;Antibiotic-resistant bacteria are associated with increased patient morbidity and mortality. It is unknown whether wearing gloves and gowns for all patient contact in the intensive care unit (ICU) decreases acquisition of antibiotic-resistant bacteria.&lt;/p&gt;&lt;h3&gt;Objective&lt;/h3&gt;&lt;p&gt;To assess whether wearing gloves and gowns for all patient contact in the ICU decreases acquisition of methicillin-resistant&lt;i&gt;Staphylococcus aureus&lt;/i&gt;(MRSA) or vancomycin-resistant&lt;i&gt;Enterococcus&lt;/i&gt;(VRE) compared with usual care.&lt;/p&gt;&lt;h3&gt;Design, Setting, and Participants&lt;/h3&gt;&lt;p&gt;Cluster-randomized trial in 20 medical and surgical ICUs in 20 US hospitals from January 4, 2012, to October 4, 2012.&lt;/p&gt;&lt;h3&gt;Interventions&lt;/h3&gt;&lt;p&gt;In the intervention ICUs, all health care workers were required to wear gloves and gowns for all patient contact and when entering any patient room.&lt;/p&gt;&lt;h3&gt;Main Outcomes and Measures&lt;/h3&gt;&lt;p&gt;The primary outcome was acquisition of MRSA or VRE based on surveillance cultures collected on admission and discharge from the ICU. Secondary outcomes included individual VRE acquisition, MRSA acquisition, frequency of health care worker visits, hand hygiene compliance, health care–associated infections, and adverse events.&lt;/p&gt;&lt;h3&gt;Results&lt;/h3&gt;&lt;p&gt;From the 26 180 patients included, 92 241 swabs were collected for the primary outcome. Intervention ICUs had a decrease in the primary outcome of MRSA or VRE from 21.35 acquisitions per 1000 patient-days (95% CI, 17.57 to 25.94) in the baseline period to 16.91 acquisitions per 1000 patient-days (95% CI, 14.09 to 20.28) in the study period, whereas control ICUs had a decrease in MRSA or VRE from 19.02 acquisitions per 1000 patient-days (95% CI, 14.20 to 25.49) in the baseline period to 16.29 acquisitions per 1000 patient-days (95% CI, 13.48 to 19.68) in the study period, a difference in changes that was not statistically significant (difference, −1.71 acquisitions per 1000 person-days, 95% CI, −6.15 to 2.73;&lt;i&gt;P&lt;/i&gt; = .57). For key secondary outcomes, there was no difference in VRE acquisition with the intervention (difference,  0.89 acquisitions per 1000 person-days; 95% CI, −4.27 to 6.04,&lt;i&gt;P&lt;/i&gt; = .70), whereas for MRSA, there were fewer acquisitions with the intervention (difference, −2.98 acquisitions per 1000 person-days; 95% CI, −5.58 to −0.38;&lt;i&gt;P&lt;/i&gt; = .046). Universal glove and gown use also decreased health care worker room entry (4.28 vs 5.24 entries per hour, difference, −0.96; 95% CI, −1.71 to −0.21…","author":[{"dropping-particle":"","family":"Harris","given":"Anthony D.","non-dropping-particle":"","parse-names":false,"suffix":""},{"dropping-particle":"","family":"Pineles","given":"Lisa","non-dropping-particle":"","parse-names":false,"suffix":""},{"dropping-particle":"","family":"Belton","given":"Beverly","non-dropping-particle":"","parse-names":false,"suffix":""},{"dropping-particle":"","family":"Johnson","given":"J. Kristie","non-dropping-particle":"","parse-names":false,"suffix":""},{"dropping-particle":"","family":"Shardell","given":"Michelle","non-dropping-particle":"","parse-names":false,"suffix":""},{"dropping-particle":"","family":"Loeb","given":"Mark","non-dropping-particle":"","parse-names":false,"suffix":""},{"dropping-particle":"","family":"Newhouse","given":"Robin","non-dropping-particle":"","parse-names":false,"suffix":""},{"dropping-particle":"","family":"Dembry","given":"Louise","non-dropping-particle":"","parse-names":false,"suffix":""},{"dropping-particle":"","family":"Braun","given":"Barbara","non-dropping-particle":"","parse-names":false,"suffix":""},{"dropping-particle":"","family":"Perencevich","given":"Eli N.","non-dropping-particle":"","parse-names":false,"suffix":""},{"dropping-particle":"","family":"Hall","given":"Kendall K.","non-dropping-particle":"","parse-names":false,"suffix":""},{"dropping-particle":"","family":"Morgan","given":"Daniel J.","non-dropping-particle":"","parse-names":false,"suffix":""},{"dropping-particle":"","family":"Shahryar","given":"Syed K.","non-dropping-particle":"","parse-names":false,"suffix":""},{"dropping-particle":"","family":"Price","given":"Connie S.","non-dropping-particle":"","parse-names":false,"suffix":""},{"dropping-particle":"","family":"Gadbaw","given":"Joseph J.","non-dropping-particle":"","parse-names":false,"suffix":""},{"dropping-particle":"","family":"Drees","given":"Marci","non-dropping-particle":"","parse-names":false,"suffix":""},{"dropping-particle":"","family":"Kett","given":"Daniel H.","non-dropping-particle":"","parse-names":false,"suffix":""},{"dropping-particle":"","family":"Muñoz-Price","given":"L. Silvia","non-dropping-particle":"","parse-names":false,"suffix":""},{"dropping-particle":"","family":"Jacob","given":"Jesse T.","non-dropping-particle":"","parse-names":false,"suffix":""},{"dropping-particle":"","family":"Herwaldt","given":"Loreen A.","non-dropping-particle":"","parse-names":false,"suffix":""},{"dropping-particle":"","family":"Sulis","given":"Carol A.","non-dropping-particle":"","parse-names":false,"suffix":""},{"dropping-particle":"","family":"Yokoe","given":"Deborah S.","non-dropping-particle":"","parse-names":false,"suffix":""},{"dropping-particle":"","family":"Maragakis","given":"Lisa","non-dropping-particle":"","parse-names":false,"suffix":""},{"dropping-particle":"","family":"Lissauer","given":"Matthew E.","non-dropping-particle":"","parse-names":false,"suffix":""},{"dropping-particle":"","family":"Zervos","given":"Marcus J.","non-dropping-particle":"","parse-names":false,"suffix":""},{"dropping-particle":"","family":"Warren","given":"David K.","non-dropping-particle":"","parse-names":false,"suffix":""},{"dropping-particle":"","family":"Carver","given":"Robin L.","non-dropping-particle":"","parse-names":false,"suffix":""},{"dropping-particle":"","family":"Anderson","given":"Deverick J.","non-dropping-particle":"","parse-names":false,"suffix":""},{"dropping-particle":"","family":"Calfee","given":"David P.","non-dropping-particle":"","parse-names":false,"suffix":""},{"dropping-particle":"","family":"Bowling","given":"Jason E.","non-dropping-particle":"","parse-names":false,"suffix":""},{"dropping-particle":"","family":"Safdar","given":"Nasia","non-dropping-particle":"","parse-names":false,"suffix":""}],"container-title":"JAMA","id":"ITEM-1","issue":"15","issued":{"date-parts":[["2013","10","16"]]},"page":"1571-1580","publisher":"American Medical Association","title":"Universal Glove and Gown Use and Acquisition of Antibiotic-Resistant Bacteria in the ICU: A Randomized Trial","type":"article-journal","volume":"310"},"uris":["http://www.mendeley.com/documents/?uuid=4c06c43b-e717-32c8-a9b3-1d8cded10501"]},{"id":"ITEM-2","itemData":{"DOI":"10.1086/510811","ISSN":"0899-823X","PMID":"17326026","abstract":"Background.Modified contact precautions (MCP), defined as routine donning of isolation gowns (along with routine gloving) on entry into the rooms of patients under contact precautions, regardless of the likelihood of direct exposure to the patient or their immediate environment, were instituted at our medical center to reduce nosocomial transmission of common hospital pathogens.Objectives.To study compliance with MCP policy regarding routine gowning in intensive care units (ICUs) and general wards and to determine the relationship between gown and glove use in the care of patients under MCP in ICUs.Design.Prospective observational study from February 20, 2004, through January 8, 2005, involving 2,110 persons (1,504 healthcare workers [HCWs] and 606 non-HCW visitors).Setting.A 900-bed tertiary care teaching community hospital.Results.Overall compliance with routine gown use was observed for 1,542 persons (73%), including 1,150 HCWs (76%) and 392 visitors (65%) (odds ratio [OR], 1.8 [95% confidence interval {CI}, 1.4-2.2]; P &amp;lt; .001). Visitors in the ICUs (186 [91%] of 204) were more likely than visitors in the general wards (202 [51%] of 398) to comply with gown use (OR, 10 [95% CI, 6.0-17.0]; P &amp;lt; .001). In logistic regression analysis, independent predictors of gown compliance among HCWs were female sex (OR, 2.3 [95% CI, 1.8-3.0]; P &amp;lt; .001) and ICU setting (OR, 2.2 [95% CI, 1.7-2.9]; P &amp;lt; .001). In the ICUs, gown use was highly predictive of glove use among HCWs (positive predictive value, 95%).Conclusion.Improvement in compliance with gown use at our medical center will require more-intensive educational efforts targeted at male HCWs and at HCWs and visitors on general wards. In the care of ICU patients under MCP, HCW compliance with gown use may be used as a proxy for their compliance with glove use.","author":[{"dropping-particle":"","family":"Manian","given":"Farrin A.","non-dropping-particle":"","parse-names":false,"suffix":""},{"dropping-particle":"","family":"Ponzillo","given":"John J.","non-dropping-particle":"","parse-names":false,"suffix":""}],"container-title":"Infection Control &amp; Hospital Epidemiology","id":"ITEM-2","issue":"3","issued":{"date-parts":[["2007","3"]]},"page":"337-340","publisher":"Cambridge University Press","title":"Compliance With Routine Use of Gowns by Healthcare Workers (HCWs) and Non-HCW Visitors on Entry Into the Rooms of Patients Under Contact Precautions","type":"article-journal","volume":"28"},"uris":["http://www.mendeley.com/documents/?uuid=9afa81fb-e6dd-36c2-aaf8-fb1a8f013e51"]}],"mendeley":{"formattedCitation":"[7,11]","plainTextFormattedCitation":"[7,11]","previouslyFormattedCitation":"[7,11]"},"properties":{"noteIndex":0},"schema":"https://github.com/citation-style-language/schema/raw/master/csl-citation.json"}</w:instrText>
            </w:r>
            <w:r w:rsidRPr="00105F3F">
              <w:rPr>
                <w:rFonts w:asciiTheme="majorBidi" w:hAnsiTheme="majorBidi" w:cstheme="majorBidi"/>
                <w:sz w:val="20"/>
                <w:szCs w:val="20"/>
              </w:rPr>
              <w:fldChar w:fldCharType="separate"/>
            </w:r>
            <w:r w:rsidR="004F21C2" w:rsidRPr="004F21C2">
              <w:rPr>
                <w:rFonts w:asciiTheme="majorBidi" w:hAnsiTheme="majorBidi" w:cstheme="majorBidi"/>
                <w:noProof/>
                <w:sz w:val="20"/>
                <w:szCs w:val="20"/>
              </w:rPr>
              <w:t>[7,11]</w:t>
            </w:r>
            <w:r w:rsidRPr="00105F3F">
              <w:rPr>
                <w:rFonts w:asciiTheme="majorBidi" w:hAnsiTheme="majorBidi" w:cstheme="majorBidi"/>
                <w:sz w:val="20"/>
                <w:szCs w:val="20"/>
              </w:rPr>
              <w:fldChar w:fldCharType="end"/>
            </w:r>
          </w:p>
        </w:tc>
        <w:tc>
          <w:tcPr>
            <w:tcW w:w="625" w:type="pct"/>
            <w:vAlign w:val="center"/>
          </w:tcPr>
          <w:p w14:paraId="2D999E38"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w:t>
            </w:r>
            <w:r>
              <w:rPr>
                <w:rFonts w:asciiTheme="majorBidi" w:hAnsiTheme="majorBidi" w:cstheme="majorBidi"/>
                <w:sz w:val="20"/>
                <w:szCs w:val="20"/>
              </w:rPr>
              <w:t>.8</w:t>
            </w:r>
            <w:r w:rsidRPr="00105F3F">
              <w:rPr>
                <w:rFonts w:asciiTheme="majorBidi" w:hAnsiTheme="majorBidi" w:cstheme="majorBidi"/>
                <w:sz w:val="20"/>
                <w:szCs w:val="20"/>
              </w:rPr>
              <w:t xml:space="preserve">,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1]</w:t>
            </w:r>
          </w:p>
        </w:tc>
        <w:tc>
          <w:tcPr>
            <w:tcW w:w="485" w:type="pct"/>
            <w:vAlign w:val="center"/>
          </w:tcPr>
          <w:p w14:paraId="7957908C"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Simulation</w:t>
            </w:r>
          </w:p>
        </w:tc>
      </w:tr>
      <w:tr w:rsidR="00223C41" w:rsidRPr="00105F3F" w14:paraId="26402C7C" w14:textId="77777777" w:rsidTr="00513E7F">
        <w:tc>
          <w:tcPr>
            <w:tcW w:w="2535" w:type="pct"/>
          </w:tcPr>
          <w:p w14:paraId="5DDBC96C"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sidRPr="00105F3F">
              <w:rPr>
                <w:rFonts w:asciiTheme="majorBidi" w:hAnsiTheme="majorBidi" w:cstheme="majorBidi"/>
                <w:sz w:val="20"/>
                <w:szCs w:val="20"/>
              </w:rPr>
              <w:t>HCW</w:t>
            </w:r>
            <w:r>
              <w:rPr>
                <w:rFonts w:asciiTheme="majorBidi" w:hAnsiTheme="majorBidi" w:cstheme="majorBidi"/>
                <w:sz w:val="20"/>
                <w:szCs w:val="20"/>
              </w:rPr>
              <w:t xml:space="preserve"> PPE</w:t>
            </w:r>
            <w:r w:rsidRPr="00105F3F">
              <w:rPr>
                <w:rFonts w:asciiTheme="majorBidi" w:hAnsiTheme="majorBidi" w:cstheme="majorBidi"/>
                <w:sz w:val="20"/>
                <w:szCs w:val="20"/>
              </w:rPr>
              <w:t xml:space="preserve"> compliance variability from mean (</w:t>
            </w:r>
            <m:oMath>
              <m:sSub>
                <m:sSubPr>
                  <m:ctrlPr>
                    <w:rPr>
                      <w:rFonts w:ascii="Cambria Math" w:hAnsi="Cambria Math" w:cstheme="majorBidi"/>
                      <w:i/>
                      <w:sz w:val="20"/>
                      <w:szCs w:val="20"/>
                    </w:rPr>
                  </m:ctrlPr>
                </m:sSubPr>
                <m:e>
                  <m:r>
                    <w:rPr>
                      <w:rFonts w:ascii="Cambria Math" w:hAnsi="Cambria Math" w:cstheme="majorBidi"/>
                      <w:sz w:val="20"/>
                      <w:szCs w:val="20"/>
                    </w:rPr>
                    <m:t>σ</m:t>
                  </m:r>
                </m:e>
                <m:sub>
                  <m:sSub>
                    <m:sSubPr>
                      <m:ctrlPr>
                        <w:rPr>
                          <w:rFonts w:ascii="Cambria Math" w:hAnsi="Cambria Math" w:cstheme="majorBidi"/>
                          <w:i/>
                          <w:sz w:val="20"/>
                          <w:szCs w:val="20"/>
                        </w:rPr>
                      </m:ctrlPr>
                    </m:sSubPr>
                    <m:e>
                      <m:r>
                        <w:rPr>
                          <w:rFonts w:ascii="Cambria Math" w:hAnsi="Cambria Math" w:cstheme="majorBidi"/>
                          <w:sz w:val="20"/>
                          <w:szCs w:val="20"/>
                        </w:rPr>
                        <m:t>E</m:t>
                      </m:r>
                    </m:e>
                    <m:sub>
                      <m:r>
                        <w:rPr>
                          <w:rFonts w:ascii="Cambria Math" w:hAnsi="Cambria Math" w:cstheme="majorBidi"/>
                          <w:sz w:val="20"/>
                          <w:szCs w:val="20"/>
                        </w:rPr>
                        <m:t>c</m:t>
                      </m:r>
                    </m:sub>
                  </m:sSub>
                </m:sub>
              </m:sSub>
            </m:oMath>
            <w:r w:rsidRPr="00105F3F">
              <w:rPr>
                <w:rFonts w:asciiTheme="majorBidi" w:hAnsiTheme="majorBidi" w:cstheme="majorBidi"/>
                <w:sz w:val="20"/>
                <w:szCs w:val="20"/>
              </w:rPr>
              <w:t>)</w:t>
            </w:r>
          </w:p>
        </w:tc>
        <w:tc>
          <w:tcPr>
            <w:tcW w:w="764" w:type="pct"/>
            <w:vAlign w:val="center"/>
          </w:tcPr>
          <w:p w14:paraId="53CB1364"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 </w:t>
            </w:r>
            <m:oMath>
              <m:r>
                <w:rPr>
                  <w:rFonts w:ascii="Cambria Math" w:hAnsi="Cambria Math" w:cstheme="majorBidi"/>
                  <w:sz w:val="20"/>
                  <w:szCs w:val="20"/>
                </w:rPr>
                <m:t>b</m:t>
              </m:r>
            </m:oMath>
            <w:r w:rsidRPr="00105F3F">
              <w:rPr>
                <w:rFonts w:asciiTheme="majorBidi" w:hAnsiTheme="majorBidi" w:cstheme="majorBidi"/>
                <w:sz w:val="20"/>
                <w:szCs w:val="20"/>
              </w:rPr>
              <w:t xml:space="preserve"> = 0.</w:t>
            </w:r>
            <w:r>
              <w:rPr>
                <w:rFonts w:asciiTheme="majorBidi" w:hAnsiTheme="majorBidi" w:cstheme="majorBidi"/>
                <w:sz w:val="20"/>
                <w:szCs w:val="20"/>
              </w:rPr>
              <w:t>2]</w:t>
            </w:r>
          </w:p>
        </w:tc>
        <w:tc>
          <w:tcPr>
            <w:tcW w:w="591" w:type="pct"/>
            <w:vAlign w:val="center"/>
          </w:tcPr>
          <w:p w14:paraId="30B3D765"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Assumed</w:t>
            </w:r>
          </w:p>
        </w:tc>
        <w:tc>
          <w:tcPr>
            <w:tcW w:w="625" w:type="pct"/>
            <w:vAlign w:val="center"/>
          </w:tcPr>
          <w:p w14:paraId="7E5AFF07"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0.2]</w:t>
            </w:r>
          </w:p>
        </w:tc>
        <w:tc>
          <w:tcPr>
            <w:tcW w:w="485" w:type="pct"/>
            <w:vAlign w:val="center"/>
          </w:tcPr>
          <w:p w14:paraId="03F6985F"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Simulation</w:t>
            </w:r>
          </w:p>
        </w:tc>
      </w:tr>
      <w:tr w:rsidR="00223C41" w:rsidRPr="00105F3F" w14:paraId="43E2895F" w14:textId="77777777" w:rsidTr="00513E7F">
        <w:tc>
          <w:tcPr>
            <w:tcW w:w="2535" w:type="pct"/>
          </w:tcPr>
          <w:p w14:paraId="06F75ED4"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sidRPr="00105F3F">
              <w:rPr>
                <w:rFonts w:asciiTheme="majorBidi" w:hAnsiTheme="majorBidi" w:cstheme="majorBidi"/>
                <w:sz w:val="20"/>
                <w:szCs w:val="20"/>
              </w:rPr>
              <w:t>HCW PPE compliance probability (</w:t>
            </w:r>
            <m:oMath>
              <m:sSub>
                <m:sSubPr>
                  <m:ctrlPr>
                    <w:rPr>
                      <w:rFonts w:ascii="Cambria Math" w:hAnsi="Cambria Math" w:cstheme="majorBidi"/>
                      <w:i/>
                      <w:sz w:val="20"/>
                      <w:szCs w:val="20"/>
                    </w:rPr>
                  </m:ctrlPr>
                </m:sSubPr>
                <m:e>
                  <m:r>
                    <w:rPr>
                      <w:rFonts w:ascii="Cambria Math" w:hAnsi="Cambria Math" w:cstheme="majorBidi"/>
                      <w:sz w:val="20"/>
                      <w:szCs w:val="20"/>
                    </w:rPr>
                    <m:t>E</m:t>
                  </m:r>
                </m:e>
                <m:sub>
                  <m:r>
                    <w:rPr>
                      <w:rFonts w:ascii="Cambria Math" w:hAnsi="Cambria Math" w:cstheme="majorBidi"/>
                      <w:sz w:val="20"/>
                      <w:szCs w:val="20"/>
                    </w:rPr>
                    <m:t>c</m:t>
                  </m:r>
                </m:sub>
              </m:sSub>
            </m:oMath>
            <w:r w:rsidRPr="00105F3F">
              <w:rPr>
                <w:rFonts w:asciiTheme="majorBidi" w:hAnsiTheme="majorBidi" w:cstheme="majorBidi"/>
                <w:sz w:val="20"/>
                <w:szCs w:val="20"/>
              </w:rPr>
              <w:t>)</w:t>
            </w:r>
          </w:p>
        </w:tc>
        <w:tc>
          <w:tcPr>
            <w:tcW w:w="764" w:type="pct"/>
            <w:vAlign w:val="center"/>
          </w:tcPr>
          <w:p w14:paraId="5AFD8CF5"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Beta</w:t>
            </w:r>
            <w:r>
              <w:rPr>
                <w:rFonts w:asciiTheme="majorBidi" w:hAnsiTheme="majorBidi" w:cstheme="majorBidi"/>
                <w:sz w:val="20"/>
                <w:szCs w:val="20"/>
              </w:rPr>
              <w:t xml:space="preserve"> (</w:t>
            </w:r>
            <m:oMath>
              <m:acc>
                <m:accPr>
                  <m:chr m:val="̅"/>
                  <m:ctrlPr>
                    <w:rPr>
                      <w:rFonts w:ascii="Cambria Math" w:hAnsi="Cambria Math" w:cstheme="majorBidi"/>
                      <w:i/>
                      <w:sz w:val="20"/>
                      <w:szCs w:val="20"/>
                    </w:rPr>
                  </m:ctrlPr>
                </m:accPr>
                <m:e>
                  <m:sSub>
                    <m:sSubPr>
                      <m:ctrlPr>
                        <w:rPr>
                          <w:rFonts w:ascii="Cambria Math" w:hAnsi="Cambria Math" w:cstheme="majorBidi"/>
                          <w:i/>
                          <w:sz w:val="20"/>
                          <w:szCs w:val="20"/>
                        </w:rPr>
                      </m:ctrlPr>
                    </m:sSubPr>
                    <m:e>
                      <m:r>
                        <w:rPr>
                          <w:rFonts w:ascii="Cambria Math" w:hAnsi="Cambria Math" w:cstheme="majorBidi"/>
                          <w:sz w:val="20"/>
                          <w:szCs w:val="20"/>
                        </w:rPr>
                        <m:t>E</m:t>
                      </m:r>
                    </m:e>
                    <m:sub>
                      <m:r>
                        <w:rPr>
                          <w:rFonts w:ascii="Cambria Math" w:hAnsi="Cambria Math" w:cstheme="majorBidi"/>
                          <w:sz w:val="20"/>
                          <w:szCs w:val="20"/>
                        </w:rPr>
                        <m:t>c</m:t>
                      </m:r>
                    </m:sub>
                  </m:sSub>
                </m:e>
              </m:acc>
            </m:oMath>
            <w:r>
              <w:rPr>
                <w:rFonts w:asciiTheme="majorBidi" w:hAnsiTheme="majorBid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σ</m:t>
                  </m:r>
                </m:e>
                <m:sub>
                  <m:sSub>
                    <m:sSubPr>
                      <m:ctrlPr>
                        <w:rPr>
                          <w:rFonts w:ascii="Cambria Math" w:hAnsi="Cambria Math" w:cstheme="majorBidi"/>
                          <w:i/>
                          <w:sz w:val="20"/>
                          <w:szCs w:val="20"/>
                        </w:rPr>
                      </m:ctrlPr>
                    </m:sSubPr>
                    <m:e>
                      <m:r>
                        <w:rPr>
                          <w:rFonts w:ascii="Cambria Math" w:hAnsi="Cambria Math" w:cstheme="majorBidi"/>
                          <w:sz w:val="20"/>
                          <w:szCs w:val="20"/>
                        </w:rPr>
                        <m:t>E</m:t>
                      </m:r>
                    </m:e>
                    <m:sub>
                      <m:r>
                        <w:rPr>
                          <w:rFonts w:ascii="Cambria Math" w:hAnsi="Cambria Math" w:cstheme="majorBidi"/>
                          <w:sz w:val="20"/>
                          <w:szCs w:val="20"/>
                        </w:rPr>
                        <m:t>c</m:t>
                      </m:r>
                    </m:sub>
                  </m:sSub>
                </m:sub>
              </m:sSub>
            </m:oMath>
            <w:r>
              <w:rPr>
                <w:rFonts w:asciiTheme="majorBidi" w:hAnsiTheme="majorBidi" w:cstheme="majorBidi"/>
                <w:sz w:val="20"/>
                <w:szCs w:val="20"/>
              </w:rPr>
              <w:t>)</w:t>
            </w:r>
          </w:p>
        </w:tc>
        <w:tc>
          <w:tcPr>
            <w:tcW w:w="591" w:type="pct"/>
            <w:vAlign w:val="center"/>
          </w:tcPr>
          <w:p w14:paraId="4C1577B5"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Assumed</w:t>
            </w:r>
          </w:p>
        </w:tc>
        <w:tc>
          <w:tcPr>
            <w:tcW w:w="625" w:type="pct"/>
            <w:vAlign w:val="center"/>
          </w:tcPr>
          <w:p w14:paraId="6E9E3963"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Beta</w:t>
            </w:r>
            <w:r>
              <w:rPr>
                <w:rFonts w:asciiTheme="majorBidi" w:hAnsiTheme="majorBidi" w:cstheme="majorBidi"/>
                <w:sz w:val="20"/>
                <w:szCs w:val="20"/>
              </w:rPr>
              <w:t xml:space="preserve"> (</w:t>
            </w:r>
            <m:oMath>
              <m:acc>
                <m:accPr>
                  <m:chr m:val="̅"/>
                  <m:ctrlPr>
                    <w:rPr>
                      <w:rFonts w:ascii="Cambria Math" w:hAnsi="Cambria Math" w:cstheme="majorBidi"/>
                      <w:i/>
                      <w:sz w:val="20"/>
                      <w:szCs w:val="20"/>
                    </w:rPr>
                  </m:ctrlPr>
                </m:accPr>
                <m:e>
                  <m:sSub>
                    <m:sSubPr>
                      <m:ctrlPr>
                        <w:rPr>
                          <w:rFonts w:ascii="Cambria Math" w:hAnsi="Cambria Math" w:cstheme="majorBidi"/>
                          <w:i/>
                          <w:sz w:val="20"/>
                          <w:szCs w:val="20"/>
                        </w:rPr>
                      </m:ctrlPr>
                    </m:sSubPr>
                    <m:e>
                      <m:r>
                        <w:rPr>
                          <w:rFonts w:ascii="Cambria Math" w:hAnsi="Cambria Math" w:cstheme="majorBidi"/>
                          <w:sz w:val="20"/>
                          <w:szCs w:val="20"/>
                        </w:rPr>
                        <m:t>E</m:t>
                      </m:r>
                    </m:e>
                    <m:sub>
                      <m:r>
                        <w:rPr>
                          <w:rFonts w:ascii="Cambria Math" w:hAnsi="Cambria Math" w:cstheme="majorBidi"/>
                          <w:sz w:val="20"/>
                          <w:szCs w:val="20"/>
                        </w:rPr>
                        <m:t>c</m:t>
                      </m:r>
                    </m:sub>
                  </m:sSub>
                </m:e>
              </m:acc>
            </m:oMath>
            <w:r>
              <w:rPr>
                <w:rFonts w:asciiTheme="majorBidi" w:hAnsiTheme="majorBid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σ</m:t>
                  </m:r>
                </m:e>
                <m:sub>
                  <m:sSub>
                    <m:sSubPr>
                      <m:ctrlPr>
                        <w:rPr>
                          <w:rFonts w:ascii="Cambria Math" w:hAnsi="Cambria Math" w:cstheme="majorBidi"/>
                          <w:i/>
                          <w:sz w:val="20"/>
                          <w:szCs w:val="20"/>
                        </w:rPr>
                      </m:ctrlPr>
                    </m:sSubPr>
                    <m:e>
                      <m:r>
                        <w:rPr>
                          <w:rFonts w:ascii="Cambria Math" w:hAnsi="Cambria Math" w:cstheme="majorBidi"/>
                          <w:sz w:val="20"/>
                          <w:szCs w:val="20"/>
                        </w:rPr>
                        <m:t>E</m:t>
                      </m:r>
                    </m:e>
                    <m:sub>
                      <m:r>
                        <w:rPr>
                          <w:rFonts w:ascii="Cambria Math" w:hAnsi="Cambria Math" w:cstheme="majorBidi"/>
                          <w:sz w:val="20"/>
                          <w:szCs w:val="20"/>
                        </w:rPr>
                        <m:t>c</m:t>
                      </m:r>
                    </m:sub>
                  </m:sSub>
                </m:sub>
              </m:sSub>
            </m:oMath>
            <w:r>
              <w:rPr>
                <w:rFonts w:asciiTheme="majorBidi" w:hAnsiTheme="majorBidi" w:cstheme="majorBidi"/>
                <w:sz w:val="20"/>
                <w:szCs w:val="20"/>
              </w:rPr>
              <w:t>)</w:t>
            </w:r>
          </w:p>
        </w:tc>
        <w:tc>
          <w:tcPr>
            <w:tcW w:w="485" w:type="pct"/>
            <w:vAlign w:val="center"/>
          </w:tcPr>
          <w:p w14:paraId="470C749D"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HCW</w:t>
            </w:r>
          </w:p>
        </w:tc>
      </w:tr>
      <w:tr w:rsidR="00223C41" w:rsidRPr="00105F3F" w14:paraId="3A27EB42" w14:textId="77777777" w:rsidTr="00513E7F">
        <w:tc>
          <w:tcPr>
            <w:tcW w:w="2535" w:type="pct"/>
          </w:tcPr>
          <w:p w14:paraId="64BCCF49"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Pr>
                <w:rFonts w:asciiTheme="majorBidi" w:hAnsiTheme="majorBidi" w:cstheme="majorBidi"/>
                <w:sz w:val="20"/>
                <w:szCs w:val="20"/>
              </w:rPr>
              <w:t>Residual contamination post hand washing</w:t>
            </w:r>
            <w:r w:rsidRPr="00105F3F">
              <w:rPr>
                <w:rFonts w:asciiTheme="majorBidi" w:hAnsiTheme="majorBid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H</m:t>
                  </m:r>
                </m:e>
                <m:sub>
                  <m:r>
                    <w:rPr>
                      <w:rFonts w:ascii="Cambria Math" w:hAnsi="Cambria Math" w:cstheme="majorBidi"/>
                      <w:sz w:val="20"/>
                      <w:szCs w:val="20"/>
                    </w:rPr>
                    <m:t>r</m:t>
                  </m:r>
                </m:sub>
              </m:sSub>
            </m:oMath>
            <w:r w:rsidRPr="00105F3F">
              <w:rPr>
                <w:rFonts w:asciiTheme="majorBidi" w:hAnsiTheme="majorBidi" w:cstheme="majorBidi"/>
                <w:sz w:val="20"/>
                <w:szCs w:val="20"/>
              </w:rPr>
              <w:t>)</w:t>
            </w:r>
          </w:p>
        </w:tc>
        <w:tc>
          <w:tcPr>
            <w:tcW w:w="764" w:type="pct"/>
            <w:vAlign w:val="center"/>
          </w:tcPr>
          <w:p w14:paraId="3A691230"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1]</w:t>
            </w:r>
          </w:p>
        </w:tc>
        <w:tc>
          <w:tcPr>
            <w:tcW w:w="591" w:type="pct"/>
            <w:vAlign w:val="center"/>
          </w:tcPr>
          <w:p w14:paraId="6BEBA024"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Pr>
                <w:rFonts w:asciiTheme="majorBidi" w:hAnsiTheme="majorBidi" w:cstheme="majorBidi"/>
                <w:sz w:val="20"/>
                <w:szCs w:val="20"/>
              </w:rPr>
              <w:t>Assumed</w:t>
            </w:r>
          </w:p>
        </w:tc>
        <w:tc>
          <w:tcPr>
            <w:tcW w:w="625" w:type="pct"/>
            <w:vAlign w:val="center"/>
          </w:tcPr>
          <w:p w14:paraId="496B63B6"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1]</w:t>
            </w:r>
          </w:p>
        </w:tc>
        <w:tc>
          <w:tcPr>
            <w:tcW w:w="485" w:type="pct"/>
            <w:vAlign w:val="center"/>
          </w:tcPr>
          <w:p w14:paraId="37DD26D8"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Simulation</w:t>
            </w:r>
          </w:p>
        </w:tc>
      </w:tr>
      <w:tr w:rsidR="00223C41" w:rsidRPr="00105F3F" w14:paraId="09A99DF2" w14:textId="77777777" w:rsidTr="00513E7F">
        <w:tc>
          <w:tcPr>
            <w:tcW w:w="2535" w:type="pct"/>
          </w:tcPr>
          <w:p w14:paraId="2879250F"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sidRPr="00105F3F">
              <w:rPr>
                <w:rFonts w:asciiTheme="majorBidi" w:hAnsiTheme="majorBidi" w:cstheme="majorBidi"/>
                <w:sz w:val="20"/>
                <w:szCs w:val="20"/>
              </w:rPr>
              <w:t>Terminal room disinfection efficacy (</w:t>
            </w:r>
            <m:oMath>
              <m:sSub>
                <m:sSubPr>
                  <m:ctrlPr>
                    <w:rPr>
                      <w:rFonts w:ascii="Cambria Math" w:hAnsi="Cambria Math" w:cstheme="majorBidi"/>
                      <w:i/>
                      <w:sz w:val="20"/>
                      <w:szCs w:val="20"/>
                    </w:rPr>
                  </m:ctrlPr>
                </m:sSubPr>
                <m:e>
                  <m:r>
                    <w:rPr>
                      <w:rFonts w:ascii="Cambria Math" w:hAnsi="Cambria Math" w:cstheme="majorBidi"/>
                      <w:sz w:val="20"/>
                      <w:szCs w:val="20"/>
                    </w:rPr>
                    <m:t>D</m:t>
                  </m:r>
                </m:e>
                <m:sub>
                  <m:r>
                    <w:rPr>
                      <w:rFonts w:ascii="Cambria Math" w:hAnsi="Cambria Math" w:cstheme="majorBidi"/>
                      <w:sz w:val="20"/>
                      <w:szCs w:val="20"/>
                    </w:rPr>
                    <m:t>e</m:t>
                  </m:r>
                </m:sub>
              </m:sSub>
            </m:oMath>
            <w:r w:rsidRPr="00105F3F">
              <w:rPr>
                <w:rFonts w:asciiTheme="majorBidi" w:hAnsiTheme="majorBidi" w:cstheme="majorBidi"/>
                <w:sz w:val="20"/>
                <w:szCs w:val="20"/>
              </w:rPr>
              <w:t>)</w:t>
            </w:r>
          </w:p>
        </w:tc>
        <w:tc>
          <w:tcPr>
            <w:tcW w:w="764" w:type="pct"/>
            <w:vAlign w:val="center"/>
          </w:tcPr>
          <w:p w14:paraId="4A8F815F"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0.4, </w:t>
            </w:r>
            <m:oMath>
              <m:r>
                <w:rPr>
                  <w:rFonts w:ascii="Cambria Math" w:hAnsi="Cambria Math" w:cstheme="majorBidi"/>
                  <w:sz w:val="20"/>
                  <w:szCs w:val="20"/>
                </w:rPr>
                <m:t>b</m:t>
              </m:r>
            </m:oMath>
            <w:r w:rsidRPr="00105F3F">
              <w:rPr>
                <w:rFonts w:asciiTheme="majorBidi" w:hAnsiTheme="majorBidi" w:cstheme="majorBidi"/>
                <w:sz w:val="20"/>
                <w:szCs w:val="20"/>
              </w:rPr>
              <w:t xml:space="preserve"> = 0.6</w:t>
            </w:r>
            <w:r>
              <w:rPr>
                <w:rFonts w:asciiTheme="majorBidi" w:hAnsiTheme="majorBidi" w:cstheme="majorBidi"/>
                <w:sz w:val="20"/>
                <w:szCs w:val="20"/>
              </w:rPr>
              <w:t>]</w:t>
            </w:r>
          </w:p>
        </w:tc>
        <w:tc>
          <w:tcPr>
            <w:tcW w:w="591" w:type="pct"/>
            <w:vAlign w:val="center"/>
          </w:tcPr>
          <w:p w14:paraId="7E62F9F1" w14:textId="0E600016"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fldChar w:fldCharType="begin" w:fldLock="1"/>
            </w:r>
            <w:r w:rsidR="00614E4E">
              <w:rPr>
                <w:rFonts w:asciiTheme="majorBidi" w:hAnsiTheme="majorBidi" w:cstheme="majorBidi"/>
                <w:sz w:val="20"/>
                <w:szCs w:val="20"/>
              </w:rPr>
              <w:instrText>ADDIN CSL_CITATION {"citationItems":[{"id":"ITEM-1","itemData":{"DOI":"10.1086/524333","ISSN":"0899-823X","PMID":"18171181","abstract":"Background.There are limited data from prospective studies to indicate whether improvement in hand hygiene associated with the use of alcohol-based hand hygiene products results in improved patient outcomes.Design.A 2-year, prospective, controlled, cross-over trial of alcohol-based hand gel.Setting.The study was conducted in 2 medical-surgical ICUs for adults, each with 12 beds, from August 2001 to September 2003 at a university-associated, tertiary care teaching hospital.Methods.An alcohol-based hand gel was provided in one critical care unit and not provided in the other. After 1 year, the assignment was reversed. The hand hygiene adherence rate and the incidence of nosocomial infection were monitored. Samples for culture were obtained from nurses' hands every 2 months.Results.During 17,994 minutes of observation, which included 3,678 opportunities for hand hygiene, adherence rates improved dramatically after the introduction of hand gel, increasing from 37% to 68% in one unit and from 38% to 69% in the other unit (P &amp;lt; .001). Improvement was observed among all groups of healthcare workers. Hand hygiene rates were better at higher workloads when hand gel was available in the unit (P = .02). No substantial change in the rates of device-associated infection, infection due to multidrug-resistant pathogens, or infection due to Clostridium difficile was observed. Culture of samples from the hands of nursing staff revealed that an increased number of microbes and an increased number of microbe species was associated with longer fingernails (ie, more than 2 mm long), the wearing of rings, and/or lack of access to hand gel.Conclusions.The introduction of alcohol-based gel resulted in a significant and sustained improvement in the rate of hand hygiene adherence. Fingernail length greater than 2 mm, wearing rings, and lack of access to hand gel were associated with increased microbial carriage on the hands. This improvement in the hand hygiene adherence rate was not associated with detectable changes in the incidence of healthcare-associated infection.","author":[{"dropping-particle":"","family":"Rupp","given":"Mark E.","non-dropping-particle":"","parse-names":false,"suffix":""},{"dropping-particle":"","family":"Fitzgerald","given":"Teresa","non-dropping-particle":"","parse-names":false,"suffix":""},{"dropping-particle":"","family":"Puumala","given":"Susan","non-dropping-particle":"","parse-names":false,"suffix":""},{"dropping-particle":"","family":"Anderson","given":"James R.","non-dropping-particle":"","parse-names":false,"suffix":""},{"dropping-particle":"","family":"Craig","given":"Rita","non-dropping-particle":"","parse-names":false,"suffix":""},{"dropping-particle":"","family":"Iwen","given":"Peter C.","non-dropping-particle":"","parse-names":false,"suffix":""},{"dropping-particle":"","family":"Jourdan","given":"Dawn","non-dropping-particle":"","parse-names":false,"suffix":""},{"dropping-particle":"","family":"Keuchel","given":"Janet","non-dropping-particle":"","parse-names":false,"suffix":""},{"dropping-particle":"","family":"Marion","given":"Nedra","non-dropping-particle":"","parse-names":false,"suffix":""},{"dropping-particle":"","family":"Peterson","given":"Delayne","non-dropping-particle":"","parse-names":false,"suffix":""},{"dropping-particle":"","family":"Sholtz","given":"Lee","non-dropping-particle":"","parse-names":false,"suffix":""},{"dropping-particle":"","family":"Smith","given":"Valerie","non-dropping-particle":"","parse-names":false,"suffix":""}],"container-title":"Infection Control &amp; Hospital Epidemiology","id":"ITEM-1","issue":"1","issued":{"date-parts":[["2008","1"]]},"page":"8-15","publisher":"Cambridge University Press","title":"Prospective, Controlled, Cross-Over Trial of Alcohol-Based Hand Gel in Critical Care Units","type":"article-journal","volume":"29"},"uris":["http://www.mendeley.com/documents/?uuid=7e893da9-d178-396f-a7fa-829d988db1ff"]}],"mendeley":{"formattedCitation":"[9]","plainTextFormattedCitation":"[9]","previouslyFormattedCitation":"[9]"},"properties":{"noteIndex":0},"schema":"https://github.com/citation-style-language/schema/raw/master/csl-citation.json"}</w:instrText>
            </w:r>
            <w:r w:rsidRPr="00105F3F">
              <w:rPr>
                <w:rFonts w:asciiTheme="majorBidi" w:hAnsiTheme="majorBidi" w:cstheme="majorBidi"/>
                <w:sz w:val="20"/>
                <w:szCs w:val="20"/>
              </w:rPr>
              <w:fldChar w:fldCharType="separate"/>
            </w:r>
            <w:r w:rsidR="004F21C2" w:rsidRPr="004F21C2">
              <w:rPr>
                <w:rFonts w:asciiTheme="majorBidi" w:hAnsiTheme="majorBidi" w:cstheme="majorBidi"/>
                <w:noProof/>
                <w:sz w:val="20"/>
                <w:szCs w:val="20"/>
              </w:rPr>
              <w:t>[9]</w:t>
            </w:r>
            <w:r w:rsidRPr="00105F3F">
              <w:rPr>
                <w:rFonts w:asciiTheme="majorBidi" w:hAnsiTheme="majorBidi" w:cstheme="majorBidi"/>
                <w:sz w:val="20"/>
                <w:szCs w:val="20"/>
              </w:rPr>
              <w:fldChar w:fldCharType="end"/>
            </w:r>
          </w:p>
        </w:tc>
        <w:tc>
          <w:tcPr>
            <w:tcW w:w="625" w:type="pct"/>
            <w:vAlign w:val="center"/>
          </w:tcPr>
          <w:p w14:paraId="361B89FD"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w:t>
            </w:r>
            <w:r>
              <w:rPr>
                <w:rFonts w:asciiTheme="majorBidi" w:hAnsiTheme="majorBidi" w:cstheme="majorBidi"/>
                <w:sz w:val="20"/>
                <w:szCs w:val="20"/>
              </w:rPr>
              <w:t>.4</w:t>
            </w:r>
            <w:r w:rsidRPr="00105F3F">
              <w:rPr>
                <w:rFonts w:asciiTheme="majorBidi" w:hAnsiTheme="majorBidi" w:cstheme="majorBidi"/>
                <w:sz w:val="20"/>
                <w:szCs w:val="20"/>
              </w:rPr>
              <w:t xml:space="preserve">,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1]</w:t>
            </w:r>
          </w:p>
        </w:tc>
        <w:tc>
          <w:tcPr>
            <w:tcW w:w="485" w:type="pct"/>
            <w:vAlign w:val="center"/>
          </w:tcPr>
          <w:p w14:paraId="59897711"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Simulation</w:t>
            </w:r>
          </w:p>
        </w:tc>
      </w:tr>
      <w:tr w:rsidR="00223C41" w:rsidRPr="00105F3F" w14:paraId="10FDFB0C" w14:textId="77777777" w:rsidTr="00513E7F">
        <w:tc>
          <w:tcPr>
            <w:tcW w:w="2535" w:type="pct"/>
          </w:tcPr>
          <w:p w14:paraId="4B1D0D6D"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sidRPr="00105F3F">
              <w:rPr>
                <w:rFonts w:asciiTheme="majorBidi" w:hAnsiTheme="majorBidi" w:cstheme="majorBidi"/>
                <w:sz w:val="20"/>
                <w:szCs w:val="20"/>
              </w:rPr>
              <w:t>Probability of room contamination by colonized patients per day (</w:t>
            </w:r>
            <m:oMath>
              <m:sSub>
                <m:sSubPr>
                  <m:ctrlPr>
                    <w:rPr>
                      <w:rFonts w:ascii="Cambria Math" w:hAnsi="Cambria Math" w:cstheme="majorBidi"/>
                      <w:i/>
                      <w:sz w:val="20"/>
                      <w:szCs w:val="20"/>
                    </w:rPr>
                  </m:ctrlPr>
                </m:sSubPr>
                <m:e>
                  <m:r>
                    <w:rPr>
                      <w:rFonts w:ascii="Cambria Math" w:hAnsi="Cambria Math" w:cstheme="majorBidi"/>
                      <w:sz w:val="20"/>
                      <w:szCs w:val="20"/>
                    </w:rPr>
                    <m:t>P</m:t>
                  </m:r>
                </m:e>
                <m:sub>
                  <m:r>
                    <w:rPr>
                      <w:rFonts w:ascii="Cambria Math" w:hAnsi="Cambria Math" w:cstheme="majorBidi"/>
                      <w:sz w:val="20"/>
                      <w:szCs w:val="20"/>
                    </w:rPr>
                    <m:t>pr</m:t>
                  </m:r>
                </m:sub>
              </m:sSub>
            </m:oMath>
            <w:r w:rsidRPr="00105F3F">
              <w:rPr>
                <w:rFonts w:asciiTheme="majorBidi" w:hAnsiTheme="majorBidi" w:cstheme="majorBidi"/>
                <w:sz w:val="20"/>
                <w:szCs w:val="20"/>
              </w:rPr>
              <w:t>)</w:t>
            </w:r>
          </w:p>
        </w:tc>
        <w:tc>
          <w:tcPr>
            <w:tcW w:w="764" w:type="pct"/>
            <w:vAlign w:val="center"/>
          </w:tcPr>
          <w:p w14:paraId="3498F780"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0.4, </w:t>
            </w:r>
            <m:oMath>
              <m:r>
                <w:rPr>
                  <w:rFonts w:ascii="Cambria Math" w:hAnsi="Cambria Math" w:cstheme="majorBidi"/>
                  <w:sz w:val="20"/>
                  <w:szCs w:val="20"/>
                </w:rPr>
                <m:t>b</m:t>
              </m:r>
            </m:oMath>
            <w:r w:rsidRPr="00105F3F">
              <w:rPr>
                <w:rFonts w:asciiTheme="majorBidi" w:hAnsiTheme="majorBidi" w:cstheme="majorBidi"/>
                <w:sz w:val="20"/>
                <w:szCs w:val="20"/>
              </w:rPr>
              <w:t xml:space="preserve"> = 0.8</w:t>
            </w:r>
            <w:r>
              <w:rPr>
                <w:rFonts w:asciiTheme="majorBidi" w:hAnsiTheme="majorBidi" w:cstheme="majorBidi"/>
                <w:sz w:val="20"/>
                <w:szCs w:val="20"/>
              </w:rPr>
              <w:t>]</w:t>
            </w:r>
          </w:p>
        </w:tc>
        <w:tc>
          <w:tcPr>
            <w:tcW w:w="591" w:type="pct"/>
            <w:vAlign w:val="center"/>
          </w:tcPr>
          <w:p w14:paraId="6B5BA85D" w14:textId="5F671124"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fldChar w:fldCharType="begin" w:fldLock="1"/>
            </w:r>
            <w:r w:rsidR="00614E4E">
              <w:rPr>
                <w:rFonts w:asciiTheme="majorBidi" w:hAnsiTheme="majorBidi" w:cstheme="majorBidi"/>
                <w:sz w:val="20"/>
                <w:szCs w:val="20"/>
              </w:rPr>
              <w:instrText>ADDIN CSL_CITATION {"citationItems":[{"id":"ITEM-1","itemData":{"DOI":"10.1017/ICE.2018.342","ISSN":"0899-823X","PMID":"30777587","abstract":"Objective:Medical procedures and patient care activities may facilitate environmental dissemination of healthcare-associated pathogens such as methicillin-resistant Staphylococcus aureus (MRSA).Design:Observational cohort study of MRSA-colonized patients to determine the frequency of and risk factors for environmental shedding of MRSA during procedures and care activities in carriers with positive nares and/or wound cultures. Bivariate analyses were performed to identify factors associated with environmental shedding.Setting:A Veterans Affairs hospital.Participants:This study included 75 patients in contact precautions for MRSA colonization or infection.Results:Of 75 patients in contact precautions for MRSA, 55 (73%) had MRSA in nares and/or wounds and 25 (33%) had positive skin cultures. For the 52 patients with MRSA in nares and/or wounds and at least 1 observed procedure, environmental shedding of MRSA occurred more frequently during procedures and care activities than in the absence of a procedure (59 of 138, 43% vs 8 of 83, 10%; P &amp;lt; .001). During procedures, increased shedding occurred ≤0.9 m versus &amp;gt;0.9 m from the patient (52 of 138, 38% vs 25 of 138, 18%; P = .0004). Contamination occurred frequently on surfaces touched by personnel (12 of 38, 32%) and on portable equipment used for procedures (25 of 101, 25%). By bivariate analysis, the presence of a wound with MRSA was associated with shedding (17 of 29, 59% versus 6 of 23, 26%; P = .04).Conclusions:Environmental shedding of MRSA occurs frequently during medical procedures and patient care activities. There is a need for effective strategies to disinfect surfaces and equipment after procedures.","author":[{"dropping-particle":"","family":"Alhmidi","given":"Heba","non-dropping-particle":"","parse-names":false,"suffix":""},{"dropping-particle":"","family":"Cadnum","given":"Jennifer L.","non-dropping-particle":"","parse-names":false,"suffix":""},{"dropping-particle":"","family":"Koganti","given":"Sreelatha","non-dropping-particle":"","parse-names":false,"suffix":""},{"dropping-particle":"","family":"Jencson","given":"Annette L.","non-dropping-particle":"","parse-names":false,"suffix":""},{"dropping-particle":"","family":"Rutter","given":"Joseph D.","non-dropping-particle":"","parse-names":false,"suffix":""},{"dropping-particle":"","family":"Bonomo","given":"Robert A.","non-dropping-particle":"","parse-names":false,"suffix":""},{"dropping-particle":"","family":"Wilson","given":"Brigid M.","non-dropping-particle":"","parse-names":false,"suffix":""},{"dropping-particle":"","family":"Mayer","given":"Jeanmarie","non-dropping-particle":"","parse-names":false,"suffix":""},{"dropping-particle":"","family":"Samore","given":"Matthew H.","non-dropping-particle":"","parse-names":false,"suffix":""},{"dropping-particle":"","family":"Donskey","given":"Curtis J.","non-dropping-particle":"","parse-names":false,"suffix":""}],"container-title":"Infection Control &amp; Hospital Epidemiology","id":"ITEM-1","issue":"3","issued":{"date-parts":[["2019","3","1"]]},"page":"328-332","publisher":"Cambridge University Press","title":"Shedding of methicillin-resistant Staphylococcus aureus by colonized patients during procedures and patient care activities","type":"article-journal","volume":"40"},"uris":["http://www.mendeley.com/documents/?uuid=fd59db24-2472-3e5d-a7a9-3eb01d914517"]}],"mendeley":{"formattedCitation":"[12]","plainTextFormattedCitation":"[12]","previouslyFormattedCitation":"[12]"},"properties":{"noteIndex":0},"schema":"https://github.com/citation-style-language/schema/raw/master/csl-citation.json"}</w:instrText>
            </w:r>
            <w:r w:rsidRPr="00105F3F">
              <w:rPr>
                <w:rFonts w:asciiTheme="majorBidi" w:hAnsiTheme="majorBidi" w:cstheme="majorBidi"/>
                <w:sz w:val="20"/>
                <w:szCs w:val="20"/>
              </w:rPr>
              <w:fldChar w:fldCharType="separate"/>
            </w:r>
            <w:r w:rsidR="004F21C2" w:rsidRPr="004F21C2">
              <w:rPr>
                <w:rFonts w:asciiTheme="majorBidi" w:hAnsiTheme="majorBidi" w:cstheme="majorBidi"/>
                <w:noProof/>
                <w:sz w:val="20"/>
                <w:szCs w:val="20"/>
              </w:rPr>
              <w:t>[12]</w:t>
            </w:r>
            <w:r w:rsidRPr="00105F3F">
              <w:rPr>
                <w:rFonts w:asciiTheme="majorBidi" w:hAnsiTheme="majorBidi" w:cstheme="majorBidi"/>
                <w:sz w:val="20"/>
                <w:szCs w:val="20"/>
              </w:rPr>
              <w:fldChar w:fldCharType="end"/>
            </w:r>
          </w:p>
        </w:tc>
        <w:tc>
          <w:tcPr>
            <w:tcW w:w="625" w:type="pct"/>
            <w:vAlign w:val="center"/>
          </w:tcPr>
          <w:p w14:paraId="3656E0D6"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1]</w:t>
            </w:r>
          </w:p>
        </w:tc>
        <w:tc>
          <w:tcPr>
            <w:tcW w:w="485" w:type="pct"/>
            <w:vAlign w:val="center"/>
          </w:tcPr>
          <w:p w14:paraId="3DFC3EB2"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Simulation</w:t>
            </w:r>
          </w:p>
        </w:tc>
      </w:tr>
      <w:tr w:rsidR="00223C41" w:rsidRPr="00105F3F" w14:paraId="03F2EC9A" w14:textId="77777777" w:rsidTr="00513E7F">
        <w:tc>
          <w:tcPr>
            <w:tcW w:w="2535" w:type="pct"/>
          </w:tcPr>
          <w:p w14:paraId="7A94C0AA"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sidRPr="00105F3F">
              <w:rPr>
                <w:rFonts w:asciiTheme="majorBidi" w:hAnsiTheme="majorBidi" w:cstheme="majorBidi"/>
                <w:sz w:val="20"/>
                <w:szCs w:val="20"/>
              </w:rPr>
              <w:t>Probability of transmission from contaminated HCW to susceptible patient (</w:t>
            </w:r>
            <m:oMath>
              <m:sSub>
                <m:sSubPr>
                  <m:ctrlPr>
                    <w:rPr>
                      <w:rFonts w:ascii="Cambria Math" w:hAnsi="Cambria Math" w:cstheme="majorBidi"/>
                      <w:i/>
                      <w:sz w:val="20"/>
                      <w:szCs w:val="20"/>
                    </w:rPr>
                  </m:ctrlPr>
                </m:sSubPr>
                <m:e>
                  <m:r>
                    <w:rPr>
                      <w:rFonts w:ascii="Cambria Math" w:hAnsi="Cambria Math" w:cstheme="majorBidi"/>
                      <w:sz w:val="20"/>
                      <w:szCs w:val="20"/>
                    </w:rPr>
                    <m:t>P</m:t>
                  </m:r>
                </m:e>
                <m:sub>
                  <m:r>
                    <w:rPr>
                      <w:rFonts w:ascii="Cambria Math" w:hAnsi="Cambria Math" w:cstheme="majorBidi"/>
                      <w:sz w:val="20"/>
                      <w:szCs w:val="20"/>
                    </w:rPr>
                    <m:t>hp</m:t>
                  </m:r>
                </m:sub>
              </m:sSub>
            </m:oMath>
            <w:r w:rsidRPr="00105F3F">
              <w:rPr>
                <w:rFonts w:asciiTheme="majorBidi" w:hAnsiTheme="majorBidi" w:cstheme="majorBidi"/>
                <w:sz w:val="20"/>
                <w:szCs w:val="20"/>
              </w:rPr>
              <w:t xml:space="preserve">) </w:t>
            </w:r>
          </w:p>
        </w:tc>
        <w:tc>
          <w:tcPr>
            <w:tcW w:w="764" w:type="pct"/>
            <w:vAlign w:val="center"/>
          </w:tcPr>
          <w:p w14:paraId="37B03AA3"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 </w:t>
            </w:r>
            <m:oMath>
              <m:r>
                <w:rPr>
                  <w:rFonts w:ascii="Cambria Math" w:hAnsi="Cambria Math" w:cstheme="majorBidi"/>
                  <w:sz w:val="20"/>
                  <w:szCs w:val="20"/>
                </w:rPr>
                <m:t>b</m:t>
              </m:r>
            </m:oMath>
            <w:r w:rsidRPr="00105F3F">
              <w:rPr>
                <w:rFonts w:asciiTheme="majorBidi" w:hAnsiTheme="majorBidi" w:cstheme="majorBidi"/>
                <w:sz w:val="20"/>
                <w:szCs w:val="20"/>
              </w:rPr>
              <w:t xml:space="preserve"> = 1</w:t>
            </w:r>
            <w:r>
              <w:rPr>
                <w:rFonts w:asciiTheme="majorBidi" w:hAnsiTheme="majorBidi" w:cstheme="majorBidi"/>
                <w:sz w:val="20"/>
                <w:szCs w:val="20"/>
              </w:rPr>
              <w:t>]</w:t>
            </w:r>
          </w:p>
        </w:tc>
        <w:tc>
          <w:tcPr>
            <w:tcW w:w="591" w:type="pct"/>
            <w:vAlign w:val="center"/>
          </w:tcPr>
          <w:p w14:paraId="7EC642DF"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Assumed</w:t>
            </w:r>
          </w:p>
        </w:tc>
        <w:tc>
          <w:tcPr>
            <w:tcW w:w="625" w:type="pct"/>
            <w:vAlign w:val="center"/>
          </w:tcPr>
          <w:p w14:paraId="1700660B"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1]</w:t>
            </w:r>
          </w:p>
        </w:tc>
        <w:tc>
          <w:tcPr>
            <w:tcW w:w="485" w:type="pct"/>
            <w:vAlign w:val="center"/>
          </w:tcPr>
          <w:p w14:paraId="05575F62"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Simulation</w:t>
            </w:r>
          </w:p>
        </w:tc>
      </w:tr>
      <w:tr w:rsidR="00223C41" w:rsidRPr="00105F3F" w14:paraId="35ED0DA3" w14:textId="77777777" w:rsidTr="00513E7F">
        <w:tc>
          <w:tcPr>
            <w:tcW w:w="2535" w:type="pct"/>
          </w:tcPr>
          <w:p w14:paraId="196B73B0"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sidRPr="00105F3F">
              <w:rPr>
                <w:rFonts w:asciiTheme="majorBidi" w:hAnsiTheme="majorBidi" w:cstheme="majorBidi"/>
                <w:sz w:val="20"/>
                <w:szCs w:val="20"/>
              </w:rPr>
              <w:lastRenderedPageBreak/>
              <w:t>Probability of HCW contamination from a colonized patient (</w:t>
            </w:r>
            <m:oMath>
              <m:sSub>
                <m:sSubPr>
                  <m:ctrlPr>
                    <w:rPr>
                      <w:rFonts w:ascii="Cambria Math" w:hAnsi="Cambria Math" w:cstheme="majorBidi"/>
                      <w:i/>
                      <w:sz w:val="20"/>
                      <w:szCs w:val="20"/>
                    </w:rPr>
                  </m:ctrlPr>
                </m:sSubPr>
                <m:e>
                  <m:r>
                    <w:rPr>
                      <w:rFonts w:ascii="Cambria Math" w:hAnsi="Cambria Math" w:cstheme="majorBidi"/>
                      <w:sz w:val="20"/>
                      <w:szCs w:val="20"/>
                    </w:rPr>
                    <m:t>P</m:t>
                  </m:r>
                </m:e>
                <m:sub>
                  <m:r>
                    <w:rPr>
                      <w:rFonts w:ascii="Cambria Math" w:hAnsi="Cambria Math" w:cstheme="majorBidi"/>
                      <w:sz w:val="20"/>
                      <w:szCs w:val="20"/>
                    </w:rPr>
                    <m:t>ph</m:t>
                  </m:r>
                </m:sub>
              </m:sSub>
            </m:oMath>
            <w:r w:rsidRPr="00105F3F">
              <w:rPr>
                <w:rFonts w:asciiTheme="majorBidi" w:hAnsiTheme="majorBidi" w:cstheme="majorBidi"/>
                <w:sz w:val="20"/>
                <w:szCs w:val="20"/>
              </w:rPr>
              <w:t>)</w:t>
            </w:r>
          </w:p>
        </w:tc>
        <w:tc>
          <w:tcPr>
            <w:tcW w:w="764" w:type="pct"/>
            <w:vAlign w:val="center"/>
          </w:tcPr>
          <w:p w14:paraId="4A41F310"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bookmarkStart w:id="6" w:name="_Hlk159235883"/>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0.4, </w:t>
            </w:r>
            <m:oMath>
              <m:r>
                <w:rPr>
                  <w:rFonts w:ascii="Cambria Math" w:hAnsi="Cambria Math" w:cstheme="majorBidi"/>
                  <w:sz w:val="20"/>
                  <w:szCs w:val="20"/>
                </w:rPr>
                <m:t>b</m:t>
              </m:r>
            </m:oMath>
            <w:r w:rsidRPr="00105F3F">
              <w:rPr>
                <w:rFonts w:asciiTheme="majorBidi" w:hAnsiTheme="majorBidi" w:cstheme="majorBidi"/>
                <w:sz w:val="20"/>
                <w:szCs w:val="20"/>
              </w:rPr>
              <w:t xml:space="preserve"> = 0.8</w:t>
            </w:r>
            <w:r>
              <w:rPr>
                <w:rFonts w:asciiTheme="majorBidi" w:hAnsiTheme="majorBidi" w:cstheme="majorBidi"/>
                <w:sz w:val="20"/>
                <w:szCs w:val="20"/>
              </w:rPr>
              <w:t>]</w:t>
            </w:r>
            <w:bookmarkEnd w:id="6"/>
          </w:p>
        </w:tc>
        <w:tc>
          <w:tcPr>
            <w:tcW w:w="591" w:type="pct"/>
            <w:vAlign w:val="center"/>
          </w:tcPr>
          <w:p w14:paraId="5F169BA1" w14:textId="164BFF52"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fldChar w:fldCharType="begin" w:fldLock="1"/>
            </w:r>
            <w:r w:rsidR="00614E4E">
              <w:rPr>
                <w:rFonts w:asciiTheme="majorBidi" w:hAnsiTheme="majorBidi" w:cstheme="majorBidi"/>
                <w:sz w:val="20"/>
                <w:szCs w:val="20"/>
              </w:rPr>
              <w:instrText>ADDIN CSL_CITATION {"citationItems":[{"id":"ITEM-1","itemData":{"DOI":"10.1017/ICE.2018.342","ISSN":"0899-823X","PMID":"30777587","abstract":"Objective:Medical procedures and patient care activities may facilitate environmental dissemination of healthcare-associated pathogens such as methicillin-resistant Staphylococcus aureus (MRSA).Design:Observational cohort study of MRSA-colonized patients to determine the frequency of and risk factors for environmental shedding of MRSA during procedures and care activities in carriers with positive nares and/or wound cultures. Bivariate analyses were performed to identify factors associated with environmental shedding.Setting:A Veterans Affairs hospital.Participants:This study included 75 patients in contact precautions for MRSA colonization or infection.Results:Of 75 patients in contact precautions for MRSA, 55 (73%) had MRSA in nares and/or wounds and 25 (33%) had positive skin cultures. For the 52 patients with MRSA in nares and/or wounds and at least 1 observed procedure, environmental shedding of MRSA occurred more frequently during procedures and care activities than in the absence of a procedure (59 of 138, 43% vs 8 of 83, 10%; P &amp;lt; .001). During procedures, increased shedding occurred ≤0.9 m versus &amp;gt;0.9 m from the patient (52 of 138, 38% vs 25 of 138, 18%; P = .0004). Contamination occurred frequently on surfaces touched by personnel (12 of 38, 32%) and on portable equipment used for procedures (25 of 101, 25%). By bivariate analysis, the presence of a wound with MRSA was associated with shedding (17 of 29, 59% versus 6 of 23, 26%; P = .04).Conclusions:Environmental shedding of MRSA occurs frequently during medical procedures and patient care activities. There is a need for effective strategies to disinfect surfaces and equipment after procedures.","author":[{"dropping-particle":"","family":"Alhmidi","given":"Heba","non-dropping-particle":"","parse-names":false,"suffix":""},{"dropping-particle":"","family":"Cadnum","given":"Jennifer L.","non-dropping-particle":"","parse-names":false,"suffix":""},{"dropping-particle":"","family":"Koganti","given":"Sreelatha","non-dropping-particle":"","parse-names":false,"suffix":""},{"dropping-particle":"","family":"Jencson","given":"Annette L.","non-dropping-particle":"","parse-names":false,"suffix":""},{"dropping-particle":"","family":"Rutter","given":"Joseph D.","non-dropping-particle":"","parse-names":false,"suffix":""},{"dropping-particle":"","family":"Bonomo","given":"Robert A.","non-dropping-particle":"","parse-names":false,"suffix":""},{"dropping-particle":"","family":"Wilson","given":"Brigid M.","non-dropping-particle":"","parse-names":false,"suffix":""},{"dropping-particle":"","family":"Mayer","given":"Jeanmarie","non-dropping-particle":"","parse-names":false,"suffix":""},{"dropping-particle":"","family":"Samore","given":"Matthew H.","non-dropping-particle":"","parse-names":false,"suffix":""},{"dropping-particle":"","family":"Donskey","given":"Curtis J.","non-dropping-particle":"","parse-names":false,"suffix":""}],"container-title":"Infection Control &amp; Hospital Epidemiology","id":"ITEM-1","issue":"3","issued":{"date-parts":[["2019","3","1"]]},"page":"328-332","publisher":"Cambridge University Press","title":"Shedding of methicillin-resistant Staphylococcus aureus by colonized patients during procedures and patient care activities","type":"article-journal","volume":"40"},"uris":["http://www.mendeley.com/documents/?uuid=fd59db24-2472-3e5d-a7a9-3eb01d914517"]}],"mendeley":{"formattedCitation":"[12]","plainTextFormattedCitation":"[12]","previouslyFormattedCitation":"[12]"},"properties":{"noteIndex":0},"schema":"https://github.com/citation-style-language/schema/raw/master/csl-citation.json"}</w:instrText>
            </w:r>
            <w:r w:rsidRPr="00105F3F">
              <w:rPr>
                <w:rFonts w:asciiTheme="majorBidi" w:hAnsiTheme="majorBidi" w:cstheme="majorBidi"/>
                <w:sz w:val="20"/>
                <w:szCs w:val="20"/>
              </w:rPr>
              <w:fldChar w:fldCharType="separate"/>
            </w:r>
            <w:r w:rsidR="004F21C2" w:rsidRPr="004F21C2">
              <w:rPr>
                <w:rFonts w:asciiTheme="majorBidi" w:hAnsiTheme="majorBidi" w:cstheme="majorBidi"/>
                <w:noProof/>
                <w:sz w:val="20"/>
                <w:szCs w:val="20"/>
              </w:rPr>
              <w:t>[12]</w:t>
            </w:r>
            <w:r w:rsidRPr="00105F3F">
              <w:rPr>
                <w:rFonts w:asciiTheme="majorBidi" w:hAnsiTheme="majorBidi" w:cstheme="majorBidi"/>
                <w:sz w:val="20"/>
                <w:szCs w:val="20"/>
              </w:rPr>
              <w:fldChar w:fldCharType="end"/>
            </w:r>
          </w:p>
        </w:tc>
        <w:tc>
          <w:tcPr>
            <w:tcW w:w="625" w:type="pct"/>
            <w:vAlign w:val="center"/>
          </w:tcPr>
          <w:p w14:paraId="015D6222"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1]</w:t>
            </w:r>
          </w:p>
        </w:tc>
        <w:tc>
          <w:tcPr>
            <w:tcW w:w="485" w:type="pct"/>
            <w:vAlign w:val="center"/>
          </w:tcPr>
          <w:p w14:paraId="768A6261"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Simulation</w:t>
            </w:r>
          </w:p>
        </w:tc>
      </w:tr>
      <w:tr w:rsidR="00223C41" w:rsidRPr="00105F3F" w14:paraId="376A20ED" w14:textId="77777777" w:rsidTr="00513E7F">
        <w:tc>
          <w:tcPr>
            <w:tcW w:w="2535" w:type="pct"/>
          </w:tcPr>
          <w:p w14:paraId="623108E5"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sidRPr="00105F3F">
              <w:rPr>
                <w:rFonts w:asciiTheme="majorBidi" w:hAnsiTheme="majorBidi" w:cstheme="majorBidi"/>
                <w:sz w:val="20"/>
                <w:szCs w:val="20"/>
              </w:rPr>
              <w:t>Probability of HCW contamination from contaminated environment (</w:t>
            </w:r>
            <m:oMath>
              <m:sSub>
                <m:sSubPr>
                  <m:ctrlPr>
                    <w:rPr>
                      <w:rFonts w:ascii="Cambria Math" w:hAnsi="Cambria Math" w:cstheme="majorBidi"/>
                      <w:i/>
                      <w:sz w:val="20"/>
                      <w:szCs w:val="20"/>
                    </w:rPr>
                  </m:ctrlPr>
                </m:sSubPr>
                <m:e>
                  <m:r>
                    <w:rPr>
                      <w:rFonts w:ascii="Cambria Math" w:hAnsi="Cambria Math" w:cstheme="majorBidi"/>
                      <w:sz w:val="20"/>
                      <w:szCs w:val="20"/>
                    </w:rPr>
                    <m:t>P</m:t>
                  </m:r>
                </m:e>
                <m:sub>
                  <m:r>
                    <w:rPr>
                      <w:rFonts w:ascii="Cambria Math" w:hAnsi="Cambria Math" w:cstheme="majorBidi"/>
                      <w:sz w:val="20"/>
                      <w:szCs w:val="20"/>
                    </w:rPr>
                    <m:t>rh</m:t>
                  </m:r>
                </m:sub>
              </m:sSub>
            </m:oMath>
            <w:r w:rsidRPr="00105F3F">
              <w:rPr>
                <w:rFonts w:asciiTheme="majorBidi" w:hAnsiTheme="majorBidi" w:cstheme="majorBidi"/>
                <w:sz w:val="20"/>
                <w:szCs w:val="20"/>
              </w:rPr>
              <w:t>)</w:t>
            </w:r>
          </w:p>
        </w:tc>
        <w:tc>
          <w:tcPr>
            <w:tcW w:w="764" w:type="pct"/>
            <w:vAlign w:val="center"/>
          </w:tcPr>
          <w:p w14:paraId="0E2F1B80"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0.4, </w:t>
            </w:r>
            <m:oMath>
              <m:r>
                <w:rPr>
                  <w:rFonts w:ascii="Cambria Math" w:hAnsi="Cambria Math" w:cstheme="majorBidi"/>
                  <w:sz w:val="20"/>
                  <w:szCs w:val="20"/>
                </w:rPr>
                <m:t>b</m:t>
              </m:r>
            </m:oMath>
            <w:r w:rsidRPr="00105F3F">
              <w:rPr>
                <w:rFonts w:asciiTheme="majorBidi" w:hAnsiTheme="majorBidi" w:cstheme="majorBidi"/>
                <w:sz w:val="20"/>
                <w:szCs w:val="20"/>
              </w:rPr>
              <w:t xml:space="preserve"> = 0.8</w:t>
            </w:r>
            <w:r>
              <w:rPr>
                <w:rFonts w:asciiTheme="majorBidi" w:hAnsiTheme="majorBidi" w:cstheme="majorBidi"/>
                <w:sz w:val="20"/>
                <w:szCs w:val="20"/>
              </w:rPr>
              <w:t>]</w:t>
            </w:r>
          </w:p>
        </w:tc>
        <w:tc>
          <w:tcPr>
            <w:tcW w:w="591" w:type="pct"/>
            <w:vAlign w:val="center"/>
          </w:tcPr>
          <w:p w14:paraId="403EBCF7" w14:textId="515EE1E9"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fldChar w:fldCharType="begin" w:fldLock="1"/>
            </w:r>
            <w:r w:rsidR="00614E4E">
              <w:rPr>
                <w:rFonts w:asciiTheme="majorBidi" w:hAnsiTheme="majorBidi" w:cstheme="majorBidi"/>
                <w:sz w:val="20"/>
                <w:szCs w:val="20"/>
              </w:rPr>
              <w:instrText>ADDIN CSL_CITATION {"citationItems":[{"id":"ITEM-1","itemData":{"DOI":"10.1017/ICE.2018.342","ISSN":"0899-823X","PMID":"30777587","abstract":"Objective:Medical procedures and patient care activities may facilitate environmental dissemination of healthcare-associated pathogens such as methicillin-resistant Staphylococcus aureus (MRSA).Design:Observational cohort study of MRSA-colonized patients to determine the frequency of and risk factors for environmental shedding of MRSA during procedures and care activities in carriers with positive nares and/or wound cultures. Bivariate analyses were performed to identify factors associated with environmental shedding.Setting:A Veterans Affairs hospital.Participants:This study included 75 patients in contact precautions for MRSA colonization or infection.Results:Of 75 patients in contact precautions for MRSA, 55 (73%) had MRSA in nares and/or wounds and 25 (33%) had positive skin cultures. For the 52 patients with MRSA in nares and/or wounds and at least 1 observed procedure, environmental shedding of MRSA occurred more frequently during procedures and care activities than in the absence of a procedure (59 of 138, 43% vs 8 of 83, 10%; P &amp;lt; .001). During procedures, increased shedding occurred ≤0.9 m versus &amp;gt;0.9 m from the patient (52 of 138, 38% vs 25 of 138, 18%; P = .0004). Contamination occurred frequently on surfaces touched by personnel (12 of 38, 32%) and on portable equipment used for procedures (25 of 101, 25%). By bivariate analysis, the presence of a wound with MRSA was associated with shedding (17 of 29, 59% versus 6 of 23, 26%; P = .04).Conclusions:Environmental shedding of MRSA occurs frequently during medical procedures and patient care activities. There is a need for effective strategies to disinfect surfaces and equipment after procedures.","author":[{"dropping-particle":"","family":"Alhmidi","given":"Heba","non-dropping-particle":"","parse-names":false,"suffix":""},{"dropping-particle":"","family":"Cadnum","given":"Jennifer L.","non-dropping-particle":"","parse-names":false,"suffix":""},{"dropping-particle":"","family":"Koganti","given":"Sreelatha","non-dropping-particle":"","parse-names":false,"suffix":""},{"dropping-particle":"","family":"Jencson","given":"Annette L.","non-dropping-particle":"","parse-names":false,"suffix":""},{"dropping-particle":"","family":"Rutter","given":"Joseph D.","non-dropping-particle":"","parse-names":false,"suffix":""},{"dropping-particle":"","family":"Bonomo","given":"Robert A.","non-dropping-particle":"","parse-names":false,"suffix":""},{"dropping-particle":"","family":"Wilson","given":"Brigid M.","non-dropping-particle":"","parse-names":false,"suffix":""},{"dropping-particle":"","family":"Mayer","given":"Jeanmarie","non-dropping-particle":"","parse-names":false,"suffix":""},{"dropping-particle":"","family":"Samore","given":"Matthew H.","non-dropping-particle":"","parse-names":false,"suffix":""},{"dropping-particle":"","family":"Donskey","given":"Curtis J.","non-dropping-particle":"","parse-names":false,"suffix":""}],"container-title":"Infection Control &amp; Hospital Epidemiology","id":"ITEM-1","issue":"3","issued":{"date-parts":[["2019","3","1"]]},"page":"328-332","publisher":"Cambridge University Press","title":"Shedding of methicillin-resistant Staphylococcus aureus by colonized patients during procedures and patient care activities","type":"article-journal","volume":"40"},"uris":["http://www.mendeley.com/documents/?uuid=fd59db24-2472-3e5d-a7a9-3eb01d914517"]}],"mendeley":{"formattedCitation":"[12]","plainTextFormattedCitation":"[12]","previouslyFormattedCitation":"[12]"},"properties":{"noteIndex":0},"schema":"https://github.com/citation-style-language/schema/raw/master/csl-citation.json"}</w:instrText>
            </w:r>
            <w:r w:rsidRPr="00105F3F">
              <w:rPr>
                <w:rFonts w:asciiTheme="majorBidi" w:hAnsiTheme="majorBidi" w:cstheme="majorBidi"/>
                <w:sz w:val="20"/>
                <w:szCs w:val="20"/>
              </w:rPr>
              <w:fldChar w:fldCharType="separate"/>
            </w:r>
            <w:r w:rsidR="004F21C2" w:rsidRPr="004F21C2">
              <w:rPr>
                <w:rFonts w:asciiTheme="majorBidi" w:hAnsiTheme="majorBidi" w:cstheme="majorBidi"/>
                <w:noProof/>
                <w:sz w:val="20"/>
                <w:szCs w:val="20"/>
              </w:rPr>
              <w:t>[12]</w:t>
            </w:r>
            <w:r w:rsidRPr="00105F3F">
              <w:rPr>
                <w:rFonts w:asciiTheme="majorBidi" w:hAnsiTheme="majorBidi" w:cstheme="majorBidi"/>
                <w:sz w:val="20"/>
                <w:szCs w:val="20"/>
              </w:rPr>
              <w:fldChar w:fldCharType="end"/>
            </w:r>
          </w:p>
        </w:tc>
        <w:tc>
          <w:tcPr>
            <w:tcW w:w="625" w:type="pct"/>
            <w:vAlign w:val="center"/>
          </w:tcPr>
          <w:p w14:paraId="41E423CD"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1]</w:t>
            </w:r>
          </w:p>
        </w:tc>
        <w:tc>
          <w:tcPr>
            <w:tcW w:w="485" w:type="pct"/>
            <w:vAlign w:val="center"/>
          </w:tcPr>
          <w:p w14:paraId="683E41AB"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Simulation</w:t>
            </w:r>
          </w:p>
        </w:tc>
      </w:tr>
      <w:tr w:rsidR="00223C41" w:rsidRPr="00105F3F" w14:paraId="360B5AF6" w14:textId="77777777" w:rsidTr="00513E7F">
        <w:tc>
          <w:tcPr>
            <w:tcW w:w="2535" w:type="pct"/>
          </w:tcPr>
          <w:p w14:paraId="7D7DFBD6"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sidRPr="00105F3F">
              <w:rPr>
                <w:rFonts w:asciiTheme="majorBidi" w:hAnsiTheme="majorBidi" w:cstheme="majorBidi"/>
                <w:sz w:val="20"/>
                <w:szCs w:val="20"/>
              </w:rPr>
              <w:t>Probability of environmental contamination from contaminated HCW (</w:t>
            </w:r>
            <m:oMath>
              <m:sSub>
                <m:sSubPr>
                  <m:ctrlPr>
                    <w:rPr>
                      <w:rFonts w:ascii="Cambria Math" w:hAnsi="Cambria Math" w:cstheme="majorBidi"/>
                      <w:i/>
                      <w:sz w:val="20"/>
                      <w:szCs w:val="20"/>
                    </w:rPr>
                  </m:ctrlPr>
                </m:sSubPr>
                <m:e>
                  <m:r>
                    <w:rPr>
                      <w:rFonts w:ascii="Cambria Math" w:hAnsi="Cambria Math" w:cstheme="majorBidi"/>
                      <w:sz w:val="20"/>
                      <w:szCs w:val="20"/>
                    </w:rPr>
                    <m:t>P</m:t>
                  </m:r>
                </m:e>
                <m:sub>
                  <m:r>
                    <w:rPr>
                      <w:rFonts w:ascii="Cambria Math" w:hAnsi="Cambria Math" w:cstheme="majorBidi"/>
                      <w:sz w:val="20"/>
                      <w:szCs w:val="20"/>
                    </w:rPr>
                    <m:t>hr</m:t>
                  </m:r>
                </m:sub>
              </m:sSub>
            </m:oMath>
            <w:r w:rsidRPr="00105F3F">
              <w:rPr>
                <w:rFonts w:asciiTheme="majorBidi" w:hAnsiTheme="majorBidi" w:cstheme="majorBidi"/>
                <w:sz w:val="20"/>
                <w:szCs w:val="20"/>
              </w:rPr>
              <w:t>)</w:t>
            </w:r>
          </w:p>
        </w:tc>
        <w:tc>
          <w:tcPr>
            <w:tcW w:w="764" w:type="pct"/>
            <w:vAlign w:val="center"/>
          </w:tcPr>
          <w:p w14:paraId="6533357B"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0.4, </w:t>
            </w:r>
            <m:oMath>
              <m:r>
                <w:rPr>
                  <w:rFonts w:ascii="Cambria Math" w:hAnsi="Cambria Math" w:cstheme="majorBidi"/>
                  <w:sz w:val="20"/>
                  <w:szCs w:val="20"/>
                </w:rPr>
                <m:t>b</m:t>
              </m:r>
            </m:oMath>
            <w:r w:rsidRPr="00105F3F">
              <w:rPr>
                <w:rFonts w:asciiTheme="majorBidi" w:hAnsiTheme="majorBidi" w:cstheme="majorBidi"/>
                <w:sz w:val="20"/>
                <w:szCs w:val="20"/>
              </w:rPr>
              <w:t xml:space="preserve"> = 0.8</w:t>
            </w:r>
            <w:r>
              <w:rPr>
                <w:rFonts w:asciiTheme="majorBidi" w:hAnsiTheme="majorBidi" w:cstheme="majorBidi"/>
                <w:sz w:val="20"/>
                <w:szCs w:val="20"/>
              </w:rPr>
              <w:t>]</w:t>
            </w:r>
          </w:p>
        </w:tc>
        <w:tc>
          <w:tcPr>
            <w:tcW w:w="591" w:type="pct"/>
            <w:vAlign w:val="center"/>
          </w:tcPr>
          <w:p w14:paraId="78978985" w14:textId="4E4E49F4"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fldChar w:fldCharType="begin" w:fldLock="1"/>
            </w:r>
            <w:r w:rsidR="00614E4E">
              <w:rPr>
                <w:rFonts w:asciiTheme="majorBidi" w:hAnsiTheme="majorBidi" w:cstheme="majorBidi"/>
                <w:sz w:val="20"/>
                <w:szCs w:val="20"/>
              </w:rPr>
              <w:instrText>ADDIN CSL_CITATION {"citationItems":[{"id":"ITEM-1","itemData":{"DOI":"10.1017/ICE.2018.342","ISSN":"0899-823X","PMID":"30777587","abstract":"Objective:Medical procedures and patient care activities may facilitate environmental dissemination of healthcare-associated pathogens such as methicillin-resistant Staphylococcus aureus (MRSA).Design:Observational cohort study of MRSA-colonized patients to determine the frequency of and risk factors for environmental shedding of MRSA during procedures and care activities in carriers with positive nares and/or wound cultures. Bivariate analyses were performed to identify factors associated with environmental shedding.Setting:A Veterans Affairs hospital.Participants:This study included 75 patients in contact precautions for MRSA colonization or infection.Results:Of 75 patients in contact precautions for MRSA, 55 (73%) had MRSA in nares and/or wounds and 25 (33%) had positive skin cultures. For the 52 patients with MRSA in nares and/or wounds and at least 1 observed procedure, environmental shedding of MRSA occurred more frequently during procedures and care activities than in the absence of a procedure (59 of 138, 43% vs 8 of 83, 10%; P &amp;lt; .001). During procedures, increased shedding occurred ≤0.9 m versus &amp;gt;0.9 m from the patient (52 of 138, 38% vs 25 of 138, 18%; P = .0004). Contamination occurred frequently on surfaces touched by personnel (12 of 38, 32%) and on portable equipment used for procedures (25 of 101, 25%). By bivariate analysis, the presence of a wound with MRSA was associated with shedding (17 of 29, 59% versus 6 of 23, 26%; P = .04).Conclusions:Environmental shedding of MRSA occurs frequently during medical procedures and patient care activities. There is a need for effective strategies to disinfect surfaces and equipment after procedures.","author":[{"dropping-particle":"","family":"Alhmidi","given":"Heba","non-dropping-particle":"","parse-names":false,"suffix":""},{"dropping-particle":"","family":"Cadnum","given":"Jennifer L.","non-dropping-particle":"","parse-names":false,"suffix":""},{"dropping-particle":"","family":"Koganti","given":"Sreelatha","non-dropping-particle":"","parse-names":false,"suffix":""},{"dropping-particle":"","family":"Jencson","given":"Annette L.","non-dropping-particle":"","parse-names":false,"suffix":""},{"dropping-particle":"","family":"Rutter","given":"Joseph D.","non-dropping-particle":"","parse-names":false,"suffix":""},{"dropping-particle":"","family":"Bonomo","given":"Robert A.","non-dropping-particle":"","parse-names":false,"suffix":""},{"dropping-particle":"","family":"Wilson","given":"Brigid M.","non-dropping-particle":"","parse-names":false,"suffix":""},{"dropping-particle":"","family":"Mayer","given":"Jeanmarie","non-dropping-particle":"","parse-names":false,"suffix":""},{"dropping-particle":"","family":"Samore","given":"Matthew H.","non-dropping-particle":"","parse-names":false,"suffix":""},{"dropping-particle":"","family":"Donskey","given":"Curtis J.","non-dropping-particle":"","parse-names":false,"suffix":""}],"container-title":"Infection Control &amp; Hospital Epidemiology","id":"ITEM-1","issue":"3","issued":{"date-parts":[["2019","3","1"]]},"page":"328-332","publisher":"Cambridge University Press","title":"Shedding of methicillin-resistant Staphylococcus aureus by colonized patients during procedures and patient care activities","type":"article-journal","volume":"40"},"uris":["http://www.mendeley.com/documents/?uuid=fd59db24-2472-3e5d-a7a9-3eb01d914517"]}],"mendeley":{"formattedCitation":"[12]","plainTextFormattedCitation":"[12]","previouslyFormattedCitation":"[12]"},"properties":{"noteIndex":0},"schema":"https://github.com/citation-style-language/schema/raw/master/csl-citation.json"}</w:instrText>
            </w:r>
            <w:r w:rsidRPr="00105F3F">
              <w:rPr>
                <w:rFonts w:asciiTheme="majorBidi" w:hAnsiTheme="majorBidi" w:cstheme="majorBidi"/>
                <w:sz w:val="20"/>
                <w:szCs w:val="20"/>
              </w:rPr>
              <w:fldChar w:fldCharType="separate"/>
            </w:r>
            <w:r w:rsidR="004F21C2" w:rsidRPr="004F21C2">
              <w:rPr>
                <w:rFonts w:asciiTheme="majorBidi" w:hAnsiTheme="majorBidi" w:cstheme="majorBidi"/>
                <w:noProof/>
                <w:sz w:val="20"/>
                <w:szCs w:val="20"/>
              </w:rPr>
              <w:t>[12]</w:t>
            </w:r>
            <w:r w:rsidRPr="00105F3F">
              <w:rPr>
                <w:rFonts w:asciiTheme="majorBidi" w:hAnsiTheme="majorBidi" w:cstheme="majorBidi"/>
                <w:sz w:val="20"/>
                <w:szCs w:val="20"/>
              </w:rPr>
              <w:fldChar w:fldCharType="end"/>
            </w:r>
          </w:p>
        </w:tc>
        <w:tc>
          <w:tcPr>
            <w:tcW w:w="625" w:type="pct"/>
            <w:vAlign w:val="center"/>
          </w:tcPr>
          <w:p w14:paraId="6883AB59"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1]</w:t>
            </w:r>
          </w:p>
        </w:tc>
        <w:tc>
          <w:tcPr>
            <w:tcW w:w="485" w:type="pct"/>
            <w:vAlign w:val="center"/>
          </w:tcPr>
          <w:p w14:paraId="1E51753D"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Simulation</w:t>
            </w:r>
          </w:p>
        </w:tc>
      </w:tr>
      <w:tr w:rsidR="00223C41" w:rsidRPr="00105F3F" w14:paraId="032564F5" w14:textId="77777777" w:rsidTr="00513E7F">
        <w:tc>
          <w:tcPr>
            <w:tcW w:w="2535" w:type="pct"/>
          </w:tcPr>
          <w:p w14:paraId="6CAD52E0"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sidRPr="00105F3F">
              <w:rPr>
                <w:rFonts w:asciiTheme="majorBidi" w:hAnsiTheme="majorBidi" w:cstheme="majorBidi"/>
                <w:sz w:val="20"/>
                <w:szCs w:val="20"/>
              </w:rPr>
              <w:t>Progression time from colonization to infection (</w:t>
            </w: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CI</m:t>
                  </m:r>
                </m:sub>
              </m:sSub>
            </m:oMath>
            <w:r w:rsidRPr="00105F3F">
              <w:rPr>
                <w:rFonts w:asciiTheme="majorBidi" w:hAnsiTheme="majorBidi" w:cstheme="majorBidi"/>
                <w:sz w:val="20"/>
                <w:szCs w:val="20"/>
              </w:rPr>
              <w:t>)</w:t>
            </w:r>
          </w:p>
        </w:tc>
        <w:tc>
          <w:tcPr>
            <w:tcW w:w="764" w:type="pct"/>
            <w:vAlign w:val="center"/>
          </w:tcPr>
          <w:p w14:paraId="50514E77" w14:textId="45802B99" w:rsidR="00223C41" w:rsidRPr="00484D73" w:rsidRDefault="00223C41" w:rsidP="00223C41">
            <w:pPr>
              <w:spacing w:beforeLines="60" w:before="144" w:afterLines="60" w:after="144" w:line="240" w:lineRule="auto"/>
              <w:ind w:left="29" w:right="29"/>
              <w:jc w:val="center"/>
              <w:rPr>
                <w:rFonts w:asciiTheme="majorBidi" w:hAnsiTheme="majorBidi" w:cstheme="majorBidi"/>
                <w:sz w:val="20"/>
                <w:szCs w:val="20"/>
                <w:vertAlign w:val="superscript"/>
              </w:rPr>
            </w:pPr>
            <w:r w:rsidRPr="00105F3F">
              <w:rPr>
                <w:rFonts w:asciiTheme="majorBidi" w:hAnsiTheme="majorBidi" w:cstheme="majorBidi"/>
                <w:sz w:val="20"/>
                <w:szCs w:val="20"/>
              </w:rPr>
              <w:t>GKDE (</w:t>
            </w:r>
            <m:oMath>
              <m:r>
                <w:rPr>
                  <w:rFonts w:ascii="Cambria Math" w:hAnsi="Cambria Math" w:cstheme="majorBidi"/>
                  <w:sz w:val="20"/>
                  <w:szCs w:val="20"/>
                </w:rPr>
                <m:t>m=</m:t>
              </m:r>
            </m:oMath>
            <w:r w:rsidRPr="00105F3F">
              <w:rPr>
                <w:rFonts w:asciiTheme="majorBidi" w:hAnsiTheme="majorBidi" w:cstheme="majorBidi"/>
                <w:sz w:val="20"/>
                <w:szCs w:val="20"/>
              </w:rPr>
              <w:t xml:space="preserve"> 7.1 days, IQR: 1.2–33.</w:t>
            </w:r>
            <w:proofErr w:type="gramStart"/>
            <w:r w:rsidRPr="00105F3F">
              <w:rPr>
                <w:rFonts w:asciiTheme="majorBidi" w:hAnsiTheme="majorBidi" w:cstheme="majorBidi"/>
                <w:sz w:val="20"/>
                <w:szCs w:val="20"/>
              </w:rPr>
              <w:t>4)</w:t>
            </w:r>
            <w:r w:rsidR="00484D73">
              <w:rPr>
                <w:rFonts w:asciiTheme="majorBidi" w:hAnsiTheme="majorBidi" w:cstheme="majorBidi"/>
                <w:sz w:val="20"/>
                <w:szCs w:val="20"/>
                <w:vertAlign w:val="superscript"/>
              </w:rPr>
              <w:t>c</w:t>
            </w:r>
            <w:proofErr w:type="gramEnd"/>
          </w:p>
        </w:tc>
        <w:tc>
          <w:tcPr>
            <w:tcW w:w="591" w:type="pct"/>
            <w:vAlign w:val="center"/>
          </w:tcPr>
          <w:p w14:paraId="5A3C0511"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Pr>
                <w:rFonts w:asciiTheme="majorBidi" w:hAnsiTheme="majorBidi" w:cstheme="majorBidi"/>
                <w:sz w:val="20"/>
                <w:szCs w:val="20"/>
              </w:rPr>
              <w:t>EMR</w:t>
            </w:r>
            <w:r w:rsidRPr="00105F3F">
              <w:rPr>
                <w:rFonts w:asciiTheme="majorBidi" w:hAnsiTheme="majorBidi" w:cstheme="majorBidi"/>
                <w:sz w:val="20"/>
                <w:szCs w:val="20"/>
              </w:rPr>
              <w:t>s</w:t>
            </w:r>
          </w:p>
        </w:tc>
        <w:tc>
          <w:tcPr>
            <w:tcW w:w="625" w:type="pct"/>
            <w:vAlign w:val="center"/>
          </w:tcPr>
          <w:p w14:paraId="4B9B5536"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Pr>
                <w:rFonts w:asciiTheme="majorBidi" w:hAnsiTheme="majorBidi" w:cstheme="majorBidi"/>
                <w:sz w:val="20"/>
                <w:szCs w:val="20"/>
              </w:rPr>
              <w:t>N/A</w:t>
            </w:r>
          </w:p>
        </w:tc>
        <w:tc>
          <w:tcPr>
            <w:tcW w:w="485" w:type="pct"/>
            <w:vAlign w:val="center"/>
          </w:tcPr>
          <w:p w14:paraId="2120D202"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Patient</w:t>
            </w:r>
          </w:p>
        </w:tc>
      </w:tr>
      <w:tr w:rsidR="00223C41" w:rsidRPr="00105F3F" w14:paraId="5C39ACB6" w14:textId="77777777" w:rsidTr="00513E7F">
        <w:tc>
          <w:tcPr>
            <w:tcW w:w="2535" w:type="pct"/>
          </w:tcPr>
          <w:p w14:paraId="4C9EB065"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sidRPr="00105F3F">
              <w:rPr>
                <w:rFonts w:asciiTheme="majorBidi" w:hAnsiTheme="majorBidi" w:cstheme="majorBidi"/>
                <w:sz w:val="20"/>
                <w:szCs w:val="20"/>
              </w:rPr>
              <w:t>Probability of patient direct environmental colonization</w:t>
            </w:r>
            <w:r>
              <w:rPr>
                <w:rFonts w:asciiTheme="majorBidi" w:hAnsiTheme="majorBidi" w:cstheme="majorBidi"/>
                <w:sz w:val="20"/>
                <w:szCs w:val="20"/>
              </w:rPr>
              <w:t xml:space="preserve"> per hour</w:t>
            </w:r>
            <w:r w:rsidRPr="00105F3F">
              <w:rPr>
                <w:rFonts w:asciiTheme="majorBidi" w:hAnsiTheme="majorBid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P</m:t>
                  </m:r>
                </m:e>
                <m:sub>
                  <m:r>
                    <w:rPr>
                      <w:rFonts w:ascii="Cambria Math" w:hAnsi="Cambria Math" w:cstheme="majorBidi"/>
                      <w:sz w:val="20"/>
                      <w:szCs w:val="20"/>
                    </w:rPr>
                    <m:t>rp</m:t>
                  </m:r>
                </m:sub>
              </m:sSub>
            </m:oMath>
            <w:r w:rsidRPr="00105F3F">
              <w:rPr>
                <w:rFonts w:asciiTheme="majorBidi" w:hAnsiTheme="majorBidi" w:cstheme="majorBidi"/>
                <w:sz w:val="20"/>
                <w:szCs w:val="20"/>
              </w:rPr>
              <w:t>)</w:t>
            </w:r>
          </w:p>
        </w:tc>
        <w:tc>
          <w:tcPr>
            <w:tcW w:w="764" w:type="pct"/>
            <w:vAlign w:val="center"/>
          </w:tcPr>
          <w:p w14:paraId="7EE1DEAB"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0.2]</w:t>
            </w:r>
          </w:p>
        </w:tc>
        <w:tc>
          <w:tcPr>
            <w:tcW w:w="591" w:type="pct"/>
            <w:vAlign w:val="center"/>
          </w:tcPr>
          <w:p w14:paraId="3A283E02"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Assumed</w:t>
            </w:r>
          </w:p>
        </w:tc>
        <w:tc>
          <w:tcPr>
            <w:tcW w:w="625" w:type="pct"/>
            <w:vAlign w:val="center"/>
          </w:tcPr>
          <w:p w14:paraId="34DF9E2E"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0.2]</w:t>
            </w:r>
          </w:p>
        </w:tc>
        <w:tc>
          <w:tcPr>
            <w:tcW w:w="485" w:type="pct"/>
            <w:vAlign w:val="center"/>
          </w:tcPr>
          <w:p w14:paraId="01C4212F"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Simulation</w:t>
            </w:r>
          </w:p>
        </w:tc>
      </w:tr>
      <w:tr w:rsidR="00223C41" w:rsidRPr="00105F3F" w14:paraId="22EF90B7" w14:textId="77777777" w:rsidTr="00513E7F">
        <w:tc>
          <w:tcPr>
            <w:tcW w:w="2535" w:type="pct"/>
          </w:tcPr>
          <w:p w14:paraId="2BA3BB81"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sidRPr="00105F3F">
              <w:rPr>
                <w:rFonts w:asciiTheme="majorBidi" w:hAnsiTheme="majorBidi" w:cstheme="majorBidi"/>
                <w:sz w:val="20"/>
                <w:szCs w:val="20"/>
              </w:rPr>
              <w:t>Shedding increase factor for infected (</w:t>
            </w:r>
            <m:oMath>
              <m:sSub>
                <m:sSubPr>
                  <m:ctrlPr>
                    <w:rPr>
                      <w:rFonts w:ascii="Cambria Math" w:hAnsi="Cambria Math" w:cstheme="majorBidi"/>
                      <w:i/>
                      <w:sz w:val="20"/>
                      <w:szCs w:val="20"/>
                    </w:rPr>
                  </m:ctrlPr>
                </m:sSubPr>
                <m:e>
                  <m:r>
                    <w:rPr>
                      <w:rFonts w:ascii="Cambria Math" w:hAnsi="Cambria Math" w:cstheme="majorBidi"/>
                      <w:sz w:val="20"/>
                      <w:szCs w:val="20"/>
                    </w:rPr>
                    <m:t>π</m:t>
                  </m:r>
                </m:e>
                <m:sub>
                  <m:r>
                    <w:rPr>
                      <w:rFonts w:ascii="Cambria Math" w:hAnsi="Cambria Math" w:cstheme="majorBidi"/>
                      <w:sz w:val="20"/>
                      <w:szCs w:val="20"/>
                    </w:rPr>
                    <m:t>I</m:t>
                  </m:r>
                </m:sub>
              </m:sSub>
            </m:oMath>
            <w:r w:rsidRPr="00105F3F">
              <w:rPr>
                <w:rFonts w:asciiTheme="majorBidi" w:hAnsiTheme="majorBidi" w:cstheme="majorBidi"/>
                <w:sz w:val="20"/>
                <w:szCs w:val="20"/>
              </w:rPr>
              <w:t>)</w:t>
            </w:r>
          </w:p>
        </w:tc>
        <w:tc>
          <w:tcPr>
            <w:tcW w:w="764" w:type="pct"/>
            <w:vAlign w:val="center"/>
          </w:tcPr>
          <w:p w14:paraId="435D183C"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1, </w:t>
            </w:r>
            <m:oMath>
              <m:r>
                <w:rPr>
                  <w:rFonts w:ascii="Cambria Math" w:hAnsi="Cambria Math" w:cstheme="majorBidi"/>
                  <w:sz w:val="20"/>
                  <w:szCs w:val="20"/>
                </w:rPr>
                <m:t>b</m:t>
              </m:r>
            </m:oMath>
            <w:r w:rsidRPr="00105F3F">
              <w:rPr>
                <w:rFonts w:asciiTheme="majorBidi" w:hAnsiTheme="majorBidi" w:cstheme="majorBidi"/>
                <w:sz w:val="20"/>
                <w:szCs w:val="20"/>
              </w:rPr>
              <w:t xml:space="preserve"> = 2</w:t>
            </w:r>
            <w:r>
              <w:rPr>
                <w:rFonts w:asciiTheme="majorBidi" w:hAnsiTheme="majorBidi" w:cstheme="majorBidi"/>
                <w:sz w:val="20"/>
                <w:szCs w:val="20"/>
              </w:rPr>
              <w:t>]</w:t>
            </w:r>
          </w:p>
        </w:tc>
        <w:tc>
          <w:tcPr>
            <w:tcW w:w="591" w:type="pct"/>
            <w:vAlign w:val="center"/>
          </w:tcPr>
          <w:p w14:paraId="65777D80" w14:textId="4B134C45"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 xml:space="preserve">Assumed </w:t>
            </w:r>
            <w:r w:rsidRPr="00105F3F">
              <w:rPr>
                <w:rFonts w:asciiTheme="majorBidi" w:hAnsiTheme="majorBidi" w:cstheme="majorBidi"/>
                <w:sz w:val="20"/>
                <w:szCs w:val="20"/>
              </w:rPr>
              <w:fldChar w:fldCharType="begin" w:fldLock="1"/>
            </w:r>
            <w:r w:rsidR="00614E4E">
              <w:rPr>
                <w:rFonts w:asciiTheme="majorBidi" w:hAnsiTheme="majorBidi" w:cstheme="majorBidi"/>
                <w:sz w:val="20"/>
                <w:szCs w:val="20"/>
              </w:rPr>
              <w:instrText>ADDIN CSL_CITATION {"citationItems":[{"id":"ITEM-1","itemData":{"DOI":"10.1287/IJOC.2019.0916","ISSN":"15265528","abstract":"The transmission of multidrug-resistant organisms (MDROs) in the healthcare setting is an ongoing challenge affecting at least 2 million patients in the United States each year via infection and le...","author":[{"dropping-particle":"","family":"Barnes","given":"Sean L.","non-dropping-particle":"","parse-names":false,"suffix":""},{"dropping-particle":"","family":"Myers","given":"Miranda","non-dropping-particle":"","parse-names":false,"suffix":""},{"dropping-particle":"","family":"Rock","given":"Clare","non-dropping-particle":"","parse-names":false,"suffix":""},{"dropping-particle":"","family":"Morgan","given":"Daniel J.","non-dropping-particle":"","parse-names":false,"suffix":""},{"dropping-particle":"","family":"Pineles","given":"Lisa","non-dropping-particle":"","parse-names":false,"suffix":""},{"dropping-particle":"","family":"Thom","given":"Kerri A.","non-dropping-particle":"","parse-names":false,"suffix":""},{"dropping-particle":"","family":"Harris","given":"Anthony D.","non-dropping-particle":"","parse-names":false,"suffix":""}],"container-title":"https://doi.org/10.1287/ijoc.2019.0916","id":"ITEM-1","issue":"4","issued":{"date-parts":[["2020","4","8"]]},"page":"912-929","publisher":"INFORMS","title":"Evaluating a Prediction-Driven Targeting Strategy for Reducing the Transmission of Multidrug-Resistant Organisms","type":"article-journal","volume":"32"},"uris":["http://www.mendeley.com/documents/?uuid=d43edac4-8a69-33f9-b91c-c1e557d7bf36"]}],"mendeley":{"formattedCitation":"[13]","plainTextFormattedCitation":"[13]","previouslyFormattedCitation":"[13]"},"properties":{"noteIndex":0},"schema":"https://github.com/citation-style-language/schema/raw/master/csl-citation.json"}</w:instrText>
            </w:r>
            <w:r w:rsidRPr="00105F3F">
              <w:rPr>
                <w:rFonts w:asciiTheme="majorBidi" w:hAnsiTheme="majorBidi" w:cstheme="majorBidi"/>
                <w:sz w:val="20"/>
                <w:szCs w:val="20"/>
              </w:rPr>
              <w:fldChar w:fldCharType="separate"/>
            </w:r>
            <w:r w:rsidR="004F21C2" w:rsidRPr="004F21C2">
              <w:rPr>
                <w:rFonts w:asciiTheme="majorBidi" w:hAnsiTheme="majorBidi" w:cstheme="majorBidi"/>
                <w:noProof/>
                <w:sz w:val="20"/>
                <w:szCs w:val="20"/>
              </w:rPr>
              <w:t>[13]</w:t>
            </w:r>
            <w:r w:rsidRPr="00105F3F">
              <w:rPr>
                <w:rFonts w:asciiTheme="majorBidi" w:hAnsiTheme="majorBidi" w:cstheme="majorBidi"/>
                <w:sz w:val="20"/>
                <w:szCs w:val="20"/>
              </w:rPr>
              <w:fldChar w:fldCharType="end"/>
            </w:r>
          </w:p>
        </w:tc>
        <w:tc>
          <w:tcPr>
            <w:tcW w:w="625" w:type="pct"/>
            <w:vAlign w:val="center"/>
          </w:tcPr>
          <w:p w14:paraId="3416912F"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w:t>
            </w:r>
            <w:r>
              <w:rPr>
                <w:rFonts w:asciiTheme="majorBidi" w:hAnsiTheme="majorBidi" w:cstheme="majorBidi"/>
                <w:sz w:val="20"/>
                <w:szCs w:val="20"/>
              </w:rPr>
              <w:t>1</w:t>
            </w:r>
            <w:r w:rsidRPr="00105F3F">
              <w:rPr>
                <w:rFonts w:asciiTheme="majorBidi" w:hAnsiTheme="majorBidi" w:cstheme="majorBidi"/>
                <w:sz w:val="20"/>
                <w:szCs w:val="20"/>
              </w:rPr>
              <w:t xml:space="preserve">,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2]</w:t>
            </w:r>
          </w:p>
        </w:tc>
        <w:tc>
          <w:tcPr>
            <w:tcW w:w="485" w:type="pct"/>
            <w:vAlign w:val="center"/>
          </w:tcPr>
          <w:p w14:paraId="60CC9150"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Simulation</w:t>
            </w:r>
          </w:p>
        </w:tc>
      </w:tr>
      <w:tr w:rsidR="00223C41" w:rsidRPr="00105F3F" w14:paraId="0241F438" w14:textId="77777777" w:rsidTr="00513E7F">
        <w:tc>
          <w:tcPr>
            <w:tcW w:w="2535" w:type="pct"/>
          </w:tcPr>
          <w:p w14:paraId="5B8F9079" w14:textId="77777777" w:rsidR="00223C41" w:rsidRPr="00105F3F" w:rsidRDefault="00223C41" w:rsidP="00223C41">
            <w:pPr>
              <w:spacing w:beforeLines="60" w:before="144" w:afterLines="60" w:after="144" w:line="240" w:lineRule="auto"/>
              <w:ind w:left="29" w:right="29"/>
              <w:rPr>
                <w:rFonts w:asciiTheme="majorBidi" w:hAnsiTheme="majorBidi" w:cstheme="majorBidi"/>
                <w:sz w:val="20"/>
                <w:szCs w:val="20"/>
              </w:rPr>
            </w:pPr>
            <w:r w:rsidRPr="00105F3F">
              <w:rPr>
                <w:rFonts w:asciiTheme="majorBidi" w:hAnsiTheme="majorBidi" w:cstheme="majorBidi"/>
                <w:sz w:val="20"/>
                <w:szCs w:val="20"/>
              </w:rPr>
              <w:t>Pathogen natural clearance rate from dry surfaces per day (</w:t>
            </w:r>
            <m:oMath>
              <m:r>
                <w:rPr>
                  <w:rFonts w:ascii="Cambria Math" w:hAnsi="Cambria Math" w:cstheme="majorBidi"/>
                  <w:sz w:val="20"/>
                  <w:szCs w:val="20"/>
                </w:rPr>
                <m:t>λ</m:t>
              </m:r>
            </m:oMath>
            <w:r w:rsidRPr="00105F3F">
              <w:rPr>
                <w:rFonts w:asciiTheme="majorBidi" w:hAnsiTheme="majorBidi" w:cstheme="majorBidi"/>
                <w:sz w:val="20"/>
                <w:szCs w:val="20"/>
              </w:rPr>
              <w:t>)</w:t>
            </w:r>
          </w:p>
        </w:tc>
        <w:tc>
          <w:tcPr>
            <w:tcW w:w="764" w:type="pct"/>
            <w:vAlign w:val="center"/>
          </w:tcPr>
          <w:p w14:paraId="2DA6638D"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 </w:t>
            </w:r>
            <m:oMath>
              <m:r>
                <w:rPr>
                  <w:rFonts w:ascii="Cambria Math" w:hAnsi="Cambria Math" w:cstheme="majorBidi"/>
                  <w:sz w:val="20"/>
                  <w:szCs w:val="20"/>
                </w:rPr>
                <m:t>b</m:t>
              </m:r>
            </m:oMath>
            <w:r w:rsidRPr="00105F3F">
              <w:rPr>
                <w:rFonts w:asciiTheme="majorBidi" w:hAnsiTheme="majorBidi" w:cstheme="majorBidi"/>
                <w:sz w:val="20"/>
                <w:szCs w:val="20"/>
              </w:rPr>
              <w:t xml:space="preserve"> = 0.01</w:t>
            </w:r>
            <w:r>
              <w:rPr>
                <w:rFonts w:asciiTheme="majorBidi" w:hAnsiTheme="majorBidi" w:cstheme="majorBidi"/>
                <w:sz w:val="20"/>
                <w:szCs w:val="20"/>
              </w:rPr>
              <w:t>]</w:t>
            </w:r>
          </w:p>
        </w:tc>
        <w:tc>
          <w:tcPr>
            <w:tcW w:w="591" w:type="pct"/>
            <w:vAlign w:val="center"/>
          </w:tcPr>
          <w:p w14:paraId="6345D9C8" w14:textId="68D5FE3D"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fldChar w:fldCharType="begin" w:fldLock="1"/>
            </w:r>
            <w:r w:rsidR="00614E4E">
              <w:rPr>
                <w:rFonts w:asciiTheme="majorBidi" w:hAnsiTheme="majorBidi" w:cstheme="majorBidi"/>
                <w:sz w:val="20"/>
                <w:szCs w:val="20"/>
              </w:rPr>
              <w:instrText>ADDIN CSL_CITATION {"citationItems":[{"id":"ITEM-1","itemData":{"DOI":"10.1128/CMR.13.4.686","ISSN":"0893-8512","abstract":"SUMMARY After they were first identified in the mid-1980s, vancomycin-resistant enterococci (VRE) spread rapidly and became a major problem in many institutions both in Europe and the United States...","author":[{"dropping-particle":"","family":"Cetinkaya","given":"Yesim","non-dropping-particle":"","parse-names":false,"suffix":""},{"dropping-particle":"","family":"Falk","given":"Pamela","non-dropping-particle":"","parse-names":false,"suffix":""},{"dropping-particle":"","family":"Mayhall","given":"C. Glen","non-dropping-particle":"","parse-names":false,"suffix":""}],"container-title":"Clinical Microbiology Reviews","id":"ITEM-1","issue":"4","issued":{"date-parts":[["2000","10"]]},"page":"686-707","publisher":"\nAmerican Society for Microbiology\n","title":"Vancomycin-Resistant Enterococci","type":"article-journal","volume":"13"},"uris":["http://www.mendeley.com/documents/?uuid=5a0f78b2-c774-34fb-a8cb-e224d056d181"]},{"id":"ITEM-2","itemData":{"DOI":"10.1128/JCM.38.2.724-726.2000","ISSN":"00951137","PMID":"10655374","abstract":"ABSTRACT The transfer of gram-positive bacteria, particularly multiresistantStaphylococcus aureus (MRSA) and vancomycin-resistant enterococci (VRE), among patients is a growing concern. One critica...","author":[{"dropping-particle":"","family":"Neely","given":"Alice N.","non-dropping-particle":"","parse-names":false,"suffix":""},{"dropping-particle":"","family":"Maley","given":"Matthew P.","non-dropping-particle":"","parse-names":false,"suffix":""}],"container-title":"Journal of Clinical Microbiology","id":"ITEM-2","issue":"2","issued":{"date-parts":[["2000"]]},"page":"724-726","publisher":"\nAmerican Society for Microbiology\n","title":"Survival of Enterococci and Staphylococci on Hospital Fabrics and Plastic","type":"article-journal","volume":"38"},"uris":["http://www.mendeley.com/documents/?uuid=89d7b977-77e0-3cae-97da-2f28e2c5097d"]}],"mendeley":{"formattedCitation":"[14,15]","plainTextFormattedCitation":"[14,15]","previouslyFormattedCitation":"[14,15]"},"properties":{"noteIndex":0},"schema":"https://github.com/citation-style-language/schema/raw/master/csl-citation.json"}</w:instrText>
            </w:r>
            <w:r w:rsidRPr="00105F3F">
              <w:rPr>
                <w:rFonts w:asciiTheme="majorBidi" w:hAnsiTheme="majorBidi" w:cstheme="majorBidi"/>
                <w:sz w:val="20"/>
                <w:szCs w:val="20"/>
              </w:rPr>
              <w:fldChar w:fldCharType="separate"/>
            </w:r>
            <w:r w:rsidR="004F21C2" w:rsidRPr="004F21C2">
              <w:rPr>
                <w:rFonts w:asciiTheme="majorBidi" w:hAnsiTheme="majorBidi" w:cstheme="majorBidi"/>
                <w:noProof/>
                <w:sz w:val="20"/>
                <w:szCs w:val="20"/>
              </w:rPr>
              <w:t>[14,15]</w:t>
            </w:r>
            <w:r w:rsidRPr="00105F3F">
              <w:rPr>
                <w:rFonts w:asciiTheme="majorBidi" w:hAnsiTheme="majorBidi" w:cstheme="majorBidi"/>
                <w:sz w:val="20"/>
                <w:szCs w:val="20"/>
              </w:rPr>
              <w:fldChar w:fldCharType="end"/>
            </w:r>
          </w:p>
        </w:tc>
        <w:tc>
          <w:tcPr>
            <w:tcW w:w="625" w:type="pct"/>
            <w:vAlign w:val="center"/>
          </w:tcPr>
          <w:p w14:paraId="09C0CB64"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B81A47">
              <w:rPr>
                <w:rFonts w:asciiTheme="majorBidi" w:hAnsiTheme="majorBidi" w:cstheme="majorBidi"/>
                <w:i/>
                <w:iCs/>
                <w:sz w:val="20"/>
                <w:szCs w:val="20"/>
              </w:rPr>
              <w:t>U</w:t>
            </w:r>
            <w:r>
              <w:rPr>
                <w:rFonts w:asciiTheme="majorBidi" w:hAnsiTheme="majorBidi" w:cstheme="majorBidi"/>
                <w:sz w:val="20"/>
                <w:szCs w:val="20"/>
              </w:rPr>
              <w:t xml:space="preserve"> [</w:t>
            </w:r>
            <m:oMath>
              <m:r>
                <w:rPr>
                  <w:rFonts w:ascii="Cambria Math" w:hAnsi="Cambria Math" w:cstheme="majorBidi"/>
                  <w:sz w:val="20"/>
                  <w:szCs w:val="20"/>
                </w:rPr>
                <m:t>a</m:t>
              </m:r>
            </m:oMath>
            <w:r w:rsidRPr="00105F3F">
              <w:rPr>
                <w:rFonts w:asciiTheme="majorBidi" w:hAnsiTheme="majorBidi" w:cstheme="majorBidi"/>
                <w:sz w:val="20"/>
                <w:szCs w:val="20"/>
              </w:rPr>
              <w:t xml:space="preserve"> = 0, </w:t>
            </w:r>
            <m:oMath>
              <m:r>
                <w:rPr>
                  <w:rFonts w:ascii="Cambria Math" w:hAnsi="Cambria Math" w:cstheme="majorBidi"/>
                  <w:sz w:val="20"/>
                  <w:szCs w:val="20"/>
                </w:rPr>
                <m:t>b</m:t>
              </m:r>
            </m:oMath>
            <w:r w:rsidRPr="00105F3F">
              <w:rPr>
                <w:rFonts w:asciiTheme="majorBidi" w:hAnsiTheme="majorBidi" w:cstheme="majorBidi"/>
                <w:sz w:val="20"/>
                <w:szCs w:val="20"/>
              </w:rPr>
              <w:t xml:space="preserve"> = </w:t>
            </w:r>
            <w:r>
              <w:rPr>
                <w:rFonts w:asciiTheme="majorBidi" w:hAnsiTheme="majorBidi" w:cstheme="majorBidi"/>
                <w:sz w:val="20"/>
                <w:szCs w:val="20"/>
              </w:rPr>
              <w:t>0.1]</w:t>
            </w:r>
          </w:p>
        </w:tc>
        <w:tc>
          <w:tcPr>
            <w:tcW w:w="485" w:type="pct"/>
            <w:vAlign w:val="center"/>
          </w:tcPr>
          <w:p w14:paraId="444766DD" w14:textId="77777777" w:rsidR="00223C41" w:rsidRPr="00105F3F" w:rsidRDefault="00223C41" w:rsidP="00223C41">
            <w:pPr>
              <w:spacing w:beforeLines="60" w:before="144" w:afterLines="60" w:after="144" w:line="240" w:lineRule="auto"/>
              <w:ind w:left="29" w:right="29"/>
              <w:jc w:val="center"/>
              <w:rPr>
                <w:rFonts w:asciiTheme="majorBidi" w:hAnsiTheme="majorBidi" w:cstheme="majorBidi"/>
                <w:sz w:val="20"/>
                <w:szCs w:val="20"/>
              </w:rPr>
            </w:pPr>
            <w:r w:rsidRPr="00105F3F">
              <w:rPr>
                <w:rFonts w:asciiTheme="majorBidi" w:hAnsiTheme="majorBidi" w:cstheme="majorBidi"/>
                <w:sz w:val="20"/>
                <w:szCs w:val="20"/>
              </w:rPr>
              <w:t>Simulation</w:t>
            </w:r>
          </w:p>
        </w:tc>
      </w:tr>
    </w:tbl>
    <w:bookmarkEnd w:id="5"/>
    <w:p w14:paraId="2E31D0DA" w14:textId="77777777" w:rsidR="00223C41" w:rsidRPr="00510028" w:rsidRDefault="00223C41" w:rsidP="00223C41">
      <w:pPr>
        <w:spacing w:after="120" w:line="240" w:lineRule="auto"/>
        <w:rPr>
          <w:rFonts w:asciiTheme="majorBidi" w:hAnsiTheme="majorBidi" w:cstheme="majorBidi"/>
          <w:sz w:val="20"/>
          <w:szCs w:val="20"/>
        </w:rPr>
      </w:pPr>
      <w:r w:rsidRPr="00510028">
        <w:rPr>
          <w:rFonts w:asciiTheme="majorBidi" w:hAnsiTheme="majorBidi" w:cstheme="majorBidi"/>
          <w:sz w:val="20"/>
          <w:szCs w:val="20"/>
          <w:vertAlign w:val="superscript"/>
        </w:rPr>
        <w:t>*</w:t>
      </w:r>
      <w:r w:rsidRPr="00510028">
        <w:rPr>
          <w:rFonts w:asciiTheme="majorBidi" w:hAnsiTheme="majorBidi" w:cstheme="majorBidi"/>
          <w:sz w:val="20"/>
          <w:szCs w:val="20"/>
        </w:rPr>
        <w:t xml:space="preserve"> Used for intervention simulations.</w:t>
      </w:r>
    </w:p>
    <w:p w14:paraId="4E3B1DFD" w14:textId="320DC135" w:rsidR="00223C41" w:rsidRDefault="00223C41" w:rsidP="00223C41">
      <w:pPr>
        <w:spacing w:after="120" w:line="240" w:lineRule="auto"/>
        <w:rPr>
          <w:rFonts w:asciiTheme="majorBidi" w:hAnsiTheme="majorBidi" w:cstheme="majorBidi"/>
          <w:sz w:val="20"/>
          <w:szCs w:val="20"/>
        </w:rPr>
      </w:pPr>
      <w:r w:rsidRPr="00510028">
        <w:rPr>
          <w:rFonts w:asciiTheme="majorBidi" w:hAnsiTheme="majorBidi" w:cstheme="majorBidi"/>
          <w:sz w:val="20"/>
          <w:szCs w:val="20"/>
          <w:vertAlign w:val="superscript"/>
        </w:rPr>
        <w:t>**</w:t>
      </w:r>
      <w:r w:rsidRPr="00510028">
        <w:rPr>
          <w:rFonts w:asciiTheme="majorBidi" w:hAnsiTheme="majorBidi" w:cstheme="majorBidi"/>
          <w:sz w:val="20"/>
          <w:szCs w:val="20"/>
        </w:rPr>
        <w:t xml:space="preserve"> </w:t>
      </w:r>
      <w:r>
        <w:rPr>
          <w:rFonts w:asciiTheme="majorBidi" w:hAnsiTheme="majorBidi" w:cstheme="majorBidi"/>
          <w:sz w:val="20"/>
          <w:szCs w:val="20"/>
        </w:rPr>
        <w:t>U</w:t>
      </w:r>
      <w:r w:rsidRPr="00510028">
        <w:rPr>
          <w:rFonts w:asciiTheme="majorBidi" w:hAnsiTheme="majorBidi" w:cstheme="majorBidi"/>
          <w:sz w:val="20"/>
          <w:szCs w:val="20"/>
        </w:rPr>
        <w:t>sed for uncertainty analysis.</w:t>
      </w:r>
    </w:p>
    <w:p w14:paraId="0DBF06A2" w14:textId="4241EB6D" w:rsidR="00484D73" w:rsidRDefault="00484D73" w:rsidP="00223C41">
      <w:pPr>
        <w:spacing w:after="120" w:line="240" w:lineRule="auto"/>
        <w:rPr>
          <w:rFonts w:asciiTheme="majorBidi" w:hAnsiTheme="majorBidi" w:cstheme="majorBidi"/>
          <w:sz w:val="20"/>
          <w:szCs w:val="20"/>
        </w:rPr>
      </w:pPr>
      <w:r w:rsidRPr="00484D73">
        <w:rPr>
          <w:rFonts w:asciiTheme="majorBidi" w:hAnsiTheme="majorBidi" w:cstheme="majorBidi"/>
          <w:sz w:val="20"/>
          <w:szCs w:val="20"/>
          <w:vertAlign w:val="superscript"/>
        </w:rPr>
        <w:t>a</w:t>
      </w:r>
      <w:r>
        <w:rPr>
          <w:rFonts w:asciiTheme="majorBidi" w:hAnsiTheme="majorBidi" w:cstheme="majorBidi"/>
          <w:sz w:val="20"/>
          <w:szCs w:val="20"/>
        </w:rPr>
        <w:t xml:space="preserve"> </w:t>
      </w:r>
      <w:proofErr w:type="gramStart"/>
      <w:r w:rsidRPr="00484D73">
        <w:rPr>
          <w:rFonts w:asciiTheme="majorBidi" w:hAnsiTheme="majorBidi" w:cstheme="majorBidi"/>
          <w:i/>
          <w:iCs/>
          <w:sz w:val="20"/>
          <w:szCs w:val="20"/>
        </w:rPr>
        <w:t>U[</w:t>
      </w:r>
      <w:proofErr w:type="gramEnd"/>
      <w:r w:rsidRPr="00484D73">
        <w:rPr>
          <w:rFonts w:asciiTheme="majorBidi" w:hAnsiTheme="majorBidi" w:cstheme="majorBidi"/>
          <w:i/>
          <w:iCs/>
          <w:sz w:val="20"/>
          <w:szCs w:val="20"/>
        </w:rPr>
        <w:t>a, b]</w:t>
      </w:r>
      <w:r>
        <w:rPr>
          <w:rFonts w:asciiTheme="majorBidi" w:hAnsiTheme="majorBidi" w:cstheme="majorBidi"/>
          <w:sz w:val="20"/>
          <w:szCs w:val="20"/>
        </w:rPr>
        <w:t xml:space="preserve"> denotes uniform distribution </w:t>
      </w:r>
      <w:r w:rsidR="004C3ADF">
        <w:rPr>
          <w:rFonts w:asciiTheme="majorBidi" w:hAnsiTheme="majorBidi" w:cstheme="majorBidi"/>
          <w:sz w:val="20"/>
          <w:szCs w:val="20"/>
        </w:rPr>
        <w:t>where</w:t>
      </w:r>
      <w:r>
        <w:rPr>
          <w:rFonts w:asciiTheme="majorBidi" w:hAnsiTheme="majorBidi" w:cstheme="majorBidi"/>
          <w:sz w:val="20"/>
          <w:szCs w:val="20"/>
        </w:rPr>
        <w:t xml:space="preserve"> </w:t>
      </w:r>
      <w:r w:rsidRPr="00484D73">
        <w:rPr>
          <w:rFonts w:asciiTheme="majorBidi" w:hAnsiTheme="majorBidi" w:cstheme="majorBidi"/>
          <w:i/>
          <w:iCs/>
          <w:sz w:val="20"/>
          <w:szCs w:val="20"/>
        </w:rPr>
        <w:t>a</w:t>
      </w:r>
      <w:r>
        <w:rPr>
          <w:rFonts w:asciiTheme="majorBidi" w:hAnsiTheme="majorBidi" w:cstheme="majorBidi"/>
          <w:sz w:val="20"/>
          <w:szCs w:val="20"/>
        </w:rPr>
        <w:t xml:space="preserve"> and </w:t>
      </w:r>
      <w:r w:rsidRPr="00484D73">
        <w:rPr>
          <w:rFonts w:asciiTheme="majorBidi" w:hAnsiTheme="majorBidi" w:cstheme="majorBidi"/>
          <w:i/>
          <w:iCs/>
          <w:sz w:val="20"/>
          <w:szCs w:val="20"/>
        </w:rPr>
        <w:t>b</w:t>
      </w:r>
      <w:r>
        <w:rPr>
          <w:rFonts w:asciiTheme="majorBidi" w:hAnsiTheme="majorBidi" w:cstheme="majorBidi"/>
          <w:sz w:val="20"/>
          <w:szCs w:val="20"/>
        </w:rPr>
        <w:t xml:space="preserve"> </w:t>
      </w:r>
      <w:r w:rsidR="004C3ADF">
        <w:rPr>
          <w:rFonts w:asciiTheme="majorBidi" w:hAnsiTheme="majorBidi" w:cstheme="majorBidi"/>
          <w:sz w:val="20"/>
          <w:szCs w:val="20"/>
        </w:rPr>
        <w:t>are</w:t>
      </w:r>
      <w:r>
        <w:rPr>
          <w:rFonts w:asciiTheme="majorBidi" w:hAnsiTheme="majorBidi" w:cstheme="majorBidi"/>
          <w:sz w:val="20"/>
          <w:szCs w:val="20"/>
        </w:rPr>
        <w:t xml:space="preserve"> the lower and upper bounds, respectively.</w:t>
      </w:r>
    </w:p>
    <w:p w14:paraId="7DF98A3B" w14:textId="0D681DC7" w:rsidR="00484D73" w:rsidRDefault="00484D73" w:rsidP="00223C41">
      <w:pPr>
        <w:spacing w:after="120" w:line="240" w:lineRule="auto"/>
        <w:rPr>
          <w:rFonts w:asciiTheme="majorBidi" w:hAnsiTheme="majorBidi" w:cstheme="majorBidi"/>
          <w:i/>
          <w:iCs/>
          <w:sz w:val="20"/>
          <w:szCs w:val="20"/>
        </w:rPr>
      </w:pPr>
      <w:r w:rsidRPr="00484D73">
        <w:rPr>
          <w:rFonts w:asciiTheme="majorBidi" w:hAnsiTheme="majorBidi" w:cstheme="majorBidi"/>
          <w:sz w:val="20"/>
          <w:szCs w:val="20"/>
          <w:vertAlign w:val="superscript"/>
        </w:rPr>
        <w:t>b</w:t>
      </w:r>
      <w:r>
        <w:rPr>
          <w:rFonts w:asciiTheme="majorBidi" w:hAnsiTheme="majorBidi" w:cstheme="majorBidi"/>
          <w:sz w:val="20"/>
          <w:szCs w:val="20"/>
        </w:rPr>
        <w:t xml:space="preserve"> </w:t>
      </w:r>
      <w:proofErr w:type="gramStart"/>
      <w:r w:rsidRPr="00484D73">
        <w:rPr>
          <w:rFonts w:asciiTheme="majorBidi" w:hAnsiTheme="majorBidi" w:cstheme="majorBidi"/>
          <w:i/>
          <w:iCs/>
          <w:sz w:val="20"/>
          <w:szCs w:val="20"/>
        </w:rPr>
        <w:t>Beta(</w:t>
      </w:r>
      <w:proofErr w:type="gramEnd"/>
      <w:r w:rsidRPr="00484D73">
        <w:rPr>
          <w:rFonts w:asciiTheme="majorBidi" w:hAnsiTheme="majorBidi" w:cstheme="majorBidi"/>
          <w:i/>
          <w:iCs/>
          <w:sz w:val="20"/>
          <w:szCs w:val="20"/>
        </w:rPr>
        <w:t>μ, σ)</w:t>
      </w:r>
      <w:r>
        <w:rPr>
          <w:rFonts w:asciiTheme="majorBidi" w:hAnsiTheme="majorBidi" w:cstheme="majorBidi"/>
          <w:sz w:val="20"/>
          <w:szCs w:val="20"/>
        </w:rPr>
        <w:t xml:space="preserve"> denotes Beta distribution </w:t>
      </w:r>
      <w:r w:rsidR="004C3ADF">
        <w:rPr>
          <w:rFonts w:asciiTheme="majorBidi" w:hAnsiTheme="majorBidi" w:cstheme="majorBidi"/>
          <w:sz w:val="20"/>
          <w:szCs w:val="20"/>
        </w:rPr>
        <w:t>where</w:t>
      </w:r>
      <w:r>
        <w:rPr>
          <w:rFonts w:asciiTheme="majorBidi" w:hAnsiTheme="majorBidi" w:cstheme="majorBidi"/>
          <w:sz w:val="20"/>
          <w:szCs w:val="20"/>
        </w:rPr>
        <w:t xml:space="preserve"> </w:t>
      </w:r>
      <w:r w:rsidRPr="00484D73">
        <w:rPr>
          <w:rFonts w:asciiTheme="majorBidi" w:hAnsiTheme="majorBidi" w:cstheme="majorBidi"/>
          <w:i/>
          <w:iCs/>
          <w:sz w:val="20"/>
          <w:szCs w:val="20"/>
        </w:rPr>
        <w:t>μ</w:t>
      </w:r>
      <w:r>
        <w:rPr>
          <w:rFonts w:asciiTheme="majorBidi" w:hAnsiTheme="majorBidi" w:cstheme="majorBidi"/>
          <w:sz w:val="20"/>
          <w:szCs w:val="20"/>
        </w:rPr>
        <w:t xml:space="preserve"> and </w:t>
      </w:r>
      <w:r w:rsidRPr="00484D73">
        <w:rPr>
          <w:rFonts w:asciiTheme="majorBidi" w:hAnsiTheme="majorBidi" w:cstheme="majorBidi"/>
          <w:i/>
          <w:iCs/>
          <w:sz w:val="20"/>
          <w:szCs w:val="20"/>
        </w:rPr>
        <w:t>σ</w:t>
      </w:r>
      <w:r>
        <w:rPr>
          <w:rFonts w:asciiTheme="majorBidi" w:hAnsiTheme="majorBidi" w:cstheme="majorBidi"/>
          <w:sz w:val="20"/>
          <w:szCs w:val="20"/>
        </w:rPr>
        <w:t xml:space="preserve"> </w:t>
      </w:r>
      <w:r w:rsidR="004C3ADF">
        <w:rPr>
          <w:rFonts w:asciiTheme="majorBidi" w:hAnsiTheme="majorBidi" w:cstheme="majorBidi"/>
          <w:sz w:val="20"/>
          <w:szCs w:val="20"/>
        </w:rPr>
        <w:t>are</w:t>
      </w:r>
      <w:r>
        <w:rPr>
          <w:rFonts w:asciiTheme="majorBidi" w:hAnsiTheme="majorBidi" w:cstheme="majorBidi"/>
          <w:sz w:val="20"/>
          <w:szCs w:val="20"/>
        </w:rPr>
        <w:t xml:space="preserve"> the mean and standard deviation.</w:t>
      </w:r>
      <w:r w:rsidR="000F17F8">
        <w:rPr>
          <w:rFonts w:asciiTheme="majorBidi" w:hAnsiTheme="majorBidi" w:cstheme="majorBidi"/>
          <w:sz w:val="20"/>
          <w:szCs w:val="20"/>
        </w:rPr>
        <w:t xml:space="preserve"> The shape parameters of the Beta distribution can be obtained as follows: </w:t>
      </w:r>
      <w:r w:rsidR="000F17F8" w:rsidRPr="000F17F8">
        <w:rPr>
          <w:rFonts w:asciiTheme="majorBidi" w:hAnsiTheme="majorBidi" w:cstheme="majorBidi"/>
          <w:i/>
          <w:iCs/>
          <w:sz w:val="20"/>
          <w:szCs w:val="20"/>
        </w:rPr>
        <w:t>α = (μ</w:t>
      </w:r>
      <w:r w:rsidR="000F17F8" w:rsidRPr="000F17F8">
        <w:rPr>
          <w:rFonts w:asciiTheme="majorBidi" w:hAnsiTheme="majorBidi" w:cstheme="majorBidi"/>
          <w:i/>
          <w:iCs/>
          <w:sz w:val="20"/>
          <w:szCs w:val="20"/>
          <w:vertAlign w:val="superscript"/>
        </w:rPr>
        <w:t>2</w:t>
      </w:r>
      <w:r w:rsidR="000F17F8" w:rsidRPr="000F17F8">
        <w:rPr>
          <w:rFonts w:asciiTheme="majorBidi" w:hAnsiTheme="majorBidi" w:cstheme="majorBidi"/>
          <w:i/>
          <w:iCs/>
          <w:sz w:val="20"/>
          <w:szCs w:val="20"/>
        </w:rPr>
        <w:t xml:space="preserve"> – μ</w:t>
      </w:r>
      <w:r w:rsidR="000F17F8" w:rsidRPr="000F17F8">
        <w:rPr>
          <w:rFonts w:asciiTheme="majorBidi" w:hAnsiTheme="majorBidi" w:cstheme="majorBidi"/>
          <w:i/>
          <w:iCs/>
          <w:sz w:val="20"/>
          <w:szCs w:val="20"/>
          <w:vertAlign w:val="superscript"/>
        </w:rPr>
        <w:t>3</w:t>
      </w:r>
      <w:r w:rsidR="000F17F8" w:rsidRPr="000F17F8">
        <w:rPr>
          <w:rFonts w:asciiTheme="majorBidi" w:hAnsiTheme="majorBidi" w:cstheme="majorBidi"/>
          <w:i/>
          <w:iCs/>
          <w:sz w:val="20"/>
          <w:szCs w:val="20"/>
        </w:rPr>
        <w:t xml:space="preserve"> – μσ</w:t>
      </w:r>
      <w:r w:rsidR="000F17F8" w:rsidRPr="000F17F8">
        <w:rPr>
          <w:rFonts w:asciiTheme="majorBidi" w:hAnsiTheme="majorBidi" w:cstheme="majorBidi"/>
          <w:i/>
          <w:iCs/>
          <w:sz w:val="20"/>
          <w:szCs w:val="20"/>
          <w:vertAlign w:val="superscript"/>
        </w:rPr>
        <w:t>2</w:t>
      </w:r>
      <w:r w:rsidR="000F17F8" w:rsidRPr="000F17F8">
        <w:rPr>
          <w:rFonts w:asciiTheme="majorBidi" w:hAnsiTheme="majorBidi" w:cstheme="majorBidi"/>
          <w:i/>
          <w:iCs/>
          <w:sz w:val="20"/>
          <w:szCs w:val="20"/>
        </w:rPr>
        <w:t>) / σ</w:t>
      </w:r>
      <w:r w:rsidR="000F17F8" w:rsidRPr="000F17F8">
        <w:rPr>
          <w:rFonts w:asciiTheme="majorBidi" w:hAnsiTheme="majorBidi" w:cstheme="majorBidi"/>
          <w:i/>
          <w:iCs/>
          <w:sz w:val="20"/>
          <w:szCs w:val="20"/>
          <w:vertAlign w:val="superscript"/>
        </w:rPr>
        <w:t>2</w:t>
      </w:r>
      <w:r w:rsidR="000F17F8">
        <w:rPr>
          <w:rFonts w:asciiTheme="majorBidi" w:hAnsiTheme="majorBidi" w:cstheme="majorBidi"/>
          <w:i/>
          <w:iCs/>
          <w:sz w:val="20"/>
          <w:szCs w:val="20"/>
        </w:rPr>
        <w:t xml:space="preserve"> and </w:t>
      </w:r>
      <w:r w:rsidR="000F17F8" w:rsidRPr="000F17F8">
        <w:rPr>
          <w:rFonts w:asciiTheme="majorBidi" w:hAnsiTheme="majorBidi" w:cstheme="majorBidi"/>
          <w:i/>
          <w:iCs/>
          <w:sz w:val="20"/>
          <w:szCs w:val="20"/>
        </w:rPr>
        <w:t xml:space="preserve">β = </w:t>
      </w:r>
      <w:proofErr w:type="gramStart"/>
      <w:r w:rsidR="000F17F8" w:rsidRPr="000F17F8">
        <w:rPr>
          <w:rFonts w:asciiTheme="majorBidi" w:hAnsiTheme="majorBidi" w:cstheme="majorBidi"/>
          <w:i/>
          <w:iCs/>
          <w:sz w:val="20"/>
          <w:szCs w:val="20"/>
        </w:rPr>
        <w:t>α(</w:t>
      </w:r>
      <w:proofErr w:type="gramEnd"/>
      <w:r w:rsidR="000F17F8" w:rsidRPr="000F17F8">
        <w:rPr>
          <w:rFonts w:asciiTheme="majorBidi" w:hAnsiTheme="majorBidi" w:cstheme="majorBidi"/>
          <w:i/>
          <w:iCs/>
          <w:sz w:val="20"/>
          <w:szCs w:val="20"/>
        </w:rPr>
        <w:t>1/ μ – 1)</w:t>
      </w:r>
      <w:r w:rsidR="000F17F8">
        <w:rPr>
          <w:rFonts w:asciiTheme="majorBidi" w:hAnsiTheme="majorBidi" w:cstheme="majorBidi"/>
          <w:i/>
          <w:iCs/>
          <w:sz w:val="20"/>
          <w:szCs w:val="20"/>
        </w:rPr>
        <w:t>.</w:t>
      </w:r>
    </w:p>
    <w:p w14:paraId="0D5947C4" w14:textId="13F7BC69" w:rsidR="000F17F8" w:rsidRPr="000F17F8" w:rsidRDefault="000F17F8" w:rsidP="00D76857">
      <w:pPr>
        <w:spacing w:after="120" w:line="240" w:lineRule="auto"/>
        <w:rPr>
          <w:rFonts w:asciiTheme="majorBidi" w:hAnsiTheme="majorBidi" w:cstheme="majorBidi"/>
          <w:sz w:val="20"/>
          <w:szCs w:val="20"/>
        </w:rPr>
      </w:pPr>
      <w:r w:rsidRPr="00D76857">
        <w:rPr>
          <w:rFonts w:asciiTheme="majorBidi" w:hAnsiTheme="majorBidi" w:cstheme="majorBidi"/>
          <w:sz w:val="20"/>
          <w:szCs w:val="20"/>
          <w:vertAlign w:val="superscript"/>
        </w:rPr>
        <w:t>c</w:t>
      </w:r>
      <w:r>
        <w:rPr>
          <w:rFonts w:asciiTheme="majorBidi" w:hAnsiTheme="majorBidi" w:cstheme="majorBidi"/>
          <w:sz w:val="20"/>
          <w:szCs w:val="20"/>
        </w:rPr>
        <w:t xml:space="preserve"> </w:t>
      </w:r>
      <w:proofErr w:type="gramStart"/>
      <w:r w:rsidR="00D76857" w:rsidRPr="00D76857">
        <w:rPr>
          <w:rFonts w:asciiTheme="majorBidi" w:hAnsiTheme="majorBidi" w:cstheme="majorBidi"/>
          <w:i/>
          <w:iCs/>
          <w:sz w:val="20"/>
          <w:szCs w:val="20"/>
        </w:rPr>
        <w:t>GKDE(</w:t>
      </w:r>
      <w:proofErr w:type="gramEnd"/>
      <w:r w:rsidR="00D76857" w:rsidRPr="00D76857">
        <w:rPr>
          <w:rFonts w:asciiTheme="majorBidi" w:hAnsiTheme="majorBidi" w:cstheme="majorBidi"/>
          <w:i/>
          <w:iCs/>
          <w:sz w:val="20"/>
          <w:szCs w:val="20"/>
        </w:rPr>
        <w:t>m, IQR)</w:t>
      </w:r>
      <w:r w:rsidR="00D76857">
        <w:rPr>
          <w:rFonts w:asciiTheme="majorBidi" w:hAnsiTheme="majorBidi" w:cstheme="majorBidi"/>
          <w:sz w:val="20"/>
          <w:szCs w:val="20"/>
        </w:rPr>
        <w:t xml:space="preserve"> denotes </w:t>
      </w:r>
      <w:r w:rsidR="00D76857" w:rsidRPr="00D76857">
        <w:rPr>
          <w:rFonts w:asciiTheme="majorBidi" w:hAnsiTheme="majorBidi" w:cstheme="majorBidi"/>
          <w:sz w:val="20"/>
          <w:szCs w:val="20"/>
        </w:rPr>
        <w:t>Gaussian Kernel Density</w:t>
      </w:r>
      <w:r w:rsidR="00D76857">
        <w:rPr>
          <w:rFonts w:asciiTheme="majorBidi" w:hAnsiTheme="majorBidi" w:cstheme="majorBidi"/>
          <w:sz w:val="20"/>
          <w:szCs w:val="20"/>
        </w:rPr>
        <w:t xml:space="preserve"> where </w:t>
      </w:r>
      <w:r w:rsidR="00D76857" w:rsidRPr="00D76857">
        <w:rPr>
          <w:rFonts w:asciiTheme="majorBidi" w:hAnsiTheme="majorBidi" w:cstheme="majorBidi"/>
          <w:i/>
          <w:iCs/>
          <w:sz w:val="20"/>
          <w:szCs w:val="20"/>
        </w:rPr>
        <w:t>m</w:t>
      </w:r>
      <w:r w:rsidR="00D76857">
        <w:rPr>
          <w:rFonts w:asciiTheme="majorBidi" w:hAnsiTheme="majorBidi" w:cstheme="majorBidi"/>
          <w:sz w:val="20"/>
          <w:szCs w:val="20"/>
        </w:rPr>
        <w:t xml:space="preserve"> and </w:t>
      </w:r>
      <w:r w:rsidR="00D76857" w:rsidRPr="00D76857">
        <w:rPr>
          <w:rFonts w:asciiTheme="majorBidi" w:hAnsiTheme="majorBidi" w:cstheme="majorBidi"/>
          <w:i/>
          <w:iCs/>
          <w:sz w:val="20"/>
          <w:szCs w:val="20"/>
        </w:rPr>
        <w:t>IQR</w:t>
      </w:r>
      <w:r w:rsidR="00D76857">
        <w:rPr>
          <w:rFonts w:asciiTheme="majorBidi" w:hAnsiTheme="majorBidi" w:cstheme="majorBidi"/>
          <w:sz w:val="20"/>
          <w:szCs w:val="20"/>
        </w:rPr>
        <w:t xml:space="preserve"> are median and </w:t>
      </w:r>
      <w:r w:rsidR="00D76857" w:rsidRPr="00D76857">
        <w:rPr>
          <w:rFonts w:asciiTheme="majorBidi" w:hAnsiTheme="majorBidi" w:cstheme="majorBidi"/>
          <w:sz w:val="20"/>
          <w:szCs w:val="20"/>
        </w:rPr>
        <w:t>interquartile range</w:t>
      </w:r>
      <w:r w:rsidR="00D76857">
        <w:rPr>
          <w:rFonts w:asciiTheme="majorBidi" w:hAnsiTheme="majorBidi" w:cstheme="majorBidi"/>
          <w:sz w:val="20"/>
          <w:szCs w:val="20"/>
        </w:rPr>
        <w:t xml:space="preserve">, respectively.  </w:t>
      </w:r>
    </w:p>
    <w:p w14:paraId="753D771E" w14:textId="77777777" w:rsidR="00223C41" w:rsidRDefault="00223C41" w:rsidP="00615A70">
      <w:pPr>
        <w:spacing w:after="120" w:line="276" w:lineRule="auto"/>
        <w:rPr>
          <w:rFonts w:asciiTheme="majorBidi" w:hAnsiTheme="majorBidi" w:cstheme="majorBidi"/>
          <w:szCs w:val="24"/>
        </w:rPr>
      </w:pPr>
    </w:p>
    <w:p w14:paraId="41437F1B" w14:textId="77777777" w:rsidR="00223C41" w:rsidRDefault="00223C41" w:rsidP="00615A70">
      <w:pPr>
        <w:spacing w:after="120" w:line="276" w:lineRule="auto"/>
        <w:rPr>
          <w:rFonts w:asciiTheme="majorBidi" w:hAnsiTheme="majorBidi" w:cstheme="majorBidi"/>
          <w:szCs w:val="24"/>
        </w:rPr>
      </w:pPr>
    </w:p>
    <w:p w14:paraId="08A7F4BB" w14:textId="77777777" w:rsidR="00223C41" w:rsidRDefault="00223C41" w:rsidP="001C170D">
      <w:pPr>
        <w:spacing w:after="120" w:line="276" w:lineRule="auto"/>
        <w:rPr>
          <w:rFonts w:asciiTheme="majorBidi" w:hAnsiTheme="majorBidi" w:cstheme="majorBidi"/>
          <w:szCs w:val="24"/>
        </w:rPr>
        <w:sectPr w:rsidR="00223C41" w:rsidSect="00223C41">
          <w:pgSz w:w="15840" w:h="12240" w:orient="landscape"/>
          <w:pgMar w:top="1440" w:right="1440" w:bottom="1440" w:left="1440" w:header="720" w:footer="720" w:gutter="0"/>
          <w:cols w:space="720"/>
          <w:docGrid w:linePitch="360"/>
        </w:sectPr>
      </w:pPr>
    </w:p>
    <w:p w14:paraId="13C2F46D" w14:textId="40C96995" w:rsidR="001C170D" w:rsidRDefault="001C170D" w:rsidP="001C170D">
      <w:pPr>
        <w:spacing w:after="120" w:line="276" w:lineRule="auto"/>
        <w:rPr>
          <w:rFonts w:asciiTheme="majorBidi" w:eastAsia="Times New Roman" w:hAnsiTheme="majorBidi" w:cstheme="majorBidi"/>
          <w:color w:val="000000"/>
          <w:szCs w:val="24"/>
        </w:rPr>
      </w:pPr>
      <w:r w:rsidRPr="00CC3E2F">
        <w:rPr>
          <w:rFonts w:asciiTheme="majorBidi" w:hAnsiTheme="majorBidi" w:cstheme="majorBidi"/>
          <w:szCs w:val="24"/>
        </w:rPr>
        <w:lastRenderedPageBreak/>
        <w:t xml:space="preserve">We estimated </w:t>
      </w:r>
      <w:r>
        <w:rPr>
          <w:rFonts w:asciiTheme="majorBidi" w:hAnsiTheme="majorBidi" w:cstheme="majorBidi"/>
          <w:szCs w:val="24"/>
        </w:rPr>
        <w:t>admission prevalence (</w:t>
      </w:r>
      <m:oMath>
        <m:sSub>
          <m:sSubPr>
            <m:ctrlPr>
              <w:rPr>
                <w:rFonts w:ascii="Cambria Math" w:hAnsi="Cambria Math" w:cstheme="majorBidi"/>
                <w:i/>
                <w:szCs w:val="24"/>
              </w:rPr>
            </m:ctrlPr>
          </m:sSubPr>
          <m:e>
            <m:r>
              <w:rPr>
                <w:rFonts w:ascii="Cambria Math" w:hAnsi="Cambria Math" w:cstheme="majorBidi"/>
                <w:szCs w:val="24"/>
              </w:rPr>
              <m:t>ρ</m:t>
            </m:r>
          </m:e>
          <m:sub>
            <m:r>
              <w:rPr>
                <w:rFonts w:ascii="Cambria Math" w:hAnsi="Cambria Math" w:cstheme="majorBidi"/>
                <w:szCs w:val="24"/>
              </w:rPr>
              <m:t>C</m:t>
            </m:r>
          </m:sub>
        </m:sSub>
      </m:oMath>
      <w:r>
        <w:rPr>
          <w:rFonts w:asciiTheme="majorBidi" w:hAnsiTheme="majorBidi" w:cstheme="majorBidi"/>
          <w:szCs w:val="24"/>
        </w:rPr>
        <w:t xml:space="preserve">) in the ICUs </w:t>
      </w:r>
      <w:r w:rsidRPr="00CC3E2F">
        <w:rPr>
          <w:rFonts w:asciiTheme="majorBidi" w:hAnsiTheme="majorBidi" w:cstheme="majorBidi"/>
          <w:szCs w:val="24"/>
        </w:rPr>
        <w:t xml:space="preserve">during the study period </w:t>
      </w:r>
      <w:r>
        <w:rPr>
          <w:rFonts w:asciiTheme="majorBidi" w:hAnsiTheme="majorBidi" w:cstheme="majorBidi"/>
          <w:szCs w:val="24"/>
        </w:rPr>
        <w:t xml:space="preserve">from the </w:t>
      </w:r>
      <w:r w:rsidR="004A2B7B">
        <w:rPr>
          <w:rFonts w:asciiTheme="majorBidi" w:hAnsiTheme="majorBidi" w:cstheme="majorBidi"/>
          <w:szCs w:val="24"/>
        </w:rPr>
        <w:t>EMR</w:t>
      </w:r>
      <w:r>
        <w:rPr>
          <w:rFonts w:asciiTheme="majorBidi" w:hAnsiTheme="majorBidi" w:cstheme="majorBidi"/>
          <w:szCs w:val="24"/>
        </w:rPr>
        <w:t xml:space="preserve"> data </w:t>
      </w:r>
      <w:r w:rsidRPr="00CC3E2F">
        <w:rPr>
          <w:rFonts w:asciiTheme="majorBidi" w:hAnsiTheme="majorBidi" w:cstheme="majorBidi"/>
          <w:szCs w:val="24"/>
        </w:rPr>
        <w:t>by counting patients with a positive MRSA and/or VRE test within 48 hours from their admission times</w:t>
      </w:r>
      <w:r>
        <w:rPr>
          <w:rFonts w:asciiTheme="majorBidi" w:hAnsiTheme="majorBidi" w:cstheme="majorBidi"/>
          <w:szCs w:val="24"/>
        </w:rPr>
        <w:t xml:space="preserve">. </w:t>
      </w:r>
      <w:r w:rsidRPr="00CC3E2F">
        <w:rPr>
          <w:rFonts w:asciiTheme="majorBidi" w:hAnsiTheme="majorBidi" w:cstheme="majorBidi"/>
          <w:szCs w:val="24"/>
        </w:rPr>
        <w:t>While all patients were under cul</w:t>
      </w:r>
      <w:r>
        <w:rPr>
          <w:rFonts w:asciiTheme="majorBidi" w:hAnsiTheme="majorBidi" w:cstheme="majorBidi"/>
          <w:szCs w:val="24"/>
        </w:rPr>
        <w:t>t</w:t>
      </w:r>
      <w:r w:rsidRPr="00CC3E2F">
        <w:rPr>
          <w:rFonts w:asciiTheme="majorBidi" w:hAnsiTheme="majorBidi" w:cstheme="majorBidi"/>
          <w:szCs w:val="24"/>
        </w:rPr>
        <w:t xml:space="preserve">ure surveillance during the study period, there could be missing importation </w:t>
      </w:r>
      <w:r>
        <w:rPr>
          <w:rFonts w:asciiTheme="majorBidi" w:hAnsiTheme="majorBidi" w:cstheme="majorBidi"/>
          <w:szCs w:val="24"/>
        </w:rPr>
        <w:t xml:space="preserve">cases </w:t>
      </w:r>
      <w:r w:rsidRPr="00CC3E2F">
        <w:rPr>
          <w:rFonts w:asciiTheme="majorBidi" w:hAnsiTheme="majorBidi" w:cstheme="majorBidi"/>
          <w:szCs w:val="24"/>
        </w:rPr>
        <w:t xml:space="preserve">due to the </w:t>
      </w:r>
      <w:r w:rsidRPr="002A44F0">
        <w:rPr>
          <w:rFonts w:asciiTheme="majorBidi" w:hAnsiTheme="majorBidi" w:cstheme="majorBidi"/>
          <w:szCs w:val="24"/>
        </w:rPr>
        <w:t xml:space="preserve">test accuracy and screening failure. Assuming an average of 70% test </w:t>
      </w:r>
      <w:r w:rsidRPr="001A6D22">
        <w:rPr>
          <w:rFonts w:asciiTheme="majorBidi" w:hAnsiTheme="majorBidi" w:cstheme="majorBidi"/>
          <w:szCs w:val="24"/>
        </w:rPr>
        <w:t>accuracy (</w:t>
      </w:r>
      <m:oMath>
        <m:sSub>
          <m:sSubPr>
            <m:ctrlPr>
              <w:rPr>
                <w:rFonts w:ascii="Cambria Math" w:hAnsi="Cambria Math" w:cstheme="majorBidi"/>
                <w:i/>
                <w:szCs w:val="24"/>
              </w:rPr>
            </m:ctrlPr>
          </m:sSubPr>
          <m:e>
            <m:r>
              <w:rPr>
                <w:rFonts w:ascii="Cambria Math" w:hAnsi="Cambria Math" w:cstheme="majorBidi"/>
                <w:szCs w:val="24"/>
              </w:rPr>
              <m:t>C</m:t>
            </m:r>
          </m:e>
          <m:sub>
            <m:r>
              <w:rPr>
                <w:rFonts w:ascii="Cambria Math" w:hAnsi="Cambria Math" w:cstheme="majorBidi"/>
                <w:szCs w:val="24"/>
              </w:rPr>
              <m:t>a</m:t>
            </m:r>
          </m:sub>
        </m:sSub>
        <m:r>
          <w:rPr>
            <w:rFonts w:ascii="Cambria Math" w:hAnsi="Cambria Math" w:cstheme="majorBidi"/>
            <w:szCs w:val="24"/>
          </w:rPr>
          <m:t>=0.7</m:t>
        </m:r>
      </m:oMath>
      <w:r w:rsidRPr="001A6D22">
        <w:rPr>
          <w:rFonts w:asciiTheme="majorBidi" w:hAnsiTheme="majorBidi" w:cstheme="majorBidi"/>
          <w:szCs w:val="24"/>
        </w:rPr>
        <w:t>) for</w:t>
      </w:r>
      <w:r w:rsidRPr="002A44F0">
        <w:rPr>
          <w:rFonts w:asciiTheme="majorBidi" w:hAnsiTheme="majorBidi" w:cstheme="majorBidi"/>
          <w:szCs w:val="24"/>
        </w:rPr>
        <w:t xml:space="preserve"> MRSA and VRE </w:t>
      </w:r>
      <w:r w:rsidRPr="002A44F0">
        <w:rPr>
          <w:rFonts w:asciiTheme="majorBidi" w:hAnsiTheme="majorBidi" w:cstheme="majorBidi"/>
          <w:szCs w:val="24"/>
        </w:rPr>
        <w:fldChar w:fldCharType="begin" w:fldLock="1"/>
      </w:r>
      <w:r w:rsidR="00614E4E">
        <w:rPr>
          <w:rFonts w:asciiTheme="majorBidi" w:hAnsiTheme="majorBidi" w:cstheme="majorBidi"/>
          <w:szCs w:val="24"/>
        </w:rPr>
        <w:instrText>ADDIN CSL_CITATION {"citationItems":[{"id":"ITEM-1","itemData":{"DOI":"10.1111/J.1469-0691.2010.03202.X","ISSN":"1198-743X","abstract":"A systematic review and meta-analysis were performed to determine and compare the sensitivity and specificity of PCR-based and culture-based diagnostic tests for methicillin-resistant Staphylococcus aureus (MRSA). Our analysis included 74 accuracy measurements from 29 publications. Nine tests were evaluated: the PCR-based Genotype MRSA Direct and IDI-MRSA, the chromogenic media CHROMagar, Chromogenic MRSA Medium, MRSA ID, MRSA Select and ORSAB, and the nonchromogenic culture media MSA-Cefoxitin and MSA-Oxacillin. For four chromogenic media, incubation periods of 18-24 and 48h were evaluated. Considerable heterogeneity was detected in most analyses. A significantly higher sensitivity was found for the overall PCR pooled estimate (92.5; 95% CI 87.4-95.9) and the chromogenic media after 48h of incubation (87.6; 95% CI 82.1-91.6) compared to the overall sensitivity of chromogenic media after 18-24h (78.3; 95% CI 71.0-84.1). The specificity of chromogenic media after 18-24h (98.6; 95% CI 97.7-99.1) was higher than the specificity of PCR (97.0; 95% CI 94.5-98.4) but declined after 48h of incubation (94.7; 95% CI 91.6-96.8).The most sensitive chromogenic medium after 18-24h of incubation was Chromogenic MRSA Medium (sensitivity: 89.3; 95% CI 72.8-96.3), whereas the most specific chromogenic medium after 18-24h of incubation was MRSA Select (specificity: 99.4; 95% CI 98.6-99.7). After 48h of incubation, MRSA Select had the highest sensitivity (93.2; 95% CI 83.5-97.0), whereas CHROMagar had the highest specificity (96.4; 95% CI 91.3-98.5). This meta-analysis showed statistically significant differences in diagnostic accuracy between several of the tests and the test methods evaluated. A reduction of the incubation time of chromogenic media (from 48 to 18-24h) increases specificity but reduces sensitivity. © 2010 The Authors. Journal Compilation © 2010 European Society of Clinical Microbiology and Infectious Diseases.","author":[{"dropping-particle":"","family":"Luteijn","given":"J. M.","non-dropping-particle":"","parse-names":false,"suffix":""},{"dropping-particle":"","family":"Hubben","given":"G. A.A.","non-dropping-particle":"","parse-names":false,"suffix":""},{"dropping-particle":"","family":"Pechlivanoglou","given":"P.","non-dropping-particle":"","parse-names":false,"suffix":""},{"dropping-particle":"","family":"Bonten","given":"M. J.","non-dropping-particle":"","parse-names":false,"suffix":""},{"dropping-particle":"","family":"Postma","given":"M. J.","non-dropping-particle":"","parse-names":false,"suffix":""}],"container-title":"Clinical Microbiology and Infection","id":"ITEM-1","issue":"2","issued":{"date-parts":[["2011","2","1"]]},"page":"146-154","publisher":"Elsevier","title":"Diagnostic accuracy of culture-based and PCR-based detection tests for methicillin-resistant Staphylococcus aureus: a meta-analysis","type":"article-journal","volume":"17"},"uris":["http://www.mendeley.com/documents/?uuid=466b5aaa-155f-306c-bb1d-8ebf3d63c0c1"]},{"id":"ITEM-2","itemData":{"DOI":"10.9778/CMAJO.20170034","ISSN":"2291-0026","PMID":"28814382","abstract":"Background: Swab screening for vancomycin-resistant Enterococcus (VRE) is used to identify VRE carriers and thus prevent transmission of this organism. We tested whether screening results could have unintended benefits in predicting the vancomycin susceptibility of subsequent Enterococcus infections experienced by these patients. \n\nMethods: We conducted a retrospective cohort study of all patients admitted to a large tertiary care hospital between 2010 and 2015 who underwent swab screening for VRE before experiencing an Enterococcus sterile-site infection. We derived test characteristics using the screening result as the test variable predicting the presence or absence of vancomycin resistance in the sterile-site Enterococcus species.\n\nResults: Culture results for sterile-site samples were positive for Enterococcus for 619 patients during the study period. Of these, 488 (79%) had previously undergone VRE screening. A total of 19 (4%) of the 488 screening results were positive for VRE, and 10 (2%) of the sterile-site Enterococcus isolates were resistant to vancomycin. The overall specificity of VRE swabs was 97% (95% confidence interval [CI] 96%-99%), sensitivity was 70% (95% CI 35%-93%), the positive likelihood ratio was 28 (95% CI 14-56), and the negative likelihood ratio was 0.31 (95% CI 0.12-0.79). The post-test probability of vancomycin resistance in a sterile-site culture, given a positive result with VRE screening swab, was 37% using study data and 83% using published aggregate prevalence data for VRE in the United States. \n\nInterpretation: Prior VRE screening swab results represent a useful tool for predicting vancomycin resistance in sterile-site Enterococcus infections. Patients with a positive result for VRE screening swab and Enterococcus identified by culture of sterile-site samples should receive empiric treatment with linezolid or daptomycin until sensitivity results are available.","author":[{"dropping-particle":"","family":"Brasg","given":"Ian","non-dropping-particle":"","parse-names":false,"suffix":""},{"dropping-particle":"","family":"Elligsen","given":"Marion","non-dropping-particle":"","parse-names":false,"suffix":""},{"dropping-particle":"","family":"MacFadden","given":"Derek","non-dropping-particle":"","parse-names":false,"suffix":""},{"dropping-particle":"","family":"Daneman","given":"Nick","non-dropping-particle":"","parse-names":false,"suffix":""}],"container-title":"Canadian Medical Association Open Access Journal","id":"ITEM-2","issue":"3","issued":{"date-parts":[["2017","8","15"]]},"page":"E632-E637","publisher":"Canadian Medical Association Open Access Journal","title":"Predictive utility of swab screening for vancomycin-resistant Enterococcus in selection of empiric antibiotics for Enterococcus sterile-site infections: a retrospective cohort study","type":"article-journal","volume":"5"},"uris":["http://www.mendeley.com/documents/?uuid=95e5545f-51d8-3839-8292-7713defe8a17"]}],"mendeley":{"formattedCitation":"[5,6]","plainTextFormattedCitation":"[5,6]","previouslyFormattedCitation":"[5,6]"},"properties":{"noteIndex":0},"schema":"https://github.com/citation-style-language/schema/raw/master/csl-citation.json"}</w:instrText>
      </w:r>
      <w:r w:rsidRPr="002A44F0">
        <w:rPr>
          <w:rFonts w:asciiTheme="majorBidi" w:hAnsiTheme="majorBidi" w:cstheme="majorBidi"/>
          <w:szCs w:val="24"/>
        </w:rPr>
        <w:fldChar w:fldCharType="separate"/>
      </w:r>
      <w:r w:rsidR="004F21C2" w:rsidRPr="004F21C2">
        <w:rPr>
          <w:rFonts w:asciiTheme="majorBidi" w:hAnsiTheme="majorBidi" w:cstheme="majorBidi"/>
          <w:noProof/>
          <w:szCs w:val="24"/>
        </w:rPr>
        <w:t>[5,6]</w:t>
      </w:r>
      <w:r w:rsidRPr="002A44F0">
        <w:rPr>
          <w:rFonts w:asciiTheme="majorBidi" w:hAnsiTheme="majorBidi" w:cstheme="majorBidi"/>
          <w:szCs w:val="24"/>
        </w:rPr>
        <w:fldChar w:fldCharType="end"/>
      </w:r>
      <w:r>
        <w:rPr>
          <w:rFonts w:asciiTheme="majorBidi" w:hAnsiTheme="majorBidi" w:cstheme="majorBidi"/>
          <w:szCs w:val="24"/>
        </w:rPr>
        <w:t xml:space="preserve"> and given the calculated screening compliance </w:t>
      </w:r>
      <w:r w:rsidRPr="001A6D22">
        <w:rPr>
          <w:rFonts w:asciiTheme="majorBidi" w:hAnsiTheme="majorBidi" w:cstheme="majorBidi"/>
          <w:szCs w:val="24"/>
        </w:rPr>
        <w:t>levels (</w:t>
      </w:r>
      <m:oMath>
        <m:sSub>
          <m:sSubPr>
            <m:ctrlPr>
              <w:rPr>
                <w:rFonts w:ascii="Cambria Math" w:hAnsi="Cambria Math" w:cstheme="majorBidi"/>
                <w:i/>
                <w:szCs w:val="24"/>
              </w:rPr>
            </m:ctrlPr>
          </m:sSubPr>
          <m:e>
            <m:r>
              <w:rPr>
                <w:rFonts w:ascii="Cambria Math" w:hAnsi="Cambria Math" w:cstheme="majorBidi"/>
                <w:szCs w:val="24"/>
              </w:rPr>
              <m:t>C</m:t>
            </m:r>
          </m:e>
          <m:sub>
            <m:r>
              <w:rPr>
                <w:rFonts w:ascii="Cambria Math" w:hAnsi="Cambria Math" w:cstheme="majorBidi"/>
                <w:szCs w:val="24"/>
              </w:rPr>
              <m:t>c</m:t>
            </m:r>
          </m:sub>
        </m:sSub>
      </m:oMath>
      <w:r w:rsidRPr="001A6D22">
        <w:rPr>
          <w:rFonts w:asciiTheme="majorBidi" w:hAnsiTheme="majorBidi" w:cstheme="majorBidi"/>
          <w:szCs w:val="24"/>
        </w:rPr>
        <w:t>) in</w:t>
      </w:r>
      <w:r>
        <w:rPr>
          <w:rFonts w:asciiTheme="majorBidi" w:hAnsiTheme="majorBidi" w:cstheme="majorBidi"/>
          <w:szCs w:val="24"/>
        </w:rPr>
        <w:t xml:space="preserve"> each ICU, the estimated admission prevalence ratios were adjusted for screening sensitivity (defined as the compound effects of accuracy and compliance) as </w:t>
      </w:r>
      <m:oMath>
        <m:sSubSup>
          <m:sSubSupPr>
            <m:ctrlPr>
              <w:rPr>
                <w:rFonts w:ascii="Cambria Math" w:hAnsi="Cambria Math" w:cstheme="majorBidi"/>
                <w:i/>
                <w:szCs w:val="24"/>
              </w:rPr>
            </m:ctrlPr>
          </m:sSubSupPr>
          <m:e>
            <m:r>
              <w:rPr>
                <w:rFonts w:ascii="Cambria Math" w:hAnsi="Cambria Math" w:cstheme="majorBidi"/>
                <w:szCs w:val="24"/>
              </w:rPr>
              <m:t>ρ</m:t>
            </m:r>
          </m:e>
          <m:sub>
            <m:r>
              <w:rPr>
                <w:rFonts w:ascii="Cambria Math" w:hAnsi="Cambria Math" w:cstheme="majorBidi"/>
                <w:szCs w:val="24"/>
              </w:rPr>
              <m:t>C</m:t>
            </m:r>
          </m:sub>
          <m:sup>
            <m:r>
              <w:rPr>
                <w:rFonts w:ascii="Cambria Math" w:hAnsi="Cambria Math" w:cstheme="majorBidi"/>
                <w:szCs w:val="24"/>
              </w:rPr>
              <m:t>adjusted</m:t>
            </m:r>
          </m:sup>
        </m:sSubSup>
        <m:r>
          <w:rPr>
            <w:rFonts w:ascii="Cambria Math" w:hAnsi="Cambria Math" w:cstheme="majorBidi"/>
            <w:szCs w:val="24"/>
          </w:rPr>
          <m:t>=</m:t>
        </m:r>
        <m:sSub>
          <m:sSubPr>
            <m:ctrlPr>
              <w:rPr>
                <w:rFonts w:ascii="Cambria Math" w:hAnsi="Cambria Math" w:cstheme="majorBidi"/>
                <w:i/>
                <w:szCs w:val="24"/>
              </w:rPr>
            </m:ctrlPr>
          </m:sSubPr>
          <m:e>
            <m:r>
              <w:rPr>
                <w:rFonts w:ascii="Cambria Math" w:hAnsi="Cambria Math" w:cstheme="majorBidi"/>
                <w:szCs w:val="24"/>
              </w:rPr>
              <m:t>ρ</m:t>
            </m:r>
          </m:e>
          <m:sub>
            <m:r>
              <w:rPr>
                <w:rFonts w:ascii="Cambria Math" w:hAnsi="Cambria Math" w:cstheme="majorBidi"/>
                <w:szCs w:val="24"/>
              </w:rPr>
              <m:t>C</m:t>
            </m:r>
          </m:sub>
        </m:sSub>
        <m:r>
          <w:rPr>
            <w:rFonts w:ascii="Cambria Math" w:hAnsi="Cambria Math" w:cstheme="majorBidi"/>
            <w:szCs w:val="24"/>
          </w:rPr>
          <m:t>/(</m:t>
        </m:r>
        <m:sSub>
          <m:sSubPr>
            <m:ctrlPr>
              <w:rPr>
                <w:rFonts w:ascii="Cambria Math" w:hAnsi="Cambria Math" w:cstheme="majorBidi"/>
                <w:i/>
                <w:szCs w:val="24"/>
              </w:rPr>
            </m:ctrlPr>
          </m:sSubPr>
          <m:e>
            <m:r>
              <w:rPr>
                <w:rFonts w:ascii="Cambria Math" w:hAnsi="Cambria Math" w:cstheme="majorBidi"/>
                <w:szCs w:val="24"/>
              </w:rPr>
              <m:t>C</m:t>
            </m:r>
          </m:e>
          <m:sub>
            <m:r>
              <w:rPr>
                <w:rFonts w:ascii="Cambria Math" w:hAnsi="Cambria Math" w:cstheme="majorBidi"/>
                <w:szCs w:val="24"/>
              </w:rPr>
              <m:t>a</m:t>
            </m:r>
          </m:sub>
        </m:sSub>
        <m:sSub>
          <m:sSubPr>
            <m:ctrlPr>
              <w:rPr>
                <w:rFonts w:ascii="Cambria Math" w:hAnsi="Cambria Math" w:cstheme="majorBidi"/>
                <w:i/>
                <w:szCs w:val="24"/>
              </w:rPr>
            </m:ctrlPr>
          </m:sSubPr>
          <m:e>
            <m:r>
              <w:rPr>
                <w:rFonts w:ascii="Cambria Math" w:hAnsi="Cambria Math" w:cstheme="majorBidi"/>
                <w:szCs w:val="24"/>
              </w:rPr>
              <m:t>C</m:t>
            </m:r>
          </m:e>
          <m:sub>
            <m:r>
              <w:rPr>
                <w:rFonts w:ascii="Cambria Math" w:hAnsi="Cambria Math" w:cstheme="majorBidi"/>
                <w:szCs w:val="24"/>
              </w:rPr>
              <m:t>c</m:t>
            </m:r>
          </m:sub>
        </m:sSub>
        <m:r>
          <w:rPr>
            <w:rFonts w:ascii="Cambria Math" w:hAnsi="Cambria Math" w:cstheme="majorBidi"/>
            <w:szCs w:val="24"/>
          </w:rPr>
          <m:t>)</m:t>
        </m:r>
      </m:oMath>
      <w:r>
        <w:rPr>
          <w:rFonts w:asciiTheme="majorBidi" w:hAnsiTheme="majorBidi" w:cstheme="majorBidi"/>
          <w:szCs w:val="24"/>
        </w:rPr>
        <w:t>. The estimated overall prevalence ratios (</w:t>
      </w:r>
      <w:r w:rsidR="006615F4">
        <w:rPr>
          <w:rFonts w:asciiTheme="majorBidi" w:hAnsiTheme="majorBidi" w:cstheme="majorBidi"/>
          <w:szCs w:val="24"/>
        </w:rPr>
        <w:fldChar w:fldCharType="begin"/>
      </w:r>
      <w:r w:rsidR="006615F4">
        <w:rPr>
          <w:rFonts w:asciiTheme="majorBidi" w:hAnsiTheme="majorBidi" w:cstheme="majorBidi"/>
          <w:szCs w:val="24"/>
        </w:rPr>
        <w:instrText xml:space="preserve"> REF _Ref153877707 \h </w:instrText>
      </w:r>
      <w:r w:rsidR="006615F4">
        <w:rPr>
          <w:rFonts w:asciiTheme="majorBidi" w:hAnsiTheme="majorBidi" w:cstheme="majorBidi"/>
          <w:szCs w:val="24"/>
        </w:rPr>
      </w:r>
      <w:r w:rsidR="006615F4">
        <w:rPr>
          <w:rFonts w:asciiTheme="majorBidi" w:hAnsiTheme="majorBidi" w:cstheme="majorBidi"/>
          <w:szCs w:val="24"/>
        </w:rPr>
        <w:fldChar w:fldCharType="separate"/>
      </w:r>
      <w:r w:rsidR="003C02BD" w:rsidRPr="00E456CF">
        <w:rPr>
          <w:rFonts w:asciiTheme="majorBidi" w:hAnsiTheme="majorBidi" w:cstheme="majorBidi"/>
          <w:szCs w:val="24"/>
        </w:rPr>
        <w:t xml:space="preserve">Table </w:t>
      </w:r>
      <w:r w:rsidR="003C02BD">
        <w:rPr>
          <w:rFonts w:asciiTheme="majorBidi" w:hAnsiTheme="majorBidi" w:cstheme="majorBidi"/>
          <w:szCs w:val="24"/>
        </w:rPr>
        <w:t>A</w:t>
      </w:r>
      <w:r w:rsidR="003C02BD">
        <w:rPr>
          <w:rFonts w:asciiTheme="majorBidi" w:hAnsiTheme="majorBidi" w:cstheme="majorBidi"/>
          <w:noProof/>
          <w:szCs w:val="24"/>
        </w:rPr>
        <w:t>2</w:t>
      </w:r>
      <w:r w:rsidR="006615F4">
        <w:rPr>
          <w:rFonts w:asciiTheme="majorBidi" w:hAnsiTheme="majorBidi" w:cstheme="majorBidi"/>
          <w:szCs w:val="24"/>
        </w:rPr>
        <w:fldChar w:fldCharType="end"/>
      </w:r>
      <w:r>
        <w:rPr>
          <w:rFonts w:asciiTheme="majorBidi" w:hAnsiTheme="majorBidi" w:cstheme="majorBidi"/>
          <w:szCs w:val="24"/>
        </w:rPr>
        <w:t xml:space="preserve">) in the six ICUs agree with the observed values in ICUs in the US for MRSA </w:t>
      </w:r>
      <w:r>
        <w:rPr>
          <w:rFonts w:asciiTheme="majorBidi" w:hAnsiTheme="majorBidi" w:cstheme="majorBidi"/>
          <w:szCs w:val="24"/>
        </w:rPr>
        <w:fldChar w:fldCharType="begin" w:fldLock="1"/>
      </w:r>
      <w:r w:rsidR="00614E4E">
        <w:rPr>
          <w:rFonts w:asciiTheme="majorBidi" w:hAnsiTheme="majorBidi" w:cstheme="majorBidi"/>
          <w:szCs w:val="24"/>
        </w:rPr>
        <w:instrText>ADDIN CSL_CITATION {"citationItems":[{"id":"ITEM-1","itemData":{"DOI":"10.1097/CCM.0B013E3182A66BB8","ISSN":"00903493","PMID":"24145849","abstract":"OBJECTIVE:: To estimate the prevalence and significance of nasal methicillin-resistant Staphylococcus aureus colonization in the ICU and its predictive value for development of methicillin-resistant S. aureus infection. DATA SOURCES:: MEDLINE and EMBASE and reference lists of all eligible articles. STUDY SELECTION:: Studies providing raw data on nasal methicillin-resistant S. aureus colonization at ICU admission, published up to February 2013. Analyses were restricted in the general ICU setting. Medical, surgical, and interdisciplinary ICUs were eligible. ICU studies referring solely on highly specialized ICUs populations and reports on methicillin-resistant S. aureus outbreaks were excluded. DATA EXTRACTION:: Two authors independently assessed study eligibility and extrapolated data in a blinded fashion. The two outcomes of interest were the prevalence estimate of methicillin-resistant S. aureus nasal colonization at admission in the ICU and the sensitivity/specificity of colonization in predicting methicillin-resistant S. aureus-associated infections. DATA SYNTHESIS:: Meta-analysis, using a random-effect model, and meta-regression were performed. Pooled data extracted from 63,740 evaluable ICU patients provided an estimated prevalence of methicillin-resistant S. aureus nasal colonization at admission of 7.0% (95% CI, 5.8-8.3). Prevalence was higher for North American studies (8.9%; 95% CI, 7.1-10.7) and for patients screened using polymerase chain reaction (14.0%; 95% CI, 9.6-19). A significant per year increase in methicillin-resistant S. aureus colonization was also noted. In 17,738 evaluable patients, methicillin-resistant S. aureus infections (4.1%; 95% CI, 2.0-6.8) developed in 589 patients. The relative risk for colonized patients was 8.33 (95% CI, 3.61-19.20). Methicillin-resistant S. aureus nasal carriage had a high specificity (0.96; 95% CI, 0.90-0.98) but low sensitivity (0.32; 95% CI, 0.20-0.48) to predict methicillin-resistant S. aureus-associated infections, with corresponding positive and negative predictive values at 0.25 (95% CI, 0.11-0.39) and 0.97 (95% CI, 0.83-1.00), respectively. CONCLUSIONS:: Among ICU patients, 5.8-8.3% of patients are colonized by methicillin-resistant S. aureus at admission, with a significant upward trend. Methicillin-resistant S. aureus colonization is associated with a more than eight-fold increase in the risk of associated infections during ICU stay, and methicillin-resistant S. aureus infection develops in…","author":[{"dropping-particle":"","family":"Ziakas","given":"Panayiotis D.","non-dropping-particle":"","parse-names":false,"suffix":""},{"dropping-particle":"","family":"Anagnostou","given":"Theodora","non-dropping-particle":"","parse-names":false,"suffix":""},{"dropping-particle":"","family":"Mylonakis","given":"Eleftherios","non-dropping-particle":"","parse-names":false,"suffix":""}],"container-title":"Critical Care Medicine","id":"ITEM-1","issue":"2","issued":{"date-parts":[["2014","2"]]},"page":"433-444","title":"The prevalence and significance of methicillin-resistant staphylococcus aureus colonization at admission in the general ICU setting: A meta-analysis of published studies","type":"article-journal","volume":"42"},"uris":["http://www.mendeley.com/documents/?uuid=d6a9a738-2495-3877-bee8-2ec6b41cf691"]}],"mendeley":{"formattedCitation":"[3]","plainTextFormattedCitation":"[3]","previouslyFormattedCitation":"[3]"},"properties":{"noteIndex":0},"schema":"https://github.com/citation-style-language/schema/raw/master/csl-citation.json"}</w:instrText>
      </w:r>
      <w:r>
        <w:rPr>
          <w:rFonts w:asciiTheme="majorBidi" w:hAnsiTheme="majorBidi" w:cstheme="majorBidi"/>
          <w:szCs w:val="24"/>
        </w:rPr>
        <w:fldChar w:fldCharType="separate"/>
      </w:r>
      <w:r w:rsidR="004F21C2" w:rsidRPr="004F21C2">
        <w:rPr>
          <w:rFonts w:asciiTheme="majorBidi" w:hAnsiTheme="majorBidi" w:cstheme="majorBidi"/>
          <w:noProof/>
          <w:szCs w:val="24"/>
        </w:rPr>
        <w:t>[3]</w:t>
      </w:r>
      <w:r>
        <w:rPr>
          <w:rFonts w:asciiTheme="majorBidi" w:hAnsiTheme="majorBidi" w:cstheme="majorBidi"/>
          <w:szCs w:val="24"/>
        </w:rPr>
        <w:fldChar w:fldCharType="end"/>
      </w:r>
      <w:r>
        <w:rPr>
          <w:rFonts w:asciiTheme="majorBidi" w:hAnsiTheme="majorBidi" w:cstheme="majorBidi"/>
          <w:szCs w:val="24"/>
        </w:rPr>
        <w:t xml:space="preserve"> and VRE </w:t>
      </w:r>
      <w:r>
        <w:rPr>
          <w:rFonts w:asciiTheme="majorBidi" w:hAnsiTheme="majorBidi" w:cstheme="majorBidi"/>
          <w:szCs w:val="24"/>
        </w:rPr>
        <w:fldChar w:fldCharType="begin" w:fldLock="1"/>
      </w:r>
      <w:r w:rsidR="00614E4E">
        <w:rPr>
          <w:rFonts w:asciiTheme="majorBidi" w:hAnsiTheme="majorBidi" w:cstheme="majorBidi"/>
          <w:szCs w:val="24"/>
        </w:rPr>
        <w:instrText>ADDIN CSL_CITATION {"citationItems":[{"id":"ITEM-1","itemData":{"DOI":"10.1371/JOURNAL.PONE.0075658","ISSN":"1932-6203","PMID":"24086603","abstract":"BackgroundThe burden and significance of vancomycin-resistant enterococci (VRE) colonization in the ICU is not clearly understood.   MethodsWe searched PubMed and EMBASE up to May 2013 for studies reporting the prevalence of VRE upon admission to the ICU and performed a meta-analysis to assess rates and trends of VRE colonization. We calculated the prevalence of VRE on admission and the acquisition (colonization and/or infection) rates to estimate time trends and the impact of colonization on ensuing VRE infections.   FindingsAcross 37 studies (62,959 patients at risk), the estimated prevalence of VRE on admission to the ICU was 8.8% (7.1-10.6). Estimates were more consistent when cultures were obtained within 24 hours from admission. The VRE acquisition rate was 8.8% (95% CI 6.9-11.0) across 26 evaluable studies (35,364 patients at risk). Across US studies, VRE acquisition rate was 10.2% (95% CI 7.7-13.0) and demonstrated significant decline in annual trends. We used the US estimate of colonization on admission [12.3% (10.5-14.3)] to evaluate the impact of VRE colonization on admission in overall VRE prevalence. We demonstrated that VRE colonization on admission is a major determinant of the overall VRE burden in the ICU. Importantly, among colonized patients (including admitted and/or acquired cases) the VRE infection rates vary widely from 0-45% (with the risk of VRE bacteremia being reported from 0-16%) and &lt;2% among those without a proven colonization.   ConclusionIn summary, up to 10.6% of patients admitted in the ICU are colonized with VRE on admission and a similar percentage will acquire VRE during their ICU stay. Importantly, colonization on admission is a major determinant of VRE dynamics in the ICU and the risk of VRE-related infections is close related to colonization.","author":[{"dropping-particle":"","family":"Ziakas","given":"Panayiotis D.","non-dropping-particle":"","parse-names":false,"suffix":""},{"dropping-particle":"","family":"Thapa","given":"Rachana","non-dropping-particle":"","parse-names":false,"suffix":""},{"dropping-particle":"","family":"Rice","given":"Louis B.","non-dropping-particle":"","parse-names":false,"suffix":""},{"dropping-particle":"","family":"Mylonakis","given":"Eleftherios","non-dropping-particle":"","parse-names":false,"suffix":""}],"container-title":"PLOS ONE","id":"ITEM-1","issue":"9","issued":{"date-parts":[["2013","9","27"]]},"page":"e75658","publisher":"Public Library of Science","title":"Trends and Significance of VRE Colonization in the ICU: A Meta-Analysis of Published Studies","type":"article-journal","volume":"8"},"uris":["http://www.mendeley.com/documents/?uuid=1676cdbd-78a1-3647-8119-be0abf247d42"]}],"mendeley":{"formattedCitation":"[4]","plainTextFormattedCitation":"[4]","previouslyFormattedCitation":"[4]"},"properties":{"noteIndex":0},"schema":"https://github.com/citation-style-language/schema/raw/master/csl-citation.json"}</w:instrText>
      </w:r>
      <w:r>
        <w:rPr>
          <w:rFonts w:asciiTheme="majorBidi" w:hAnsiTheme="majorBidi" w:cstheme="majorBidi"/>
          <w:szCs w:val="24"/>
        </w:rPr>
        <w:fldChar w:fldCharType="separate"/>
      </w:r>
      <w:r w:rsidR="004F21C2" w:rsidRPr="004F21C2">
        <w:rPr>
          <w:rFonts w:asciiTheme="majorBidi" w:hAnsiTheme="majorBidi" w:cstheme="majorBidi"/>
          <w:noProof/>
          <w:szCs w:val="24"/>
        </w:rPr>
        <w:t>[4]</w:t>
      </w:r>
      <w:r>
        <w:rPr>
          <w:rFonts w:asciiTheme="majorBidi" w:hAnsiTheme="majorBidi" w:cstheme="majorBidi"/>
          <w:szCs w:val="24"/>
        </w:rPr>
        <w:fldChar w:fldCharType="end"/>
      </w:r>
      <w:r>
        <w:rPr>
          <w:rFonts w:asciiTheme="majorBidi" w:hAnsiTheme="majorBidi" w:cstheme="majorBidi"/>
          <w:szCs w:val="24"/>
        </w:rPr>
        <w:t>, except for the M</w:t>
      </w:r>
      <w:r>
        <w:rPr>
          <w:rFonts w:asciiTheme="majorBidi" w:eastAsia="Times New Roman" w:hAnsiTheme="majorBidi" w:cstheme="majorBidi"/>
          <w:color w:val="000000"/>
          <w:szCs w:val="24"/>
        </w:rPr>
        <w:t>ICU, where VRE admission prevalence was particularly high.</w:t>
      </w:r>
    </w:p>
    <w:p w14:paraId="0FFF6C8A" w14:textId="6C5DCDF7" w:rsidR="008B1DCD" w:rsidRDefault="00AF6F41" w:rsidP="008B1DCD">
      <w:pPr>
        <w:spacing w:after="120" w:line="276" w:lineRule="auto"/>
        <w:rPr>
          <w:rFonts w:asciiTheme="majorBidi" w:hAnsiTheme="majorBidi" w:cstheme="majorBidi"/>
          <w:szCs w:val="24"/>
        </w:rPr>
      </w:pPr>
      <w:r w:rsidRPr="00CC3E2F">
        <w:rPr>
          <w:rFonts w:asciiTheme="majorBidi" w:hAnsiTheme="majorBidi" w:cstheme="majorBidi"/>
          <w:szCs w:val="24"/>
        </w:rPr>
        <w:t>The event probabilities for the multinomial distribution of admission status were established based on the colonization importation</w:t>
      </w:r>
      <w:r>
        <w:rPr>
          <w:rFonts w:asciiTheme="majorBidi" w:hAnsiTheme="majorBidi" w:cstheme="majorBidi"/>
          <w:szCs w:val="24"/>
        </w:rPr>
        <w:t xml:space="preserve"> ratio</w:t>
      </w:r>
      <w:r w:rsidRPr="00CC3E2F">
        <w:rPr>
          <w:rFonts w:asciiTheme="majorBidi" w:hAnsiTheme="majorBidi" w:cstheme="majorBidi"/>
          <w:szCs w:val="24"/>
        </w:rPr>
        <w:t>, i.e., admission prevalence (</w:t>
      </w:r>
      <m:oMath>
        <m:sSub>
          <m:sSubPr>
            <m:ctrlPr>
              <w:rPr>
                <w:rFonts w:ascii="Cambria Math" w:hAnsi="Cambria Math" w:cstheme="majorBidi"/>
                <w:i/>
                <w:szCs w:val="24"/>
              </w:rPr>
            </m:ctrlPr>
          </m:sSubPr>
          <m:e>
            <m:r>
              <w:rPr>
                <w:rFonts w:ascii="Cambria Math" w:hAnsi="Cambria Math" w:cstheme="majorBidi"/>
                <w:szCs w:val="24"/>
              </w:rPr>
              <m:t>ρ</m:t>
            </m:r>
          </m:e>
          <m:sub>
            <m:r>
              <w:rPr>
                <w:rFonts w:ascii="Cambria Math" w:hAnsi="Cambria Math" w:cstheme="majorBidi"/>
                <w:szCs w:val="24"/>
              </w:rPr>
              <m:t>C</m:t>
            </m:r>
          </m:sub>
        </m:sSub>
      </m:oMath>
      <w:r w:rsidRPr="00CC3E2F">
        <w:rPr>
          <w:rFonts w:asciiTheme="majorBidi" w:hAnsiTheme="majorBidi" w:cstheme="majorBidi"/>
          <w:szCs w:val="24"/>
        </w:rPr>
        <w:t xml:space="preserve">). After sampling </w:t>
      </w:r>
      <m:oMath>
        <m:sSub>
          <m:sSubPr>
            <m:ctrlPr>
              <w:rPr>
                <w:rFonts w:ascii="Cambria Math" w:hAnsi="Cambria Math" w:cstheme="majorBidi"/>
                <w:i/>
                <w:szCs w:val="24"/>
              </w:rPr>
            </m:ctrlPr>
          </m:sSubPr>
          <m:e>
            <m:r>
              <w:rPr>
                <w:rFonts w:ascii="Cambria Math" w:hAnsi="Cambria Math" w:cstheme="majorBidi"/>
                <w:szCs w:val="24"/>
              </w:rPr>
              <m:t>ρ</m:t>
            </m:r>
          </m:e>
          <m:sub>
            <m:r>
              <w:rPr>
                <w:rFonts w:ascii="Cambria Math" w:hAnsi="Cambria Math" w:cstheme="majorBidi"/>
                <w:szCs w:val="24"/>
              </w:rPr>
              <m:t>C</m:t>
            </m:r>
          </m:sub>
        </m:sSub>
      </m:oMath>
      <w:r>
        <w:rPr>
          <w:rFonts w:asciiTheme="majorBidi" w:hAnsiTheme="majorBidi" w:cstheme="majorBidi"/>
          <w:szCs w:val="24"/>
        </w:rPr>
        <w:t xml:space="preserve"> </w:t>
      </w:r>
      <w:r w:rsidRPr="00CC3E2F">
        <w:rPr>
          <w:rFonts w:asciiTheme="majorBidi" w:hAnsiTheme="majorBidi" w:cstheme="majorBidi"/>
          <w:szCs w:val="24"/>
        </w:rPr>
        <w:t xml:space="preserve">from </w:t>
      </w:r>
      <w:r>
        <w:rPr>
          <w:rFonts w:asciiTheme="majorBidi" w:hAnsiTheme="majorBidi" w:cstheme="majorBidi"/>
          <w:szCs w:val="24"/>
        </w:rPr>
        <w:t>its</w:t>
      </w:r>
      <w:r w:rsidRPr="00CC3E2F">
        <w:rPr>
          <w:rFonts w:asciiTheme="majorBidi" w:hAnsiTheme="majorBidi" w:cstheme="majorBidi"/>
          <w:szCs w:val="24"/>
        </w:rPr>
        <w:t xml:space="preserve"> respective distribution, the probability of admission as susceptible, assuming no infection importation (</w:t>
      </w:r>
      <m:oMath>
        <m:sSub>
          <m:sSubPr>
            <m:ctrlPr>
              <w:rPr>
                <w:rFonts w:ascii="Cambria Math" w:hAnsi="Cambria Math" w:cstheme="majorBidi"/>
                <w:i/>
                <w:szCs w:val="24"/>
              </w:rPr>
            </m:ctrlPr>
          </m:sSubPr>
          <m:e>
            <m:r>
              <w:rPr>
                <w:rFonts w:ascii="Cambria Math" w:hAnsi="Cambria Math" w:cstheme="majorBidi"/>
                <w:szCs w:val="24"/>
              </w:rPr>
              <m:t>ρ</m:t>
            </m:r>
          </m:e>
          <m:sub>
            <m:r>
              <w:rPr>
                <w:rFonts w:ascii="Cambria Math" w:hAnsi="Cambria Math" w:cstheme="majorBidi"/>
                <w:szCs w:val="24"/>
              </w:rPr>
              <m:t>I</m:t>
            </m:r>
          </m:sub>
        </m:sSub>
        <m:r>
          <w:rPr>
            <w:rFonts w:ascii="Cambria Math" w:hAnsi="Cambria Math" w:cstheme="majorBidi"/>
            <w:szCs w:val="24"/>
          </w:rPr>
          <m:t>=0</m:t>
        </m:r>
      </m:oMath>
      <w:r w:rsidRPr="00CC3E2F">
        <w:rPr>
          <w:rFonts w:asciiTheme="majorBidi" w:hAnsiTheme="majorBidi" w:cstheme="majorBidi"/>
          <w:szCs w:val="24"/>
        </w:rPr>
        <w:t xml:space="preserve">), can be calculated as: </w:t>
      </w:r>
      <m:oMath>
        <m:sSub>
          <m:sSubPr>
            <m:ctrlPr>
              <w:rPr>
                <w:rFonts w:ascii="Cambria Math" w:hAnsi="Cambria Math" w:cstheme="majorBidi"/>
                <w:i/>
                <w:szCs w:val="24"/>
              </w:rPr>
            </m:ctrlPr>
          </m:sSubPr>
          <m:e>
            <m:r>
              <w:rPr>
                <w:rFonts w:ascii="Cambria Math" w:hAnsi="Cambria Math" w:cstheme="majorBidi"/>
                <w:szCs w:val="24"/>
              </w:rPr>
              <m:t>ρ</m:t>
            </m:r>
          </m:e>
          <m:sub>
            <m:r>
              <w:rPr>
                <w:rFonts w:ascii="Cambria Math" w:hAnsi="Cambria Math" w:cstheme="majorBidi"/>
                <w:szCs w:val="24"/>
              </w:rPr>
              <m:t>S</m:t>
            </m:r>
          </m:sub>
        </m:sSub>
        <m:r>
          <w:rPr>
            <w:rFonts w:ascii="Cambria Math" w:hAnsi="Cambria Math" w:cstheme="majorBidi"/>
            <w:szCs w:val="24"/>
          </w:rPr>
          <m:t>=1-</m:t>
        </m:r>
        <m:sSub>
          <m:sSubPr>
            <m:ctrlPr>
              <w:rPr>
                <w:rFonts w:ascii="Cambria Math" w:hAnsi="Cambria Math" w:cstheme="majorBidi"/>
                <w:i/>
                <w:szCs w:val="24"/>
              </w:rPr>
            </m:ctrlPr>
          </m:sSubPr>
          <m:e>
            <m:r>
              <w:rPr>
                <w:rFonts w:ascii="Cambria Math" w:hAnsi="Cambria Math" w:cstheme="majorBidi"/>
                <w:szCs w:val="24"/>
              </w:rPr>
              <m:t>ρ</m:t>
            </m:r>
          </m:e>
          <m:sub>
            <m:r>
              <w:rPr>
                <w:rFonts w:ascii="Cambria Math" w:hAnsi="Cambria Math" w:cstheme="majorBidi"/>
                <w:szCs w:val="24"/>
              </w:rPr>
              <m:t>C</m:t>
            </m:r>
          </m:sub>
        </m:sSub>
      </m:oMath>
      <w:r w:rsidRPr="00CC3E2F">
        <w:rPr>
          <w:rFonts w:asciiTheme="majorBidi" w:hAnsiTheme="majorBidi" w:cstheme="majorBidi"/>
          <w:szCs w:val="24"/>
        </w:rPr>
        <w:t xml:space="preserve">. Given all event probabilities, the admission status of each patient is determined using a Multinomial trial, defined as </w:t>
      </w:r>
      <w:r w:rsidRPr="00CC3E2F">
        <w:rPr>
          <w:rFonts w:asciiTheme="majorBidi" w:hAnsiTheme="majorBidi" w:cstheme="majorBidi"/>
          <w:i/>
          <w:iCs/>
          <w:szCs w:val="24"/>
        </w:rPr>
        <w:t>Multinomial (1, {</w:t>
      </w:r>
      <m:oMath>
        <m:sSub>
          <m:sSubPr>
            <m:ctrlPr>
              <w:rPr>
                <w:rFonts w:ascii="Cambria Math" w:hAnsi="Cambria Math" w:cstheme="majorBidi"/>
                <w:i/>
                <w:szCs w:val="24"/>
              </w:rPr>
            </m:ctrlPr>
          </m:sSubPr>
          <m:e>
            <m:r>
              <w:rPr>
                <w:rFonts w:ascii="Cambria Math" w:hAnsi="Cambria Math" w:cstheme="majorBidi"/>
                <w:szCs w:val="24"/>
              </w:rPr>
              <m:t>ρ</m:t>
            </m:r>
          </m:e>
          <m:sub>
            <m:r>
              <w:rPr>
                <w:rFonts w:ascii="Cambria Math" w:hAnsi="Cambria Math" w:cstheme="majorBidi"/>
                <w:szCs w:val="24"/>
              </w:rPr>
              <m:t>S</m:t>
            </m:r>
          </m:sub>
        </m:sSub>
      </m:oMath>
      <w:r w:rsidRPr="00CC3E2F">
        <w:rPr>
          <w:rFonts w:asciiTheme="majorBidi" w:hAnsiTheme="majorBidi" w:cstheme="majorBidi"/>
          <w:i/>
          <w:iCs/>
          <w:szCs w:val="24"/>
        </w:rPr>
        <w:t xml:space="preserve">, </w:t>
      </w:r>
      <m:oMath>
        <m:sSub>
          <m:sSubPr>
            <m:ctrlPr>
              <w:rPr>
                <w:rFonts w:ascii="Cambria Math" w:hAnsi="Cambria Math" w:cstheme="majorBidi"/>
                <w:i/>
                <w:szCs w:val="24"/>
              </w:rPr>
            </m:ctrlPr>
          </m:sSubPr>
          <m:e>
            <m:r>
              <w:rPr>
                <w:rFonts w:ascii="Cambria Math" w:hAnsi="Cambria Math" w:cstheme="majorBidi"/>
                <w:szCs w:val="24"/>
              </w:rPr>
              <m:t>ρ</m:t>
            </m:r>
          </m:e>
          <m:sub>
            <m:r>
              <w:rPr>
                <w:rFonts w:ascii="Cambria Math" w:hAnsi="Cambria Math" w:cstheme="majorBidi"/>
                <w:szCs w:val="24"/>
              </w:rPr>
              <m:t>C</m:t>
            </m:r>
          </m:sub>
        </m:sSub>
      </m:oMath>
      <w:r w:rsidRPr="00CC3E2F">
        <w:rPr>
          <w:rFonts w:asciiTheme="majorBidi" w:hAnsiTheme="majorBidi" w:cstheme="majorBidi"/>
          <w:i/>
          <w:iCs/>
          <w:szCs w:val="24"/>
        </w:rPr>
        <w:t xml:space="preserve">, </w:t>
      </w:r>
      <m:oMath>
        <m:sSub>
          <m:sSubPr>
            <m:ctrlPr>
              <w:rPr>
                <w:rFonts w:ascii="Cambria Math" w:hAnsi="Cambria Math" w:cstheme="majorBidi"/>
                <w:i/>
                <w:szCs w:val="24"/>
              </w:rPr>
            </m:ctrlPr>
          </m:sSubPr>
          <m:e>
            <m:r>
              <w:rPr>
                <w:rFonts w:ascii="Cambria Math" w:hAnsi="Cambria Math" w:cstheme="majorBidi"/>
                <w:szCs w:val="24"/>
              </w:rPr>
              <m:t>ρ</m:t>
            </m:r>
          </m:e>
          <m:sub>
            <m:r>
              <w:rPr>
                <w:rFonts w:ascii="Cambria Math" w:hAnsi="Cambria Math" w:cstheme="majorBidi"/>
                <w:szCs w:val="24"/>
              </w:rPr>
              <m:t>I</m:t>
            </m:r>
          </m:sub>
        </m:sSub>
      </m:oMath>
      <w:r w:rsidRPr="00CC3E2F">
        <w:rPr>
          <w:rFonts w:asciiTheme="majorBidi" w:hAnsiTheme="majorBidi" w:cstheme="majorBidi"/>
          <w:i/>
          <w:iCs/>
          <w:szCs w:val="24"/>
        </w:rPr>
        <w:t>})</w:t>
      </w:r>
      <w:r w:rsidRPr="00CC3E2F">
        <w:rPr>
          <w:rFonts w:asciiTheme="majorBidi" w:hAnsiTheme="majorBidi" w:cstheme="majorBidi"/>
          <w:szCs w:val="24"/>
        </w:rPr>
        <w:t>.</w:t>
      </w:r>
    </w:p>
    <w:p w14:paraId="138CF386" w14:textId="4C23CB4E" w:rsidR="00234F08" w:rsidRDefault="00234F08" w:rsidP="008B1DCD">
      <w:pPr>
        <w:spacing w:after="120" w:line="276" w:lineRule="auto"/>
        <w:rPr>
          <w:rFonts w:asciiTheme="majorBidi" w:hAnsiTheme="majorBidi" w:cstheme="majorBidi"/>
          <w:szCs w:val="24"/>
        </w:rPr>
      </w:pPr>
      <w:bookmarkStart w:id="7" w:name="_Hlk175132531"/>
      <w:bookmarkStart w:id="8" w:name="_Hlk175132341"/>
      <w:r>
        <w:rPr>
          <w:rFonts w:asciiTheme="majorBidi" w:hAnsiTheme="majorBidi" w:cstheme="majorBidi"/>
          <w:szCs w:val="24"/>
        </w:rPr>
        <w:t xml:space="preserve">All </w:t>
      </w:r>
      <w:r w:rsidR="00B70710">
        <w:rPr>
          <w:rFonts w:asciiTheme="majorBidi" w:hAnsiTheme="majorBidi" w:cstheme="majorBidi"/>
          <w:szCs w:val="24"/>
        </w:rPr>
        <w:t xml:space="preserve">the </w:t>
      </w:r>
      <w:r>
        <w:rPr>
          <w:rFonts w:asciiTheme="majorBidi" w:hAnsiTheme="majorBidi" w:cstheme="majorBidi"/>
          <w:szCs w:val="24"/>
        </w:rPr>
        <w:t>other parameters were assumed to be independent</w:t>
      </w:r>
      <w:r w:rsidR="00B70710">
        <w:rPr>
          <w:rFonts w:asciiTheme="majorBidi" w:hAnsiTheme="majorBidi" w:cstheme="majorBidi"/>
          <w:szCs w:val="24"/>
        </w:rPr>
        <w:t xml:space="preserve"> due to lack of correlation evidence in the literature</w:t>
      </w:r>
      <w:bookmarkEnd w:id="7"/>
      <w:r>
        <w:rPr>
          <w:rFonts w:asciiTheme="majorBidi" w:hAnsiTheme="majorBidi" w:cstheme="majorBidi"/>
          <w:szCs w:val="24"/>
        </w:rPr>
        <w:t>.</w:t>
      </w:r>
    </w:p>
    <w:bookmarkEnd w:id="8"/>
    <w:p w14:paraId="6461B754" w14:textId="77777777" w:rsidR="001C170D" w:rsidRPr="001C170D" w:rsidRDefault="001C170D"/>
    <w:p w14:paraId="5DE80C3E" w14:textId="4C819566" w:rsidR="005F38FE" w:rsidRPr="00E456CF" w:rsidRDefault="005F38FE" w:rsidP="005F38FE">
      <w:pPr>
        <w:rPr>
          <w:rFonts w:asciiTheme="majorBidi" w:hAnsiTheme="majorBidi" w:cstheme="majorBidi"/>
          <w:szCs w:val="24"/>
        </w:rPr>
      </w:pPr>
      <w:bookmarkStart w:id="9" w:name="_Ref153877707"/>
      <w:r w:rsidRPr="00E456CF">
        <w:rPr>
          <w:rFonts w:asciiTheme="majorBidi" w:hAnsiTheme="majorBidi" w:cstheme="majorBidi"/>
          <w:szCs w:val="24"/>
        </w:rPr>
        <w:t xml:space="preserve">Table </w:t>
      </w:r>
      <w:r w:rsidR="00AA3510">
        <w:rPr>
          <w:rFonts w:asciiTheme="majorBidi" w:hAnsiTheme="majorBidi" w:cstheme="majorBidi"/>
          <w:szCs w:val="24"/>
        </w:rPr>
        <w:t>A</w:t>
      </w:r>
      <w:r w:rsidRPr="00E456CF">
        <w:rPr>
          <w:rFonts w:asciiTheme="majorBidi" w:hAnsiTheme="majorBidi" w:cstheme="majorBidi"/>
          <w:szCs w:val="24"/>
        </w:rPr>
        <w:fldChar w:fldCharType="begin"/>
      </w:r>
      <w:r w:rsidRPr="00E456CF">
        <w:rPr>
          <w:rFonts w:asciiTheme="majorBidi" w:hAnsiTheme="majorBidi" w:cstheme="majorBidi"/>
          <w:szCs w:val="24"/>
        </w:rPr>
        <w:instrText xml:space="preserve"> SEQ Table \* ARABIC </w:instrText>
      </w:r>
      <w:r w:rsidRPr="00E456CF">
        <w:rPr>
          <w:rFonts w:asciiTheme="majorBidi" w:hAnsiTheme="majorBidi" w:cstheme="majorBidi"/>
          <w:szCs w:val="24"/>
        </w:rPr>
        <w:fldChar w:fldCharType="separate"/>
      </w:r>
      <w:r w:rsidR="00223C41">
        <w:rPr>
          <w:rFonts w:asciiTheme="majorBidi" w:hAnsiTheme="majorBidi" w:cstheme="majorBidi"/>
          <w:noProof/>
          <w:szCs w:val="24"/>
        </w:rPr>
        <w:t>3</w:t>
      </w:r>
      <w:r w:rsidRPr="00E456CF">
        <w:rPr>
          <w:rFonts w:asciiTheme="majorBidi" w:hAnsiTheme="majorBidi" w:cstheme="majorBidi"/>
          <w:szCs w:val="24"/>
        </w:rPr>
        <w:fldChar w:fldCharType="end"/>
      </w:r>
      <w:bookmarkEnd w:id="9"/>
      <w:r w:rsidRPr="00E456CF">
        <w:rPr>
          <w:rFonts w:asciiTheme="majorBidi" w:hAnsiTheme="majorBidi" w:cstheme="majorBidi"/>
          <w:szCs w:val="24"/>
        </w:rPr>
        <w:t xml:space="preserve">. Estimated admission prevalence from the </w:t>
      </w:r>
      <w:r w:rsidR="004A2B7B">
        <w:rPr>
          <w:rFonts w:asciiTheme="majorBidi" w:hAnsiTheme="majorBidi" w:cstheme="majorBidi"/>
          <w:szCs w:val="24"/>
        </w:rPr>
        <w:t>EMR</w:t>
      </w:r>
      <w:r w:rsidRPr="00E456CF">
        <w:rPr>
          <w:rFonts w:asciiTheme="majorBidi" w:hAnsiTheme="majorBidi" w:cstheme="majorBidi"/>
          <w:szCs w:val="24"/>
        </w:rPr>
        <w:t xml:space="preserve"> data for the entire study period</w:t>
      </w:r>
    </w:p>
    <w:tbl>
      <w:tblPr>
        <w:tblStyle w:val="TableGrid"/>
        <w:tblW w:w="0" w:type="auto"/>
        <w:tblLook w:val="04A0" w:firstRow="1" w:lastRow="0" w:firstColumn="1" w:lastColumn="0" w:noHBand="0" w:noVBand="1"/>
      </w:tblPr>
      <w:tblGrid>
        <w:gridCol w:w="2695"/>
        <w:gridCol w:w="1620"/>
        <w:gridCol w:w="1607"/>
        <w:gridCol w:w="1714"/>
        <w:gridCol w:w="1714"/>
      </w:tblGrid>
      <w:tr w:rsidR="005F38FE" w14:paraId="2AD90F8E" w14:textId="77777777" w:rsidTr="00B60B5E">
        <w:tc>
          <w:tcPr>
            <w:tcW w:w="2695" w:type="dxa"/>
            <w:vMerge w:val="restart"/>
            <w:vAlign w:val="center"/>
          </w:tcPr>
          <w:p w14:paraId="2A2A841C" w14:textId="77777777" w:rsidR="005F38FE" w:rsidRPr="00566497" w:rsidRDefault="005F38FE" w:rsidP="00B60B5E">
            <w:pPr>
              <w:spacing w:before="60" w:after="60" w:line="276" w:lineRule="auto"/>
              <w:rPr>
                <w:rFonts w:asciiTheme="majorBidi" w:hAnsiTheme="majorBidi" w:cstheme="majorBidi"/>
                <w:b/>
                <w:bCs/>
                <w:szCs w:val="24"/>
              </w:rPr>
            </w:pPr>
            <w:r w:rsidRPr="00566497">
              <w:rPr>
                <w:rFonts w:asciiTheme="majorBidi" w:hAnsiTheme="majorBidi" w:cstheme="majorBidi"/>
                <w:b/>
                <w:bCs/>
                <w:szCs w:val="24"/>
              </w:rPr>
              <w:t>ICU</w:t>
            </w:r>
          </w:p>
        </w:tc>
        <w:tc>
          <w:tcPr>
            <w:tcW w:w="3227" w:type="dxa"/>
            <w:gridSpan w:val="2"/>
            <w:vAlign w:val="center"/>
          </w:tcPr>
          <w:p w14:paraId="3C1AFAFE" w14:textId="77777777" w:rsidR="005F38FE" w:rsidRPr="00566497" w:rsidRDefault="005F38FE" w:rsidP="00B60B5E">
            <w:pPr>
              <w:spacing w:before="60" w:after="60" w:line="276" w:lineRule="auto"/>
              <w:jc w:val="center"/>
              <w:rPr>
                <w:rFonts w:asciiTheme="majorBidi" w:hAnsiTheme="majorBidi" w:cstheme="majorBidi"/>
                <w:b/>
                <w:bCs/>
                <w:szCs w:val="24"/>
              </w:rPr>
            </w:pPr>
            <w:r>
              <w:rPr>
                <w:rFonts w:asciiTheme="majorBidi" w:hAnsiTheme="majorBidi" w:cstheme="majorBidi"/>
                <w:b/>
                <w:bCs/>
                <w:szCs w:val="24"/>
              </w:rPr>
              <w:t>MRSA</w:t>
            </w:r>
          </w:p>
        </w:tc>
        <w:tc>
          <w:tcPr>
            <w:tcW w:w="3428" w:type="dxa"/>
            <w:gridSpan w:val="2"/>
            <w:vAlign w:val="center"/>
          </w:tcPr>
          <w:p w14:paraId="721BAD6C" w14:textId="77777777" w:rsidR="005F38FE" w:rsidRPr="00566497" w:rsidRDefault="005F38FE" w:rsidP="00B60B5E">
            <w:pPr>
              <w:spacing w:before="60" w:after="60" w:line="276" w:lineRule="auto"/>
              <w:jc w:val="center"/>
              <w:rPr>
                <w:rFonts w:asciiTheme="majorBidi" w:hAnsiTheme="majorBidi" w:cstheme="majorBidi"/>
                <w:b/>
                <w:bCs/>
                <w:szCs w:val="24"/>
              </w:rPr>
            </w:pPr>
            <w:r>
              <w:rPr>
                <w:rFonts w:asciiTheme="majorBidi" w:hAnsiTheme="majorBidi" w:cstheme="majorBidi"/>
                <w:b/>
                <w:bCs/>
                <w:szCs w:val="24"/>
              </w:rPr>
              <w:t>VRE</w:t>
            </w:r>
          </w:p>
        </w:tc>
      </w:tr>
      <w:tr w:rsidR="005F38FE" w14:paraId="118FAFAC" w14:textId="77777777" w:rsidTr="00B60B5E">
        <w:tc>
          <w:tcPr>
            <w:tcW w:w="2695" w:type="dxa"/>
            <w:vMerge/>
            <w:vAlign w:val="center"/>
          </w:tcPr>
          <w:p w14:paraId="64369639" w14:textId="77777777" w:rsidR="005F38FE" w:rsidRPr="00566497" w:rsidRDefault="005F38FE" w:rsidP="00B60B5E">
            <w:pPr>
              <w:spacing w:before="60" w:after="60" w:line="276" w:lineRule="auto"/>
              <w:rPr>
                <w:rFonts w:asciiTheme="majorBidi" w:hAnsiTheme="majorBidi" w:cstheme="majorBidi"/>
                <w:b/>
                <w:bCs/>
                <w:szCs w:val="24"/>
              </w:rPr>
            </w:pPr>
          </w:p>
        </w:tc>
        <w:tc>
          <w:tcPr>
            <w:tcW w:w="1620" w:type="dxa"/>
            <w:vAlign w:val="center"/>
          </w:tcPr>
          <w:p w14:paraId="1D2DE82B" w14:textId="77777777" w:rsidR="005F38FE" w:rsidRPr="00566497" w:rsidRDefault="00663272" w:rsidP="00B60B5E">
            <w:pPr>
              <w:spacing w:before="60" w:after="60" w:line="276" w:lineRule="auto"/>
              <w:jc w:val="center"/>
              <w:rPr>
                <w:rFonts w:eastAsia="Times New Roman" w:cs="Times New Roman"/>
                <w:b/>
                <w:bCs/>
                <w:szCs w:val="24"/>
              </w:rPr>
            </w:pPr>
            <m:oMathPara>
              <m:oMath>
                <m:sSub>
                  <m:sSubPr>
                    <m:ctrlPr>
                      <w:rPr>
                        <w:rFonts w:ascii="Cambria Math" w:hAnsi="Cambria Math" w:cstheme="majorBidi"/>
                        <w:b/>
                        <w:bCs/>
                        <w:i/>
                        <w:szCs w:val="24"/>
                      </w:rPr>
                    </m:ctrlPr>
                  </m:sSubPr>
                  <m:e>
                    <m:r>
                      <m:rPr>
                        <m:sty m:val="bi"/>
                      </m:rPr>
                      <w:rPr>
                        <w:rFonts w:ascii="Cambria Math" w:hAnsi="Cambria Math" w:cstheme="majorBidi"/>
                        <w:szCs w:val="24"/>
                      </w:rPr>
                      <m:t>ρ</m:t>
                    </m:r>
                  </m:e>
                  <m:sub>
                    <m:r>
                      <m:rPr>
                        <m:sty m:val="bi"/>
                      </m:rPr>
                      <w:rPr>
                        <w:rFonts w:ascii="Cambria Math" w:hAnsi="Cambria Math" w:cstheme="majorBidi"/>
                        <w:szCs w:val="24"/>
                      </w:rPr>
                      <m:t>C</m:t>
                    </m:r>
                  </m:sub>
                </m:sSub>
              </m:oMath>
            </m:oMathPara>
          </w:p>
        </w:tc>
        <w:tc>
          <w:tcPr>
            <w:tcW w:w="1607" w:type="dxa"/>
            <w:vAlign w:val="center"/>
          </w:tcPr>
          <w:p w14:paraId="05307CD6" w14:textId="77777777" w:rsidR="005F38FE" w:rsidRPr="00566497" w:rsidRDefault="005F38FE" w:rsidP="00B60B5E">
            <w:pPr>
              <w:spacing w:before="60" w:after="60" w:line="276" w:lineRule="auto"/>
              <w:jc w:val="center"/>
              <w:rPr>
                <w:rFonts w:eastAsia="Times New Roman" w:cs="Times New Roman"/>
                <w:b/>
                <w:bCs/>
                <w:szCs w:val="24"/>
              </w:rPr>
            </w:pPr>
            <w:r>
              <w:rPr>
                <w:rFonts w:asciiTheme="majorBidi" w:hAnsiTheme="majorBidi" w:cstheme="majorBidi"/>
                <w:b/>
                <w:bCs/>
                <w:szCs w:val="24"/>
              </w:rPr>
              <w:t xml:space="preserve">Adjusted </w:t>
            </w:r>
            <m:oMath>
              <m:sSub>
                <m:sSubPr>
                  <m:ctrlPr>
                    <w:rPr>
                      <w:rFonts w:ascii="Cambria Math" w:hAnsi="Cambria Math" w:cstheme="majorBidi"/>
                      <w:b/>
                      <w:bCs/>
                      <w:i/>
                      <w:szCs w:val="24"/>
                    </w:rPr>
                  </m:ctrlPr>
                </m:sSubPr>
                <m:e>
                  <m:r>
                    <m:rPr>
                      <m:sty m:val="bi"/>
                    </m:rPr>
                    <w:rPr>
                      <w:rFonts w:ascii="Cambria Math" w:hAnsi="Cambria Math" w:cstheme="majorBidi"/>
                      <w:szCs w:val="24"/>
                    </w:rPr>
                    <m:t>ρ</m:t>
                  </m:r>
                </m:e>
                <m:sub>
                  <m:r>
                    <m:rPr>
                      <m:sty m:val="bi"/>
                    </m:rPr>
                    <w:rPr>
                      <w:rFonts w:ascii="Cambria Math" w:hAnsi="Cambria Math" w:cstheme="majorBidi"/>
                      <w:szCs w:val="24"/>
                    </w:rPr>
                    <m:t>C</m:t>
                  </m:r>
                </m:sub>
              </m:sSub>
            </m:oMath>
          </w:p>
        </w:tc>
        <w:tc>
          <w:tcPr>
            <w:tcW w:w="1714" w:type="dxa"/>
            <w:vAlign w:val="center"/>
          </w:tcPr>
          <w:p w14:paraId="3031CE99" w14:textId="77777777" w:rsidR="005F38FE" w:rsidRDefault="00663272" w:rsidP="00B60B5E">
            <w:pPr>
              <w:spacing w:before="60" w:after="60" w:line="276" w:lineRule="auto"/>
              <w:jc w:val="center"/>
              <w:rPr>
                <w:rFonts w:asciiTheme="majorBidi" w:hAnsiTheme="majorBidi" w:cstheme="majorBidi"/>
                <w:b/>
                <w:bCs/>
                <w:szCs w:val="24"/>
              </w:rPr>
            </w:pPr>
            <m:oMathPara>
              <m:oMath>
                <m:sSub>
                  <m:sSubPr>
                    <m:ctrlPr>
                      <w:rPr>
                        <w:rFonts w:ascii="Cambria Math" w:hAnsi="Cambria Math" w:cstheme="majorBidi"/>
                        <w:b/>
                        <w:bCs/>
                        <w:i/>
                        <w:szCs w:val="24"/>
                      </w:rPr>
                    </m:ctrlPr>
                  </m:sSubPr>
                  <m:e>
                    <m:r>
                      <m:rPr>
                        <m:sty m:val="bi"/>
                      </m:rPr>
                      <w:rPr>
                        <w:rFonts w:ascii="Cambria Math" w:hAnsi="Cambria Math" w:cstheme="majorBidi"/>
                        <w:szCs w:val="24"/>
                      </w:rPr>
                      <m:t>ρ</m:t>
                    </m:r>
                  </m:e>
                  <m:sub>
                    <m:r>
                      <m:rPr>
                        <m:sty m:val="bi"/>
                      </m:rPr>
                      <w:rPr>
                        <w:rFonts w:ascii="Cambria Math" w:hAnsi="Cambria Math" w:cstheme="majorBidi"/>
                        <w:szCs w:val="24"/>
                      </w:rPr>
                      <m:t>C</m:t>
                    </m:r>
                  </m:sub>
                </m:sSub>
              </m:oMath>
            </m:oMathPara>
          </w:p>
        </w:tc>
        <w:tc>
          <w:tcPr>
            <w:tcW w:w="1714" w:type="dxa"/>
            <w:vAlign w:val="center"/>
          </w:tcPr>
          <w:p w14:paraId="01CF878C" w14:textId="77777777" w:rsidR="005F38FE" w:rsidRDefault="005F38FE" w:rsidP="00B60B5E">
            <w:pPr>
              <w:spacing w:before="60" w:after="60" w:line="276" w:lineRule="auto"/>
              <w:jc w:val="center"/>
              <w:rPr>
                <w:rFonts w:asciiTheme="majorBidi" w:hAnsiTheme="majorBidi" w:cstheme="majorBidi"/>
                <w:b/>
                <w:bCs/>
                <w:szCs w:val="24"/>
              </w:rPr>
            </w:pPr>
            <w:r>
              <w:rPr>
                <w:rFonts w:asciiTheme="majorBidi" w:hAnsiTheme="majorBidi" w:cstheme="majorBidi"/>
                <w:b/>
                <w:bCs/>
                <w:szCs w:val="24"/>
              </w:rPr>
              <w:t xml:space="preserve">Adjusted </w:t>
            </w:r>
            <m:oMath>
              <m:sSub>
                <m:sSubPr>
                  <m:ctrlPr>
                    <w:rPr>
                      <w:rFonts w:ascii="Cambria Math" w:hAnsi="Cambria Math" w:cstheme="majorBidi"/>
                      <w:b/>
                      <w:bCs/>
                      <w:i/>
                      <w:szCs w:val="24"/>
                    </w:rPr>
                  </m:ctrlPr>
                </m:sSubPr>
                <m:e>
                  <m:r>
                    <m:rPr>
                      <m:sty m:val="bi"/>
                    </m:rPr>
                    <w:rPr>
                      <w:rFonts w:ascii="Cambria Math" w:hAnsi="Cambria Math" w:cstheme="majorBidi"/>
                      <w:szCs w:val="24"/>
                    </w:rPr>
                    <m:t>ρ</m:t>
                  </m:r>
                </m:e>
                <m:sub>
                  <m:r>
                    <m:rPr>
                      <m:sty m:val="bi"/>
                    </m:rPr>
                    <w:rPr>
                      <w:rFonts w:ascii="Cambria Math" w:hAnsi="Cambria Math" w:cstheme="majorBidi"/>
                      <w:szCs w:val="24"/>
                    </w:rPr>
                    <m:t>C</m:t>
                  </m:r>
                </m:sub>
              </m:sSub>
            </m:oMath>
          </w:p>
        </w:tc>
      </w:tr>
      <w:tr w:rsidR="005F38FE" w14:paraId="688D7400" w14:textId="77777777" w:rsidTr="00B60B5E">
        <w:tc>
          <w:tcPr>
            <w:tcW w:w="2695" w:type="dxa"/>
            <w:vAlign w:val="center"/>
          </w:tcPr>
          <w:p w14:paraId="50531A99" w14:textId="1933F39A" w:rsidR="005F38FE" w:rsidRDefault="008022BD" w:rsidP="00B60B5E">
            <w:pPr>
              <w:spacing w:before="60" w:after="60" w:line="276" w:lineRule="auto"/>
              <w:rPr>
                <w:rFonts w:asciiTheme="majorBidi" w:hAnsiTheme="majorBidi" w:cstheme="majorBidi"/>
                <w:szCs w:val="24"/>
              </w:rPr>
            </w:pPr>
            <w:bookmarkStart w:id="10" w:name="_Hlk162970513"/>
            <w:r>
              <w:rPr>
                <w:rFonts w:asciiTheme="majorBidi" w:eastAsia="Times New Roman" w:hAnsiTheme="majorBidi" w:cstheme="majorBidi"/>
                <w:color w:val="000000"/>
                <w:szCs w:val="24"/>
              </w:rPr>
              <w:t>CCU</w:t>
            </w:r>
          </w:p>
        </w:tc>
        <w:tc>
          <w:tcPr>
            <w:tcW w:w="1620" w:type="dxa"/>
            <w:vAlign w:val="center"/>
          </w:tcPr>
          <w:p w14:paraId="1F304A82"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260CE4">
              <w:rPr>
                <w:rFonts w:asciiTheme="majorBidi" w:eastAsia="Times New Roman" w:hAnsiTheme="majorBidi" w:cstheme="majorBidi"/>
                <w:color w:val="000000"/>
                <w:szCs w:val="24"/>
              </w:rPr>
              <w:t>4.3</w:t>
            </w:r>
            <w:r>
              <w:rPr>
                <w:rFonts w:asciiTheme="majorBidi" w:eastAsia="Times New Roman" w:hAnsiTheme="majorBidi" w:cstheme="majorBidi"/>
                <w:color w:val="000000"/>
                <w:szCs w:val="24"/>
              </w:rPr>
              <w:t>%</w:t>
            </w:r>
          </w:p>
        </w:tc>
        <w:tc>
          <w:tcPr>
            <w:tcW w:w="1607" w:type="dxa"/>
            <w:vAlign w:val="center"/>
          </w:tcPr>
          <w:p w14:paraId="1AA7186C"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B34158">
              <w:rPr>
                <w:rFonts w:asciiTheme="majorBidi" w:eastAsia="Times New Roman" w:hAnsiTheme="majorBidi" w:cstheme="majorBidi"/>
                <w:color w:val="000000"/>
                <w:szCs w:val="24"/>
              </w:rPr>
              <w:t>8.1%</w:t>
            </w:r>
          </w:p>
        </w:tc>
        <w:tc>
          <w:tcPr>
            <w:tcW w:w="1714" w:type="dxa"/>
            <w:vAlign w:val="center"/>
          </w:tcPr>
          <w:p w14:paraId="1760ADBF"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Pr>
                <w:rFonts w:asciiTheme="majorBidi" w:eastAsia="Times New Roman" w:hAnsiTheme="majorBidi" w:cstheme="majorBidi"/>
                <w:color w:val="000000"/>
                <w:szCs w:val="24"/>
              </w:rPr>
              <w:t>1</w:t>
            </w:r>
            <w:r w:rsidRPr="00260CE4">
              <w:rPr>
                <w:rFonts w:asciiTheme="majorBidi" w:eastAsia="Times New Roman" w:hAnsiTheme="majorBidi" w:cstheme="majorBidi"/>
                <w:color w:val="000000"/>
                <w:szCs w:val="24"/>
              </w:rPr>
              <w:t>.1</w:t>
            </w:r>
            <w:r>
              <w:rPr>
                <w:rFonts w:asciiTheme="majorBidi" w:eastAsia="Times New Roman" w:hAnsiTheme="majorBidi" w:cstheme="majorBidi"/>
                <w:color w:val="000000"/>
                <w:szCs w:val="24"/>
              </w:rPr>
              <w:t>%</w:t>
            </w:r>
          </w:p>
        </w:tc>
        <w:tc>
          <w:tcPr>
            <w:tcW w:w="1714" w:type="dxa"/>
            <w:vAlign w:val="center"/>
          </w:tcPr>
          <w:p w14:paraId="72F628F0"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8D1110">
              <w:rPr>
                <w:rFonts w:asciiTheme="majorBidi" w:eastAsia="Times New Roman" w:hAnsiTheme="majorBidi" w:cstheme="majorBidi"/>
                <w:color w:val="000000"/>
                <w:szCs w:val="24"/>
              </w:rPr>
              <w:t>2.0%</w:t>
            </w:r>
          </w:p>
        </w:tc>
      </w:tr>
      <w:tr w:rsidR="005F38FE" w14:paraId="6C2DE483" w14:textId="77777777" w:rsidTr="00B60B5E">
        <w:tc>
          <w:tcPr>
            <w:tcW w:w="2695" w:type="dxa"/>
            <w:vAlign w:val="center"/>
          </w:tcPr>
          <w:p w14:paraId="15A804BC" w14:textId="039F8AA0" w:rsidR="005F38FE" w:rsidRDefault="008022BD" w:rsidP="00B60B5E">
            <w:pPr>
              <w:spacing w:before="60" w:after="60" w:line="276" w:lineRule="auto"/>
              <w:rPr>
                <w:rFonts w:asciiTheme="majorBidi" w:hAnsiTheme="majorBidi" w:cstheme="majorBidi"/>
                <w:szCs w:val="24"/>
              </w:rPr>
            </w:pPr>
            <w:r>
              <w:rPr>
                <w:rFonts w:asciiTheme="majorBidi" w:eastAsia="Times New Roman" w:hAnsiTheme="majorBidi" w:cstheme="majorBidi"/>
                <w:color w:val="000000"/>
                <w:szCs w:val="24"/>
              </w:rPr>
              <w:t>CVSU</w:t>
            </w:r>
          </w:p>
        </w:tc>
        <w:tc>
          <w:tcPr>
            <w:tcW w:w="1620" w:type="dxa"/>
            <w:vAlign w:val="center"/>
          </w:tcPr>
          <w:p w14:paraId="69CA66E1"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260CE4">
              <w:rPr>
                <w:rFonts w:asciiTheme="majorBidi" w:eastAsia="Times New Roman" w:hAnsiTheme="majorBidi" w:cstheme="majorBidi"/>
                <w:color w:val="000000"/>
                <w:szCs w:val="24"/>
              </w:rPr>
              <w:t>1.4</w:t>
            </w:r>
            <w:r>
              <w:rPr>
                <w:rFonts w:asciiTheme="majorBidi" w:eastAsia="Times New Roman" w:hAnsiTheme="majorBidi" w:cstheme="majorBidi"/>
                <w:color w:val="000000"/>
                <w:szCs w:val="24"/>
              </w:rPr>
              <w:t>%</w:t>
            </w:r>
          </w:p>
        </w:tc>
        <w:tc>
          <w:tcPr>
            <w:tcW w:w="1607" w:type="dxa"/>
            <w:vAlign w:val="center"/>
          </w:tcPr>
          <w:p w14:paraId="14D9A3A0"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B34158">
              <w:rPr>
                <w:rFonts w:asciiTheme="majorBidi" w:eastAsia="Times New Roman" w:hAnsiTheme="majorBidi" w:cstheme="majorBidi"/>
                <w:color w:val="000000"/>
                <w:szCs w:val="24"/>
              </w:rPr>
              <w:t>2.5%</w:t>
            </w:r>
          </w:p>
        </w:tc>
        <w:tc>
          <w:tcPr>
            <w:tcW w:w="1714" w:type="dxa"/>
            <w:vAlign w:val="center"/>
          </w:tcPr>
          <w:p w14:paraId="7C66FB73"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260CE4">
              <w:rPr>
                <w:rFonts w:asciiTheme="majorBidi" w:eastAsia="Times New Roman" w:hAnsiTheme="majorBidi" w:cstheme="majorBidi"/>
                <w:color w:val="000000"/>
                <w:szCs w:val="24"/>
              </w:rPr>
              <w:t>2.0</w:t>
            </w:r>
            <w:r>
              <w:rPr>
                <w:rFonts w:asciiTheme="majorBidi" w:eastAsia="Times New Roman" w:hAnsiTheme="majorBidi" w:cstheme="majorBidi"/>
                <w:color w:val="000000"/>
                <w:szCs w:val="24"/>
              </w:rPr>
              <w:t>%</w:t>
            </w:r>
          </w:p>
        </w:tc>
        <w:tc>
          <w:tcPr>
            <w:tcW w:w="1714" w:type="dxa"/>
            <w:vAlign w:val="center"/>
          </w:tcPr>
          <w:p w14:paraId="15C9722D"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8D1110">
              <w:rPr>
                <w:rFonts w:asciiTheme="majorBidi" w:eastAsia="Times New Roman" w:hAnsiTheme="majorBidi" w:cstheme="majorBidi"/>
                <w:color w:val="000000"/>
                <w:szCs w:val="24"/>
              </w:rPr>
              <w:t>3.6%</w:t>
            </w:r>
          </w:p>
        </w:tc>
      </w:tr>
      <w:tr w:rsidR="005F38FE" w14:paraId="2A30B082" w14:textId="77777777" w:rsidTr="00B60B5E">
        <w:tc>
          <w:tcPr>
            <w:tcW w:w="2695" w:type="dxa"/>
            <w:vAlign w:val="center"/>
          </w:tcPr>
          <w:p w14:paraId="37A47053" w14:textId="33F11235" w:rsidR="005F38FE" w:rsidRDefault="008022BD" w:rsidP="00B60B5E">
            <w:pPr>
              <w:spacing w:before="60" w:after="60" w:line="276" w:lineRule="auto"/>
              <w:rPr>
                <w:rFonts w:asciiTheme="majorBidi" w:hAnsiTheme="majorBidi" w:cstheme="majorBidi"/>
                <w:szCs w:val="24"/>
              </w:rPr>
            </w:pPr>
            <w:r>
              <w:rPr>
                <w:rFonts w:asciiTheme="majorBidi" w:eastAsia="Times New Roman" w:hAnsiTheme="majorBidi" w:cstheme="majorBidi"/>
                <w:color w:val="000000"/>
                <w:szCs w:val="24"/>
              </w:rPr>
              <w:t>MICU</w:t>
            </w:r>
          </w:p>
        </w:tc>
        <w:tc>
          <w:tcPr>
            <w:tcW w:w="1620" w:type="dxa"/>
            <w:vAlign w:val="center"/>
          </w:tcPr>
          <w:p w14:paraId="3A75E802"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260CE4">
              <w:rPr>
                <w:rFonts w:asciiTheme="majorBidi" w:eastAsia="Times New Roman" w:hAnsiTheme="majorBidi" w:cstheme="majorBidi"/>
                <w:color w:val="000000"/>
                <w:szCs w:val="24"/>
              </w:rPr>
              <w:t>13.1</w:t>
            </w:r>
            <w:r>
              <w:rPr>
                <w:rFonts w:asciiTheme="majorBidi" w:eastAsia="Times New Roman" w:hAnsiTheme="majorBidi" w:cstheme="majorBidi"/>
                <w:color w:val="000000"/>
                <w:szCs w:val="24"/>
              </w:rPr>
              <w:t>%</w:t>
            </w:r>
          </w:p>
        </w:tc>
        <w:tc>
          <w:tcPr>
            <w:tcW w:w="1607" w:type="dxa"/>
            <w:vAlign w:val="center"/>
          </w:tcPr>
          <w:p w14:paraId="585275FB"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B34158">
              <w:rPr>
                <w:rFonts w:asciiTheme="majorBidi" w:eastAsia="Times New Roman" w:hAnsiTheme="majorBidi" w:cstheme="majorBidi"/>
                <w:color w:val="000000"/>
                <w:szCs w:val="24"/>
              </w:rPr>
              <w:t>20.7%</w:t>
            </w:r>
          </w:p>
        </w:tc>
        <w:tc>
          <w:tcPr>
            <w:tcW w:w="1714" w:type="dxa"/>
            <w:vAlign w:val="center"/>
          </w:tcPr>
          <w:p w14:paraId="6E85158B"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260CE4">
              <w:rPr>
                <w:rFonts w:asciiTheme="majorBidi" w:eastAsia="Times New Roman" w:hAnsiTheme="majorBidi" w:cstheme="majorBidi"/>
                <w:color w:val="000000"/>
                <w:szCs w:val="24"/>
              </w:rPr>
              <w:t>21.0</w:t>
            </w:r>
            <w:r>
              <w:rPr>
                <w:rFonts w:asciiTheme="majorBidi" w:eastAsia="Times New Roman" w:hAnsiTheme="majorBidi" w:cstheme="majorBidi"/>
                <w:color w:val="000000"/>
                <w:szCs w:val="24"/>
              </w:rPr>
              <w:t>%</w:t>
            </w:r>
          </w:p>
        </w:tc>
        <w:tc>
          <w:tcPr>
            <w:tcW w:w="1714" w:type="dxa"/>
            <w:vAlign w:val="center"/>
          </w:tcPr>
          <w:p w14:paraId="02985CE7"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8D1110">
              <w:rPr>
                <w:rFonts w:asciiTheme="majorBidi" w:eastAsia="Times New Roman" w:hAnsiTheme="majorBidi" w:cstheme="majorBidi"/>
                <w:color w:val="000000"/>
                <w:szCs w:val="24"/>
              </w:rPr>
              <w:t>33.9%</w:t>
            </w:r>
          </w:p>
        </w:tc>
      </w:tr>
      <w:tr w:rsidR="005F38FE" w14:paraId="06E1C2D4" w14:textId="77777777" w:rsidTr="00B60B5E">
        <w:tc>
          <w:tcPr>
            <w:tcW w:w="2695" w:type="dxa"/>
            <w:vAlign w:val="center"/>
          </w:tcPr>
          <w:p w14:paraId="28F0339D" w14:textId="764C93F7" w:rsidR="005F38FE" w:rsidRPr="00CC3E2F" w:rsidRDefault="008022BD" w:rsidP="00B60B5E">
            <w:pPr>
              <w:spacing w:before="60" w:after="60" w:line="276" w:lineRule="auto"/>
              <w:rPr>
                <w:rFonts w:asciiTheme="majorBidi" w:eastAsia="Times New Roman" w:hAnsiTheme="majorBidi" w:cstheme="majorBidi"/>
                <w:color w:val="000000"/>
                <w:szCs w:val="24"/>
              </w:rPr>
            </w:pPr>
            <w:r>
              <w:rPr>
                <w:rFonts w:asciiTheme="majorBidi" w:eastAsia="Times New Roman" w:hAnsiTheme="majorBidi" w:cstheme="majorBidi"/>
                <w:color w:val="000000"/>
                <w:szCs w:val="24"/>
              </w:rPr>
              <w:t>NCCU</w:t>
            </w:r>
          </w:p>
        </w:tc>
        <w:tc>
          <w:tcPr>
            <w:tcW w:w="1620" w:type="dxa"/>
            <w:vAlign w:val="center"/>
          </w:tcPr>
          <w:p w14:paraId="21F8C3FC"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260CE4">
              <w:rPr>
                <w:rFonts w:asciiTheme="majorBidi" w:eastAsia="Times New Roman" w:hAnsiTheme="majorBidi" w:cstheme="majorBidi"/>
                <w:color w:val="000000"/>
                <w:szCs w:val="24"/>
              </w:rPr>
              <w:t>2.5</w:t>
            </w:r>
            <w:r>
              <w:rPr>
                <w:rFonts w:asciiTheme="majorBidi" w:eastAsia="Times New Roman" w:hAnsiTheme="majorBidi" w:cstheme="majorBidi"/>
                <w:color w:val="000000"/>
                <w:szCs w:val="24"/>
              </w:rPr>
              <w:t>%</w:t>
            </w:r>
          </w:p>
        </w:tc>
        <w:tc>
          <w:tcPr>
            <w:tcW w:w="1607" w:type="dxa"/>
            <w:vAlign w:val="center"/>
          </w:tcPr>
          <w:p w14:paraId="5F836BFE"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B34158">
              <w:rPr>
                <w:rFonts w:asciiTheme="majorBidi" w:eastAsia="Times New Roman" w:hAnsiTheme="majorBidi" w:cstheme="majorBidi"/>
                <w:color w:val="000000"/>
                <w:szCs w:val="24"/>
              </w:rPr>
              <w:t>4.4%</w:t>
            </w:r>
          </w:p>
        </w:tc>
        <w:tc>
          <w:tcPr>
            <w:tcW w:w="1714" w:type="dxa"/>
            <w:vAlign w:val="center"/>
          </w:tcPr>
          <w:p w14:paraId="4FD2DA1F"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260CE4">
              <w:rPr>
                <w:rFonts w:asciiTheme="majorBidi" w:eastAsia="Times New Roman" w:hAnsiTheme="majorBidi" w:cstheme="majorBidi"/>
                <w:color w:val="000000"/>
                <w:szCs w:val="24"/>
              </w:rPr>
              <w:t>1.9</w:t>
            </w:r>
            <w:r>
              <w:rPr>
                <w:rFonts w:asciiTheme="majorBidi" w:eastAsia="Times New Roman" w:hAnsiTheme="majorBidi" w:cstheme="majorBidi"/>
                <w:color w:val="000000"/>
                <w:szCs w:val="24"/>
              </w:rPr>
              <w:t>%</w:t>
            </w:r>
          </w:p>
        </w:tc>
        <w:tc>
          <w:tcPr>
            <w:tcW w:w="1714" w:type="dxa"/>
            <w:vAlign w:val="center"/>
          </w:tcPr>
          <w:p w14:paraId="6706B1D9"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8D1110">
              <w:rPr>
                <w:rFonts w:asciiTheme="majorBidi" w:eastAsia="Times New Roman" w:hAnsiTheme="majorBidi" w:cstheme="majorBidi"/>
                <w:color w:val="000000"/>
                <w:szCs w:val="24"/>
              </w:rPr>
              <w:t>3.4%</w:t>
            </w:r>
          </w:p>
        </w:tc>
      </w:tr>
      <w:tr w:rsidR="005F38FE" w14:paraId="03C07BD9" w14:textId="77777777" w:rsidTr="00B60B5E">
        <w:tc>
          <w:tcPr>
            <w:tcW w:w="2695" w:type="dxa"/>
            <w:vAlign w:val="center"/>
          </w:tcPr>
          <w:p w14:paraId="1DFBEF32" w14:textId="50E4EF0B" w:rsidR="005F38FE" w:rsidRPr="00CC3E2F" w:rsidRDefault="008022BD" w:rsidP="00B60B5E">
            <w:pPr>
              <w:spacing w:before="60" w:after="60" w:line="276" w:lineRule="auto"/>
              <w:rPr>
                <w:rFonts w:asciiTheme="majorBidi" w:eastAsia="Times New Roman" w:hAnsiTheme="majorBidi" w:cstheme="majorBidi"/>
                <w:color w:val="000000"/>
                <w:szCs w:val="24"/>
              </w:rPr>
            </w:pPr>
            <w:r>
              <w:rPr>
                <w:rFonts w:asciiTheme="majorBidi" w:eastAsia="Times New Roman" w:hAnsiTheme="majorBidi" w:cstheme="majorBidi"/>
                <w:color w:val="000000"/>
                <w:szCs w:val="24"/>
              </w:rPr>
              <w:t>SICU</w:t>
            </w:r>
          </w:p>
        </w:tc>
        <w:tc>
          <w:tcPr>
            <w:tcW w:w="1620" w:type="dxa"/>
            <w:vAlign w:val="center"/>
          </w:tcPr>
          <w:p w14:paraId="65142322"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260CE4">
              <w:rPr>
                <w:rFonts w:asciiTheme="majorBidi" w:eastAsia="Times New Roman" w:hAnsiTheme="majorBidi" w:cstheme="majorBidi"/>
                <w:color w:val="000000"/>
                <w:szCs w:val="24"/>
              </w:rPr>
              <w:t>3.6</w:t>
            </w:r>
            <w:r>
              <w:rPr>
                <w:rFonts w:asciiTheme="majorBidi" w:eastAsia="Times New Roman" w:hAnsiTheme="majorBidi" w:cstheme="majorBidi"/>
                <w:color w:val="000000"/>
                <w:szCs w:val="24"/>
              </w:rPr>
              <w:t>%</w:t>
            </w:r>
          </w:p>
        </w:tc>
        <w:tc>
          <w:tcPr>
            <w:tcW w:w="1607" w:type="dxa"/>
            <w:vAlign w:val="center"/>
          </w:tcPr>
          <w:p w14:paraId="5094C49D"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B34158">
              <w:rPr>
                <w:rFonts w:asciiTheme="majorBidi" w:eastAsia="Times New Roman" w:hAnsiTheme="majorBidi" w:cstheme="majorBidi"/>
                <w:color w:val="000000"/>
                <w:szCs w:val="24"/>
              </w:rPr>
              <w:t>6.5%</w:t>
            </w:r>
          </w:p>
        </w:tc>
        <w:tc>
          <w:tcPr>
            <w:tcW w:w="1714" w:type="dxa"/>
            <w:vAlign w:val="center"/>
          </w:tcPr>
          <w:p w14:paraId="76479F23"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260CE4">
              <w:rPr>
                <w:rFonts w:asciiTheme="majorBidi" w:eastAsia="Times New Roman" w:hAnsiTheme="majorBidi" w:cstheme="majorBidi"/>
                <w:color w:val="000000"/>
                <w:szCs w:val="24"/>
              </w:rPr>
              <w:t>5.4</w:t>
            </w:r>
            <w:r>
              <w:rPr>
                <w:rFonts w:asciiTheme="majorBidi" w:eastAsia="Times New Roman" w:hAnsiTheme="majorBidi" w:cstheme="majorBidi"/>
                <w:color w:val="000000"/>
                <w:szCs w:val="24"/>
              </w:rPr>
              <w:t>%</w:t>
            </w:r>
          </w:p>
        </w:tc>
        <w:tc>
          <w:tcPr>
            <w:tcW w:w="1714" w:type="dxa"/>
            <w:vAlign w:val="center"/>
          </w:tcPr>
          <w:p w14:paraId="34B0F555"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8D1110">
              <w:rPr>
                <w:rFonts w:asciiTheme="majorBidi" w:eastAsia="Times New Roman" w:hAnsiTheme="majorBidi" w:cstheme="majorBidi"/>
                <w:color w:val="000000"/>
                <w:szCs w:val="24"/>
              </w:rPr>
              <w:t>9.8%</w:t>
            </w:r>
          </w:p>
        </w:tc>
      </w:tr>
      <w:tr w:rsidR="005F38FE" w14:paraId="1D581FC2" w14:textId="77777777" w:rsidTr="00B60B5E">
        <w:tc>
          <w:tcPr>
            <w:tcW w:w="2695" w:type="dxa"/>
            <w:vAlign w:val="center"/>
          </w:tcPr>
          <w:p w14:paraId="0A5BEFA1" w14:textId="30DF4CFE" w:rsidR="005F38FE" w:rsidRPr="00CC3E2F" w:rsidRDefault="008022BD" w:rsidP="00B60B5E">
            <w:pPr>
              <w:spacing w:before="60" w:after="60" w:line="276" w:lineRule="auto"/>
              <w:rPr>
                <w:rFonts w:asciiTheme="majorBidi" w:eastAsia="Times New Roman" w:hAnsiTheme="majorBidi" w:cstheme="majorBidi"/>
                <w:color w:val="000000"/>
                <w:szCs w:val="24"/>
              </w:rPr>
            </w:pPr>
            <w:r>
              <w:rPr>
                <w:rFonts w:asciiTheme="majorBidi" w:eastAsia="Times New Roman" w:hAnsiTheme="majorBidi" w:cstheme="majorBidi"/>
                <w:color w:val="000000"/>
                <w:szCs w:val="24"/>
              </w:rPr>
              <w:t>WSICU</w:t>
            </w:r>
          </w:p>
        </w:tc>
        <w:tc>
          <w:tcPr>
            <w:tcW w:w="1620" w:type="dxa"/>
            <w:vAlign w:val="center"/>
          </w:tcPr>
          <w:p w14:paraId="0404A505"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sidRPr="00260CE4">
              <w:rPr>
                <w:rFonts w:asciiTheme="majorBidi" w:eastAsia="Times New Roman" w:hAnsiTheme="majorBidi" w:cstheme="majorBidi"/>
                <w:color w:val="000000"/>
                <w:szCs w:val="24"/>
              </w:rPr>
              <w:t>3.4</w:t>
            </w:r>
            <w:r>
              <w:rPr>
                <w:rFonts w:asciiTheme="majorBidi" w:eastAsia="Times New Roman" w:hAnsiTheme="majorBidi" w:cstheme="majorBidi"/>
                <w:color w:val="000000"/>
                <w:szCs w:val="24"/>
              </w:rPr>
              <w:t>%</w:t>
            </w:r>
          </w:p>
        </w:tc>
        <w:tc>
          <w:tcPr>
            <w:tcW w:w="1607" w:type="dxa"/>
            <w:vAlign w:val="center"/>
          </w:tcPr>
          <w:p w14:paraId="413B66C4"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Pr>
                <w:rFonts w:asciiTheme="majorBidi" w:eastAsia="Times New Roman" w:hAnsiTheme="majorBidi" w:cstheme="majorBidi"/>
                <w:color w:val="000000"/>
                <w:szCs w:val="24"/>
              </w:rPr>
              <w:t>6.1%</w:t>
            </w:r>
          </w:p>
        </w:tc>
        <w:tc>
          <w:tcPr>
            <w:tcW w:w="1714" w:type="dxa"/>
            <w:vAlign w:val="center"/>
          </w:tcPr>
          <w:p w14:paraId="1EE23EA7"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Pr>
                <w:rFonts w:asciiTheme="majorBidi" w:eastAsia="Times New Roman" w:hAnsiTheme="majorBidi" w:cstheme="majorBidi"/>
                <w:color w:val="000000"/>
                <w:szCs w:val="24"/>
              </w:rPr>
              <w:t>3.4</w:t>
            </w:r>
            <w:r w:rsidRPr="00260CE4">
              <w:rPr>
                <w:rFonts w:asciiTheme="majorBidi" w:eastAsia="Times New Roman" w:hAnsiTheme="majorBidi" w:cstheme="majorBidi"/>
                <w:color w:val="000000"/>
                <w:szCs w:val="24"/>
              </w:rPr>
              <w:t>%</w:t>
            </w:r>
          </w:p>
        </w:tc>
        <w:tc>
          <w:tcPr>
            <w:tcW w:w="1714" w:type="dxa"/>
            <w:vAlign w:val="center"/>
          </w:tcPr>
          <w:p w14:paraId="688A5126" w14:textId="77777777" w:rsidR="005F38FE" w:rsidRPr="00260CE4" w:rsidRDefault="005F38FE" w:rsidP="00B60B5E">
            <w:pPr>
              <w:spacing w:before="60" w:after="60" w:line="276" w:lineRule="auto"/>
              <w:jc w:val="center"/>
              <w:rPr>
                <w:rFonts w:asciiTheme="majorBidi" w:eastAsia="Times New Roman" w:hAnsiTheme="majorBidi" w:cstheme="majorBidi"/>
                <w:color w:val="000000"/>
                <w:szCs w:val="24"/>
              </w:rPr>
            </w:pPr>
            <w:r>
              <w:rPr>
                <w:rFonts w:asciiTheme="majorBidi" w:eastAsia="Times New Roman" w:hAnsiTheme="majorBidi" w:cstheme="majorBidi"/>
                <w:color w:val="000000"/>
                <w:szCs w:val="24"/>
              </w:rPr>
              <w:t>6.2</w:t>
            </w:r>
            <w:r w:rsidRPr="00260CE4">
              <w:rPr>
                <w:rFonts w:asciiTheme="majorBidi" w:eastAsia="Times New Roman" w:hAnsiTheme="majorBidi" w:cstheme="majorBidi"/>
                <w:color w:val="000000"/>
                <w:szCs w:val="24"/>
              </w:rPr>
              <w:t>%</w:t>
            </w:r>
          </w:p>
        </w:tc>
      </w:tr>
      <w:bookmarkEnd w:id="10"/>
    </w:tbl>
    <w:p w14:paraId="58C7201B" w14:textId="77777777" w:rsidR="005F38FE" w:rsidRDefault="005F38FE" w:rsidP="005F38FE">
      <w:pPr>
        <w:spacing w:after="120" w:line="276" w:lineRule="auto"/>
        <w:rPr>
          <w:rFonts w:asciiTheme="majorBidi" w:hAnsiTheme="majorBidi" w:cstheme="majorBidi"/>
          <w:szCs w:val="24"/>
        </w:rPr>
      </w:pPr>
    </w:p>
    <w:p w14:paraId="22A38281" w14:textId="5DB8CD68" w:rsidR="00C66428" w:rsidRPr="00273782" w:rsidRDefault="00C66428" w:rsidP="00C66428">
      <w:pPr>
        <w:spacing w:after="120" w:line="276" w:lineRule="auto"/>
        <w:rPr>
          <w:rFonts w:asciiTheme="majorBidi" w:hAnsiTheme="majorBidi" w:cstheme="majorBidi"/>
          <w:szCs w:val="24"/>
        </w:rPr>
      </w:pPr>
      <w:r w:rsidRPr="00273782">
        <w:rPr>
          <w:rFonts w:asciiTheme="majorBidi" w:hAnsiTheme="majorBidi" w:cstheme="majorBidi"/>
          <w:szCs w:val="24"/>
        </w:rPr>
        <w:t>A2.</w:t>
      </w:r>
      <w:r w:rsidR="00273782" w:rsidRPr="00273782">
        <w:rPr>
          <w:rFonts w:asciiTheme="majorBidi" w:hAnsiTheme="majorBidi" w:cstheme="majorBidi"/>
          <w:szCs w:val="24"/>
        </w:rPr>
        <w:t>2.</w:t>
      </w:r>
      <w:r w:rsidRPr="00273782">
        <w:rPr>
          <w:rFonts w:asciiTheme="majorBidi" w:hAnsiTheme="majorBidi" w:cstheme="majorBidi"/>
          <w:szCs w:val="24"/>
        </w:rPr>
        <w:t>3.2. Parameter identifiability</w:t>
      </w:r>
    </w:p>
    <w:p w14:paraId="75D24449" w14:textId="4D259C64" w:rsidR="00C66428" w:rsidRDefault="00C66428" w:rsidP="00C66428">
      <w:pPr>
        <w:spacing w:after="120" w:line="276" w:lineRule="auto"/>
        <w:rPr>
          <w:rFonts w:asciiTheme="majorBidi" w:hAnsiTheme="majorBidi" w:cstheme="majorBidi"/>
          <w:szCs w:val="24"/>
        </w:rPr>
      </w:pPr>
      <w:r>
        <w:rPr>
          <w:rFonts w:asciiTheme="majorBidi" w:hAnsiTheme="majorBidi" w:cstheme="majorBidi"/>
          <w:szCs w:val="24"/>
        </w:rPr>
        <w:t>Parameter identifiability is a critical problem in complex biological models,</w:t>
      </w:r>
      <w:r>
        <w:rPr>
          <w:rFonts w:asciiTheme="majorBidi" w:hAnsiTheme="majorBidi" w:cstheme="majorBidi"/>
          <w:szCs w:val="24"/>
        </w:rPr>
        <w:fldChar w:fldCharType="begin" w:fldLock="1"/>
      </w:r>
      <w:r w:rsidR="00614E4E">
        <w:rPr>
          <w:rFonts w:asciiTheme="majorBidi" w:hAnsiTheme="majorBidi" w:cstheme="majorBidi"/>
          <w:szCs w:val="24"/>
        </w:rPr>
        <w:instrText>ADDIN CSL_CITATION {"citationItems":[{"id":"ITEM-1","itemData":{"DOI":"10.1016/J.COISB.2021.03.005","ISSN":"2452-3100","abstract":"We discuss issues of structural and practical identifiability of partially observed differential equations, which are often applied in systems biology. The development of mathematical methods to investigate structural nonidentifiability has a long tradition. Computationally efficient methods to detect and cure it have been developed recently. Practical nonidentifiability, on the other hand, has not been investigated at the same conceptually clear level. We argue that practical identifiability is more challenging than structural identifiability when it comes to modeling experimental data. We discuss that the classical approach based on the Fisher information matrix has severe shortcomings. As an alternative, we propose using the profile likelihood, which is a powerful approach to detect and resolve practical nonidentifiability.","author":[{"dropping-particle":"","family":"Wieland","given":"Franz Georg","non-dropping-particle":"","parse-names":false,"suffix":""},{"dropping-particle":"","family":"Hauber","given":"Adrian L.","non-dropping-particle":"","parse-names":false,"suffix":""},{"dropping-particle":"","family":"Rosenblatt","given":"Marcus","non-dropping-particle":"","parse-names":false,"suffix":""},{"dropping-particle":"","family":"Tönsing","given":"Christian","non-dropping-particle":"","parse-names":false,"suffix":""},{"dropping-particle":"","family":"Timmer","given":"Jens","non-dropping-particle":"","parse-names":false,"suffix":""}],"container-title":"Current Opinion in Systems Biology","id":"ITEM-1","issued":{"date-parts":[["2021","3","1"]]},"page":"60-69","publisher":"Elsevier","title":"On structural and practical identifiability","type":"article-journal","volume":"25"},"uris":["http://www.mendeley.com/documents/?uuid=9b802fa3-bff4-3738-a5f9-a96972dda475"]}],"mendeley":{"formattedCitation":"[16]","plainTextFormattedCitation":"[16]","previouslyFormattedCitation":"[16]"},"properties":{"noteIndex":0},"schema":"https://github.com/citation-style-language/schema/raw/master/csl-citation.json"}</w:instrText>
      </w:r>
      <w:r>
        <w:rPr>
          <w:rFonts w:asciiTheme="majorBidi" w:hAnsiTheme="majorBidi" w:cstheme="majorBidi"/>
          <w:szCs w:val="24"/>
        </w:rPr>
        <w:fldChar w:fldCharType="separate"/>
      </w:r>
      <w:r w:rsidR="004F21C2" w:rsidRPr="004F21C2">
        <w:rPr>
          <w:rFonts w:asciiTheme="majorBidi" w:hAnsiTheme="majorBidi" w:cstheme="majorBidi"/>
          <w:noProof/>
          <w:szCs w:val="24"/>
        </w:rPr>
        <w:t>[16]</w:t>
      </w:r>
      <w:r>
        <w:rPr>
          <w:rFonts w:asciiTheme="majorBidi" w:hAnsiTheme="majorBidi" w:cstheme="majorBidi"/>
          <w:szCs w:val="24"/>
        </w:rPr>
        <w:fldChar w:fldCharType="end"/>
      </w:r>
      <w:r>
        <w:rPr>
          <w:rFonts w:asciiTheme="majorBidi" w:hAnsiTheme="majorBidi" w:cstheme="majorBidi"/>
          <w:szCs w:val="24"/>
        </w:rPr>
        <w:t xml:space="preserve"> particularly agent-based models.</w:t>
      </w:r>
      <w:r>
        <w:rPr>
          <w:rFonts w:asciiTheme="majorBidi" w:hAnsiTheme="majorBidi" w:cstheme="majorBidi"/>
          <w:szCs w:val="24"/>
        </w:rPr>
        <w:fldChar w:fldCharType="begin" w:fldLock="1"/>
      </w:r>
      <w:r w:rsidR="00614E4E">
        <w:rPr>
          <w:rFonts w:asciiTheme="majorBidi" w:hAnsiTheme="majorBidi" w:cstheme="majorBidi"/>
          <w:szCs w:val="24"/>
        </w:rPr>
        <w:instrText>ADDIN CSL_CITATION {"citationItems":[{"id":"ITEM-1","itemData":{"DOI":"10.1371/JOURNAL.PONE.0290821","ISBN":"1111111111","ISSN":"1932-6203","PMID":"38271401","abstract":"Mathematical models are a valuable tool for studying and predicting the spread of infectious agents. The accuracy of model simulations and predictions invariably depends on the specification of model parameters. Estimation of these parameters is therefore extremely important; however, while some parameters can be derived from observational studies, the values of others are difficult to measure. Instead, models can be coupled with inference algorithms (i.e., data assimilation methods, or statistical filters), which fit model simulations to existing observations and estimate unobserved model state variables and parameters. Ideally, these inference algorithms should find the best fitting solution for a given model and set of observations; however, as those estimated quantities are unobserved, it is typically uncertain whether the correct parameters have been identified. Further, it is unclear what ‘correct’ really means for abstract parameters defined based on specific model forms. In this work, we explored the problem of non-identifiability in a stochastic system which, when overlooked, can significantly impede model prediction. We used a network, agent-based model to simulate the transmission of Methicillin-resistant staphylococcus aureus (MRSA) within hospital settings and attempted to infer key model parameters using the Ensemble Adjustment Kalman Filter, an efficient Bayesian inference algorithm. We show that even though the inference method converged and that simulations using the estimated parameters produced an agreement with observations, the true parameters are not fully identifiable. While the model-inference system can exclude a substantial area of parameter space that is unlikely to contain the true parameters, the estimated parameter range still included multiple parameter combinations that can fit observations equally well. We show that analyzing synthetic trajectories can support or contradict claims of identifiability. While we perform this on a specific model system, this approach can be generalized for a variety of stochastic representations of partially observable systems. We also suggest data manipulations intended to improve identifiability that might be applicable in many systems of interest.","author":[{"dropping-particle":"","family":"Robin","given":"Tal T.","non-dropping-particle":"","parse-names":false,"suffix":""},{"dropping-particle":"","family":"Cascante-Vega","given":"Jaime","non-dropping-particle":"","parse-names":false,"suffix":""},{"dropping-particle":"","family":"Shaman","given":"Jeffrey","non-dropping-particle":"","parse-names":false,"suffix":""},{"dropping-particle":"","family":"Pei","given":"Sen","non-dropping-particle":"","parse-names":false,"suffix":""}],"container-title":"PLOS ONE","id":"ITEM-1","issue":"1","issued":{"date-parts":[["2024","1","1"]]},"page":"e0290821","publisher":"Public Library of Science","title":"System identifiability in a time-evolving agent-based model","type":"article-journal","volume":"19"},"uris":["http://www.mendeley.com/documents/?uuid=44efc46a-0273-3b97-8980-31603f8701ee"]}],"mendeley":{"formattedCitation":"[17]","plainTextFormattedCitation":"[17]","previouslyFormattedCitation":"[17]"},"properties":{"noteIndex":0},"schema":"https://github.com/citation-style-language/schema/raw/master/csl-citation.json"}</w:instrText>
      </w:r>
      <w:r>
        <w:rPr>
          <w:rFonts w:asciiTheme="majorBidi" w:hAnsiTheme="majorBidi" w:cstheme="majorBidi"/>
          <w:szCs w:val="24"/>
        </w:rPr>
        <w:fldChar w:fldCharType="separate"/>
      </w:r>
      <w:r w:rsidR="004F21C2" w:rsidRPr="004F21C2">
        <w:rPr>
          <w:rFonts w:asciiTheme="majorBidi" w:hAnsiTheme="majorBidi" w:cstheme="majorBidi"/>
          <w:noProof/>
          <w:szCs w:val="24"/>
        </w:rPr>
        <w:t>[17]</w:t>
      </w:r>
      <w:r>
        <w:rPr>
          <w:rFonts w:asciiTheme="majorBidi" w:hAnsiTheme="majorBidi" w:cstheme="majorBidi"/>
          <w:szCs w:val="24"/>
        </w:rPr>
        <w:fldChar w:fldCharType="end"/>
      </w:r>
      <w:r>
        <w:rPr>
          <w:rFonts w:asciiTheme="majorBidi" w:hAnsiTheme="majorBidi" w:cstheme="majorBidi"/>
          <w:szCs w:val="24"/>
        </w:rPr>
        <w:t xml:space="preserve"> While we tried to inform our model with evidence-based parameter distribution boundaries, there still exist multiple completely or partially unknown parameters that could lead to model nonidentifiability. Three parameters are completely unknown: </w:t>
      </w:r>
      <w:r w:rsidRPr="00094A05">
        <w:rPr>
          <w:rFonts w:asciiTheme="majorBidi" w:hAnsiTheme="majorBidi" w:cstheme="majorBidi"/>
          <w:szCs w:val="24"/>
        </w:rPr>
        <w:t>post</w:t>
      </w:r>
      <w:r>
        <w:rPr>
          <w:rFonts w:asciiTheme="majorBidi" w:hAnsiTheme="majorBidi" w:cstheme="majorBidi"/>
          <w:szCs w:val="24"/>
        </w:rPr>
        <w:t>-</w:t>
      </w:r>
      <w:r w:rsidRPr="00094A05">
        <w:rPr>
          <w:rFonts w:asciiTheme="majorBidi" w:hAnsiTheme="majorBidi" w:cstheme="majorBidi"/>
          <w:szCs w:val="24"/>
        </w:rPr>
        <w:t>hand</w:t>
      </w:r>
      <w:r>
        <w:rPr>
          <w:rFonts w:asciiTheme="majorBidi" w:hAnsiTheme="majorBidi" w:cstheme="majorBidi"/>
          <w:szCs w:val="24"/>
        </w:rPr>
        <w:t>-</w:t>
      </w:r>
      <w:r w:rsidRPr="00094A05">
        <w:rPr>
          <w:rFonts w:asciiTheme="majorBidi" w:hAnsiTheme="majorBidi" w:cstheme="majorBidi"/>
          <w:szCs w:val="24"/>
        </w:rPr>
        <w:lastRenderedPageBreak/>
        <w:t>washing</w:t>
      </w:r>
      <w:r>
        <w:rPr>
          <w:rFonts w:asciiTheme="majorBidi" w:hAnsiTheme="majorBidi" w:cstheme="majorBidi"/>
          <w:szCs w:val="24"/>
        </w:rPr>
        <w:t xml:space="preserve"> r</w:t>
      </w:r>
      <w:r w:rsidRPr="00094A05">
        <w:rPr>
          <w:rFonts w:asciiTheme="majorBidi" w:hAnsiTheme="majorBidi" w:cstheme="majorBidi"/>
          <w:szCs w:val="24"/>
        </w:rPr>
        <w:t xml:space="preserve">esidual contamination </w:t>
      </w:r>
      <w:r>
        <w:rPr>
          <w:rFonts w:asciiTheme="majorBidi" w:hAnsiTheme="majorBidi" w:cstheme="majorBidi"/>
          <w:szCs w:val="24"/>
        </w:rPr>
        <w:t xml:space="preserve">(including not only residual contamination on the HCW hands, but also clothes or other equipment; </w:t>
      </w:r>
      <w:r w:rsidRPr="00C66428">
        <w:rPr>
          <w:rFonts w:asciiTheme="majorBidi" w:hAnsiTheme="majorBidi" w:cstheme="majorBidi"/>
          <w:szCs w:val="24"/>
        </w:rPr>
        <w:t>Hr</w:t>
      </w:r>
      <w:r>
        <w:rPr>
          <w:rFonts w:asciiTheme="majorBidi" w:hAnsiTheme="majorBidi" w:cstheme="majorBidi"/>
          <w:szCs w:val="24"/>
        </w:rPr>
        <w:t>), p</w:t>
      </w:r>
      <w:r w:rsidRPr="00094A05">
        <w:rPr>
          <w:rFonts w:asciiTheme="majorBidi" w:hAnsiTheme="majorBidi" w:cstheme="majorBidi"/>
          <w:szCs w:val="24"/>
        </w:rPr>
        <w:t>robability of transmission from contaminated HCW to susceptible patient (</w:t>
      </w:r>
      <w:r w:rsidRPr="00C66428">
        <w:rPr>
          <w:rFonts w:asciiTheme="majorBidi" w:hAnsiTheme="majorBidi" w:cstheme="majorBidi"/>
          <w:szCs w:val="24"/>
        </w:rPr>
        <w:t>Php</w:t>
      </w:r>
      <w:r>
        <w:rPr>
          <w:rFonts w:asciiTheme="majorBidi" w:hAnsiTheme="majorBidi" w:cstheme="majorBidi"/>
          <w:szCs w:val="24"/>
        </w:rPr>
        <w:t>), and p</w:t>
      </w:r>
      <w:r w:rsidRPr="00094A05">
        <w:rPr>
          <w:rFonts w:asciiTheme="majorBidi" w:hAnsiTheme="majorBidi" w:cstheme="majorBidi"/>
          <w:szCs w:val="24"/>
        </w:rPr>
        <w:t xml:space="preserve">robability of patient </w:t>
      </w:r>
      <w:r>
        <w:rPr>
          <w:rFonts w:asciiTheme="majorBidi" w:hAnsiTheme="majorBidi" w:cstheme="majorBidi"/>
          <w:szCs w:val="24"/>
        </w:rPr>
        <w:t>direct colonization from the</w:t>
      </w:r>
      <w:r w:rsidRPr="00094A05">
        <w:rPr>
          <w:rFonts w:asciiTheme="majorBidi" w:hAnsiTheme="majorBidi" w:cstheme="majorBidi"/>
          <w:szCs w:val="24"/>
        </w:rPr>
        <w:t xml:space="preserve"> environment (</w:t>
      </w:r>
      <w:r w:rsidRPr="00C66428">
        <w:rPr>
          <w:rFonts w:asciiTheme="majorBidi" w:hAnsiTheme="majorBidi" w:cstheme="majorBidi"/>
          <w:szCs w:val="24"/>
        </w:rPr>
        <w:t>Prp</w:t>
      </w:r>
      <w:r>
        <w:rPr>
          <w:rFonts w:asciiTheme="majorBidi" w:hAnsiTheme="majorBidi" w:cstheme="majorBidi"/>
          <w:szCs w:val="24"/>
        </w:rPr>
        <w:t xml:space="preserve">). In the absence of data, we defined the following identifiability scenarios for </w:t>
      </w:r>
      <w:r w:rsidRPr="00C66428">
        <w:rPr>
          <w:rFonts w:asciiTheme="majorBidi" w:hAnsiTheme="majorBidi" w:cstheme="majorBidi"/>
          <w:szCs w:val="24"/>
        </w:rPr>
        <w:t>Prp</w:t>
      </w:r>
      <w:r>
        <w:rPr>
          <w:rFonts w:asciiTheme="majorBidi" w:hAnsiTheme="majorBidi" w:cstheme="majorBidi"/>
          <w:szCs w:val="24"/>
        </w:rPr>
        <w:t xml:space="preserve"> and </w:t>
      </w:r>
      <w:r w:rsidRPr="00C66428">
        <w:rPr>
          <w:rFonts w:asciiTheme="majorBidi" w:hAnsiTheme="majorBidi" w:cstheme="majorBidi"/>
          <w:szCs w:val="24"/>
        </w:rPr>
        <w:t>Hr</w:t>
      </w:r>
      <w:r>
        <w:rPr>
          <w:rFonts w:asciiTheme="majorBidi" w:hAnsiTheme="majorBidi" w:cstheme="majorBidi"/>
          <w:szCs w:val="24"/>
        </w:rPr>
        <w:t xml:space="preserve"> (</w:t>
      </w:r>
      <w:r>
        <w:rPr>
          <w:rFonts w:asciiTheme="majorBidi" w:hAnsiTheme="majorBidi" w:cstheme="majorBidi"/>
          <w:szCs w:val="24"/>
        </w:rPr>
        <w:fldChar w:fldCharType="begin"/>
      </w:r>
      <w:r>
        <w:rPr>
          <w:rFonts w:asciiTheme="majorBidi" w:hAnsiTheme="majorBidi" w:cstheme="majorBidi"/>
          <w:szCs w:val="24"/>
        </w:rPr>
        <w:instrText xml:space="preserve"> REF _Ref174438792 \h  \* MERGEFORMAT </w:instrText>
      </w:r>
      <w:r>
        <w:rPr>
          <w:rFonts w:asciiTheme="majorBidi" w:hAnsiTheme="majorBidi" w:cstheme="majorBidi"/>
          <w:szCs w:val="24"/>
        </w:rPr>
      </w:r>
      <w:r>
        <w:rPr>
          <w:rFonts w:asciiTheme="majorBidi" w:hAnsiTheme="majorBidi" w:cstheme="majorBidi"/>
          <w:szCs w:val="24"/>
        </w:rPr>
        <w:fldChar w:fldCharType="separate"/>
      </w:r>
      <w:r w:rsidRPr="00A63E83">
        <w:rPr>
          <w:rFonts w:asciiTheme="majorBidi" w:hAnsiTheme="majorBidi" w:cstheme="majorBidi"/>
          <w:szCs w:val="24"/>
        </w:rPr>
        <w:t xml:space="preserve">Table </w:t>
      </w:r>
      <w:r>
        <w:rPr>
          <w:rFonts w:asciiTheme="majorBidi" w:hAnsiTheme="majorBidi" w:cstheme="majorBidi"/>
          <w:szCs w:val="24"/>
        </w:rPr>
        <w:t>A4</w:t>
      </w:r>
      <w:r>
        <w:rPr>
          <w:rFonts w:asciiTheme="majorBidi" w:hAnsiTheme="majorBidi" w:cstheme="majorBidi"/>
          <w:szCs w:val="24"/>
        </w:rPr>
        <w:fldChar w:fldCharType="end"/>
      </w:r>
      <w:r>
        <w:rPr>
          <w:rFonts w:asciiTheme="majorBidi" w:hAnsiTheme="majorBidi" w:cstheme="majorBidi"/>
          <w:szCs w:val="24"/>
        </w:rPr>
        <w:t xml:space="preserve">): </w:t>
      </w:r>
      <w:r w:rsidRPr="00C66428">
        <w:rPr>
          <w:rFonts w:asciiTheme="majorBidi" w:hAnsiTheme="majorBidi" w:cstheme="majorBidi"/>
          <w:szCs w:val="24"/>
        </w:rPr>
        <w:t>L</w:t>
      </w:r>
      <w:r>
        <w:rPr>
          <w:rFonts w:asciiTheme="majorBidi" w:hAnsiTheme="majorBidi" w:cstheme="majorBidi"/>
          <w:szCs w:val="24"/>
        </w:rPr>
        <w:t xml:space="preserve">ow and </w:t>
      </w:r>
      <w:r w:rsidRPr="00C66428">
        <w:rPr>
          <w:rFonts w:asciiTheme="majorBidi" w:hAnsiTheme="majorBidi" w:cstheme="majorBidi"/>
          <w:szCs w:val="24"/>
        </w:rPr>
        <w:t>H</w:t>
      </w:r>
      <w:r>
        <w:rPr>
          <w:rFonts w:asciiTheme="majorBidi" w:hAnsiTheme="majorBidi" w:cstheme="majorBidi"/>
          <w:szCs w:val="24"/>
        </w:rPr>
        <w:t xml:space="preserve">igh </w:t>
      </w:r>
      <w:r w:rsidRPr="00C66428">
        <w:rPr>
          <w:rFonts w:asciiTheme="majorBidi" w:hAnsiTheme="majorBidi" w:cstheme="majorBidi"/>
          <w:szCs w:val="24"/>
        </w:rPr>
        <w:t>E</w:t>
      </w:r>
      <w:r>
        <w:rPr>
          <w:rFonts w:asciiTheme="majorBidi" w:hAnsiTheme="majorBidi" w:cstheme="majorBidi"/>
          <w:szCs w:val="24"/>
        </w:rPr>
        <w:t xml:space="preserve">nvironmental colonization (denoted by LE and HE, respectfully), and </w:t>
      </w:r>
      <w:r w:rsidRPr="00C66428">
        <w:rPr>
          <w:rFonts w:asciiTheme="majorBidi" w:hAnsiTheme="majorBidi" w:cstheme="majorBidi"/>
          <w:szCs w:val="24"/>
        </w:rPr>
        <w:t>L</w:t>
      </w:r>
      <w:r>
        <w:rPr>
          <w:rFonts w:asciiTheme="majorBidi" w:hAnsiTheme="majorBidi" w:cstheme="majorBidi"/>
          <w:szCs w:val="24"/>
        </w:rPr>
        <w:t xml:space="preserve">ow and </w:t>
      </w:r>
      <w:r w:rsidRPr="00C66428">
        <w:rPr>
          <w:rFonts w:asciiTheme="majorBidi" w:hAnsiTheme="majorBidi" w:cstheme="majorBidi"/>
          <w:szCs w:val="24"/>
        </w:rPr>
        <w:t>H</w:t>
      </w:r>
      <w:r>
        <w:rPr>
          <w:rFonts w:asciiTheme="majorBidi" w:hAnsiTheme="majorBidi" w:cstheme="majorBidi"/>
          <w:szCs w:val="24"/>
        </w:rPr>
        <w:t xml:space="preserve">igh </w:t>
      </w:r>
      <w:r w:rsidRPr="00C66428">
        <w:rPr>
          <w:rFonts w:asciiTheme="majorBidi" w:hAnsiTheme="majorBidi" w:cstheme="majorBidi"/>
          <w:szCs w:val="24"/>
        </w:rPr>
        <w:t>R</w:t>
      </w:r>
      <w:r>
        <w:rPr>
          <w:rFonts w:asciiTheme="majorBidi" w:hAnsiTheme="majorBidi" w:cstheme="majorBidi"/>
          <w:szCs w:val="24"/>
        </w:rPr>
        <w:t xml:space="preserve">esidual contamination (denoted by LR and HR, respectfully). </w:t>
      </w:r>
    </w:p>
    <w:p w14:paraId="70207991" w14:textId="77777777" w:rsidR="00C66428" w:rsidRDefault="00C66428" w:rsidP="008B1DCD">
      <w:pPr>
        <w:spacing w:after="120" w:line="276" w:lineRule="auto"/>
        <w:rPr>
          <w:rFonts w:asciiTheme="majorBidi" w:hAnsiTheme="majorBidi" w:cstheme="majorBidi"/>
          <w:b/>
          <w:bCs/>
          <w:szCs w:val="24"/>
        </w:rPr>
      </w:pPr>
    </w:p>
    <w:p w14:paraId="08ED353D" w14:textId="22781E1B" w:rsidR="00C66428" w:rsidRPr="00A63E83" w:rsidRDefault="00C66428" w:rsidP="00C66428">
      <w:pPr>
        <w:rPr>
          <w:rFonts w:asciiTheme="majorBidi" w:hAnsiTheme="majorBidi" w:cstheme="majorBidi"/>
          <w:szCs w:val="24"/>
        </w:rPr>
      </w:pPr>
      <w:bookmarkStart w:id="11" w:name="_Ref174438792"/>
      <w:r w:rsidRPr="00A63E83">
        <w:rPr>
          <w:rFonts w:asciiTheme="majorBidi" w:hAnsiTheme="majorBidi" w:cstheme="majorBidi"/>
          <w:szCs w:val="24"/>
        </w:rPr>
        <w:t xml:space="preserve">Table </w:t>
      </w:r>
      <w:r>
        <w:rPr>
          <w:rFonts w:asciiTheme="majorBidi" w:hAnsiTheme="majorBidi" w:cstheme="majorBidi"/>
          <w:szCs w:val="24"/>
        </w:rPr>
        <w:t>A</w:t>
      </w:r>
      <w:r w:rsidRPr="00A63E83">
        <w:rPr>
          <w:rFonts w:asciiTheme="majorBidi" w:hAnsiTheme="majorBidi" w:cstheme="majorBidi"/>
          <w:szCs w:val="24"/>
        </w:rPr>
        <w:fldChar w:fldCharType="begin"/>
      </w:r>
      <w:r w:rsidRPr="00A63E83">
        <w:rPr>
          <w:rFonts w:asciiTheme="majorBidi" w:hAnsiTheme="majorBidi" w:cstheme="majorBidi"/>
          <w:szCs w:val="24"/>
        </w:rPr>
        <w:instrText xml:space="preserve"> SEQ Table \* ARABIC </w:instrText>
      </w:r>
      <w:r w:rsidRPr="00A63E83">
        <w:rPr>
          <w:rFonts w:asciiTheme="majorBidi" w:hAnsiTheme="majorBidi" w:cstheme="majorBidi"/>
          <w:szCs w:val="24"/>
        </w:rPr>
        <w:fldChar w:fldCharType="separate"/>
      </w:r>
      <w:r>
        <w:rPr>
          <w:rFonts w:asciiTheme="majorBidi" w:hAnsiTheme="majorBidi" w:cstheme="majorBidi"/>
          <w:szCs w:val="24"/>
        </w:rPr>
        <w:t>4</w:t>
      </w:r>
      <w:r w:rsidRPr="00A63E83">
        <w:rPr>
          <w:rFonts w:asciiTheme="majorBidi" w:hAnsiTheme="majorBidi" w:cstheme="majorBidi"/>
          <w:szCs w:val="24"/>
        </w:rPr>
        <w:fldChar w:fldCharType="end"/>
      </w:r>
      <w:bookmarkEnd w:id="11"/>
      <w:r w:rsidRPr="00A63E83">
        <w:rPr>
          <w:rFonts w:asciiTheme="majorBidi" w:hAnsiTheme="majorBidi" w:cstheme="majorBidi"/>
          <w:szCs w:val="24"/>
        </w:rPr>
        <w:t xml:space="preserve">. Identifiability scenarios: </w:t>
      </w:r>
      <w:r w:rsidRPr="00C66428">
        <w:rPr>
          <w:rFonts w:asciiTheme="majorBidi" w:hAnsiTheme="majorBidi" w:cstheme="majorBidi"/>
          <w:b/>
          <w:bCs/>
          <w:szCs w:val="24"/>
        </w:rPr>
        <w:t>LELR</w:t>
      </w:r>
      <w:r w:rsidRPr="00A63E83">
        <w:rPr>
          <w:rFonts w:asciiTheme="majorBidi" w:hAnsiTheme="majorBidi" w:cstheme="majorBidi"/>
          <w:szCs w:val="24"/>
        </w:rPr>
        <w:t xml:space="preserve"> denotes low environmental colonization and low residual contamination</w:t>
      </w:r>
      <w:r>
        <w:rPr>
          <w:rFonts w:asciiTheme="majorBidi" w:hAnsiTheme="majorBidi" w:cstheme="majorBidi"/>
          <w:szCs w:val="24"/>
        </w:rPr>
        <w:t xml:space="preserve">; </w:t>
      </w:r>
      <w:r w:rsidRPr="00C66428">
        <w:rPr>
          <w:rFonts w:asciiTheme="majorBidi" w:hAnsiTheme="majorBidi" w:cstheme="majorBidi"/>
          <w:b/>
          <w:bCs/>
          <w:szCs w:val="24"/>
        </w:rPr>
        <w:t>LEHR</w:t>
      </w:r>
      <w:r w:rsidRPr="00A63E83">
        <w:rPr>
          <w:rFonts w:asciiTheme="majorBidi" w:hAnsiTheme="majorBidi" w:cstheme="majorBidi"/>
          <w:szCs w:val="24"/>
        </w:rPr>
        <w:t xml:space="preserve"> denotes low environmental colonization and </w:t>
      </w:r>
      <w:r>
        <w:rPr>
          <w:rFonts w:asciiTheme="majorBidi" w:hAnsiTheme="majorBidi" w:cstheme="majorBidi"/>
          <w:szCs w:val="24"/>
        </w:rPr>
        <w:t>high</w:t>
      </w:r>
      <w:r w:rsidRPr="00A63E83">
        <w:rPr>
          <w:rFonts w:asciiTheme="majorBidi" w:hAnsiTheme="majorBidi" w:cstheme="majorBidi"/>
          <w:szCs w:val="24"/>
        </w:rPr>
        <w:t xml:space="preserve"> residual contamination</w:t>
      </w:r>
      <w:r>
        <w:rPr>
          <w:rFonts w:asciiTheme="majorBidi" w:hAnsiTheme="majorBidi" w:cstheme="majorBidi"/>
          <w:szCs w:val="24"/>
        </w:rPr>
        <w:t xml:space="preserve">; </w:t>
      </w:r>
      <w:r w:rsidRPr="00C66428">
        <w:rPr>
          <w:rFonts w:asciiTheme="majorBidi" w:hAnsiTheme="majorBidi" w:cstheme="majorBidi"/>
          <w:b/>
          <w:bCs/>
          <w:szCs w:val="24"/>
        </w:rPr>
        <w:t>HELR</w:t>
      </w:r>
      <w:r w:rsidRPr="00A63E83">
        <w:rPr>
          <w:rFonts w:asciiTheme="majorBidi" w:hAnsiTheme="majorBidi" w:cstheme="majorBidi"/>
          <w:szCs w:val="24"/>
        </w:rPr>
        <w:t xml:space="preserve"> denotes </w:t>
      </w:r>
      <w:r>
        <w:rPr>
          <w:rFonts w:asciiTheme="majorBidi" w:hAnsiTheme="majorBidi" w:cstheme="majorBidi"/>
          <w:szCs w:val="24"/>
        </w:rPr>
        <w:t>high</w:t>
      </w:r>
      <w:r w:rsidRPr="00A63E83">
        <w:rPr>
          <w:rFonts w:asciiTheme="majorBidi" w:hAnsiTheme="majorBidi" w:cstheme="majorBidi"/>
          <w:szCs w:val="24"/>
        </w:rPr>
        <w:t xml:space="preserve"> environmental colonization and low residual contamination</w:t>
      </w:r>
      <w:r>
        <w:rPr>
          <w:rFonts w:asciiTheme="majorBidi" w:hAnsiTheme="majorBidi" w:cstheme="majorBidi"/>
          <w:szCs w:val="24"/>
        </w:rPr>
        <w:t xml:space="preserve">; and </w:t>
      </w:r>
      <w:r w:rsidRPr="00C66428">
        <w:rPr>
          <w:rFonts w:asciiTheme="majorBidi" w:hAnsiTheme="majorBidi" w:cstheme="majorBidi"/>
          <w:b/>
          <w:bCs/>
          <w:szCs w:val="24"/>
        </w:rPr>
        <w:t>HEHR</w:t>
      </w:r>
      <w:r w:rsidRPr="00A63E83">
        <w:rPr>
          <w:rFonts w:asciiTheme="majorBidi" w:hAnsiTheme="majorBidi" w:cstheme="majorBidi"/>
          <w:szCs w:val="24"/>
        </w:rPr>
        <w:t xml:space="preserve"> denotes </w:t>
      </w:r>
      <w:r>
        <w:rPr>
          <w:rFonts w:asciiTheme="majorBidi" w:hAnsiTheme="majorBidi" w:cstheme="majorBidi"/>
          <w:szCs w:val="24"/>
        </w:rPr>
        <w:t>high</w:t>
      </w:r>
      <w:r w:rsidRPr="00A63E83">
        <w:rPr>
          <w:rFonts w:asciiTheme="majorBidi" w:hAnsiTheme="majorBidi" w:cstheme="majorBidi"/>
          <w:szCs w:val="24"/>
        </w:rPr>
        <w:t xml:space="preserve"> environmental colonization and </w:t>
      </w:r>
      <w:r>
        <w:rPr>
          <w:rFonts w:asciiTheme="majorBidi" w:hAnsiTheme="majorBidi" w:cstheme="majorBidi"/>
          <w:szCs w:val="24"/>
        </w:rPr>
        <w:t>high</w:t>
      </w:r>
      <w:r w:rsidRPr="00A63E83">
        <w:rPr>
          <w:rFonts w:asciiTheme="majorBidi" w:hAnsiTheme="majorBidi" w:cstheme="majorBidi"/>
          <w:szCs w:val="24"/>
        </w:rPr>
        <w:t xml:space="preserve"> residual contamination</w:t>
      </w:r>
      <w:r>
        <w:rPr>
          <w:rFonts w:asciiTheme="majorBidi" w:hAnsiTheme="majorBidi" w:cstheme="majorBidi"/>
          <w:szCs w:val="24"/>
        </w:rPr>
        <w:t>.</w:t>
      </w:r>
    </w:p>
    <w:tbl>
      <w:tblPr>
        <w:tblStyle w:val="TableGrid"/>
        <w:tblW w:w="0" w:type="auto"/>
        <w:tblLook w:val="04A0" w:firstRow="1" w:lastRow="0" w:firstColumn="1" w:lastColumn="0" w:noHBand="0" w:noVBand="1"/>
      </w:tblPr>
      <w:tblGrid>
        <w:gridCol w:w="1651"/>
        <w:gridCol w:w="2598"/>
        <w:gridCol w:w="2638"/>
        <w:gridCol w:w="2463"/>
      </w:tblGrid>
      <w:tr w:rsidR="00C66428" w14:paraId="0BDF9698" w14:textId="77777777" w:rsidTr="00513E7F">
        <w:tc>
          <w:tcPr>
            <w:tcW w:w="1651" w:type="dxa"/>
          </w:tcPr>
          <w:p w14:paraId="0F200E73" w14:textId="77777777" w:rsidR="00C66428" w:rsidRPr="00C66428" w:rsidRDefault="00C66428" w:rsidP="00C66428">
            <w:pPr>
              <w:spacing w:before="60" w:after="60" w:line="276" w:lineRule="auto"/>
              <w:rPr>
                <w:rFonts w:asciiTheme="majorBidi" w:hAnsiTheme="majorBidi" w:cstheme="majorBidi"/>
                <w:szCs w:val="24"/>
              </w:rPr>
            </w:pPr>
            <w:r w:rsidRPr="00C66428">
              <w:rPr>
                <w:rFonts w:asciiTheme="majorBidi" w:hAnsiTheme="majorBidi" w:cstheme="majorBidi"/>
                <w:szCs w:val="24"/>
              </w:rPr>
              <w:t>Scenario name</w:t>
            </w:r>
          </w:p>
        </w:tc>
        <w:tc>
          <w:tcPr>
            <w:tcW w:w="2598" w:type="dxa"/>
            <w:vAlign w:val="center"/>
          </w:tcPr>
          <w:p w14:paraId="5BD70879" w14:textId="77777777" w:rsidR="00C66428" w:rsidRDefault="00663272" w:rsidP="00C66428">
            <w:pPr>
              <w:spacing w:before="60" w:after="60" w:line="276" w:lineRule="auto"/>
              <w:jc w:val="center"/>
              <w:rPr>
                <w:rFonts w:asciiTheme="majorBidi" w:hAnsiTheme="majorBidi" w:cstheme="majorBidi"/>
                <w:szCs w:val="24"/>
              </w:rPr>
            </w:pPr>
            <m:oMathPara>
              <m:oMath>
                <m:sSub>
                  <m:sSubPr>
                    <m:ctrlPr>
                      <w:rPr>
                        <w:rFonts w:ascii="Cambria Math" w:hAnsi="Cambria Math" w:cstheme="majorBidi"/>
                        <w:szCs w:val="24"/>
                      </w:rPr>
                    </m:ctrlPr>
                  </m:sSubPr>
                  <m:e>
                    <m:r>
                      <w:rPr>
                        <w:rFonts w:ascii="Cambria Math" w:hAnsi="Cambria Math" w:cstheme="majorBidi"/>
                        <w:szCs w:val="24"/>
                      </w:rPr>
                      <m:t>H</m:t>
                    </m:r>
                  </m:e>
                  <m:sub>
                    <m:r>
                      <w:rPr>
                        <w:rFonts w:ascii="Cambria Math" w:hAnsi="Cambria Math" w:cstheme="majorBidi"/>
                        <w:szCs w:val="24"/>
                      </w:rPr>
                      <m:t>r</m:t>
                    </m:r>
                  </m:sub>
                </m:sSub>
              </m:oMath>
            </m:oMathPara>
          </w:p>
        </w:tc>
        <w:tc>
          <w:tcPr>
            <w:tcW w:w="2638" w:type="dxa"/>
            <w:vAlign w:val="center"/>
          </w:tcPr>
          <w:p w14:paraId="636CFAB9" w14:textId="77777777" w:rsidR="00C66428" w:rsidRDefault="00663272" w:rsidP="00C66428">
            <w:pPr>
              <w:spacing w:before="60" w:after="60" w:line="276" w:lineRule="auto"/>
              <w:jc w:val="center"/>
              <w:rPr>
                <w:rFonts w:asciiTheme="majorBidi" w:hAnsiTheme="majorBidi" w:cstheme="majorBidi"/>
                <w:szCs w:val="24"/>
              </w:rPr>
            </w:pPr>
            <m:oMathPara>
              <m:oMath>
                <m:sSub>
                  <m:sSubPr>
                    <m:ctrlPr>
                      <w:rPr>
                        <w:rFonts w:ascii="Cambria Math" w:hAnsi="Cambria Math" w:cstheme="majorBidi"/>
                        <w:szCs w:val="24"/>
                      </w:rPr>
                    </m:ctrlPr>
                  </m:sSubPr>
                  <m:e>
                    <m:r>
                      <w:rPr>
                        <w:rFonts w:ascii="Cambria Math" w:hAnsi="Cambria Math" w:cstheme="majorBidi"/>
                        <w:szCs w:val="24"/>
                      </w:rPr>
                      <m:t>P</m:t>
                    </m:r>
                  </m:e>
                  <m:sub>
                    <m:r>
                      <w:rPr>
                        <w:rFonts w:ascii="Cambria Math" w:hAnsi="Cambria Math" w:cstheme="majorBidi"/>
                        <w:szCs w:val="24"/>
                      </w:rPr>
                      <m:t>rp</m:t>
                    </m:r>
                  </m:sub>
                </m:sSub>
              </m:oMath>
            </m:oMathPara>
          </w:p>
        </w:tc>
        <w:tc>
          <w:tcPr>
            <w:tcW w:w="2463" w:type="dxa"/>
          </w:tcPr>
          <w:p w14:paraId="66DB7335" w14:textId="77777777" w:rsidR="00C66428" w:rsidRPr="00C66428" w:rsidRDefault="00C66428" w:rsidP="00C66428">
            <w:pPr>
              <w:spacing w:before="60" w:after="60" w:line="276" w:lineRule="auto"/>
              <w:jc w:val="center"/>
              <w:rPr>
                <w:rFonts w:asciiTheme="majorBidi" w:hAnsiTheme="majorBidi" w:cstheme="majorBidi"/>
                <w:szCs w:val="24"/>
              </w:rPr>
            </w:pPr>
            <w:r w:rsidRPr="00C66428">
              <w:rPr>
                <w:rFonts w:asciiTheme="majorBidi" w:hAnsiTheme="majorBidi" w:cstheme="majorBidi"/>
                <w:szCs w:val="24"/>
              </w:rPr>
              <w:t xml:space="preserve">Other parameters </w:t>
            </w:r>
          </w:p>
        </w:tc>
      </w:tr>
      <w:tr w:rsidR="00C66428" w14:paraId="66E7839C" w14:textId="77777777" w:rsidTr="00513E7F">
        <w:tc>
          <w:tcPr>
            <w:tcW w:w="1651" w:type="dxa"/>
          </w:tcPr>
          <w:p w14:paraId="1BA0ECA2" w14:textId="77777777" w:rsidR="00C66428" w:rsidRPr="00C66428" w:rsidRDefault="00C66428" w:rsidP="00C66428">
            <w:pPr>
              <w:spacing w:before="60" w:after="60" w:line="276" w:lineRule="auto"/>
              <w:rPr>
                <w:rFonts w:asciiTheme="majorBidi" w:hAnsiTheme="majorBidi" w:cstheme="majorBidi"/>
                <w:szCs w:val="24"/>
              </w:rPr>
            </w:pPr>
            <w:r w:rsidRPr="00C66428">
              <w:rPr>
                <w:rFonts w:asciiTheme="majorBidi" w:hAnsiTheme="majorBidi" w:cstheme="majorBidi"/>
                <w:szCs w:val="24"/>
              </w:rPr>
              <w:t>LELR</w:t>
            </w:r>
          </w:p>
        </w:tc>
        <w:tc>
          <w:tcPr>
            <w:tcW w:w="2598" w:type="dxa"/>
            <w:vAlign w:val="center"/>
          </w:tcPr>
          <w:p w14:paraId="07A2CB29" w14:textId="77777777" w:rsidR="00C66428" w:rsidRPr="00116FEB" w:rsidRDefault="00C66428" w:rsidP="00C66428">
            <w:pPr>
              <w:spacing w:before="60" w:after="60" w:line="276" w:lineRule="auto"/>
              <w:jc w:val="center"/>
              <w:rPr>
                <w:rFonts w:asciiTheme="majorBidi" w:hAnsiTheme="majorBidi" w:cstheme="majorBidi"/>
                <w:szCs w:val="24"/>
              </w:rPr>
            </w:pPr>
            <w:r w:rsidRPr="00C66428">
              <w:rPr>
                <w:rFonts w:asciiTheme="majorBidi" w:hAnsiTheme="majorBidi" w:cstheme="majorBidi"/>
                <w:szCs w:val="24"/>
              </w:rPr>
              <w:t>U</w:t>
            </w:r>
            <w:r w:rsidRPr="00116FEB">
              <w:rPr>
                <w:rFonts w:asciiTheme="majorBidi" w:hAnsiTheme="majorBidi" w:cstheme="majorBidi"/>
                <w:szCs w:val="24"/>
              </w:rPr>
              <w:t xml:space="preserve"> [</w:t>
            </w:r>
            <m:oMath>
              <m:r>
                <w:rPr>
                  <w:rFonts w:ascii="Cambria Math" w:hAnsi="Cambria Math" w:cstheme="majorBidi"/>
                  <w:szCs w:val="24"/>
                </w:rPr>
                <m:t>a</m:t>
              </m:r>
            </m:oMath>
            <w:r w:rsidRPr="00116FEB">
              <w:rPr>
                <w:rFonts w:asciiTheme="majorBidi" w:hAnsiTheme="majorBidi" w:cstheme="majorBidi"/>
                <w:szCs w:val="24"/>
              </w:rPr>
              <w:t xml:space="preserve"> = 0.0, </w:t>
            </w:r>
            <m:oMath>
              <m:r>
                <w:rPr>
                  <w:rFonts w:ascii="Cambria Math" w:hAnsi="Cambria Math" w:cstheme="majorBidi"/>
                  <w:szCs w:val="24"/>
                </w:rPr>
                <m:t>b</m:t>
              </m:r>
            </m:oMath>
            <w:r w:rsidRPr="00116FEB">
              <w:rPr>
                <w:rFonts w:asciiTheme="majorBidi" w:hAnsiTheme="majorBidi" w:cstheme="majorBidi"/>
                <w:szCs w:val="24"/>
              </w:rPr>
              <w:t xml:space="preserve"> = 0.1]</w:t>
            </w:r>
          </w:p>
        </w:tc>
        <w:tc>
          <w:tcPr>
            <w:tcW w:w="2638" w:type="dxa"/>
            <w:vAlign w:val="center"/>
          </w:tcPr>
          <w:p w14:paraId="0B58A23D" w14:textId="77777777" w:rsidR="00C66428" w:rsidRPr="00116FEB" w:rsidRDefault="00C66428" w:rsidP="00C66428">
            <w:pPr>
              <w:spacing w:before="60" w:after="60" w:line="276" w:lineRule="auto"/>
              <w:jc w:val="center"/>
              <w:rPr>
                <w:rFonts w:asciiTheme="majorBidi" w:hAnsiTheme="majorBidi" w:cstheme="majorBidi"/>
                <w:szCs w:val="24"/>
              </w:rPr>
            </w:pPr>
            <w:r w:rsidRPr="00C66428">
              <w:rPr>
                <w:rFonts w:asciiTheme="majorBidi" w:hAnsiTheme="majorBidi" w:cstheme="majorBidi"/>
                <w:szCs w:val="24"/>
              </w:rPr>
              <w:t>U</w:t>
            </w:r>
            <w:r w:rsidRPr="00116FEB">
              <w:rPr>
                <w:rFonts w:asciiTheme="majorBidi" w:hAnsiTheme="majorBidi" w:cstheme="majorBidi"/>
                <w:szCs w:val="24"/>
              </w:rPr>
              <w:t xml:space="preserve"> [</w:t>
            </w:r>
            <m:oMath>
              <m:r>
                <w:rPr>
                  <w:rFonts w:ascii="Cambria Math" w:hAnsi="Cambria Math" w:cstheme="majorBidi"/>
                  <w:szCs w:val="24"/>
                </w:rPr>
                <m:t>a</m:t>
              </m:r>
            </m:oMath>
            <w:r w:rsidRPr="00116FEB">
              <w:rPr>
                <w:rFonts w:asciiTheme="majorBidi" w:hAnsiTheme="majorBidi" w:cstheme="majorBidi"/>
                <w:szCs w:val="24"/>
              </w:rPr>
              <w:t xml:space="preserve"> = 0.00, </w:t>
            </w:r>
            <m:oMath>
              <m:r>
                <w:rPr>
                  <w:rFonts w:ascii="Cambria Math" w:hAnsi="Cambria Math" w:cstheme="majorBidi"/>
                  <w:szCs w:val="24"/>
                </w:rPr>
                <m:t>b</m:t>
              </m:r>
            </m:oMath>
            <w:r w:rsidRPr="00116FEB">
              <w:rPr>
                <w:rFonts w:asciiTheme="majorBidi" w:hAnsiTheme="majorBidi" w:cstheme="majorBidi"/>
                <w:szCs w:val="24"/>
              </w:rPr>
              <w:t xml:space="preserve"> = 0.01]</w:t>
            </w:r>
          </w:p>
        </w:tc>
        <w:tc>
          <w:tcPr>
            <w:tcW w:w="2463" w:type="dxa"/>
          </w:tcPr>
          <w:p w14:paraId="6254B66E" w14:textId="4DEFCB46" w:rsidR="00C66428" w:rsidRPr="00371D87" w:rsidRDefault="00C66428" w:rsidP="00C66428">
            <w:pPr>
              <w:spacing w:before="60" w:after="60" w:line="276" w:lineRule="auto"/>
              <w:jc w:val="center"/>
              <w:rPr>
                <w:rFonts w:asciiTheme="majorBidi" w:hAnsiTheme="majorBidi" w:cstheme="majorBidi"/>
                <w:szCs w:val="24"/>
              </w:rPr>
            </w:pPr>
            <w:r w:rsidRPr="00371D87">
              <w:rPr>
                <w:rFonts w:asciiTheme="majorBidi" w:hAnsiTheme="majorBidi" w:cstheme="majorBidi"/>
                <w:szCs w:val="24"/>
              </w:rPr>
              <w:t xml:space="preserve">See </w:t>
            </w:r>
            <w:r w:rsidR="009D0C4C">
              <w:rPr>
                <w:rFonts w:asciiTheme="majorBidi" w:hAnsiTheme="majorBidi" w:cstheme="majorBidi"/>
                <w:szCs w:val="24"/>
              </w:rPr>
              <w:fldChar w:fldCharType="begin"/>
            </w:r>
            <w:r w:rsidR="009D0C4C">
              <w:rPr>
                <w:rFonts w:asciiTheme="majorBidi" w:hAnsiTheme="majorBidi" w:cstheme="majorBidi"/>
                <w:szCs w:val="24"/>
              </w:rPr>
              <w:instrText xml:space="preserve"> REF _Ref174438319 \h </w:instrText>
            </w:r>
            <w:r w:rsidR="009D0C4C">
              <w:rPr>
                <w:rFonts w:asciiTheme="majorBidi" w:hAnsiTheme="majorBidi" w:cstheme="majorBidi"/>
                <w:szCs w:val="24"/>
              </w:rPr>
            </w:r>
            <w:r w:rsidR="009D0C4C">
              <w:rPr>
                <w:rFonts w:asciiTheme="majorBidi" w:hAnsiTheme="majorBidi" w:cstheme="majorBidi"/>
                <w:szCs w:val="24"/>
              </w:rPr>
              <w:fldChar w:fldCharType="separate"/>
            </w:r>
            <w:r w:rsidR="009D0C4C">
              <w:t>Table A</w:t>
            </w:r>
            <w:r w:rsidR="009D0C4C">
              <w:rPr>
                <w:noProof/>
              </w:rPr>
              <w:t>2</w:t>
            </w:r>
            <w:r w:rsidR="009D0C4C">
              <w:rPr>
                <w:rFonts w:asciiTheme="majorBidi" w:hAnsiTheme="majorBidi" w:cstheme="majorBidi"/>
                <w:szCs w:val="24"/>
              </w:rPr>
              <w:fldChar w:fldCharType="end"/>
            </w:r>
          </w:p>
        </w:tc>
      </w:tr>
      <w:tr w:rsidR="00C66428" w14:paraId="094BDB34" w14:textId="77777777" w:rsidTr="00513E7F">
        <w:tc>
          <w:tcPr>
            <w:tcW w:w="1651" w:type="dxa"/>
          </w:tcPr>
          <w:p w14:paraId="5AB0D5DB" w14:textId="77777777" w:rsidR="00C66428" w:rsidRPr="00C66428" w:rsidRDefault="00C66428" w:rsidP="00C66428">
            <w:pPr>
              <w:spacing w:before="60" w:after="60" w:line="276" w:lineRule="auto"/>
              <w:rPr>
                <w:rFonts w:asciiTheme="majorBidi" w:hAnsiTheme="majorBidi" w:cstheme="majorBidi"/>
                <w:szCs w:val="24"/>
              </w:rPr>
            </w:pPr>
            <w:r w:rsidRPr="00C66428">
              <w:rPr>
                <w:rFonts w:asciiTheme="majorBidi" w:hAnsiTheme="majorBidi" w:cstheme="majorBidi"/>
                <w:szCs w:val="24"/>
              </w:rPr>
              <w:t>LEHR</w:t>
            </w:r>
          </w:p>
        </w:tc>
        <w:tc>
          <w:tcPr>
            <w:tcW w:w="2598" w:type="dxa"/>
            <w:vAlign w:val="center"/>
          </w:tcPr>
          <w:p w14:paraId="4D0918C3" w14:textId="77777777" w:rsidR="00C66428" w:rsidRPr="00116FEB" w:rsidRDefault="00C66428" w:rsidP="00C66428">
            <w:pPr>
              <w:spacing w:before="60" w:after="60" w:line="276" w:lineRule="auto"/>
              <w:jc w:val="center"/>
              <w:rPr>
                <w:rFonts w:asciiTheme="majorBidi" w:hAnsiTheme="majorBidi" w:cstheme="majorBidi"/>
                <w:szCs w:val="24"/>
              </w:rPr>
            </w:pPr>
            <w:r w:rsidRPr="00C66428">
              <w:rPr>
                <w:rFonts w:asciiTheme="majorBidi" w:hAnsiTheme="majorBidi" w:cstheme="majorBidi"/>
                <w:szCs w:val="24"/>
              </w:rPr>
              <w:t>U</w:t>
            </w:r>
            <w:r w:rsidRPr="00116FEB">
              <w:rPr>
                <w:rFonts w:asciiTheme="majorBidi" w:hAnsiTheme="majorBidi" w:cstheme="majorBidi"/>
                <w:szCs w:val="24"/>
              </w:rPr>
              <w:t xml:space="preserve"> [</w:t>
            </w:r>
            <m:oMath>
              <m:r>
                <w:rPr>
                  <w:rFonts w:ascii="Cambria Math" w:hAnsi="Cambria Math" w:cstheme="majorBidi"/>
                  <w:szCs w:val="24"/>
                </w:rPr>
                <m:t>a</m:t>
              </m:r>
            </m:oMath>
            <w:r w:rsidRPr="00116FEB">
              <w:rPr>
                <w:rFonts w:asciiTheme="majorBidi" w:hAnsiTheme="majorBidi" w:cstheme="majorBidi"/>
                <w:szCs w:val="24"/>
              </w:rPr>
              <w:t xml:space="preserve"> = 0.9, </w:t>
            </w:r>
            <m:oMath>
              <m:r>
                <w:rPr>
                  <w:rFonts w:ascii="Cambria Math" w:hAnsi="Cambria Math" w:cstheme="majorBidi"/>
                  <w:szCs w:val="24"/>
                </w:rPr>
                <m:t>b</m:t>
              </m:r>
            </m:oMath>
            <w:r w:rsidRPr="00116FEB">
              <w:rPr>
                <w:rFonts w:asciiTheme="majorBidi" w:hAnsiTheme="majorBidi" w:cstheme="majorBidi"/>
                <w:szCs w:val="24"/>
              </w:rPr>
              <w:t xml:space="preserve"> = 1]</w:t>
            </w:r>
          </w:p>
        </w:tc>
        <w:tc>
          <w:tcPr>
            <w:tcW w:w="2638" w:type="dxa"/>
            <w:vAlign w:val="center"/>
          </w:tcPr>
          <w:p w14:paraId="7107C163" w14:textId="77777777" w:rsidR="00C66428" w:rsidRPr="00116FEB" w:rsidRDefault="00C66428" w:rsidP="00C66428">
            <w:pPr>
              <w:spacing w:before="60" w:after="60" w:line="276" w:lineRule="auto"/>
              <w:jc w:val="center"/>
              <w:rPr>
                <w:rFonts w:asciiTheme="majorBidi" w:hAnsiTheme="majorBidi" w:cstheme="majorBidi"/>
                <w:szCs w:val="24"/>
              </w:rPr>
            </w:pPr>
            <w:r w:rsidRPr="00C66428">
              <w:rPr>
                <w:rFonts w:asciiTheme="majorBidi" w:hAnsiTheme="majorBidi" w:cstheme="majorBidi"/>
                <w:szCs w:val="24"/>
              </w:rPr>
              <w:t>U</w:t>
            </w:r>
            <w:r w:rsidRPr="00116FEB">
              <w:rPr>
                <w:rFonts w:asciiTheme="majorBidi" w:hAnsiTheme="majorBidi" w:cstheme="majorBidi"/>
                <w:szCs w:val="24"/>
              </w:rPr>
              <w:t xml:space="preserve"> [</w:t>
            </w:r>
            <m:oMath>
              <m:r>
                <w:rPr>
                  <w:rFonts w:ascii="Cambria Math" w:hAnsi="Cambria Math" w:cstheme="majorBidi"/>
                  <w:szCs w:val="24"/>
                </w:rPr>
                <m:t>a</m:t>
              </m:r>
            </m:oMath>
            <w:r w:rsidRPr="00116FEB">
              <w:rPr>
                <w:rFonts w:asciiTheme="majorBidi" w:hAnsiTheme="majorBidi" w:cstheme="majorBidi"/>
                <w:szCs w:val="24"/>
              </w:rPr>
              <w:t xml:space="preserve"> = 0.00, </w:t>
            </w:r>
            <m:oMath>
              <m:r>
                <w:rPr>
                  <w:rFonts w:ascii="Cambria Math" w:hAnsi="Cambria Math" w:cstheme="majorBidi"/>
                  <w:szCs w:val="24"/>
                </w:rPr>
                <m:t>b</m:t>
              </m:r>
            </m:oMath>
            <w:r w:rsidRPr="00116FEB">
              <w:rPr>
                <w:rFonts w:asciiTheme="majorBidi" w:hAnsiTheme="majorBidi" w:cstheme="majorBidi"/>
                <w:szCs w:val="24"/>
              </w:rPr>
              <w:t xml:space="preserve"> = 0.01]</w:t>
            </w:r>
          </w:p>
        </w:tc>
        <w:tc>
          <w:tcPr>
            <w:tcW w:w="2463" w:type="dxa"/>
          </w:tcPr>
          <w:p w14:paraId="5192D6EB" w14:textId="53A09272" w:rsidR="00C66428" w:rsidRPr="00C66428" w:rsidRDefault="00C66428" w:rsidP="00C66428">
            <w:pPr>
              <w:spacing w:before="60" w:after="60" w:line="276" w:lineRule="auto"/>
              <w:jc w:val="center"/>
              <w:rPr>
                <w:rFonts w:asciiTheme="majorBidi" w:hAnsiTheme="majorBidi" w:cstheme="majorBidi"/>
                <w:szCs w:val="24"/>
              </w:rPr>
            </w:pPr>
            <w:r w:rsidRPr="00371D87">
              <w:rPr>
                <w:rFonts w:asciiTheme="majorBidi" w:hAnsiTheme="majorBidi" w:cstheme="majorBidi"/>
                <w:szCs w:val="24"/>
              </w:rPr>
              <w:t xml:space="preserve">See </w:t>
            </w:r>
            <w:r w:rsidR="009D0C4C">
              <w:rPr>
                <w:rFonts w:asciiTheme="majorBidi" w:hAnsiTheme="majorBidi" w:cstheme="majorBidi"/>
                <w:szCs w:val="24"/>
              </w:rPr>
              <w:fldChar w:fldCharType="begin"/>
            </w:r>
            <w:r w:rsidR="009D0C4C">
              <w:rPr>
                <w:rFonts w:asciiTheme="majorBidi" w:hAnsiTheme="majorBidi" w:cstheme="majorBidi"/>
                <w:szCs w:val="24"/>
              </w:rPr>
              <w:instrText xml:space="preserve"> REF _Ref174438319 \h </w:instrText>
            </w:r>
            <w:r w:rsidR="009D0C4C">
              <w:rPr>
                <w:rFonts w:asciiTheme="majorBidi" w:hAnsiTheme="majorBidi" w:cstheme="majorBidi"/>
                <w:szCs w:val="24"/>
              </w:rPr>
            </w:r>
            <w:r w:rsidR="009D0C4C">
              <w:rPr>
                <w:rFonts w:asciiTheme="majorBidi" w:hAnsiTheme="majorBidi" w:cstheme="majorBidi"/>
                <w:szCs w:val="24"/>
              </w:rPr>
              <w:fldChar w:fldCharType="separate"/>
            </w:r>
            <w:r w:rsidR="009D0C4C">
              <w:t>Table A</w:t>
            </w:r>
            <w:r w:rsidR="009D0C4C">
              <w:rPr>
                <w:noProof/>
              </w:rPr>
              <w:t>2</w:t>
            </w:r>
            <w:r w:rsidR="009D0C4C">
              <w:rPr>
                <w:rFonts w:asciiTheme="majorBidi" w:hAnsiTheme="majorBidi" w:cstheme="majorBidi"/>
                <w:szCs w:val="24"/>
              </w:rPr>
              <w:fldChar w:fldCharType="end"/>
            </w:r>
          </w:p>
        </w:tc>
      </w:tr>
      <w:tr w:rsidR="00C66428" w14:paraId="71544306" w14:textId="77777777" w:rsidTr="00513E7F">
        <w:tc>
          <w:tcPr>
            <w:tcW w:w="1651" w:type="dxa"/>
          </w:tcPr>
          <w:p w14:paraId="3E250799" w14:textId="77777777" w:rsidR="00C66428" w:rsidRPr="00C66428" w:rsidRDefault="00C66428" w:rsidP="00C66428">
            <w:pPr>
              <w:spacing w:before="60" w:after="60" w:line="276" w:lineRule="auto"/>
              <w:rPr>
                <w:rFonts w:asciiTheme="majorBidi" w:hAnsiTheme="majorBidi" w:cstheme="majorBidi"/>
                <w:szCs w:val="24"/>
              </w:rPr>
            </w:pPr>
            <w:r w:rsidRPr="00C66428">
              <w:rPr>
                <w:rFonts w:asciiTheme="majorBidi" w:hAnsiTheme="majorBidi" w:cstheme="majorBidi"/>
                <w:szCs w:val="24"/>
              </w:rPr>
              <w:t>HELR</w:t>
            </w:r>
          </w:p>
        </w:tc>
        <w:tc>
          <w:tcPr>
            <w:tcW w:w="2598" w:type="dxa"/>
            <w:vAlign w:val="center"/>
          </w:tcPr>
          <w:p w14:paraId="2DA14AC8" w14:textId="77777777" w:rsidR="00C66428" w:rsidRPr="00116FEB" w:rsidRDefault="00C66428" w:rsidP="00C66428">
            <w:pPr>
              <w:spacing w:before="60" w:after="60" w:line="276" w:lineRule="auto"/>
              <w:jc w:val="center"/>
              <w:rPr>
                <w:rFonts w:asciiTheme="majorBidi" w:hAnsiTheme="majorBidi" w:cstheme="majorBidi"/>
                <w:szCs w:val="24"/>
              </w:rPr>
            </w:pPr>
            <w:r w:rsidRPr="00C66428">
              <w:rPr>
                <w:rFonts w:asciiTheme="majorBidi" w:hAnsiTheme="majorBidi" w:cstheme="majorBidi"/>
                <w:szCs w:val="24"/>
              </w:rPr>
              <w:t>U</w:t>
            </w:r>
            <w:r w:rsidRPr="00116FEB">
              <w:rPr>
                <w:rFonts w:asciiTheme="majorBidi" w:hAnsiTheme="majorBidi" w:cstheme="majorBidi"/>
                <w:szCs w:val="24"/>
              </w:rPr>
              <w:t xml:space="preserve"> [</w:t>
            </w:r>
            <m:oMath>
              <m:r>
                <w:rPr>
                  <w:rFonts w:ascii="Cambria Math" w:hAnsi="Cambria Math" w:cstheme="majorBidi"/>
                  <w:szCs w:val="24"/>
                </w:rPr>
                <m:t>a</m:t>
              </m:r>
            </m:oMath>
            <w:r w:rsidRPr="00116FEB">
              <w:rPr>
                <w:rFonts w:asciiTheme="majorBidi" w:hAnsiTheme="majorBidi" w:cstheme="majorBidi"/>
                <w:szCs w:val="24"/>
              </w:rPr>
              <w:t xml:space="preserve"> = 0.0, </w:t>
            </w:r>
            <m:oMath>
              <m:r>
                <w:rPr>
                  <w:rFonts w:ascii="Cambria Math" w:hAnsi="Cambria Math" w:cstheme="majorBidi"/>
                  <w:szCs w:val="24"/>
                </w:rPr>
                <m:t>b</m:t>
              </m:r>
            </m:oMath>
            <w:r w:rsidRPr="00116FEB">
              <w:rPr>
                <w:rFonts w:asciiTheme="majorBidi" w:hAnsiTheme="majorBidi" w:cstheme="majorBidi"/>
                <w:szCs w:val="24"/>
              </w:rPr>
              <w:t xml:space="preserve"> = 0.1]</w:t>
            </w:r>
          </w:p>
        </w:tc>
        <w:tc>
          <w:tcPr>
            <w:tcW w:w="2638" w:type="dxa"/>
            <w:vAlign w:val="center"/>
          </w:tcPr>
          <w:p w14:paraId="1FBE981A" w14:textId="77777777" w:rsidR="00C66428" w:rsidRPr="00116FEB" w:rsidRDefault="00C66428" w:rsidP="00C66428">
            <w:pPr>
              <w:spacing w:before="60" w:after="60" w:line="276" w:lineRule="auto"/>
              <w:jc w:val="center"/>
              <w:rPr>
                <w:rFonts w:asciiTheme="majorBidi" w:hAnsiTheme="majorBidi" w:cstheme="majorBidi"/>
                <w:szCs w:val="24"/>
              </w:rPr>
            </w:pPr>
            <w:r w:rsidRPr="00C66428">
              <w:rPr>
                <w:rFonts w:asciiTheme="majorBidi" w:hAnsiTheme="majorBidi" w:cstheme="majorBidi"/>
                <w:szCs w:val="24"/>
              </w:rPr>
              <w:t>U</w:t>
            </w:r>
            <w:r w:rsidRPr="00116FEB">
              <w:rPr>
                <w:rFonts w:asciiTheme="majorBidi" w:hAnsiTheme="majorBidi" w:cstheme="majorBidi"/>
                <w:szCs w:val="24"/>
              </w:rPr>
              <w:t xml:space="preserve"> [</w:t>
            </w:r>
            <m:oMath>
              <m:r>
                <w:rPr>
                  <w:rFonts w:ascii="Cambria Math" w:hAnsi="Cambria Math" w:cstheme="majorBidi"/>
                  <w:szCs w:val="24"/>
                </w:rPr>
                <m:t>a</m:t>
              </m:r>
            </m:oMath>
            <w:r w:rsidRPr="00116FEB">
              <w:rPr>
                <w:rFonts w:asciiTheme="majorBidi" w:hAnsiTheme="majorBidi" w:cstheme="majorBidi"/>
                <w:szCs w:val="24"/>
              </w:rPr>
              <w:t xml:space="preserve"> = 0.10, </w:t>
            </w:r>
            <m:oMath>
              <m:r>
                <w:rPr>
                  <w:rFonts w:ascii="Cambria Math" w:hAnsi="Cambria Math" w:cstheme="majorBidi"/>
                  <w:szCs w:val="24"/>
                </w:rPr>
                <m:t>b</m:t>
              </m:r>
            </m:oMath>
            <w:r w:rsidRPr="00116FEB">
              <w:rPr>
                <w:rFonts w:asciiTheme="majorBidi" w:hAnsiTheme="majorBidi" w:cstheme="majorBidi"/>
                <w:szCs w:val="24"/>
              </w:rPr>
              <w:t xml:space="preserve"> = 0.15]</w:t>
            </w:r>
          </w:p>
        </w:tc>
        <w:tc>
          <w:tcPr>
            <w:tcW w:w="2463" w:type="dxa"/>
          </w:tcPr>
          <w:p w14:paraId="6DDDCED2" w14:textId="0AD9B271" w:rsidR="00C66428" w:rsidRPr="00C66428" w:rsidRDefault="00C66428" w:rsidP="00C66428">
            <w:pPr>
              <w:spacing w:before="60" w:after="60" w:line="276" w:lineRule="auto"/>
              <w:jc w:val="center"/>
              <w:rPr>
                <w:rFonts w:asciiTheme="majorBidi" w:hAnsiTheme="majorBidi" w:cstheme="majorBidi"/>
                <w:szCs w:val="24"/>
              </w:rPr>
            </w:pPr>
            <w:r w:rsidRPr="00371D87">
              <w:rPr>
                <w:rFonts w:asciiTheme="majorBidi" w:hAnsiTheme="majorBidi" w:cstheme="majorBidi"/>
                <w:szCs w:val="24"/>
              </w:rPr>
              <w:t xml:space="preserve">See </w:t>
            </w:r>
            <w:r w:rsidR="009D0C4C">
              <w:rPr>
                <w:rFonts w:asciiTheme="majorBidi" w:hAnsiTheme="majorBidi" w:cstheme="majorBidi"/>
                <w:szCs w:val="24"/>
              </w:rPr>
              <w:fldChar w:fldCharType="begin"/>
            </w:r>
            <w:r w:rsidR="009D0C4C">
              <w:rPr>
                <w:rFonts w:asciiTheme="majorBidi" w:hAnsiTheme="majorBidi" w:cstheme="majorBidi"/>
                <w:szCs w:val="24"/>
              </w:rPr>
              <w:instrText xml:space="preserve"> REF _Ref174438319 \h </w:instrText>
            </w:r>
            <w:r w:rsidR="009D0C4C">
              <w:rPr>
                <w:rFonts w:asciiTheme="majorBidi" w:hAnsiTheme="majorBidi" w:cstheme="majorBidi"/>
                <w:szCs w:val="24"/>
              </w:rPr>
            </w:r>
            <w:r w:rsidR="009D0C4C">
              <w:rPr>
                <w:rFonts w:asciiTheme="majorBidi" w:hAnsiTheme="majorBidi" w:cstheme="majorBidi"/>
                <w:szCs w:val="24"/>
              </w:rPr>
              <w:fldChar w:fldCharType="separate"/>
            </w:r>
            <w:r w:rsidR="009D0C4C">
              <w:t>Table A</w:t>
            </w:r>
            <w:r w:rsidR="009D0C4C">
              <w:rPr>
                <w:noProof/>
              </w:rPr>
              <w:t>2</w:t>
            </w:r>
            <w:r w:rsidR="009D0C4C">
              <w:rPr>
                <w:rFonts w:asciiTheme="majorBidi" w:hAnsiTheme="majorBidi" w:cstheme="majorBidi"/>
                <w:szCs w:val="24"/>
              </w:rPr>
              <w:fldChar w:fldCharType="end"/>
            </w:r>
          </w:p>
        </w:tc>
      </w:tr>
      <w:tr w:rsidR="00C66428" w14:paraId="552129E8" w14:textId="77777777" w:rsidTr="00513E7F">
        <w:tc>
          <w:tcPr>
            <w:tcW w:w="1651" w:type="dxa"/>
          </w:tcPr>
          <w:p w14:paraId="489C3D62" w14:textId="77777777" w:rsidR="00C66428" w:rsidRPr="00C66428" w:rsidRDefault="00C66428" w:rsidP="00C66428">
            <w:pPr>
              <w:spacing w:before="60" w:after="60" w:line="276" w:lineRule="auto"/>
              <w:rPr>
                <w:rFonts w:asciiTheme="majorBidi" w:hAnsiTheme="majorBidi" w:cstheme="majorBidi"/>
                <w:szCs w:val="24"/>
              </w:rPr>
            </w:pPr>
            <w:r w:rsidRPr="00C66428">
              <w:rPr>
                <w:rFonts w:asciiTheme="majorBidi" w:hAnsiTheme="majorBidi" w:cstheme="majorBidi"/>
                <w:szCs w:val="24"/>
              </w:rPr>
              <w:t>HEHR</w:t>
            </w:r>
          </w:p>
        </w:tc>
        <w:tc>
          <w:tcPr>
            <w:tcW w:w="2598" w:type="dxa"/>
            <w:vAlign w:val="center"/>
          </w:tcPr>
          <w:p w14:paraId="2CEBAA5A" w14:textId="77777777" w:rsidR="00C66428" w:rsidRPr="00116FEB" w:rsidRDefault="00C66428" w:rsidP="00C66428">
            <w:pPr>
              <w:spacing w:before="60" w:after="60" w:line="276" w:lineRule="auto"/>
              <w:jc w:val="center"/>
              <w:rPr>
                <w:rFonts w:asciiTheme="majorBidi" w:hAnsiTheme="majorBidi" w:cstheme="majorBidi"/>
                <w:szCs w:val="24"/>
              </w:rPr>
            </w:pPr>
            <w:r w:rsidRPr="00C66428">
              <w:rPr>
                <w:rFonts w:asciiTheme="majorBidi" w:hAnsiTheme="majorBidi" w:cstheme="majorBidi"/>
                <w:szCs w:val="24"/>
              </w:rPr>
              <w:t>U</w:t>
            </w:r>
            <w:r w:rsidRPr="00116FEB">
              <w:rPr>
                <w:rFonts w:asciiTheme="majorBidi" w:hAnsiTheme="majorBidi" w:cstheme="majorBidi"/>
                <w:szCs w:val="24"/>
              </w:rPr>
              <w:t xml:space="preserve"> [</w:t>
            </w:r>
            <m:oMath>
              <m:r>
                <w:rPr>
                  <w:rFonts w:ascii="Cambria Math" w:hAnsi="Cambria Math" w:cstheme="majorBidi"/>
                  <w:szCs w:val="24"/>
                </w:rPr>
                <m:t>a</m:t>
              </m:r>
            </m:oMath>
            <w:r w:rsidRPr="00116FEB">
              <w:rPr>
                <w:rFonts w:asciiTheme="majorBidi" w:hAnsiTheme="majorBidi" w:cstheme="majorBidi"/>
                <w:szCs w:val="24"/>
              </w:rPr>
              <w:t xml:space="preserve"> = 0.9, </w:t>
            </w:r>
            <m:oMath>
              <m:r>
                <w:rPr>
                  <w:rFonts w:ascii="Cambria Math" w:hAnsi="Cambria Math" w:cstheme="majorBidi"/>
                  <w:szCs w:val="24"/>
                </w:rPr>
                <m:t>b</m:t>
              </m:r>
            </m:oMath>
            <w:r w:rsidRPr="00116FEB">
              <w:rPr>
                <w:rFonts w:asciiTheme="majorBidi" w:hAnsiTheme="majorBidi" w:cstheme="majorBidi"/>
                <w:szCs w:val="24"/>
              </w:rPr>
              <w:t xml:space="preserve"> = 1]</w:t>
            </w:r>
          </w:p>
        </w:tc>
        <w:tc>
          <w:tcPr>
            <w:tcW w:w="2638" w:type="dxa"/>
            <w:vAlign w:val="center"/>
          </w:tcPr>
          <w:p w14:paraId="67F2F8B0" w14:textId="77777777" w:rsidR="00C66428" w:rsidRPr="00116FEB" w:rsidRDefault="00C66428" w:rsidP="00C66428">
            <w:pPr>
              <w:spacing w:before="60" w:after="60" w:line="276" w:lineRule="auto"/>
              <w:jc w:val="center"/>
              <w:rPr>
                <w:rFonts w:asciiTheme="majorBidi" w:hAnsiTheme="majorBidi" w:cstheme="majorBidi"/>
                <w:szCs w:val="24"/>
              </w:rPr>
            </w:pPr>
            <w:r w:rsidRPr="00C66428">
              <w:rPr>
                <w:rFonts w:asciiTheme="majorBidi" w:hAnsiTheme="majorBidi" w:cstheme="majorBidi"/>
                <w:szCs w:val="24"/>
              </w:rPr>
              <w:t>U</w:t>
            </w:r>
            <w:r w:rsidRPr="00116FEB">
              <w:rPr>
                <w:rFonts w:asciiTheme="majorBidi" w:hAnsiTheme="majorBidi" w:cstheme="majorBidi"/>
                <w:szCs w:val="24"/>
              </w:rPr>
              <w:t xml:space="preserve"> [</w:t>
            </w:r>
            <m:oMath>
              <m:r>
                <w:rPr>
                  <w:rFonts w:ascii="Cambria Math" w:hAnsi="Cambria Math" w:cstheme="majorBidi"/>
                  <w:szCs w:val="24"/>
                </w:rPr>
                <m:t>a</m:t>
              </m:r>
            </m:oMath>
            <w:r w:rsidRPr="00116FEB">
              <w:rPr>
                <w:rFonts w:asciiTheme="majorBidi" w:hAnsiTheme="majorBidi" w:cstheme="majorBidi"/>
                <w:szCs w:val="24"/>
              </w:rPr>
              <w:t xml:space="preserve"> = 0.10, </w:t>
            </w:r>
            <m:oMath>
              <m:r>
                <w:rPr>
                  <w:rFonts w:ascii="Cambria Math" w:hAnsi="Cambria Math" w:cstheme="majorBidi"/>
                  <w:szCs w:val="24"/>
                </w:rPr>
                <m:t>b</m:t>
              </m:r>
            </m:oMath>
            <w:r w:rsidRPr="00116FEB">
              <w:rPr>
                <w:rFonts w:asciiTheme="majorBidi" w:hAnsiTheme="majorBidi" w:cstheme="majorBidi"/>
                <w:szCs w:val="24"/>
              </w:rPr>
              <w:t xml:space="preserve"> = 0.15]</w:t>
            </w:r>
          </w:p>
        </w:tc>
        <w:tc>
          <w:tcPr>
            <w:tcW w:w="2463" w:type="dxa"/>
          </w:tcPr>
          <w:p w14:paraId="6F3B6867" w14:textId="1F499AC4" w:rsidR="00C66428" w:rsidRPr="00C66428" w:rsidRDefault="00C66428" w:rsidP="00C66428">
            <w:pPr>
              <w:spacing w:before="60" w:after="60" w:line="276" w:lineRule="auto"/>
              <w:jc w:val="center"/>
              <w:rPr>
                <w:rFonts w:asciiTheme="majorBidi" w:hAnsiTheme="majorBidi" w:cstheme="majorBidi"/>
                <w:szCs w:val="24"/>
              </w:rPr>
            </w:pPr>
            <w:r w:rsidRPr="00371D87">
              <w:rPr>
                <w:rFonts w:asciiTheme="majorBidi" w:hAnsiTheme="majorBidi" w:cstheme="majorBidi"/>
                <w:szCs w:val="24"/>
              </w:rPr>
              <w:t xml:space="preserve">See </w:t>
            </w:r>
            <w:r w:rsidR="009D0C4C">
              <w:rPr>
                <w:rFonts w:asciiTheme="majorBidi" w:hAnsiTheme="majorBidi" w:cstheme="majorBidi"/>
                <w:szCs w:val="24"/>
              </w:rPr>
              <w:fldChar w:fldCharType="begin"/>
            </w:r>
            <w:r w:rsidR="009D0C4C">
              <w:rPr>
                <w:rFonts w:asciiTheme="majorBidi" w:hAnsiTheme="majorBidi" w:cstheme="majorBidi"/>
                <w:szCs w:val="24"/>
              </w:rPr>
              <w:instrText xml:space="preserve"> REF _Ref174438319 \h </w:instrText>
            </w:r>
            <w:r w:rsidR="009D0C4C">
              <w:rPr>
                <w:rFonts w:asciiTheme="majorBidi" w:hAnsiTheme="majorBidi" w:cstheme="majorBidi"/>
                <w:szCs w:val="24"/>
              </w:rPr>
            </w:r>
            <w:r w:rsidR="009D0C4C">
              <w:rPr>
                <w:rFonts w:asciiTheme="majorBidi" w:hAnsiTheme="majorBidi" w:cstheme="majorBidi"/>
                <w:szCs w:val="24"/>
              </w:rPr>
              <w:fldChar w:fldCharType="separate"/>
            </w:r>
            <w:r w:rsidR="009D0C4C">
              <w:t>Table A</w:t>
            </w:r>
            <w:r w:rsidR="009D0C4C">
              <w:rPr>
                <w:noProof/>
              </w:rPr>
              <w:t>2</w:t>
            </w:r>
            <w:r w:rsidR="009D0C4C">
              <w:rPr>
                <w:rFonts w:asciiTheme="majorBidi" w:hAnsiTheme="majorBidi" w:cstheme="majorBidi"/>
                <w:szCs w:val="24"/>
              </w:rPr>
              <w:fldChar w:fldCharType="end"/>
            </w:r>
          </w:p>
        </w:tc>
      </w:tr>
    </w:tbl>
    <w:p w14:paraId="65705CC3" w14:textId="77777777" w:rsidR="00C66428" w:rsidRDefault="00C66428" w:rsidP="008B1DCD">
      <w:pPr>
        <w:spacing w:after="120" w:line="276" w:lineRule="auto"/>
        <w:rPr>
          <w:rFonts w:asciiTheme="majorBidi" w:hAnsiTheme="majorBidi" w:cstheme="majorBidi"/>
          <w:b/>
          <w:bCs/>
          <w:szCs w:val="24"/>
        </w:rPr>
      </w:pPr>
    </w:p>
    <w:p w14:paraId="65B37583" w14:textId="2667A1CC" w:rsidR="008B1DCD" w:rsidRPr="00273782" w:rsidRDefault="00AA3510" w:rsidP="008B1DCD">
      <w:pPr>
        <w:spacing w:after="120" w:line="276" w:lineRule="auto"/>
        <w:rPr>
          <w:rFonts w:asciiTheme="majorBidi" w:hAnsiTheme="majorBidi" w:cstheme="majorBidi"/>
          <w:i/>
          <w:iCs/>
          <w:szCs w:val="24"/>
        </w:rPr>
      </w:pPr>
      <w:r w:rsidRPr="00273782">
        <w:rPr>
          <w:rFonts w:asciiTheme="majorBidi" w:hAnsiTheme="majorBidi" w:cstheme="majorBidi"/>
          <w:i/>
          <w:iCs/>
          <w:szCs w:val="24"/>
        </w:rPr>
        <w:t>A</w:t>
      </w:r>
      <w:r w:rsidR="008B1DCD" w:rsidRPr="00273782">
        <w:rPr>
          <w:rFonts w:asciiTheme="majorBidi" w:hAnsiTheme="majorBidi" w:cstheme="majorBidi"/>
          <w:i/>
          <w:iCs/>
          <w:szCs w:val="24"/>
        </w:rPr>
        <w:t>2</w:t>
      </w:r>
      <w:r w:rsidR="00273782" w:rsidRPr="00273782">
        <w:rPr>
          <w:rFonts w:asciiTheme="majorBidi" w:hAnsiTheme="majorBidi" w:cstheme="majorBidi"/>
          <w:i/>
          <w:iCs/>
          <w:szCs w:val="24"/>
        </w:rPr>
        <w:t>.2</w:t>
      </w:r>
      <w:r w:rsidR="008B1DCD" w:rsidRPr="00273782">
        <w:rPr>
          <w:rFonts w:asciiTheme="majorBidi" w:hAnsiTheme="majorBidi" w:cstheme="majorBidi"/>
          <w:i/>
          <w:iCs/>
          <w:szCs w:val="24"/>
        </w:rPr>
        <w:t>.4. Model calibration</w:t>
      </w:r>
    </w:p>
    <w:p w14:paraId="35F5ECB2" w14:textId="77777777" w:rsidR="00273782" w:rsidRDefault="00273782" w:rsidP="00273782">
      <w:pPr>
        <w:spacing w:after="120" w:line="276" w:lineRule="auto"/>
        <w:rPr>
          <w:rFonts w:asciiTheme="majorBidi" w:hAnsiTheme="majorBidi" w:cstheme="majorBidi"/>
          <w:szCs w:val="24"/>
        </w:rPr>
      </w:pPr>
      <w:r w:rsidRPr="00273782">
        <w:rPr>
          <w:rFonts w:asciiTheme="majorBidi" w:hAnsiTheme="majorBidi" w:cstheme="majorBidi"/>
          <w:szCs w:val="24"/>
        </w:rPr>
        <w:t xml:space="preserve">The main outcome of interest is the overall number of infections in the hospital during the study period. Since patients with suspected infections nearly all have cultures performed, no missing infection cases were assumed. </w:t>
      </w:r>
    </w:p>
    <w:p w14:paraId="30B01B4D" w14:textId="1CAEC92B" w:rsidR="008B1DCD" w:rsidRDefault="00273782" w:rsidP="00273782">
      <w:pPr>
        <w:spacing w:after="120" w:line="276" w:lineRule="auto"/>
        <w:rPr>
          <w:rFonts w:asciiTheme="majorBidi" w:hAnsiTheme="majorBidi" w:cstheme="majorBidi"/>
          <w:szCs w:val="24"/>
        </w:rPr>
      </w:pPr>
      <w:r w:rsidRPr="00273782">
        <w:rPr>
          <w:rFonts w:asciiTheme="majorBidi" w:hAnsiTheme="majorBidi" w:cstheme="majorBidi"/>
          <w:szCs w:val="24"/>
        </w:rPr>
        <w:t>The model was fitted separately under each identifiability scenario using Approximate Bayesian Computation (ABC)</w:t>
      </w:r>
      <w:r w:rsidR="008B1DCD" w:rsidRPr="00CC3E2F">
        <w:rPr>
          <w:rFonts w:asciiTheme="majorBidi" w:hAnsiTheme="majorBidi" w:cstheme="majorBidi"/>
          <w:szCs w:val="24"/>
        </w:rPr>
        <w:t xml:space="preserve">. For the acceptance-rejection criteria we used the 95% Confidence Intervals (CIs). </w:t>
      </w:r>
      <w:r w:rsidR="008B1DCD">
        <w:rPr>
          <w:rFonts w:asciiTheme="majorBidi" w:hAnsiTheme="majorBidi" w:cstheme="majorBidi"/>
          <w:szCs w:val="24"/>
        </w:rPr>
        <w:t xml:space="preserve">Five hundred </w:t>
      </w:r>
      <w:r w:rsidR="008B1DCD" w:rsidRPr="00CC3E2F">
        <w:rPr>
          <w:rFonts w:asciiTheme="majorBidi" w:hAnsiTheme="majorBidi" w:cstheme="majorBidi"/>
          <w:szCs w:val="24"/>
        </w:rPr>
        <w:t>samples (per parameter) were drawn from the parameters’ prior probability distributions using Latin-Hypercube Sampling (LHS). For each set of drawn samples, the six ICUs were simulated for the period of June 1, 2017, to July 1, 2018, using the generated event-queue data, and the simulation</w:t>
      </w:r>
      <w:r w:rsidR="008B1DCD">
        <w:rPr>
          <w:rFonts w:asciiTheme="majorBidi" w:hAnsiTheme="majorBidi" w:cstheme="majorBidi"/>
          <w:szCs w:val="24"/>
        </w:rPr>
        <w:t xml:space="preserve">s were </w:t>
      </w:r>
      <w:r w:rsidR="008B1DCD" w:rsidRPr="00CC3E2F">
        <w:rPr>
          <w:rFonts w:asciiTheme="majorBidi" w:hAnsiTheme="majorBidi" w:cstheme="majorBidi"/>
          <w:szCs w:val="24"/>
        </w:rPr>
        <w:t>repeated 30 times</w:t>
      </w:r>
      <w:r w:rsidR="008B1DCD">
        <w:rPr>
          <w:rFonts w:asciiTheme="majorBidi" w:hAnsiTheme="majorBidi" w:cstheme="majorBidi"/>
          <w:szCs w:val="24"/>
        </w:rPr>
        <w:t xml:space="preserve"> for each sample set</w:t>
      </w:r>
      <w:r w:rsidR="008B1DCD" w:rsidRPr="00CC3E2F">
        <w:rPr>
          <w:rFonts w:asciiTheme="majorBidi" w:hAnsiTheme="majorBidi" w:cstheme="majorBidi"/>
          <w:szCs w:val="24"/>
        </w:rPr>
        <w:t xml:space="preserve">. The number of simulation repetitions was determined based on the minimum number of data points required for the calculation of confidence intervals (CIs) based on the Central Limit Theorem </w:t>
      </w:r>
      <w:r w:rsidR="008B1DCD" w:rsidRPr="00CC3E2F">
        <w:rPr>
          <w:rFonts w:asciiTheme="majorBidi" w:hAnsiTheme="majorBidi" w:cstheme="majorBidi"/>
          <w:szCs w:val="24"/>
        </w:rPr>
        <w:fldChar w:fldCharType="begin" w:fldLock="1"/>
      </w:r>
      <w:r w:rsidR="00614E4E">
        <w:rPr>
          <w:rFonts w:asciiTheme="majorBidi" w:hAnsiTheme="majorBidi" w:cstheme="majorBidi"/>
          <w:szCs w:val="24"/>
        </w:rPr>
        <w:instrText>ADDIN CSL_CITATION {"citationItems":[{"id":"ITEM-1","itemData":{"abstract":"The general rule in using central limit theorem is based on the sample size being greater or equal to 30. Since there are various shapes of probability distributions, this generalized criterion may not be suitable. We determine the sample size required for the Weibull distribution, while using the central limit theorem in this paper. Some computer simulations are carried out to study the practical choices of the least required sample size for this distribution.","author":[{"dropping-particle":"","family":"Chang","given":"Horng-Jinh","non-dropping-particle":"","parse-names":false,"suffix":""},{"dropping-particle":"","family":"Huang","given":"Kuo-Chung","non-dropping-particle":"","parse-names":false,"suffix":""},{"dropping-particle":"","family":"Chao","given":"R O C R O C","non-dropping-particle":"","parse-names":false,"suffix":""},{"dropping-particle":"","family":"Wu","given":"Hsien","non-dropping-particle":"","parse-names":false,"suffix":""}],"container-title":"Information and Management Sciences","id":"ITEM-1","issue":"3","issued":{"date-parts":[["2006"]]},"page":"31-46","title":"Determination of Sample Size in Using Central Limit Theorem for Weibull Distribution","type":"article-journal","volume":"17"},"uris":["http://www.mendeley.com/documents/?uuid=e28ae8e1-c85a-3dca-8883-ad02fb962e86"]}],"mendeley":{"formattedCitation":"[18]","plainTextFormattedCitation":"[18]","previouslyFormattedCitation":"[18]"},"properties":{"noteIndex":0},"schema":"https://github.com/citation-style-language/schema/raw/master/csl-citation.json"}</w:instrText>
      </w:r>
      <w:r w:rsidR="008B1DCD" w:rsidRPr="00CC3E2F">
        <w:rPr>
          <w:rFonts w:asciiTheme="majorBidi" w:hAnsiTheme="majorBidi" w:cstheme="majorBidi"/>
          <w:szCs w:val="24"/>
        </w:rPr>
        <w:fldChar w:fldCharType="separate"/>
      </w:r>
      <w:r w:rsidR="004F21C2" w:rsidRPr="004F21C2">
        <w:rPr>
          <w:rFonts w:asciiTheme="majorBidi" w:hAnsiTheme="majorBidi" w:cstheme="majorBidi"/>
          <w:noProof/>
          <w:szCs w:val="24"/>
        </w:rPr>
        <w:t>[18]</w:t>
      </w:r>
      <w:r w:rsidR="008B1DCD" w:rsidRPr="00CC3E2F">
        <w:rPr>
          <w:rFonts w:asciiTheme="majorBidi" w:hAnsiTheme="majorBidi" w:cstheme="majorBidi"/>
          <w:szCs w:val="24"/>
        </w:rPr>
        <w:fldChar w:fldCharType="end"/>
      </w:r>
      <w:r w:rsidR="008B1DCD" w:rsidRPr="00CC3E2F">
        <w:rPr>
          <w:rFonts w:asciiTheme="majorBidi" w:hAnsiTheme="majorBidi" w:cstheme="majorBidi"/>
          <w:szCs w:val="24"/>
        </w:rPr>
        <w:t xml:space="preserve">. The first 30 days of the simulations (June 1, 2017, to </w:t>
      </w:r>
      <w:r w:rsidR="008B1DCD">
        <w:rPr>
          <w:rFonts w:asciiTheme="majorBidi" w:hAnsiTheme="majorBidi" w:cstheme="majorBidi"/>
          <w:szCs w:val="24"/>
        </w:rPr>
        <w:t>June</w:t>
      </w:r>
      <w:r w:rsidR="008B1DCD" w:rsidRPr="00CC3E2F">
        <w:rPr>
          <w:rFonts w:asciiTheme="majorBidi" w:hAnsiTheme="majorBidi" w:cstheme="majorBidi"/>
          <w:szCs w:val="24"/>
        </w:rPr>
        <w:t xml:space="preserve"> </w:t>
      </w:r>
      <w:r w:rsidR="008B1DCD">
        <w:rPr>
          <w:rFonts w:asciiTheme="majorBidi" w:hAnsiTheme="majorBidi" w:cstheme="majorBidi"/>
          <w:szCs w:val="24"/>
        </w:rPr>
        <w:t>30</w:t>
      </w:r>
      <w:r w:rsidR="008B1DCD" w:rsidRPr="00CC3E2F">
        <w:rPr>
          <w:rFonts w:asciiTheme="majorBidi" w:hAnsiTheme="majorBidi" w:cstheme="majorBidi"/>
          <w:szCs w:val="24"/>
        </w:rPr>
        <w:t xml:space="preserve">, 2017) were discarded as the burn-in period. Each set of sampled parameters was accepted if the observed number of infections </w:t>
      </w:r>
      <w:r w:rsidR="008B1DCD">
        <w:rPr>
          <w:rFonts w:asciiTheme="majorBidi" w:hAnsiTheme="majorBidi" w:cstheme="majorBidi"/>
          <w:szCs w:val="24"/>
        </w:rPr>
        <w:t>was</w:t>
      </w:r>
      <w:r w:rsidR="008B1DCD" w:rsidRPr="00CC3E2F">
        <w:rPr>
          <w:rFonts w:asciiTheme="majorBidi" w:hAnsiTheme="majorBidi" w:cstheme="majorBidi"/>
          <w:szCs w:val="24"/>
        </w:rPr>
        <w:t xml:space="preserve"> within 95% CI of the mean of number of infections resulted from the simulations. </w:t>
      </w:r>
    </w:p>
    <w:p w14:paraId="0F296E61" w14:textId="77777777" w:rsidR="00EE5B7F" w:rsidRDefault="00EE5B7F" w:rsidP="008B1DCD">
      <w:pPr>
        <w:spacing w:after="120" w:line="276" w:lineRule="auto"/>
        <w:rPr>
          <w:rFonts w:asciiTheme="majorBidi" w:hAnsiTheme="majorBidi" w:cstheme="majorBidi"/>
          <w:szCs w:val="24"/>
        </w:rPr>
      </w:pPr>
    </w:p>
    <w:p w14:paraId="572F89C9" w14:textId="7F605A83" w:rsidR="00EE5B7F" w:rsidRPr="00CC3E2F" w:rsidRDefault="00AA3510" w:rsidP="00EE5B7F">
      <w:pPr>
        <w:spacing w:after="120" w:line="276" w:lineRule="auto"/>
        <w:rPr>
          <w:rFonts w:asciiTheme="majorBidi" w:hAnsiTheme="majorBidi" w:cstheme="majorBidi"/>
          <w:b/>
          <w:bCs/>
          <w:szCs w:val="24"/>
        </w:rPr>
      </w:pPr>
      <w:r>
        <w:rPr>
          <w:rFonts w:asciiTheme="majorBidi" w:hAnsiTheme="majorBidi" w:cstheme="majorBidi"/>
          <w:b/>
          <w:bCs/>
          <w:szCs w:val="24"/>
        </w:rPr>
        <w:t>A</w:t>
      </w:r>
      <w:r w:rsidR="00EE5B7F" w:rsidRPr="00CC3E2F">
        <w:rPr>
          <w:rFonts w:asciiTheme="majorBidi" w:hAnsiTheme="majorBidi" w:cstheme="majorBidi"/>
          <w:b/>
          <w:bCs/>
          <w:szCs w:val="24"/>
        </w:rPr>
        <w:t>2.</w:t>
      </w:r>
      <w:r w:rsidR="00273782">
        <w:rPr>
          <w:rFonts w:asciiTheme="majorBidi" w:hAnsiTheme="majorBidi" w:cstheme="majorBidi"/>
          <w:b/>
          <w:bCs/>
          <w:szCs w:val="24"/>
        </w:rPr>
        <w:t>3</w:t>
      </w:r>
      <w:r w:rsidR="00EE5B7F" w:rsidRPr="00CC3E2F">
        <w:rPr>
          <w:rFonts w:asciiTheme="majorBidi" w:hAnsiTheme="majorBidi" w:cstheme="majorBidi"/>
          <w:b/>
          <w:bCs/>
          <w:szCs w:val="24"/>
        </w:rPr>
        <w:t>. Uncertainty analysis</w:t>
      </w:r>
    </w:p>
    <w:p w14:paraId="2A4ACFFC" w14:textId="57442B57" w:rsidR="00273782" w:rsidRPr="00273782" w:rsidRDefault="00273782" w:rsidP="00273782">
      <w:pPr>
        <w:spacing w:line="276" w:lineRule="auto"/>
        <w:rPr>
          <w:rFonts w:asciiTheme="majorBidi" w:hAnsiTheme="majorBidi" w:cstheme="majorBidi"/>
          <w:szCs w:val="24"/>
        </w:rPr>
      </w:pPr>
      <w:r w:rsidRPr="00273782">
        <w:rPr>
          <w:rFonts w:asciiTheme="majorBidi" w:hAnsiTheme="majorBidi" w:cstheme="majorBidi"/>
          <w:szCs w:val="24"/>
        </w:rPr>
        <w:lastRenderedPageBreak/>
        <w:t>For uncertainty analysis, the simulations were repeated while relaxing parameter distributions (see</w:t>
      </w:r>
      <w:r>
        <w:rPr>
          <w:rFonts w:asciiTheme="majorBidi" w:hAnsiTheme="majorBidi" w:cstheme="majorBidi"/>
          <w:szCs w:val="24"/>
        </w:rPr>
        <w:t xml:space="preserve"> </w:t>
      </w:r>
      <w:r>
        <w:rPr>
          <w:rFonts w:asciiTheme="majorBidi" w:hAnsiTheme="majorBidi" w:cstheme="majorBidi"/>
          <w:szCs w:val="24"/>
        </w:rPr>
        <w:fldChar w:fldCharType="begin"/>
      </w:r>
      <w:r>
        <w:rPr>
          <w:rFonts w:asciiTheme="majorBidi" w:hAnsiTheme="majorBidi" w:cstheme="majorBidi"/>
          <w:szCs w:val="24"/>
        </w:rPr>
        <w:instrText xml:space="preserve"> REF _Ref174438319 \h </w:instrText>
      </w:r>
      <w:r>
        <w:rPr>
          <w:rFonts w:asciiTheme="majorBidi" w:hAnsiTheme="majorBidi" w:cstheme="majorBidi"/>
          <w:szCs w:val="24"/>
        </w:rPr>
      </w:r>
      <w:r>
        <w:rPr>
          <w:rFonts w:asciiTheme="majorBidi" w:hAnsiTheme="majorBidi" w:cstheme="majorBidi"/>
          <w:szCs w:val="24"/>
        </w:rPr>
        <w:fldChar w:fldCharType="separate"/>
      </w:r>
      <w:r>
        <w:t>Table A</w:t>
      </w:r>
      <w:r>
        <w:rPr>
          <w:noProof/>
        </w:rPr>
        <w:t>2</w:t>
      </w:r>
      <w:r>
        <w:rPr>
          <w:rFonts w:asciiTheme="majorBidi" w:hAnsiTheme="majorBidi" w:cstheme="majorBidi"/>
          <w:szCs w:val="24"/>
        </w:rPr>
        <w:fldChar w:fldCharType="end"/>
      </w:r>
      <w:r w:rsidRPr="00273782">
        <w:rPr>
          <w:rFonts w:asciiTheme="majorBidi" w:hAnsiTheme="majorBidi" w:cstheme="majorBidi"/>
          <w:szCs w:val="24"/>
        </w:rPr>
        <w:t>). We extended the upper or lower bounds of the prior parameter distributions to evaluate the sensitivity of the model to changing parameters beyond commonly observed values. This provides insight into the most influential parameters to be targeted with interventions. Using the results of the simulations, we calculated the partial rank correlation coefficients (PRCCs) for each model parameter.</w:t>
      </w:r>
    </w:p>
    <w:p w14:paraId="118C874F" w14:textId="6377DD20" w:rsidR="00EE5B7F" w:rsidRPr="00CC3E2F" w:rsidRDefault="00EE5B7F" w:rsidP="00EE5B7F">
      <w:pPr>
        <w:spacing w:line="276" w:lineRule="auto"/>
        <w:rPr>
          <w:rFonts w:asciiTheme="majorBidi" w:hAnsiTheme="majorBidi" w:cstheme="majorBidi"/>
          <w:szCs w:val="24"/>
        </w:rPr>
      </w:pPr>
      <w:r w:rsidRPr="00CC3E2F">
        <w:rPr>
          <w:rFonts w:asciiTheme="majorBidi" w:hAnsiTheme="majorBidi" w:cstheme="majorBidi"/>
          <w:szCs w:val="24"/>
        </w:rPr>
        <w:t>We also investigate</w:t>
      </w:r>
      <w:r>
        <w:rPr>
          <w:rFonts w:asciiTheme="majorBidi" w:hAnsiTheme="majorBidi" w:cstheme="majorBidi"/>
          <w:szCs w:val="24"/>
        </w:rPr>
        <w:t>d</w:t>
      </w:r>
      <w:r w:rsidRPr="00CC3E2F">
        <w:rPr>
          <w:rFonts w:asciiTheme="majorBidi" w:hAnsiTheme="majorBidi" w:cstheme="majorBidi"/>
          <w:szCs w:val="24"/>
        </w:rPr>
        <w:t xml:space="preserve"> the effects of parameter </w:t>
      </w:r>
      <w:r>
        <w:rPr>
          <w:rFonts w:asciiTheme="majorBidi" w:hAnsiTheme="majorBidi" w:cstheme="majorBidi"/>
          <w:szCs w:val="24"/>
        </w:rPr>
        <w:t>distribution</w:t>
      </w:r>
      <w:r w:rsidRPr="00CC3E2F">
        <w:rPr>
          <w:rFonts w:asciiTheme="majorBidi" w:hAnsiTheme="majorBidi" w:cstheme="majorBidi"/>
          <w:szCs w:val="24"/>
        </w:rPr>
        <w:t xml:space="preserve"> boundaries on </w:t>
      </w:r>
      <w:r>
        <w:rPr>
          <w:rFonts w:asciiTheme="majorBidi" w:hAnsiTheme="majorBidi" w:cstheme="majorBidi"/>
          <w:szCs w:val="24"/>
        </w:rPr>
        <w:t xml:space="preserve">PRCC calculations. </w:t>
      </w:r>
      <w:r w:rsidRPr="00CC3E2F">
        <w:rPr>
          <w:rFonts w:asciiTheme="majorBidi" w:hAnsiTheme="majorBidi" w:cstheme="majorBidi"/>
          <w:szCs w:val="24"/>
        </w:rPr>
        <w:t>For doing so, we split</w:t>
      </w:r>
      <w:r>
        <w:rPr>
          <w:rFonts w:asciiTheme="majorBidi" w:hAnsiTheme="majorBidi" w:cstheme="majorBidi"/>
          <w:szCs w:val="24"/>
        </w:rPr>
        <w:t xml:space="preserve"> </w:t>
      </w:r>
      <w:r w:rsidRPr="00CC3E2F">
        <w:rPr>
          <w:rFonts w:asciiTheme="majorBidi" w:hAnsiTheme="majorBidi" w:cstheme="majorBidi"/>
          <w:szCs w:val="24"/>
        </w:rPr>
        <w:t xml:space="preserve">the uniform distribution of each parameter </w:t>
      </w:r>
      <w:r w:rsidRPr="00CC3E2F">
        <w:rPr>
          <w:rFonts w:asciiTheme="majorBidi" w:hAnsiTheme="majorBidi" w:cstheme="majorBidi"/>
          <w:i/>
          <w:iCs/>
          <w:szCs w:val="24"/>
        </w:rPr>
        <w:t>p</w:t>
      </w:r>
      <w:r w:rsidRPr="00CC3E2F">
        <w:rPr>
          <w:rFonts w:asciiTheme="majorBidi" w:hAnsiTheme="majorBidi" w:cstheme="majorBidi"/>
          <w:szCs w:val="24"/>
        </w:rPr>
        <w:t xml:space="preserve"> in half, i.e., </w:t>
      </w:r>
      <m:oMath>
        <m:sSub>
          <m:sSubPr>
            <m:ctrlPr>
              <w:rPr>
                <w:rFonts w:ascii="Cambria Math" w:hAnsi="Cambria Math" w:cstheme="majorBidi"/>
                <w:i/>
                <w:szCs w:val="24"/>
              </w:rPr>
            </m:ctrlPr>
          </m:sSubPr>
          <m:e>
            <m:r>
              <w:rPr>
                <w:rFonts w:ascii="Cambria Math" w:hAnsi="Cambria Math" w:cstheme="majorBidi"/>
                <w:szCs w:val="24"/>
              </w:rPr>
              <m:t>U</m:t>
            </m:r>
          </m:e>
          <m:sub>
            <m:r>
              <w:rPr>
                <w:rFonts w:ascii="Cambria Math" w:hAnsi="Cambria Math" w:cstheme="majorBidi"/>
                <w:szCs w:val="24"/>
              </w:rPr>
              <m:t>1</m:t>
            </m:r>
          </m:sub>
        </m:sSub>
        <m:d>
          <m:dPr>
            <m:ctrlPr>
              <w:rPr>
                <w:rFonts w:ascii="Cambria Math" w:hAnsi="Cambria Math" w:cstheme="majorBidi"/>
                <w:i/>
                <w:szCs w:val="24"/>
              </w:rPr>
            </m:ctrlPr>
          </m:dPr>
          <m:e>
            <m:r>
              <w:rPr>
                <w:rFonts w:ascii="Cambria Math" w:hAnsi="Cambria Math" w:cstheme="majorBidi"/>
                <w:szCs w:val="24"/>
              </w:rPr>
              <m:t>p</m:t>
            </m:r>
          </m:e>
        </m:d>
        <m:r>
          <w:rPr>
            <w:rFonts w:ascii="Cambria Math" w:hAnsi="Cambria Math" w:cstheme="majorBidi"/>
            <w:szCs w:val="24"/>
          </w:rPr>
          <m:t>=</m:t>
        </m:r>
        <m:d>
          <m:dPr>
            <m:begChr m:val="["/>
            <m:endChr m:val="]"/>
            <m:ctrlPr>
              <w:rPr>
                <w:rFonts w:ascii="Cambria Math" w:hAnsi="Cambria Math" w:cstheme="majorBidi"/>
                <w:i/>
                <w:szCs w:val="24"/>
              </w:rPr>
            </m:ctrlPr>
          </m:dPr>
          <m:e>
            <m:r>
              <w:rPr>
                <w:rFonts w:ascii="Cambria Math" w:hAnsi="Cambria Math" w:cstheme="majorBidi"/>
                <w:szCs w:val="24"/>
              </w:rPr>
              <m:t xml:space="preserve">a, </m:t>
            </m:r>
            <m:f>
              <m:fPr>
                <m:type m:val="lin"/>
                <m:ctrlPr>
                  <w:rPr>
                    <w:rFonts w:ascii="Cambria Math" w:hAnsi="Cambria Math" w:cstheme="majorBidi"/>
                    <w:i/>
                    <w:szCs w:val="24"/>
                  </w:rPr>
                </m:ctrlPr>
              </m:fPr>
              <m:num>
                <m:r>
                  <w:rPr>
                    <w:rFonts w:ascii="Cambria Math" w:hAnsi="Cambria Math" w:cstheme="majorBidi"/>
                    <w:szCs w:val="24"/>
                  </w:rPr>
                  <m:t>(a+b)</m:t>
                </m:r>
              </m:num>
              <m:den>
                <m:r>
                  <w:rPr>
                    <w:rFonts w:ascii="Cambria Math" w:hAnsi="Cambria Math" w:cstheme="majorBidi"/>
                    <w:szCs w:val="24"/>
                  </w:rPr>
                  <m:t>2</m:t>
                </m:r>
              </m:den>
            </m:f>
          </m:e>
        </m:d>
      </m:oMath>
      <w:r w:rsidRPr="00CC3E2F">
        <w:rPr>
          <w:rFonts w:asciiTheme="majorBidi" w:hAnsiTheme="majorBidi" w:cstheme="majorBidi"/>
          <w:szCs w:val="24"/>
        </w:rPr>
        <w:t xml:space="preserve"> and </w:t>
      </w:r>
      <m:oMath>
        <m:sSub>
          <m:sSubPr>
            <m:ctrlPr>
              <w:rPr>
                <w:rFonts w:ascii="Cambria Math" w:hAnsi="Cambria Math" w:cstheme="majorBidi"/>
                <w:i/>
                <w:szCs w:val="24"/>
              </w:rPr>
            </m:ctrlPr>
          </m:sSubPr>
          <m:e>
            <m:r>
              <w:rPr>
                <w:rFonts w:ascii="Cambria Math" w:hAnsi="Cambria Math" w:cstheme="majorBidi"/>
                <w:szCs w:val="24"/>
              </w:rPr>
              <m:t>U</m:t>
            </m:r>
          </m:e>
          <m:sub>
            <m:r>
              <w:rPr>
                <w:rFonts w:ascii="Cambria Math" w:hAnsi="Cambria Math" w:cstheme="majorBidi"/>
                <w:szCs w:val="24"/>
              </w:rPr>
              <m:t>2</m:t>
            </m:r>
          </m:sub>
        </m:sSub>
        <m:d>
          <m:dPr>
            <m:ctrlPr>
              <w:rPr>
                <w:rFonts w:ascii="Cambria Math" w:hAnsi="Cambria Math" w:cstheme="majorBidi"/>
                <w:i/>
                <w:szCs w:val="24"/>
              </w:rPr>
            </m:ctrlPr>
          </m:dPr>
          <m:e>
            <m:r>
              <w:rPr>
                <w:rFonts w:ascii="Cambria Math" w:hAnsi="Cambria Math" w:cstheme="majorBidi"/>
                <w:szCs w:val="24"/>
              </w:rPr>
              <m:t>p</m:t>
            </m:r>
          </m:e>
        </m:d>
        <m:r>
          <w:rPr>
            <w:rFonts w:ascii="Cambria Math" w:hAnsi="Cambria Math" w:cstheme="majorBidi"/>
            <w:szCs w:val="24"/>
          </w:rPr>
          <m:t>=</m:t>
        </m:r>
        <m:d>
          <m:dPr>
            <m:begChr m:val="["/>
            <m:endChr m:val="]"/>
            <m:ctrlPr>
              <w:rPr>
                <w:rFonts w:ascii="Cambria Math" w:hAnsi="Cambria Math" w:cstheme="majorBidi"/>
                <w:i/>
                <w:szCs w:val="24"/>
              </w:rPr>
            </m:ctrlPr>
          </m:dPr>
          <m:e>
            <m:f>
              <m:fPr>
                <m:type m:val="lin"/>
                <m:ctrlPr>
                  <w:rPr>
                    <w:rFonts w:ascii="Cambria Math" w:hAnsi="Cambria Math" w:cstheme="majorBidi"/>
                    <w:i/>
                    <w:szCs w:val="24"/>
                  </w:rPr>
                </m:ctrlPr>
              </m:fPr>
              <m:num>
                <m:r>
                  <w:rPr>
                    <w:rFonts w:ascii="Cambria Math" w:hAnsi="Cambria Math" w:cstheme="majorBidi"/>
                    <w:szCs w:val="24"/>
                  </w:rPr>
                  <m:t>(a+b)</m:t>
                </m:r>
              </m:num>
              <m:den>
                <m:r>
                  <w:rPr>
                    <w:rFonts w:ascii="Cambria Math" w:hAnsi="Cambria Math" w:cstheme="majorBidi"/>
                    <w:szCs w:val="24"/>
                  </w:rPr>
                  <m:t>2</m:t>
                </m:r>
              </m:den>
            </m:f>
            <m:r>
              <w:rPr>
                <w:rFonts w:ascii="Cambria Math" w:hAnsi="Cambria Math" w:cstheme="majorBidi"/>
                <w:szCs w:val="24"/>
              </w:rPr>
              <m:t>, b</m:t>
            </m:r>
          </m:e>
        </m:d>
      </m:oMath>
      <w:r w:rsidRPr="00CC3E2F">
        <w:rPr>
          <w:rFonts w:asciiTheme="majorBidi" w:hAnsiTheme="majorBidi" w:cstheme="majorBidi"/>
          <w:szCs w:val="24"/>
        </w:rPr>
        <w:t xml:space="preserve">, in which </w:t>
      </w:r>
      <w:r w:rsidRPr="00CC3E2F">
        <w:rPr>
          <w:rFonts w:asciiTheme="majorBidi" w:hAnsiTheme="majorBidi" w:cstheme="majorBidi"/>
          <w:i/>
          <w:iCs/>
          <w:szCs w:val="24"/>
        </w:rPr>
        <w:t>a</w:t>
      </w:r>
      <w:r w:rsidRPr="00CC3E2F">
        <w:rPr>
          <w:rFonts w:asciiTheme="majorBidi" w:hAnsiTheme="majorBidi" w:cstheme="majorBidi"/>
          <w:szCs w:val="24"/>
        </w:rPr>
        <w:t xml:space="preserve"> and </w:t>
      </w:r>
      <w:r w:rsidRPr="00CC3E2F">
        <w:rPr>
          <w:rFonts w:asciiTheme="majorBidi" w:hAnsiTheme="majorBidi" w:cstheme="majorBidi"/>
          <w:i/>
          <w:iCs/>
          <w:szCs w:val="24"/>
        </w:rPr>
        <w:t>b</w:t>
      </w:r>
      <w:r w:rsidRPr="00CC3E2F">
        <w:rPr>
          <w:rFonts w:asciiTheme="majorBidi" w:hAnsiTheme="majorBidi" w:cstheme="majorBidi"/>
          <w:szCs w:val="24"/>
        </w:rPr>
        <w:t xml:space="preserve"> are the lower and upper bounds of the </w:t>
      </w:r>
      <w:r>
        <w:rPr>
          <w:rFonts w:asciiTheme="majorBidi" w:hAnsiTheme="majorBidi" w:cstheme="majorBidi"/>
          <w:szCs w:val="24"/>
        </w:rPr>
        <w:t>parameter’s</w:t>
      </w:r>
      <w:r w:rsidRPr="00CC3E2F">
        <w:rPr>
          <w:rFonts w:asciiTheme="majorBidi" w:hAnsiTheme="majorBidi" w:cstheme="majorBidi"/>
          <w:szCs w:val="24"/>
        </w:rPr>
        <w:t xml:space="preserve"> </w:t>
      </w:r>
      <w:r>
        <w:rPr>
          <w:rFonts w:asciiTheme="majorBidi" w:hAnsiTheme="majorBidi" w:cstheme="majorBidi"/>
          <w:szCs w:val="24"/>
        </w:rPr>
        <w:t>prior</w:t>
      </w:r>
      <w:r w:rsidRPr="00CC3E2F">
        <w:rPr>
          <w:rFonts w:asciiTheme="majorBidi" w:hAnsiTheme="majorBidi" w:cstheme="majorBidi"/>
          <w:szCs w:val="24"/>
        </w:rPr>
        <w:t xml:space="preserve"> distribution, respectively, and repeated the PRCC analysis separately on simulations with samples drawn from </w:t>
      </w:r>
      <m:oMath>
        <m:sSub>
          <m:sSubPr>
            <m:ctrlPr>
              <w:rPr>
                <w:rFonts w:ascii="Cambria Math" w:hAnsi="Cambria Math" w:cstheme="majorBidi"/>
                <w:i/>
                <w:szCs w:val="24"/>
              </w:rPr>
            </m:ctrlPr>
          </m:sSubPr>
          <m:e>
            <m:r>
              <w:rPr>
                <w:rFonts w:ascii="Cambria Math" w:hAnsi="Cambria Math" w:cstheme="majorBidi"/>
                <w:szCs w:val="24"/>
              </w:rPr>
              <m:t>U</m:t>
            </m:r>
          </m:e>
          <m:sub>
            <m:r>
              <w:rPr>
                <w:rFonts w:ascii="Cambria Math" w:hAnsi="Cambria Math" w:cstheme="majorBidi"/>
                <w:szCs w:val="24"/>
              </w:rPr>
              <m:t>1</m:t>
            </m:r>
          </m:sub>
        </m:sSub>
      </m:oMath>
      <w:r w:rsidRPr="00CC3E2F">
        <w:rPr>
          <w:rFonts w:asciiTheme="majorBidi" w:hAnsiTheme="majorBidi" w:cstheme="majorBidi"/>
          <w:szCs w:val="24"/>
        </w:rPr>
        <w:t xml:space="preserve"> and </w:t>
      </w:r>
      <m:oMath>
        <m:sSub>
          <m:sSubPr>
            <m:ctrlPr>
              <w:rPr>
                <w:rFonts w:ascii="Cambria Math" w:hAnsi="Cambria Math" w:cstheme="majorBidi"/>
                <w:i/>
                <w:szCs w:val="24"/>
              </w:rPr>
            </m:ctrlPr>
          </m:sSubPr>
          <m:e>
            <m:r>
              <w:rPr>
                <w:rFonts w:ascii="Cambria Math" w:hAnsi="Cambria Math" w:cstheme="majorBidi"/>
                <w:szCs w:val="24"/>
              </w:rPr>
              <m:t>U</m:t>
            </m:r>
          </m:e>
          <m:sub>
            <m:r>
              <w:rPr>
                <w:rFonts w:ascii="Cambria Math" w:hAnsi="Cambria Math" w:cstheme="majorBidi"/>
                <w:szCs w:val="24"/>
              </w:rPr>
              <m:t>2</m:t>
            </m:r>
          </m:sub>
        </m:sSub>
      </m:oMath>
      <w:r w:rsidRPr="00CC3E2F">
        <w:rPr>
          <w:rFonts w:asciiTheme="majorBidi" w:hAnsiTheme="majorBidi" w:cstheme="majorBidi"/>
          <w:szCs w:val="24"/>
        </w:rPr>
        <w:t xml:space="preserve">. The PRCCs obtained from </w:t>
      </w:r>
      <m:oMath>
        <m:sSub>
          <m:sSubPr>
            <m:ctrlPr>
              <w:rPr>
                <w:rFonts w:ascii="Cambria Math" w:hAnsi="Cambria Math" w:cstheme="majorBidi"/>
                <w:i/>
                <w:szCs w:val="24"/>
              </w:rPr>
            </m:ctrlPr>
          </m:sSubPr>
          <m:e>
            <m:r>
              <w:rPr>
                <w:rFonts w:ascii="Cambria Math" w:hAnsi="Cambria Math" w:cstheme="majorBidi"/>
                <w:szCs w:val="24"/>
              </w:rPr>
              <m:t>U</m:t>
            </m:r>
          </m:e>
          <m:sub>
            <m:r>
              <w:rPr>
                <w:rFonts w:ascii="Cambria Math" w:hAnsi="Cambria Math" w:cstheme="majorBidi"/>
                <w:szCs w:val="24"/>
              </w:rPr>
              <m:t>1</m:t>
            </m:r>
          </m:sub>
        </m:sSub>
      </m:oMath>
      <w:r w:rsidRPr="00CC3E2F">
        <w:rPr>
          <w:rFonts w:asciiTheme="majorBidi" w:hAnsiTheme="majorBidi" w:cstheme="majorBidi"/>
          <w:szCs w:val="24"/>
        </w:rPr>
        <w:t xml:space="preserve"> and </w:t>
      </w:r>
      <m:oMath>
        <m:sSub>
          <m:sSubPr>
            <m:ctrlPr>
              <w:rPr>
                <w:rFonts w:ascii="Cambria Math" w:hAnsi="Cambria Math" w:cstheme="majorBidi"/>
                <w:i/>
                <w:szCs w:val="24"/>
              </w:rPr>
            </m:ctrlPr>
          </m:sSubPr>
          <m:e>
            <m:r>
              <w:rPr>
                <w:rFonts w:ascii="Cambria Math" w:hAnsi="Cambria Math" w:cstheme="majorBidi"/>
                <w:szCs w:val="24"/>
              </w:rPr>
              <m:t>U</m:t>
            </m:r>
          </m:e>
          <m:sub>
            <m:r>
              <w:rPr>
                <w:rFonts w:ascii="Cambria Math" w:hAnsi="Cambria Math" w:cstheme="majorBidi"/>
                <w:szCs w:val="24"/>
              </w:rPr>
              <m:t>2</m:t>
            </m:r>
          </m:sub>
        </m:sSub>
      </m:oMath>
      <w:r w:rsidRPr="00CC3E2F">
        <w:rPr>
          <w:rFonts w:asciiTheme="majorBidi" w:hAnsiTheme="majorBidi" w:cstheme="majorBidi"/>
          <w:szCs w:val="24"/>
        </w:rPr>
        <w:t xml:space="preserve"> (referred to as </w:t>
      </w:r>
      <m:oMath>
        <m:sSub>
          <m:sSubPr>
            <m:ctrlPr>
              <w:rPr>
                <w:rFonts w:ascii="Cambria Math" w:hAnsi="Cambria Math" w:cstheme="majorBidi"/>
                <w:i/>
                <w:szCs w:val="24"/>
              </w:rPr>
            </m:ctrlPr>
          </m:sSubPr>
          <m:e>
            <m:r>
              <w:rPr>
                <w:rFonts w:ascii="Cambria Math" w:hAnsi="Cambria Math" w:cstheme="majorBidi"/>
                <w:szCs w:val="24"/>
              </w:rPr>
              <m:t>r</m:t>
            </m:r>
          </m:e>
          <m:sub>
            <m:r>
              <w:rPr>
                <w:rFonts w:ascii="Cambria Math" w:hAnsi="Cambria Math" w:cstheme="majorBidi"/>
                <w:szCs w:val="24"/>
              </w:rPr>
              <m:t>1</m:t>
            </m:r>
          </m:sub>
        </m:sSub>
      </m:oMath>
      <w:r w:rsidRPr="00CC3E2F">
        <w:rPr>
          <w:rFonts w:asciiTheme="majorBidi" w:hAnsiTheme="majorBidi" w:cstheme="majorBidi"/>
          <w:szCs w:val="24"/>
        </w:rPr>
        <w:t xml:space="preserve"> and </w:t>
      </w:r>
      <m:oMath>
        <m:sSub>
          <m:sSubPr>
            <m:ctrlPr>
              <w:rPr>
                <w:rFonts w:ascii="Cambria Math" w:hAnsi="Cambria Math" w:cstheme="majorBidi"/>
                <w:i/>
                <w:szCs w:val="24"/>
              </w:rPr>
            </m:ctrlPr>
          </m:sSubPr>
          <m:e>
            <m:r>
              <w:rPr>
                <w:rFonts w:ascii="Cambria Math" w:hAnsi="Cambria Math" w:cstheme="majorBidi"/>
                <w:szCs w:val="24"/>
              </w:rPr>
              <m:t>r</m:t>
            </m:r>
          </m:e>
          <m:sub>
            <m:r>
              <w:rPr>
                <w:rFonts w:ascii="Cambria Math" w:hAnsi="Cambria Math" w:cstheme="majorBidi"/>
                <w:szCs w:val="24"/>
              </w:rPr>
              <m:t>2</m:t>
            </m:r>
          </m:sub>
        </m:sSub>
      </m:oMath>
      <w:r w:rsidRPr="00CC3E2F">
        <w:rPr>
          <w:rFonts w:asciiTheme="majorBidi" w:hAnsiTheme="majorBidi" w:cstheme="majorBidi"/>
          <w:szCs w:val="24"/>
        </w:rPr>
        <w:t>) for each model parameter were compared and tested for statistical significance using the </w:t>
      </w:r>
      <w:r w:rsidRPr="00CC3E2F">
        <w:rPr>
          <w:rFonts w:asciiTheme="majorBidi" w:hAnsiTheme="majorBidi" w:cstheme="majorBidi"/>
          <w:i/>
          <w:iCs/>
          <w:szCs w:val="24"/>
        </w:rPr>
        <w:t>cocor</w:t>
      </w:r>
      <w:r w:rsidRPr="00CC3E2F">
        <w:rPr>
          <w:rFonts w:asciiTheme="majorBidi" w:hAnsiTheme="majorBidi" w:cstheme="majorBidi"/>
          <w:szCs w:val="24"/>
        </w:rPr>
        <w:t xml:space="preserve"> package </w:t>
      </w:r>
      <w:r w:rsidRPr="00CC3E2F">
        <w:rPr>
          <w:rFonts w:asciiTheme="majorBidi" w:hAnsiTheme="majorBidi" w:cstheme="majorBidi"/>
          <w:szCs w:val="24"/>
        </w:rPr>
        <w:fldChar w:fldCharType="begin" w:fldLock="1"/>
      </w:r>
      <w:r w:rsidR="00614E4E">
        <w:rPr>
          <w:rFonts w:asciiTheme="majorBidi" w:hAnsiTheme="majorBidi" w:cstheme="majorBidi"/>
          <w:szCs w:val="24"/>
        </w:rPr>
        <w:instrText>ADDIN CSL_CITATION {"citationItems":[{"id":"ITEM-1","itemData":{"DOI":"10.1371/JOURNAL.PONE.0121945","ISSN":"19326203","PMID":"25835001","abstract":"A valid comparison of the magnitude of two correlations requires researchers to directly contrast the correlations using an appropriate statistical test. In many popular statistics packages, however, tests for the significance of the difference between correlations are missing. To close this gap, we introduce cocor, a free software package for the R programming language. The cocor package covers a broad range of tests including the comparisons of independent and dependent correlations with either overlapping or nonoverlapping variables. The package also includes an implementation of Zou' s confidence interval for all of these comparisons. The platform independent cocor package enhances the R statistical computing environment and is available for scripting. Two different graphical user interfaces -a plugin for RKWard and a web interface-make cocor a convenient and userfriendly tool.","author":[{"dropping-particle":"","family":"Diedenhofen","given":"Birk","non-dropping-particle":"","parse-names":false,"suffix":""},{"dropping-particle":"","family":"Musch","given":"Jochen","non-dropping-particle":"","parse-names":false,"suffix":""}],"container-title":"PLoS ONE","id":"ITEM-1","issue":"4","issued":{"date-parts":[["2015","4","2"]]},"publisher":"PLOS","title":"cocor: A Comprehensive Solution for the Statistical Comparison of Correlations","type":"article-journal","volume":"10"},"uris":["http://www.mendeley.com/documents/?uuid=04e57349-7b20-398b-8d6d-7bdf18b7ba04"]}],"mendeley":{"formattedCitation":"[19]","plainTextFormattedCitation":"[19]","previouslyFormattedCitation":"[19]"},"properties":{"noteIndex":0},"schema":"https://github.com/citation-style-language/schema/raw/master/csl-citation.json"}</w:instrText>
      </w:r>
      <w:r w:rsidRPr="00CC3E2F">
        <w:rPr>
          <w:rFonts w:asciiTheme="majorBidi" w:hAnsiTheme="majorBidi" w:cstheme="majorBidi"/>
          <w:szCs w:val="24"/>
        </w:rPr>
        <w:fldChar w:fldCharType="separate"/>
      </w:r>
      <w:r w:rsidR="004F21C2" w:rsidRPr="004F21C2">
        <w:rPr>
          <w:rFonts w:asciiTheme="majorBidi" w:hAnsiTheme="majorBidi" w:cstheme="majorBidi"/>
          <w:noProof/>
          <w:szCs w:val="24"/>
        </w:rPr>
        <w:t>[19]</w:t>
      </w:r>
      <w:r w:rsidRPr="00CC3E2F">
        <w:rPr>
          <w:rFonts w:asciiTheme="majorBidi" w:hAnsiTheme="majorBidi" w:cstheme="majorBidi"/>
          <w:szCs w:val="24"/>
        </w:rPr>
        <w:fldChar w:fldCharType="end"/>
      </w:r>
      <w:r>
        <w:rPr>
          <w:rFonts w:asciiTheme="majorBidi" w:hAnsiTheme="majorBidi" w:cstheme="majorBidi"/>
          <w:szCs w:val="24"/>
        </w:rPr>
        <w:t xml:space="preserve"> — </w:t>
      </w:r>
      <w:r w:rsidRPr="00CC3E2F">
        <w:rPr>
          <w:rFonts w:asciiTheme="majorBidi" w:hAnsiTheme="majorBidi" w:cstheme="majorBidi"/>
          <w:szCs w:val="24"/>
        </w:rPr>
        <w:t>an R implementation of a broad range of tests for statistical comparison of correlations.</w:t>
      </w:r>
    </w:p>
    <w:p w14:paraId="0921A081" w14:textId="77777777" w:rsidR="00B77F18" w:rsidRDefault="00B77F18" w:rsidP="00E81EE6">
      <w:pPr>
        <w:sectPr w:rsidR="00B77F18" w:rsidSect="00223C41">
          <w:pgSz w:w="12240" w:h="15840"/>
          <w:pgMar w:top="1440" w:right="1440" w:bottom="1440" w:left="1440" w:header="720" w:footer="720" w:gutter="0"/>
          <w:cols w:space="720"/>
          <w:docGrid w:linePitch="360"/>
        </w:sectPr>
      </w:pPr>
    </w:p>
    <w:p w14:paraId="77460C5F" w14:textId="557AA3CD" w:rsidR="00042A9D" w:rsidRPr="00B77F18" w:rsidRDefault="00B77F18" w:rsidP="00E81EE6">
      <w:pPr>
        <w:rPr>
          <w:b/>
          <w:bCs/>
        </w:rPr>
      </w:pPr>
      <w:r w:rsidRPr="00B77F18">
        <w:rPr>
          <w:b/>
          <w:bCs/>
        </w:rPr>
        <w:lastRenderedPageBreak/>
        <w:t>References</w:t>
      </w:r>
    </w:p>
    <w:p w14:paraId="6C8A12ED" w14:textId="78008ECF" w:rsidR="00663272" w:rsidRPr="00663272" w:rsidRDefault="00B77F18" w:rsidP="00663272">
      <w:pPr>
        <w:widowControl w:val="0"/>
        <w:autoSpaceDE w:val="0"/>
        <w:autoSpaceDN w:val="0"/>
        <w:adjustRightInd w:val="0"/>
        <w:spacing w:line="240" w:lineRule="auto"/>
        <w:ind w:left="640" w:hanging="640"/>
        <w:rPr>
          <w:rFonts w:cs="Times New Roman"/>
          <w:noProof/>
          <w:kern w:val="0"/>
        </w:rPr>
      </w:pPr>
      <w:r>
        <w:fldChar w:fldCharType="begin" w:fldLock="1"/>
      </w:r>
      <w:r>
        <w:instrText xml:space="preserve">ADDIN Mendeley Bibliography CSL_BIBLIOGRAPHY </w:instrText>
      </w:r>
      <w:r>
        <w:fldChar w:fldCharType="separate"/>
      </w:r>
      <w:r w:rsidR="00663272" w:rsidRPr="00663272">
        <w:rPr>
          <w:rFonts w:cs="Times New Roman"/>
          <w:noProof/>
          <w:kern w:val="0"/>
        </w:rPr>
        <w:t xml:space="preserve">1. </w:t>
      </w:r>
      <w:r w:rsidR="00663272" w:rsidRPr="00663272">
        <w:rPr>
          <w:rFonts w:cs="Times New Roman"/>
          <w:noProof/>
          <w:kern w:val="0"/>
        </w:rPr>
        <w:tab/>
        <w:t xml:space="preserve">Epstein JM. Agent-Based Computational Models And Generative Social Science. Complexity </w:t>
      </w:r>
      <w:r w:rsidR="00663272" w:rsidRPr="00663272">
        <w:rPr>
          <w:rFonts w:cs="Times New Roman"/>
          <w:b/>
          <w:bCs/>
          <w:noProof/>
          <w:kern w:val="0"/>
        </w:rPr>
        <w:t>1999</w:t>
      </w:r>
      <w:r w:rsidR="00663272" w:rsidRPr="00663272">
        <w:rPr>
          <w:rFonts w:cs="Times New Roman"/>
          <w:noProof/>
          <w:kern w:val="0"/>
        </w:rPr>
        <w:t xml:space="preserve">; 4:41–60. </w:t>
      </w:r>
    </w:p>
    <w:p w14:paraId="08050995" w14:textId="77777777" w:rsidR="00663272" w:rsidRPr="00663272" w:rsidRDefault="00663272" w:rsidP="00663272">
      <w:pPr>
        <w:widowControl w:val="0"/>
        <w:autoSpaceDE w:val="0"/>
        <w:autoSpaceDN w:val="0"/>
        <w:adjustRightInd w:val="0"/>
        <w:spacing w:line="240" w:lineRule="auto"/>
        <w:ind w:left="640" w:hanging="640"/>
        <w:rPr>
          <w:rFonts w:cs="Times New Roman"/>
          <w:noProof/>
          <w:kern w:val="0"/>
        </w:rPr>
      </w:pPr>
      <w:r w:rsidRPr="00663272">
        <w:rPr>
          <w:rFonts w:cs="Times New Roman"/>
          <w:noProof/>
          <w:kern w:val="0"/>
        </w:rPr>
        <w:t xml:space="preserve">2. </w:t>
      </w:r>
      <w:r w:rsidRPr="00663272">
        <w:rPr>
          <w:rFonts w:cs="Times New Roman"/>
          <w:noProof/>
          <w:kern w:val="0"/>
        </w:rPr>
        <w:tab/>
        <w:t xml:space="preserve">Pedregosa, F. and Varoquaux, G. and Gramfort, A. and Michel V, and Thirion, B. and Grisel, O. and Blondel, M. and Prettenhofer P, and Weiss, R. and Dubourg, V. and Vanderplas, J. and Passos A and, Cournapeau, D. and Brucher, M. and Perrot, M. and Duchesnay E. Scikit-learn: Machine Learning in Python. J Mach Learn Res </w:t>
      </w:r>
      <w:r w:rsidRPr="00663272">
        <w:rPr>
          <w:rFonts w:cs="Times New Roman"/>
          <w:b/>
          <w:bCs/>
          <w:noProof/>
          <w:kern w:val="0"/>
        </w:rPr>
        <w:t>2011</w:t>
      </w:r>
      <w:r w:rsidRPr="00663272">
        <w:rPr>
          <w:rFonts w:cs="Times New Roman"/>
          <w:noProof/>
          <w:kern w:val="0"/>
        </w:rPr>
        <w:t xml:space="preserve">; 12:2825--2830. </w:t>
      </w:r>
    </w:p>
    <w:p w14:paraId="444D59CB" w14:textId="77777777" w:rsidR="00663272" w:rsidRPr="00663272" w:rsidRDefault="00663272" w:rsidP="00663272">
      <w:pPr>
        <w:widowControl w:val="0"/>
        <w:autoSpaceDE w:val="0"/>
        <w:autoSpaceDN w:val="0"/>
        <w:adjustRightInd w:val="0"/>
        <w:spacing w:line="240" w:lineRule="auto"/>
        <w:ind w:left="640" w:hanging="640"/>
        <w:rPr>
          <w:rFonts w:cs="Times New Roman"/>
          <w:noProof/>
          <w:kern w:val="0"/>
        </w:rPr>
      </w:pPr>
      <w:r w:rsidRPr="00663272">
        <w:rPr>
          <w:rFonts w:cs="Times New Roman"/>
          <w:noProof/>
          <w:kern w:val="0"/>
        </w:rPr>
        <w:t xml:space="preserve">3. </w:t>
      </w:r>
      <w:r w:rsidRPr="00663272">
        <w:rPr>
          <w:rFonts w:cs="Times New Roman"/>
          <w:noProof/>
          <w:kern w:val="0"/>
        </w:rPr>
        <w:tab/>
        <w:t xml:space="preserve">Ziakas PD, Anagnostou T, Mylonakis E. The prevalence and significance of methicillin-resistant staphylococcus aureus colonization at admission in the general ICU setting: A meta-analysis of published studies. Crit Care Med </w:t>
      </w:r>
      <w:r w:rsidRPr="00663272">
        <w:rPr>
          <w:rFonts w:cs="Times New Roman"/>
          <w:b/>
          <w:bCs/>
          <w:noProof/>
          <w:kern w:val="0"/>
        </w:rPr>
        <w:t>2014</w:t>
      </w:r>
      <w:r w:rsidRPr="00663272">
        <w:rPr>
          <w:rFonts w:cs="Times New Roman"/>
          <w:noProof/>
          <w:kern w:val="0"/>
        </w:rPr>
        <w:t>; 42:433–444. Available at: https://journals.lww.com/ccmjournal/fulltext/2014/02000/the_prevalence_and_significance_of.24.aspx. Accessed 19 December 2023.</w:t>
      </w:r>
    </w:p>
    <w:p w14:paraId="667A9138" w14:textId="77777777" w:rsidR="00663272" w:rsidRPr="00663272" w:rsidRDefault="00663272" w:rsidP="00663272">
      <w:pPr>
        <w:widowControl w:val="0"/>
        <w:autoSpaceDE w:val="0"/>
        <w:autoSpaceDN w:val="0"/>
        <w:adjustRightInd w:val="0"/>
        <w:spacing w:line="240" w:lineRule="auto"/>
        <w:ind w:left="640" w:hanging="640"/>
        <w:rPr>
          <w:rFonts w:cs="Times New Roman"/>
          <w:noProof/>
          <w:kern w:val="0"/>
        </w:rPr>
      </w:pPr>
      <w:r w:rsidRPr="00663272">
        <w:rPr>
          <w:rFonts w:cs="Times New Roman"/>
          <w:noProof/>
          <w:kern w:val="0"/>
        </w:rPr>
        <w:t xml:space="preserve">4. </w:t>
      </w:r>
      <w:r w:rsidRPr="00663272">
        <w:rPr>
          <w:rFonts w:cs="Times New Roman"/>
          <w:noProof/>
          <w:kern w:val="0"/>
        </w:rPr>
        <w:tab/>
        <w:t xml:space="preserve">Ziakas PD, Thapa R, Rice LB, Mylonakis E. Trends and Significance of VRE Colonization in the ICU: A Meta-Analysis of Published Studies. PLoS One </w:t>
      </w:r>
      <w:r w:rsidRPr="00663272">
        <w:rPr>
          <w:rFonts w:cs="Times New Roman"/>
          <w:b/>
          <w:bCs/>
          <w:noProof/>
          <w:kern w:val="0"/>
        </w:rPr>
        <w:t>2013</w:t>
      </w:r>
      <w:r w:rsidRPr="00663272">
        <w:rPr>
          <w:rFonts w:cs="Times New Roman"/>
          <w:noProof/>
          <w:kern w:val="0"/>
        </w:rPr>
        <w:t>; 8:e75658. Available at: https://journals.plos.org/plosone/article?id=10.1371/journal.pone.0075658. Accessed 19 December 2023.</w:t>
      </w:r>
    </w:p>
    <w:p w14:paraId="0721EE55" w14:textId="77777777" w:rsidR="00663272" w:rsidRPr="00663272" w:rsidRDefault="00663272" w:rsidP="00663272">
      <w:pPr>
        <w:widowControl w:val="0"/>
        <w:autoSpaceDE w:val="0"/>
        <w:autoSpaceDN w:val="0"/>
        <w:adjustRightInd w:val="0"/>
        <w:spacing w:line="240" w:lineRule="auto"/>
        <w:ind w:left="640" w:hanging="640"/>
        <w:rPr>
          <w:rFonts w:cs="Times New Roman"/>
          <w:noProof/>
          <w:kern w:val="0"/>
        </w:rPr>
      </w:pPr>
      <w:r w:rsidRPr="00663272">
        <w:rPr>
          <w:rFonts w:cs="Times New Roman"/>
          <w:noProof/>
          <w:kern w:val="0"/>
        </w:rPr>
        <w:t xml:space="preserve">5. </w:t>
      </w:r>
      <w:r w:rsidRPr="00663272">
        <w:rPr>
          <w:rFonts w:cs="Times New Roman"/>
          <w:noProof/>
          <w:kern w:val="0"/>
        </w:rPr>
        <w:tab/>
        <w:t xml:space="preserve">Luteijn JM, Hubben GAA, Pechlivanoglou P, Bonten MJ, Postma MJ. Diagnostic accuracy of culture-based and PCR-based detection tests for methicillin-resistant Staphylococcus aureus: a meta-analysis. Clin Microbiol Infect </w:t>
      </w:r>
      <w:r w:rsidRPr="00663272">
        <w:rPr>
          <w:rFonts w:cs="Times New Roman"/>
          <w:b/>
          <w:bCs/>
          <w:noProof/>
          <w:kern w:val="0"/>
        </w:rPr>
        <w:t>2011</w:t>
      </w:r>
      <w:r w:rsidRPr="00663272">
        <w:rPr>
          <w:rFonts w:cs="Times New Roman"/>
          <w:noProof/>
          <w:kern w:val="0"/>
        </w:rPr>
        <w:t xml:space="preserve">; 17:146–154. </w:t>
      </w:r>
    </w:p>
    <w:p w14:paraId="3BC0F651" w14:textId="77777777" w:rsidR="00663272" w:rsidRPr="00663272" w:rsidRDefault="00663272" w:rsidP="00663272">
      <w:pPr>
        <w:widowControl w:val="0"/>
        <w:autoSpaceDE w:val="0"/>
        <w:autoSpaceDN w:val="0"/>
        <w:adjustRightInd w:val="0"/>
        <w:spacing w:line="240" w:lineRule="auto"/>
        <w:ind w:left="640" w:hanging="640"/>
        <w:rPr>
          <w:rFonts w:cs="Times New Roman"/>
          <w:noProof/>
          <w:kern w:val="0"/>
        </w:rPr>
      </w:pPr>
      <w:r w:rsidRPr="00663272">
        <w:rPr>
          <w:rFonts w:cs="Times New Roman"/>
          <w:noProof/>
          <w:kern w:val="0"/>
        </w:rPr>
        <w:t xml:space="preserve">6. </w:t>
      </w:r>
      <w:r w:rsidRPr="00663272">
        <w:rPr>
          <w:rFonts w:cs="Times New Roman"/>
          <w:noProof/>
          <w:kern w:val="0"/>
        </w:rPr>
        <w:tab/>
        <w:t xml:space="preserve">Brasg I, Elligsen M, MacFadden D, Daneman N. Predictive utility of swab screening for vancomycin-resistant Enterococcus in selection of empiric antibiotics for Enterococcus sterile-site infections: a retrospective cohort study. Can Med Assoc Open Access J </w:t>
      </w:r>
      <w:r w:rsidRPr="00663272">
        <w:rPr>
          <w:rFonts w:cs="Times New Roman"/>
          <w:b/>
          <w:bCs/>
          <w:noProof/>
          <w:kern w:val="0"/>
        </w:rPr>
        <w:t>2017</w:t>
      </w:r>
      <w:r w:rsidRPr="00663272">
        <w:rPr>
          <w:rFonts w:cs="Times New Roman"/>
          <w:noProof/>
          <w:kern w:val="0"/>
        </w:rPr>
        <w:t>; 5:E632–E637. Available at: https://www.cmajopen.ca/content/5/3/E632. Accessed 19 December 2023.</w:t>
      </w:r>
    </w:p>
    <w:p w14:paraId="74B6472E" w14:textId="77777777" w:rsidR="00663272" w:rsidRPr="00663272" w:rsidRDefault="00663272" w:rsidP="00663272">
      <w:pPr>
        <w:widowControl w:val="0"/>
        <w:autoSpaceDE w:val="0"/>
        <w:autoSpaceDN w:val="0"/>
        <w:adjustRightInd w:val="0"/>
        <w:spacing w:line="240" w:lineRule="auto"/>
        <w:ind w:left="640" w:hanging="640"/>
        <w:rPr>
          <w:rFonts w:cs="Times New Roman"/>
          <w:noProof/>
          <w:kern w:val="0"/>
        </w:rPr>
      </w:pPr>
      <w:r w:rsidRPr="00663272">
        <w:rPr>
          <w:rFonts w:cs="Times New Roman"/>
          <w:noProof/>
          <w:kern w:val="0"/>
        </w:rPr>
        <w:t xml:space="preserve">7. </w:t>
      </w:r>
      <w:r w:rsidRPr="00663272">
        <w:rPr>
          <w:rFonts w:cs="Times New Roman"/>
          <w:noProof/>
          <w:kern w:val="0"/>
        </w:rPr>
        <w:tab/>
        <w:t xml:space="preserve">Harris AD, Pineles L, Belton B, et al. Universal Glove and Gown Use and Acquisition of Antibiotic-Resistant Bacteria in the ICU: A Randomized Trial. JAMA </w:t>
      </w:r>
      <w:r w:rsidRPr="00663272">
        <w:rPr>
          <w:rFonts w:cs="Times New Roman"/>
          <w:b/>
          <w:bCs/>
          <w:noProof/>
          <w:kern w:val="0"/>
        </w:rPr>
        <w:t>2013</w:t>
      </w:r>
      <w:r w:rsidRPr="00663272">
        <w:rPr>
          <w:rFonts w:cs="Times New Roman"/>
          <w:noProof/>
          <w:kern w:val="0"/>
        </w:rPr>
        <w:t>; 310:1571–1580. Available at: https://jamanetwork.com/journals/jama/fullarticle/1752753. Accessed 30 June 2022.</w:t>
      </w:r>
    </w:p>
    <w:p w14:paraId="0FD5B40A" w14:textId="77777777" w:rsidR="00663272" w:rsidRPr="00663272" w:rsidRDefault="00663272" w:rsidP="00663272">
      <w:pPr>
        <w:widowControl w:val="0"/>
        <w:autoSpaceDE w:val="0"/>
        <w:autoSpaceDN w:val="0"/>
        <w:adjustRightInd w:val="0"/>
        <w:spacing w:line="240" w:lineRule="auto"/>
        <w:ind w:left="640" w:hanging="640"/>
        <w:rPr>
          <w:rFonts w:cs="Times New Roman"/>
          <w:noProof/>
          <w:kern w:val="0"/>
        </w:rPr>
      </w:pPr>
      <w:r w:rsidRPr="00663272">
        <w:rPr>
          <w:rFonts w:cs="Times New Roman"/>
          <w:noProof/>
          <w:kern w:val="0"/>
        </w:rPr>
        <w:t xml:space="preserve">8. </w:t>
      </w:r>
      <w:r w:rsidRPr="00663272">
        <w:rPr>
          <w:rFonts w:cs="Times New Roman"/>
          <w:noProof/>
          <w:kern w:val="0"/>
        </w:rPr>
        <w:tab/>
        <w:t xml:space="preserve">Bischoff WE, Reynolds TM, Sessler CN, Edmond MB, Wenzel RP. Handwashing Compliance by Health Care Workers: The Impact of Introducing an Accessible, Alcohol-Based Hand Antiseptic. Arch Intern Med </w:t>
      </w:r>
      <w:r w:rsidRPr="00663272">
        <w:rPr>
          <w:rFonts w:cs="Times New Roman"/>
          <w:b/>
          <w:bCs/>
          <w:noProof/>
          <w:kern w:val="0"/>
        </w:rPr>
        <w:t>2000</w:t>
      </w:r>
      <w:r w:rsidRPr="00663272">
        <w:rPr>
          <w:rFonts w:cs="Times New Roman"/>
          <w:noProof/>
          <w:kern w:val="0"/>
        </w:rPr>
        <w:t>; 160:1017–1021. Available at: https://jamanetwork.com/journals/jamainternalmedicine/fullarticle/485276. Accessed 30 June 2022.</w:t>
      </w:r>
    </w:p>
    <w:p w14:paraId="14688EB8" w14:textId="77777777" w:rsidR="00663272" w:rsidRPr="00663272" w:rsidRDefault="00663272" w:rsidP="00663272">
      <w:pPr>
        <w:widowControl w:val="0"/>
        <w:autoSpaceDE w:val="0"/>
        <w:autoSpaceDN w:val="0"/>
        <w:adjustRightInd w:val="0"/>
        <w:spacing w:line="240" w:lineRule="auto"/>
        <w:ind w:left="640" w:hanging="640"/>
        <w:rPr>
          <w:rFonts w:cs="Times New Roman"/>
          <w:noProof/>
          <w:kern w:val="0"/>
        </w:rPr>
      </w:pPr>
      <w:r w:rsidRPr="00663272">
        <w:rPr>
          <w:rFonts w:cs="Times New Roman"/>
          <w:noProof/>
          <w:kern w:val="0"/>
        </w:rPr>
        <w:t xml:space="preserve">9. </w:t>
      </w:r>
      <w:r w:rsidRPr="00663272">
        <w:rPr>
          <w:rFonts w:cs="Times New Roman"/>
          <w:noProof/>
          <w:kern w:val="0"/>
        </w:rPr>
        <w:tab/>
        <w:t xml:space="preserve">Rupp ME, Fitzgerald T, Puumala S, et al. Prospective, Controlled, Cross-Over Trial of Alcohol-Based Hand Gel in Critical Care Units. Infect Control Hosp Epidemiol </w:t>
      </w:r>
      <w:r w:rsidRPr="00663272">
        <w:rPr>
          <w:rFonts w:cs="Times New Roman"/>
          <w:b/>
          <w:bCs/>
          <w:noProof/>
          <w:kern w:val="0"/>
        </w:rPr>
        <w:t>2008</w:t>
      </w:r>
      <w:r w:rsidRPr="00663272">
        <w:rPr>
          <w:rFonts w:cs="Times New Roman"/>
          <w:noProof/>
          <w:kern w:val="0"/>
        </w:rPr>
        <w:t>; 29:8–15. Available at: https://www.cambridge.org/core/journals/infection-control-and-hospital-epidemiology/article/abs/prospective-controlled-crossover-trial-of-alcoholbased-hand-gel-in-critical-care-units/27AA9C54F01B1D9DD1DB89D0CA620693. Accessed 30 June 2022.</w:t>
      </w:r>
    </w:p>
    <w:p w14:paraId="0A37ED55" w14:textId="77777777" w:rsidR="00663272" w:rsidRPr="00663272" w:rsidRDefault="00663272" w:rsidP="00663272">
      <w:pPr>
        <w:widowControl w:val="0"/>
        <w:autoSpaceDE w:val="0"/>
        <w:autoSpaceDN w:val="0"/>
        <w:adjustRightInd w:val="0"/>
        <w:spacing w:line="240" w:lineRule="auto"/>
        <w:ind w:left="640" w:hanging="640"/>
        <w:rPr>
          <w:rFonts w:cs="Times New Roman"/>
          <w:noProof/>
          <w:kern w:val="0"/>
        </w:rPr>
      </w:pPr>
      <w:r w:rsidRPr="00663272">
        <w:rPr>
          <w:rFonts w:cs="Times New Roman"/>
          <w:noProof/>
          <w:kern w:val="0"/>
        </w:rPr>
        <w:lastRenderedPageBreak/>
        <w:t xml:space="preserve">10. </w:t>
      </w:r>
      <w:r w:rsidRPr="00663272">
        <w:rPr>
          <w:rFonts w:cs="Times New Roman"/>
          <w:noProof/>
          <w:kern w:val="0"/>
        </w:rPr>
        <w:tab/>
        <w:t xml:space="preserve">Reich JA, Goodstein ME, Callahan SE, et al. Physician report cards and rankings yield long-lasting hand hygiene compliance exceeding 90%. Crit Care </w:t>
      </w:r>
      <w:r w:rsidRPr="00663272">
        <w:rPr>
          <w:rFonts w:cs="Times New Roman"/>
          <w:b/>
          <w:bCs/>
          <w:noProof/>
          <w:kern w:val="0"/>
        </w:rPr>
        <w:t>2015</w:t>
      </w:r>
      <w:r w:rsidRPr="00663272">
        <w:rPr>
          <w:rFonts w:cs="Times New Roman"/>
          <w:noProof/>
          <w:kern w:val="0"/>
        </w:rPr>
        <w:t>; 19:1–6. Available at: https://ccforum.biomedcentral.com/articles/10.1186/s13054-015-1008-4. Accessed 30 June 2022.</w:t>
      </w:r>
    </w:p>
    <w:p w14:paraId="1E988A1B" w14:textId="77777777" w:rsidR="00663272" w:rsidRPr="00663272" w:rsidRDefault="00663272" w:rsidP="00663272">
      <w:pPr>
        <w:widowControl w:val="0"/>
        <w:autoSpaceDE w:val="0"/>
        <w:autoSpaceDN w:val="0"/>
        <w:adjustRightInd w:val="0"/>
        <w:spacing w:line="240" w:lineRule="auto"/>
        <w:ind w:left="640" w:hanging="640"/>
        <w:rPr>
          <w:rFonts w:cs="Times New Roman"/>
          <w:noProof/>
          <w:kern w:val="0"/>
        </w:rPr>
      </w:pPr>
      <w:r w:rsidRPr="00663272">
        <w:rPr>
          <w:rFonts w:cs="Times New Roman"/>
          <w:noProof/>
          <w:kern w:val="0"/>
        </w:rPr>
        <w:t xml:space="preserve">11. </w:t>
      </w:r>
      <w:r w:rsidRPr="00663272">
        <w:rPr>
          <w:rFonts w:cs="Times New Roman"/>
          <w:noProof/>
          <w:kern w:val="0"/>
        </w:rPr>
        <w:tab/>
        <w:t xml:space="preserve">Manian FA, Ponzillo JJ. Compliance With Routine Use of Gowns by Healthcare Workers (HCWs) and Non-HCW Visitors on Entry Into the Rooms of Patients Under Contact Precautions. Infect Control Hosp Epidemiol </w:t>
      </w:r>
      <w:r w:rsidRPr="00663272">
        <w:rPr>
          <w:rFonts w:cs="Times New Roman"/>
          <w:b/>
          <w:bCs/>
          <w:noProof/>
          <w:kern w:val="0"/>
        </w:rPr>
        <w:t>2007</w:t>
      </w:r>
      <w:r w:rsidRPr="00663272">
        <w:rPr>
          <w:rFonts w:cs="Times New Roman"/>
          <w:noProof/>
          <w:kern w:val="0"/>
        </w:rPr>
        <w:t>; 28:337–340. Available at: https://www.cambridge.org/core/journals/infection-control-and-hospital-epidemiology/article/abs/compliance-with-routine-use-of-gowns-by-healthcare-workers-hcws-and-nonhcw-visitors-on-entry-into-the-rooms-of-patients-under-contact-precautions/2FA9D613B74AB8E9778B999432301AF1. Accessed 30 June 2022.</w:t>
      </w:r>
    </w:p>
    <w:p w14:paraId="5CF6F870" w14:textId="77777777" w:rsidR="00663272" w:rsidRPr="00663272" w:rsidRDefault="00663272" w:rsidP="00663272">
      <w:pPr>
        <w:widowControl w:val="0"/>
        <w:autoSpaceDE w:val="0"/>
        <w:autoSpaceDN w:val="0"/>
        <w:adjustRightInd w:val="0"/>
        <w:spacing w:line="240" w:lineRule="auto"/>
        <w:ind w:left="640" w:hanging="640"/>
        <w:rPr>
          <w:rFonts w:cs="Times New Roman"/>
          <w:noProof/>
          <w:kern w:val="0"/>
        </w:rPr>
      </w:pPr>
      <w:r w:rsidRPr="00663272">
        <w:rPr>
          <w:rFonts w:cs="Times New Roman"/>
          <w:noProof/>
          <w:kern w:val="0"/>
        </w:rPr>
        <w:t xml:space="preserve">12. </w:t>
      </w:r>
      <w:r w:rsidRPr="00663272">
        <w:rPr>
          <w:rFonts w:cs="Times New Roman"/>
          <w:noProof/>
          <w:kern w:val="0"/>
        </w:rPr>
        <w:tab/>
        <w:t xml:space="preserve">Alhmidi H, Cadnum JL, Koganti S, et al. Shedding of methicillin-resistant Staphylococcus aureus by colonized patients during procedures and patient care activities. Infect Control Hosp Epidemiol </w:t>
      </w:r>
      <w:r w:rsidRPr="00663272">
        <w:rPr>
          <w:rFonts w:cs="Times New Roman"/>
          <w:b/>
          <w:bCs/>
          <w:noProof/>
          <w:kern w:val="0"/>
        </w:rPr>
        <w:t>2019</w:t>
      </w:r>
      <w:r w:rsidRPr="00663272">
        <w:rPr>
          <w:rFonts w:cs="Times New Roman"/>
          <w:noProof/>
          <w:kern w:val="0"/>
        </w:rPr>
        <w:t>; 40:328–332. Available at: https://www.cambridge.org/core/journals/infection-control-and-hospital-epidemiology/article/abs/shedding-of-methicillinresistant-staphylococcus-aureus-by-colonized-patients-during-procedures-and-patient-care-activities/D2713D8F846C68127BA2572FC7B6FD15. Accessed 19 December 2023.</w:t>
      </w:r>
    </w:p>
    <w:p w14:paraId="09A5B73C" w14:textId="77777777" w:rsidR="00663272" w:rsidRPr="00663272" w:rsidRDefault="00663272" w:rsidP="00663272">
      <w:pPr>
        <w:widowControl w:val="0"/>
        <w:autoSpaceDE w:val="0"/>
        <w:autoSpaceDN w:val="0"/>
        <w:adjustRightInd w:val="0"/>
        <w:spacing w:line="240" w:lineRule="auto"/>
        <w:ind w:left="640" w:hanging="640"/>
        <w:rPr>
          <w:rFonts w:cs="Times New Roman"/>
          <w:noProof/>
          <w:kern w:val="0"/>
        </w:rPr>
      </w:pPr>
      <w:r w:rsidRPr="00663272">
        <w:rPr>
          <w:rFonts w:cs="Times New Roman"/>
          <w:noProof/>
          <w:kern w:val="0"/>
        </w:rPr>
        <w:t xml:space="preserve">13. </w:t>
      </w:r>
      <w:r w:rsidRPr="00663272">
        <w:rPr>
          <w:rFonts w:cs="Times New Roman"/>
          <w:noProof/>
          <w:kern w:val="0"/>
        </w:rPr>
        <w:tab/>
        <w:t xml:space="preserve">Barnes SL, Myers M, Rock C, et al. Evaluating a Prediction-Driven Targeting Strategy for Reducing the Transmission of Multidrug-Resistant Organisms. https://doi.org/101287/ijoc20190916 </w:t>
      </w:r>
      <w:r w:rsidRPr="00663272">
        <w:rPr>
          <w:rFonts w:cs="Times New Roman"/>
          <w:b/>
          <w:bCs/>
          <w:noProof/>
          <w:kern w:val="0"/>
        </w:rPr>
        <w:t>2020</w:t>
      </w:r>
      <w:r w:rsidRPr="00663272">
        <w:rPr>
          <w:rFonts w:cs="Times New Roman"/>
          <w:noProof/>
          <w:kern w:val="0"/>
        </w:rPr>
        <w:t>; 32:912–929. Available at: https://pubsonline.informs.org/doi/abs/10.1287/ijoc.2019.0916. Accessed 28 June 2022.</w:t>
      </w:r>
    </w:p>
    <w:p w14:paraId="35732468" w14:textId="77777777" w:rsidR="00663272" w:rsidRPr="00663272" w:rsidRDefault="00663272" w:rsidP="00663272">
      <w:pPr>
        <w:widowControl w:val="0"/>
        <w:autoSpaceDE w:val="0"/>
        <w:autoSpaceDN w:val="0"/>
        <w:adjustRightInd w:val="0"/>
        <w:spacing w:line="240" w:lineRule="auto"/>
        <w:ind w:left="640" w:hanging="640"/>
        <w:rPr>
          <w:rFonts w:cs="Times New Roman"/>
          <w:noProof/>
          <w:kern w:val="0"/>
        </w:rPr>
      </w:pPr>
      <w:r w:rsidRPr="00663272">
        <w:rPr>
          <w:rFonts w:cs="Times New Roman"/>
          <w:noProof/>
          <w:kern w:val="0"/>
        </w:rPr>
        <w:t xml:space="preserve">14. </w:t>
      </w:r>
      <w:r w:rsidRPr="00663272">
        <w:rPr>
          <w:rFonts w:cs="Times New Roman"/>
          <w:noProof/>
          <w:kern w:val="0"/>
        </w:rPr>
        <w:tab/>
        <w:t xml:space="preserve">Cetinkaya Y, Falk P, Mayhall CG. Vancomycin-Resistant Enterococci. Clin Microbiol Rev </w:t>
      </w:r>
      <w:r w:rsidRPr="00663272">
        <w:rPr>
          <w:rFonts w:cs="Times New Roman"/>
          <w:b/>
          <w:bCs/>
          <w:noProof/>
          <w:kern w:val="0"/>
        </w:rPr>
        <w:t>2000</w:t>
      </w:r>
      <w:r w:rsidRPr="00663272">
        <w:rPr>
          <w:rFonts w:cs="Times New Roman"/>
          <w:noProof/>
          <w:kern w:val="0"/>
        </w:rPr>
        <w:t>; 13:686–707. Available at: https://journals.asm.org/doi/10.1128/CMR.13.4.686. Accessed 21 February 2023.</w:t>
      </w:r>
    </w:p>
    <w:p w14:paraId="1D4878AF" w14:textId="77777777" w:rsidR="00663272" w:rsidRPr="00663272" w:rsidRDefault="00663272" w:rsidP="00663272">
      <w:pPr>
        <w:widowControl w:val="0"/>
        <w:autoSpaceDE w:val="0"/>
        <w:autoSpaceDN w:val="0"/>
        <w:adjustRightInd w:val="0"/>
        <w:spacing w:line="240" w:lineRule="auto"/>
        <w:ind w:left="640" w:hanging="640"/>
        <w:rPr>
          <w:rFonts w:cs="Times New Roman"/>
          <w:noProof/>
          <w:kern w:val="0"/>
        </w:rPr>
      </w:pPr>
      <w:r w:rsidRPr="00663272">
        <w:rPr>
          <w:rFonts w:cs="Times New Roman"/>
          <w:noProof/>
          <w:kern w:val="0"/>
        </w:rPr>
        <w:t xml:space="preserve">15. </w:t>
      </w:r>
      <w:r w:rsidRPr="00663272">
        <w:rPr>
          <w:rFonts w:cs="Times New Roman"/>
          <w:noProof/>
          <w:kern w:val="0"/>
        </w:rPr>
        <w:tab/>
        <w:t xml:space="preserve">Neely AN, Maley MP. Survival of Enterococci and Staphylococci on Hospital Fabrics and Plastic. J Clin Microbiol </w:t>
      </w:r>
      <w:r w:rsidRPr="00663272">
        <w:rPr>
          <w:rFonts w:cs="Times New Roman"/>
          <w:b/>
          <w:bCs/>
          <w:noProof/>
          <w:kern w:val="0"/>
        </w:rPr>
        <w:t>2000</w:t>
      </w:r>
      <w:r w:rsidRPr="00663272">
        <w:rPr>
          <w:rFonts w:cs="Times New Roman"/>
          <w:noProof/>
          <w:kern w:val="0"/>
        </w:rPr>
        <w:t>; 38:724–726. Available at: https://journals.asm.org/doi/10.1128/JCM.38.2.724-726.2000. Accessed 21 February 2023.</w:t>
      </w:r>
    </w:p>
    <w:p w14:paraId="004A8F52" w14:textId="77777777" w:rsidR="00663272" w:rsidRPr="00663272" w:rsidRDefault="00663272" w:rsidP="00663272">
      <w:pPr>
        <w:widowControl w:val="0"/>
        <w:autoSpaceDE w:val="0"/>
        <w:autoSpaceDN w:val="0"/>
        <w:adjustRightInd w:val="0"/>
        <w:spacing w:line="240" w:lineRule="auto"/>
        <w:ind w:left="640" w:hanging="640"/>
        <w:rPr>
          <w:rFonts w:cs="Times New Roman"/>
          <w:noProof/>
          <w:kern w:val="0"/>
        </w:rPr>
      </w:pPr>
      <w:r w:rsidRPr="00663272">
        <w:rPr>
          <w:rFonts w:cs="Times New Roman"/>
          <w:noProof/>
          <w:kern w:val="0"/>
        </w:rPr>
        <w:t xml:space="preserve">16. </w:t>
      </w:r>
      <w:r w:rsidRPr="00663272">
        <w:rPr>
          <w:rFonts w:cs="Times New Roman"/>
          <w:noProof/>
          <w:kern w:val="0"/>
        </w:rPr>
        <w:tab/>
        <w:t xml:space="preserve">Wieland FG, Hauber AL, Rosenblatt M, Tönsing C, Timmer J. On structural and practical identifiability. Curr Opin Syst Biol </w:t>
      </w:r>
      <w:r w:rsidRPr="00663272">
        <w:rPr>
          <w:rFonts w:cs="Times New Roman"/>
          <w:b/>
          <w:bCs/>
          <w:noProof/>
          <w:kern w:val="0"/>
        </w:rPr>
        <w:t>2021</w:t>
      </w:r>
      <w:r w:rsidRPr="00663272">
        <w:rPr>
          <w:rFonts w:cs="Times New Roman"/>
          <w:noProof/>
          <w:kern w:val="0"/>
        </w:rPr>
        <w:t xml:space="preserve">; 25:60–69. </w:t>
      </w:r>
    </w:p>
    <w:p w14:paraId="4768E3AD" w14:textId="77777777" w:rsidR="00663272" w:rsidRPr="00663272" w:rsidRDefault="00663272" w:rsidP="00663272">
      <w:pPr>
        <w:widowControl w:val="0"/>
        <w:autoSpaceDE w:val="0"/>
        <w:autoSpaceDN w:val="0"/>
        <w:adjustRightInd w:val="0"/>
        <w:spacing w:line="240" w:lineRule="auto"/>
        <w:ind w:left="640" w:hanging="640"/>
        <w:rPr>
          <w:rFonts w:cs="Times New Roman"/>
          <w:noProof/>
          <w:kern w:val="0"/>
        </w:rPr>
      </w:pPr>
      <w:r w:rsidRPr="00663272">
        <w:rPr>
          <w:rFonts w:cs="Times New Roman"/>
          <w:noProof/>
          <w:kern w:val="0"/>
        </w:rPr>
        <w:t xml:space="preserve">17. </w:t>
      </w:r>
      <w:r w:rsidRPr="00663272">
        <w:rPr>
          <w:rFonts w:cs="Times New Roman"/>
          <w:noProof/>
          <w:kern w:val="0"/>
        </w:rPr>
        <w:tab/>
        <w:t xml:space="preserve">Robin TT, Cascante-Vega J, Shaman J, Pei S. System identifiability in a time-evolving agent-based model. PLoS One </w:t>
      </w:r>
      <w:r w:rsidRPr="00663272">
        <w:rPr>
          <w:rFonts w:cs="Times New Roman"/>
          <w:b/>
          <w:bCs/>
          <w:noProof/>
          <w:kern w:val="0"/>
        </w:rPr>
        <w:t>2024</w:t>
      </w:r>
      <w:r w:rsidRPr="00663272">
        <w:rPr>
          <w:rFonts w:cs="Times New Roman"/>
          <w:noProof/>
          <w:kern w:val="0"/>
        </w:rPr>
        <w:t>; 19:e0290821. Available at: https://journals.plos.org/plosone/article?id=10.1371/journal.pone.0290821. Accessed 11 March 2024.</w:t>
      </w:r>
    </w:p>
    <w:p w14:paraId="1DF3481B" w14:textId="77777777" w:rsidR="00663272" w:rsidRPr="00663272" w:rsidRDefault="00663272" w:rsidP="00663272">
      <w:pPr>
        <w:widowControl w:val="0"/>
        <w:autoSpaceDE w:val="0"/>
        <w:autoSpaceDN w:val="0"/>
        <w:adjustRightInd w:val="0"/>
        <w:spacing w:line="240" w:lineRule="auto"/>
        <w:ind w:left="640" w:hanging="640"/>
        <w:rPr>
          <w:rFonts w:cs="Times New Roman"/>
          <w:noProof/>
          <w:kern w:val="0"/>
        </w:rPr>
      </w:pPr>
      <w:r w:rsidRPr="00663272">
        <w:rPr>
          <w:rFonts w:cs="Times New Roman"/>
          <w:noProof/>
          <w:kern w:val="0"/>
        </w:rPr>
        <w:t xml:space="preserve">18. </w:t>
      </w:r>
      <w:r w:rsidRPr="00663272">
        <w:rPr>
          <w:rFonts w:cs="Times New Roman"/>
          <w:noProof/>
          <w:kern w:val="0"/>
        </w:rPr>
        <w:tab/>
        <w:t xml:space="preserve">Chang H-J, Huang K-C, Chao ROCROC, Wu H. Determination of Sample Size in Using Central Limit Theorem for Weibull Distribution. Inf Manag Sci </w:t>
      </w:r>
      <w:r w:rsidRPr="00663272">
        <w:rPr>
          <w:rFonts w:cs="Times New Roman"/>
          <w:b/>
          <w:bCs/>
          <w:noProof/>
          <w:kern w:val="0"/>
        </w:rPr>
        <w:t>2006</w:t>
      </w:r>
      <w:r w:rsidRPr="00663272">
        <w:rPr>
          <w:rFonts w:cs="Times New Roman"/>
          <w:noProof/>
          <w:kern w:val="0"/>
        </w:rPr>
        <w:t xml:space="preserve">; 17:31–46. </w:t>
      </w:r>
    </w:p>
    <w:p w14:paraId="1921F706" w14:textId="77777777" w:rsidR="00663272" w:rsidRPr="00663272" w:rsidRDefault="00663272" w:rsidP="00663272">
      <w:pPr>
        <w:widowControl w:val="0"/>
        <w:autoSpaceDE w:val="0"/>
        <w:autoSpaceDN w:val="0"/>
        <w:adjustRightInd w:val="0"/>
        <w:spacing w:line="240" w:lineRule="auto"/>
        <w:ind w:left="640" w:hanging="640"/>
        <w:rPr>
          <w:rFonts w:cs="Times New Roman"/>
          <w:noProof/>
        </w:rPr>
      </w:pPr>
      <w:r w:rsidRPr="00663272">
        <w:rPr>
          <w:rFonts w:cs="Times New Roman"/>
          <w:noProof/>
          <w:kern w:val="0"/>
        </w:rPr>
        <w:t xml:space="preserve">19. </w:t>
      </w:r>
      <w:r w:rsidRPr="00663272">
        <w:rPr>
          <w:rFonts w:cs="Times New Roman"/>
          <w:noProof/>
          <w:kern w:val="0"/>
        </w:rPr>
        <w:tab/>
        <w:t xml:space="preserve">Diedenhofen B, Musch J. cocor: A Comprehensive Solution for the Statistical Comparison of Correlations. PLoS One </w:t>
      </w:r>
      <w:r w:rsidRPr="00663272">
        <w:rPr>
          <w:rFonts w:cs="Times New Roman"/>
          <w:b/>
          <w:bCs/>
          <w:noProof/>
          <w:kern w:val="0"/>
        </w:rPr>
        <w:t>2015</w:t>
      </w:r>
      <w:r w:rsidRPr="00663272">
        <w:rPr>
          <w:rFonts w:cs="Times New Roman"/>
          <w:noProof/>
          <w:kern w:val="0"/>
        </w:rPr>
        <w:t>; 10. Available at: /pmc/articles/PMC4383486/. Accessed 11 August 2023.</w:t>
      </w:r>
    </w:p>
    <w:p w14:paraId="367BF0C3" w14:textId="1C478D67" w:rsidR="00B77F18" w:rsidRDefault="00B77F18" w:rsidP="00E81EE6">
      <w:r>
        <w:fldChar w:fldCharType="end"/>
      </w:r>
    </w:p>
    <w:sectPr w:rsidR="00B77F18" w:rsidSect="008316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3DDF1" w14:textId="77777777" w:rsidR="00E346A9" w:rsidRDefault="00E346A9" w:rsidP="00E346A9">
      <w:pPr>
        <w:spacing w:after="0" w:line="240" w:lineRule="auto"/>
      </w:pPr>
      <w:r>
        <w:separator/>
      </w:r>
    </w:p>
  </w:endnote>
  <w:endnote w:type="continuationSeparator" w:id="0">
    <w:p w14:paraId="531830E8" w14:textId="77777777" w:rsidR="00E346A9" w:rsidRDefault="00E346A9" w:rsidP="00E3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154558"/>
      <w:docPartObj>
        <w:docPartGallery w:val="Page Numbers (Bottom of Page)"/>
        <w:docPartUnique/>
      </w:docPartObj>
    </w:sdtPr>
    <w:sdtEndPr>
      <w:rPr>
        <w:noProof/>
      </w:rPr>
    </w:sdtEndPr>
    <w:sdtContent>
      <w:p w14:paraId="38E19A3A" w14:textId="402DC105" w:rsidR="00E346A9" w:rsidRDefault="00E346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E6731F" w14:textId="77777777" w:rsidR="00E346A9" w:rsidRDefault="00E34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D03FD" w14:textId="77777777" w:rsidR="00E346A9" w:rsidRDefault="00E346A9" w:rsidP="00E346A9">
      <w:pPr>
        <w:spacing w:after="0" w:line="240" w:lineRule="auto"/>
      </w:pPr>
      <w:r>
        <w:separator/>
      </w:r>
    </w:p>
  </w:footnote>
  <w:footnote w:type="continuationSeparator" w:id="0">
    <w:p w14:paraId="19A548C4" w14:textId="77777777" w:rsidR="00E346A9" w:rsidRDefault="00E346A9" w:rsidP="00E34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E2CC4"/>
    <w:multiLevelType w:val="hybridMultilevel"/>
    <w:tmpl w:val="998ADED4"/>
    <w:lvl w:ilvl="0" w:tplc="A156F870">
      <w:numFmt w:val="bullet"/>
      <w:lvlText w:val=""/>
      <w:lvlJc w:val="left"/>
      <w:pPr>
        <w:ind w:left="720" w:hanging="360"/>
      </w:pPr>
      <w:rPr>
        <w:rFonts w:ascii="Symbol" w:eastAsiaTheme="minorEastAsia"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7D"/>
    <w:rsid w:val="00042A9D"/>
    <w:rsid w:val="000A6444"/>
    <w:rsid w:val="000F17F8"/>
    <w:rsid w:val="000F62D1"/>
    <w:rsid w:val="000F7A6F"/>
    <w:rsid w:val="00132900"/>
    <w:rsid w:val="0017063F"/>
    <w:rsid w:val="00193B86"/>
    <w:rsid w:val="001A5571"/>
    <w:rsid w:val="001C170D"/>
    <w:rsid w:val="001E2B0F"/>
    <w:rsid w:val="0020182A"/>
    <w:rsid w:val="00223C41"/>
    <w:rsid w:val="00230353"/>
    <w:rsid w:val="00234F08"/>
    <w:rsid w:val="002370B0"/>
    <w:rsid w:val="00263EF2"/>
    <w:rsid w:val="00271830"/>
    <w:rsid w:val="00273782"/>
    <w:rsid w:val="00297C0F"/>
    <w:rsid w:val="002B77E8"/>
    <w:rsid w:val="002D3F2A"/>
    <w:rsid w:val="002F4364"/>
    <w:rsid w:val="00312168"/>
    <w:rsid w:val="00323B62"/>
    <w:rsid w:val="00342C65"/>
    <w:rsid w:val="00367BE7"/>
    <w:rsid w:val="003A0BCB"/>
    <w:rsid w:val="003A42DA"/>
    <w:rsid w:val="003C02BD"/>
    <w:rsid w:val="003C26C6"/>
    <w:rsid w:val="003D589E"/>
    <w:rsid w:val="003E0845"/>
    <w:rsid w:val="003E6637"/>
    <w:rsid w:val="003F398D"/>
    <w:rsid w:val="00444344"/>
    <w:rsid w:val="00484D73"/>
    <w:rsid w:val="004A2B7B"/>
    <w:rsid w:val="004B1B62"/>
    <w:rsid w:val="004C3ADF"/>
    <w:rsid w:val="004F21C2"/>
    <w:rsid w:val="005022AA"/>
    <w:rsid w:val="005234B4"/>
    <w:rsid w:val="005449CD"/>
    <w:rsid w:val="00551C14"/>
    <w:rsid w:val="00576470"/>
    <w:rsid w:val="005A03C9"/>
    <w:rsid w:val="005A099A"/>
    <w:rsid w:val="005B5CE7"/>
    <w:rsid w:val="005E13A0"/>
    <w:rsid w:val="005E6E12"/>
    <w:rsid w:val="005F38FE"/>
    <w:rsid w:val="005F48A7"/>
    <w:rsid w:val="00614E4E"/>
    <w:rsid w:val="00615A70"/>
    <w:rsid w:val="00660190"/>
    <w:rsid w:val="006615F4"/>
    <w:rsid w:val="00663272"/>
    <w:rsid w:val="006912D1"/>
    <w:rsid w:val="006A2FB5"/>
    <w:rsid w:val="006B0DE9"/>
    <w:rsid w:val="006B4780"/>
    <w:rsid w:val="006C54D5"/>
    <w:rsid w:val="006E1337"/>
    <w:rsid w:val="006E3A63"/>
    <w:rsid w:val="006F638D"/>
    <w:rsid w:val="00703D44"/>
    <w:rsid w:val="00740D89"/>
    <w:rsid w:val="007500FF"/>
    <w:rsid w:val="00760E1D"/>
    <w:rsid w:val="00763715"/>
    <w:rsid w:val="00765FE0"/>
    <w:rsid w:val="00771704"/>
    <w:rsid w:val="00785F9B"/>
    <w:rsid w:val="007B271C"/>
    <w:rsid w:val="007F2EA2"/>
    <w:rsid w:val="008022BD"/>
    <w:rsid w:val="00816398"/>
    <w:rsid w:val="00831679"/>
    <w:rsid w:val="0083466A"/>
    <w:rsid w:val="00840ECC"/>
    <w:rsid w:val="00850D19"/>
    <w:rsid w:val="00865657"/>
    <w:rsid w:val="008924A6"/>
    <w:rsid w:val="008B1DCD"/>
    <w:rsid w:val="008B6FE1"/>
    <w:rsid w:val="008C0E2C"/>
    <w:rsid w:val="008C7112"/>
    <w:rsid w:val="008D0073"/>
    <w:rsid w:val="00921C50"/>
    <w:rsid w:val="0093019B"/>
    <w:rsid w:val="009831FA"/>
    <w:rsid w:val="00991E93"/>
    <w:rsid w:val="009D0C4C"/>
    <w:rsid w:val="009E6081"/>
    <w:rsid w:val="009F067B"/>
    <w:rsid w:val="00A83F20"/>
    <w:rsid w:val="00A94898"/>
    <w:rsid w:val="00AA3510"/>
    <w:rsid w:val="00AC32ED"/>
    <w:rsid w:val="00AF2B90"/>
    <w:rsid w:val="00AF6F41"/>
    <w:rsid w:val="00B04DB1"/>
    <w:rsid w:val="00B05D7D"/>
    <w:rsid w:val="00B116F4"/>
    <w:rsid w:val="00B351D4"/>
    <w:rsid w:val="00B70710"/>
    <w:rsid w:val="00B77F18"/>
    <w:rsid w:val="00B909D0"/>
    <w:rsid w:val="00BC6F74"/>
    <w:rsid w:val="00BD7843"/>
    <w:rsid w:val="00C361AA"/>
    <w:rsid w:val="00C547AA"/>
    <w:rsid w:val="00C66428"/>
    <w:rsid w:val="00CA3A66"/>
    <w:rsid w:val="00CB5EE3"/>
    <w:rsid w:val="00CE6B9D"/>
    <w:rsid w:val="00D45EA5"/>
    <w:rsid w:val="00D76857"/>
    <w:rsid w:val="00DA682F"/>
    <w:rsid w:val="00DB558A"/>
    <w:rsid w:val="00DE626E"/>
    <w:rsid w:val="00E16C76"/>
    <w:rsid w:val="00E1700B"/>
    <w:rsid w:val="00E24051"/>
    <w:rsid w:val="00E346A9"/>
    <w:rsid w:val="00E455B4"/>
    <w:rsid w:val="00E54D9F"/>
    <w:rsid w:val="00E6072A"/>
    <w:rsid w:val="00E64445"/>
    <w:rsid w:val="00E81EE6"/>
    <w:rsid w:val="00EB4C14"/>
    <w:rsid w:val="00ED3AC5"/>
    <w:rsid w:val="00EE09DB"/>
    <w:rsid w:val="00EE28F9"/>
    <w:rsid w:val="00EE5B7F"/>
    <w:rsid w:val="00F43A56"/>
    <w:rsid w:val="00F665F7"/>
    <w:rsid w:val="00F84290"/>
    <w:rsid w:val="00FA2246"/>
    <w:rsid w:val="00FA78AC"/>
    <w:rsid w:val="00FD5604"/>
    <w:rsid w:val="00FF4A9D"/>
    <w:rsid w:val="00FF76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6B2B5D7"/>
  <w14:defaultImageDpi w14:val="32767"/>
  <w15:chartTrackingRefBased/>
  <w15:docId w15:val="{9D965423-2410-477A-8D73-50830331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E6081"/>
    <w:pPr>
      <w:spacing w:after="200" w:line="240" w:lineRule="auto"/>
    </w:pPr>
    <w:rPr>
      <w:iCs/>
      <w:szCs w:val="18"/>
    </w:rPr>
  </w:style>
  <w:style w:type="table" w:styleId="TableGrid">
    <w:name w:val="Table Grid"/>
    <w:basedOn w:val="TableNormal"/>
    <w:uiPriority w:val="39"/>
    <w:rsid w:val="00B05D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F398D"/>
    <w:rPr>
      <w:color w:val="0563C1"/>
      <w:u w:val="single"/>
    </w:rPr>
  </w:style>
  <w:style w:type="character" w:styleId="FollowedHyperlink">
    <w:name w:val="FollowedHyperlink"/>
    <w:basedOn w:val="DefaultParagraphFont"/>
    <w:uiPriority w:val="99"/>
    <w:semiHidden/>
    <w:unhideWhenUsed/>
    <w:rsid w:val="003F398D"/>
    <w:rPr>
      <w:color w:val="954F72"/>
      <w:u w:val="single"/>
    </w:rPr>
  </w:style>
  <w:style w:type="paragraph" w:customStyle="1" w:styleId="msonormal0">
    <w:name w:val="msonormal"/>
    <w:basedOn w:val="Normal"/>
    <w:rsid w:val="003F398D"/>
    <w:pPr>
      <w:spacing w:before="100" w:beforeAutospacing="1" w:after="100" w:afterAutospacing="1" w:line="240" w:lineRule="auto"/>
    </w:pPr>
    <w:rPr>
      <w:rFonts w:eastAsia="Times New Roman" w:cs="Times New Roman"/>
      <w:kern w:val="0"/>
      <w:szCs w:val="24"/>
      <w14:ligatures w14:val="none"/>
    </w:rPr>
  </w:style>
  <w:style w:type="paragraph" w:styleId="Header">
    <w:name w:val="header"/>
    <w:basedOn w:val="Normal"/>
    <w:link w:val="HeaderChar"/>
    <w:uiPriority w:val="99"/>
    <w:unhideWhenUsed/>
    <w:rsid w:val="00E34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A9"/>
  </w:style>
  <w:style w:type="paragraph" w:styleId="Footer">
    <w:name w:val="footer"/>
    <w:basedOn w:val="Normal"/>
    <w:link w:val="FooterChar"/>
    <w:uiPriority w:val="99"/>
    <w:unhideWhenUsed/>
    <w:rsid w:val="00E34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A9"/>
  </w:style>
  <w:style w:type="paragraph" w:styleId="CommentText">
    <w:name w:val="annotation text"/>
    <w:basedOn w:val="Normal"/>
    <w:link w:val="CommentTextChar"/>
    <w:uiPriority w:val="99"/>
    <w:unhideWhenUsed/>
    <w:rsid w:val="00342C65"/>
    <w:pPr>
      <w:spacing w:line="240" w:lineRule="auto"/>
    </w:pPr>
    <w:rPr>
      <w:rFonts w:asciiTheme="minorHAnsi" w:eastAsiaTheme="minorEastAsia" w:hAnsiTheme="minorHAnsi"/>
      <w:kern w:val="0"/>
      <w:sz w:val="20"/>
      <w:szCs w:val="20"/>
      <w14:ligatures w14:val="none"/>
    </w:rPr>
  </w:style>
  <w:style w:type="character" w:customStyle="1" w:styleId="CommentTextChar">
    <w:name w:val="Comment Text Char"/>
    <w:basedOn w:val="DefaultParagraphFont"/>
    <w:link w:val="CommentText"/>
    <w:uiPriority w:val="99"/>
    <w:rsid w:val="00342C65"/>
    <w:rPr>
      <w:rFonts w:asciiTheme="minorHAnsi" w:eastAsiaTheme="minorEastAsia" w:hAnsiTheme="minorHAnsi"/>
      <w:kern w:val="0"/>
      <w:sz w:val="20"/>
      <w:szCs w:val="20"/>
      <w14:ligatures w14:val="none"/>
    </w:rPr>
  </w:style>
  <w:style w:type="character" w:styleId="CommentReference">
    <w:name w:val="annotation reference"/>
    <w:basedOn w:val="DefaultParagraphFont"/>
    <w:uiPriority w:val="99"/>
    <w:semiHidden/>
    <w:unhideWhenUsed/>
    <w:rsid w:val="00342C65"/>
    <w:rPr>
      <w:sz w:val="16"/>
      <w:szCs w:val="16"/>
    </w:rPr>
  </w:style>
  <w:style w:type="paragraph" w:styleId="ListParagraph">
    <w:name w:val="List Paragraph"/>
    <w:basedOn w:val="Normal"/>
    <w:uiPriority w:val="34"/>
    <w:qFormat/>
    <w:rsid w:val="00342C65"/>
    <w:pPr>
      <w:ind w:left="720"/>
      <w:contextualSpacing/>
    </w:pPr>
    <w:rPr>
      <w:rFonts w:asciiTheme="minorHAnsi" w:eastAsiaTheme="minorEastAsia"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3018">
      <w:bodyDiv w:val="1"/>
      <w:marLeft w:val="0"/>
      <w:marRight w:val="0"/>
      <w:marTop w:val="0"/>
      <w:marBottom w:val="0"/>
      <w:divBdr>
        <w:top w:val="none" w:sz="0" w:space="0" w:color="auto"/>
        <w:left w:val="none" w:sz="0" w:space="0" w:color="auto"/>
        <w:bottom w:val="none" w:sz="0" w:space="0" w:color="auto"/>
        <w:right w:val="none" w:sz="0" w:space="0" w:color="auto"/>
      </w:divBdr>
    </w:div>
    <w:div w:id="60451352">
      <w:bodyDiv w:val="1"/>
      <w:marLeft w:val="0"/>
      <w:marRight w:val="0"/>
      <w:marTop w:val="0"/>
      <w:marBottom w:val="0"/>
      <w:divBdr>
        <w:top w:val="none" w:sz="0" w:space="0" w:color="auto"/>
        <w:left w:val="none" w:sz="0" w:space="0" w:color="auto"/>
        <w:bottom w:val="none" w:sz="0" w:space="0" w:color="auto"/>
        <w:right w:val="none" w:sz="0" w:space="0" w:color="auto"/>
      </w:divBdr>
    </w:div>
    <w:div w:id="344090531">
      <w:bodyDiv w:val="1"/>
      <w:marLeft w:val="0"/>
      <w:marRight w:val="0"/>
      <w:marTop w:val="0"/>
      <w:marBottom w:val="0"/>
      <w:divBdr>
        <w:top w:val="none" w:sz="0" w:space="0" w:color="auto"/>
        <w:left w:val="none" w:sz="0" w:space="0" w:color="auto"/>
        <w:bottom w:val="none" w:sz="0" w:space="0" w:color="auto"/>
        <w:right w:val="none" w:sz="0" w:space="0" w:color="auto"/>
      </w:divBdr>
    </w:div>
    <w:div w:id="383454224">
      <w:bodyDiv w:val="1"/>
      <w:marLeft w:val="0"/>
      <w:marRight w:val="0"/>
      <w:marTop w:val="0"/>
      <w:marBottom w:val="0"/>
      <w:divBdr>
        <w:top w:val="none" w:sz="0" w:space="0" w:color="auto"/>
        <w:left w:val="none" w:sz="0" w:space="0" w:color="auto"/>
        <w:bottom w:val="none" w:sz="0" w:space="0" w:color="auto"/>
        <w:right w:val="none" w:sz="0" w:space="0" w:color="auto"/>
      </w:divBdr>
    </w:div>
    <w:div w:id="623846581">
      <w:bodyDiv w:val="1"/>
      <w:marLeft w:val="0"/>
      <w:marRight w:val="0"/>
      <w:marTop w:val="0"/>
      <w:marBottom w:val="0"/>
      <w:divBdr>
        <w:top w:val="none" w:sz="0" w:space="0" w:color="auto"/>
        <w:left w:val="none" w:sz="0" w:space="0" w:color="auto"/>
        <w:bottom w:val="none" w:sz="0" w:space="0" w:color="auto"/>
        <w:right w:val="none" w:sz="0" w:space="0" w:color="auto"/>
      </w:divBdr>
    </w:div>
    <w:div w:id="630938382">
      <w:bodyDiv w:val="1"/>
      <w:marLeft w:val="0"/>
      <w:marRight w:val="0"/>
      <w:marTop w:val="0"/>
      <w:marBottom w:val="0"/>
      <w:divBdr>
        <w:top w:val="none" w:sz="0" w:space="0" w:color="auto"/>
        <w:left w:val="none" w:sz="0" w:space="0" w:color="auto"/>
        <w:bottom w:val="none" w:sz="0" w:space="0" w:color="auto"/>
        <w:right w:val="none" w:sz="0" w:space="0" w:color="auto"/>
      </w:divBdr>
    </w:div>
    <w:div w:id="668481613">
      <w:bodyDiv w:val="1"/>
      <w:marLeft w:val="0"/>
      <w:marRight w:val="0"/>
      <w:marTop w:val="0"/>
      <w:marBottom w:val="0"/>
      <w:divBdr>
        <w:top w:val="none" w:sz="0" w:space="0" w:color="auto"/>
        <w:left w:val="none" w:sz="0" w:space="0" w:color="auto"/>
        <w:bottom w:val="none" w:sz="0" w:space="0" w:color="auto"/>
        <w:right w:val="none" w:sz="0" w:space="0" w:color="auto"/>
      </w:divBdr>
    </w:div>
    <w:div w:id="681973995">
      <w:bodyDiv w:val="1"/>
      <w:marLeft w:val="0"/>
      <w:marRight w:val="0"/>
      <w:marTop w:val="0"/>
      <w:marBottom w:val="0"/>
      <w:divBdr>
        <w:top w:val="none" w:sz="0" w:space="0" w:color="auto"/>
        <w:left w:val="none" w:sz="0" w:space="0" w:color="auto"/>
        <w:bottom w:val="none" w:sz="0" w:space="0" w:color="auto"/>
        <w:right w:val="none" w:sz="0" w:space="0" w:color="auto"/>
      </w:divBdr>
    </w:div>
    <w:div w:id="765998050">
      <w:bodyDiv w:val="1"/>
      <w:marLeft w:val="0"/>
      <w:marRight w:val="0"/>
      <w:marTop w:val="0"/>
      <w:marBottom w:val="0"/>
      <w:divBdr>
        <w:top w:val="none" w:sz="0" w:space="0" w:color="auto"/>
        <w:left w:val="none" w:sz="0" w:space="0" w:color="auto"/>
        <w:bottom w:val="none" w:sz="0" w:space="0" w:color="auto"/>
        <w:right w:val="none" w:sz="0" w:space="0" w:color="auto"/>
      </w:divBdr>
    </w:div>
    <w:div w:id="840850968">
      <w:bodyDiv w:val="1"/>
      <w:marLeft w:val="0"/>
      <w:marRight w:val="0"/>
      <w:marTop w:val="0"/>
      <w:marBottom w:val="0"/>
      <w:divBdr>
        <w:top w:val="none" w:sz="0" w:space="0" w:color="auto"/>
        <w:left w:val="none" w:sz="0" w:space="0" w:color="auto"/>
        <w:bottom w:val="none" w:sz="0" w:space="0" w:color="auto"/>
        <w:right w:val="none" w:sz="0" w:space="0" w:color="auto"/>
      </w:divBdr>
    </w:div>
    <w:div w:id="899679475">
      <w:bodyDiv w:val="1"/>
      <w:marLeft w:val="0"/>
      <w:marRight w:val="0"/>
      <w:marTop w:val="0"/>
      <w:marBottom w:val="0"/>
      <w:divBdr>
        <w:top w:val="none" w:sz="0" w:space="0" w:color="auto"/>
        <w:left w:val="none" w:sz="0" w:space="0" w:color="auto"/>
        <w:bottom w:val="none" w:sz="0" w:space="0" w:color="auto"/>
        <w:right w:val="none" w:sz="0" w:space="0" w:color="auto"/>
      </w:divBdr>
    </w:div>
    <w:div w:id="973632127">
      <w:bodyDiv w:val="1"/>
      <w:marLeft w:val="0"/>
      <w:marRight w:val="0"/>
      <w:marTop w:val="0"/>
      <w:marBottom w:val="0"/>
      <w:divBdr>
        <w:top w:val="none" w:sz="0" w:space="0" w:color="auto"/>
        <w:left w:val="none" w:sz="0" w:space="0" w:color="auto"/>
        <w:bottom w:val="none" w:sz="0" w:space="0" w:color="auto"/>
        <w:right w:val="none" w:sz="0" w:space="0" w:color="auto"/>
      </w:divBdr>
    </w:div>
    <w:div w:id="994728205">
      <w:bodyDiv w:val="1"/>
      <w:marLeft w:val="0"/>
      <w:marRight w:val="0"/>
      <w:marTop w:val="0"/>
      <w:marBottom w:val="0"/>
      <w:divBdr>
        <w:top w:val="none" w:sz="0" w:space="0" w:color="auto"/>
        <w:left w:val="none" w:sz="0" w:space="0" w:color="auto"/>
        <w:bottom w:val="none" w:sz="0" w:space="0" w:color="auto"/>
        <w:right w:val="none" w:sz="0" w:space="0" w:color="auto"/>
      </w:divBdr>
    </w:div>
    <w:div w:id="1002665830">
      <w:bodyDiv w:val="1"/>
      <w:marLeft w:val="0"/>
      <w:marRight w:val="0"/>
      <w:marTop w:val="0"/>
      <w:marBottom w:val="0"/>
      <w:divBdr>
        <w:top w:val="none" w:sz="0" w:space="0" w:color="auto"/>
        <w:left w:val="none" w:sz="0" w:space="0" w:color="auto"/>
        <w:bottom w:val="none" w:sz="0" w:space="0" w:color="auto"/>
        <w:right w:val="none" w:sz="0" w:space="0" w:color="auto"/>
      </w:divBdr>
    </w:div>
    <w:div w:id="1018430654">
      <w:bodyDiv w:val="1"/>
      <w:marLeft w:val="0"/>
      <w:marRight w:val="0"/>
      <w:marTop w:val="0"/>
      <w:marBottom w:val="0"/>
      <w:divBdr>
        <w:top w:val="none" w:sz="0" w:space="0" w:color="auto"/>
        <w:left w:val="none" w:sz="0" w:space="0" w:color="auto"/>
        <w:bottom w:val="none" w:sz="0" w:space="0" w:color="auto"/>
        <w:right w:val="none" w:sz="0" w:space="0" w:color="auto"/>
      </w:divBdr>
    </w:div>
    <w:div w:id="1020206176">
      <w:bodyDiv w:val="1"/>
      <w:marLeft w:val="0"/>
      <w:marRight w:val="0"/>
      <w:marTop w:val="0"/>
      <w:marBottom w:val="0"/>
      <w:divBdr>
        <w:top w:val="none" w:sz="0" w:space="0" w:color="auto"/>
        <w:left w:val="none" w:sz="0" w:space="0" w:color="auto"/>
        <w:bottom w:val="none" w:sz="0" w:space="0" w:color="auto"/>
        <w:right w:val="none" w:sz="0" w:space="0" w:color="auto"/>
      </w:divBdr>
    </w:div>
    <w:div w:id="1048608415">
      <w:bodyDiv w:val="1"/>
      <w:marLeft w:val="0"/>
      <w:marRight w:val="0"/>
      <w:marTop w:val="0"/>
      <w:marBottom w:val="0"/>
      <w:divBdr>
        <w:top w:val="none" w:sz="0" w:space="0" w:color="auto"/>
        <w:left w:val="none" w:sz="0" w:space="0" w:color="auto"/>
        <w:bottom w:val="none" w:sz="0" w:space="0" w:color="auto"/>
        <w:right w:val="none" w:sz="0" w:space="0" w:color="auto"/>
      </w:divBdr>
    </w:div>
    <w:div w:id="1077899296">
      <w:bodyDiv w:val="1"/>
      <w:marLeft w:val="0"/>
      <w:marRight w:val="0"/>
      <w:marTop w:val="0"/>
      <w:marBottom w:val="0"/>
      <w:divBdr>
        <w:top w:val="none" w:sz="0" w:space="0" w:color="auto"/>
        <w:left w:val="none" w:sz="0" w:space="0" w:color="auto"/>
        <w:bottom w:val="none" w:sz="0" w:space="0" w:color="auto"/>
        <w:right w:val="none" w:sz="0" w:space="0" w:color="auto"/>
      </w:divBdr>
    </w:div>
    <w:div w:id="1083260701">
      <w:bodyDiv w:val="1"/>
      <w:marLeft w:val="0"/>
      <w:marRight w:val="0"/>
      <w:marTop w:val="0"/>
      <w:marBottom w:val="0"/>
      <w:divBdr>
        <w:top w:val="none" w:sz="0" w:space="0" w:color="auto"/>
        <w:left w:val="none" w:sz="0" w:space="0" w:color="auto"/>
        <w:bottom w:val="none" w:sz="0" w:space="0" w:color="auto"/>
        <w:right w:val="none" w:sz="0" w:space="0" w:color="auto"/>
      </w:divBdr>
    </w:div>
    <w:div w:id="1106775717">
      <w:bodyDiv w:val="1"/>
      <w:marLeft w:val="0"/>
      <w:marRight w:val="0"/>
      <w:marTop w:val="0"/>
      <w:marBottom w:val="0"/>
      <w:divBdr>
        <w:top w:val="none" w:sz="0" w:space="0" w:color="auto"/>
        <w:left w:val="none" w:sz="0" w:space="0" w:color="auto"/>
        <w:bottom w:val="none" w:sz="0" w:space="0" w:color="auto"/>
        <w:right w:val="none" w:sz="0" w:space="0" w:color="auto"/>
      </w:divBdr>
    </w:div>
    <w:div w:id="1232741508">
      <w:bodyDiv w:val="1"/>
      <w:marLeft w:val="0"/>
      <w:marRight w:val="0"/>
      <w:marTop w:val="0"/>
      <w:marBottom w:val="0"/>
      <w:divBdr>
        <w:top w:val="none" w:sz="0" w:space="0" w:color="auto"/>
        <w:left w:val="none" w:sz="0" w:space="0" w:color="auto"/>
        <w:bottom w:val="none" w:sz="0" w:space="0" w:color="auto"/>
        <w:right w:val="none" w:sz="0" w:space="0" w:color="auto"/>
      </w:divBdr>
    </w:div>
    <w:div w:id="1260068987">
      <w:bodyDiv w:val="1"/>
      <w:marLeft w:val="0"/>
      <w:marRight w:val="0"/>
      <w:marTop w:val="0"/>
      <w:marBottom w:val="0"/>
      <w:divBdr>
        <w:top w:val="none" w:sz="0" w:space="0" w:color="auto"/>
        <w:left w:val="none" w:sz="0" w:space="0" w:color="auto"/>
        <w:bottom w:val="none" w:sz="0" w:space="0" w:color="auto"/>
        <w:right w:val="none" w:sz="0" w:space="0" w:color="auto"/>
      </w:divBdr>
    </w:div>
    <w:div w:id="1344627646">
      <w:bodyDiv w:val="1"/>
      <w:marLeft w:val="0"/>
      <w:marRight w:val="0"/>
      <w:marTop w:val="0"/>
      <w:marBottom w:val="0"/>
      <w:divBdr>
        <w:top w:val="none" w:sz="0" w:space="0" w:color="auto"/>
        <w:left w:val="none" w:sz="0" w:space="0" w:color="auto"/>
        <w:bottom w:val="none" w:sz="0" w:space="0" w:color="auto"/>
        <w:right w:val="none" w:sz="0" w:space="0" w:color="auto"/>
      </w:divBdr>
    </w:div>
    <w:div w:id="1352729623">
      <w:bodyDiv w:val="1"/>
      <w:marLeft w:val="0"/>
      <w:marRight w:val="0"/>
      <w:marTop w:val="0"/>
      <w:marBottom w:val="0"/>
      <w:divBdr>
        <w:top w:val="none" w:sz="0" w:space="0" w:color="auto"/>
        <w:left w:val="none" w:sz="0" w:space="0" w:color="auto"/>
        <w:bottom w:val="none" w:sz="0" w:space="0" w:color="auto"/>
        <w:right w:val="none" w:sz="0" w:space="0" w:color="auto"/>
      </w:divBdr>
    </w:div>
    <w:div w:id="1429698491">
      <w:bodyDiv w:val="1"/>
      <w:marLeft w:val="0"/>
      <w:marRight w:val="0"/>
      <w:marTop w:val="0"/>
      <w:marBottom w:val="0"/>
      <w:divBdr>
        <w:top w:val="none" w:sz="0" w:space="0" w:color="auto"/>
        <w:left w:val="none" w:sz="0" w:space="0" w:color="auto"/>
        <w:bottom w:val="none" w:sz="0" w:space="0" w:color="auto"/>
        <w:right w:val="none" w:sz="0" w:space="0" w:color="auto"/>
      </w:divBdr>
    </w:div>
    <w:div w:id="1522474489">
      <w:bodyDiv w:val="1"/>
      <w:marLeft w:val="0"/>
      <w:marRight w:val="0"/>
      <w:marTop w:val="0"/>
      <w:marBottom w:val="0"/>
      <w:divBdr>
        <w:top w:val="none" w:sz="0" w:space="0" w:color="auto"/>
        <w:left w:val="none" w:sz="0" w:space="0" w:color="auto"/>
        <w:bottom w:val="none" w:sz="0" w:space="0" w:color="auto"/>
        <w:right w:val="none" w:sz="0" w:space="0" w:color="auto"/>
      </w:divBdr>
    </w:div>
    <w:div w:id="1591230503">
      <w:bodyDiv w:val="1"/>
      <w:marLeft w:val="0"/>
      <w:marRight w:val="0"/>
      <w:marTop w:val="0"/>
      <w:marBottom w:val="0"/>
      <w:divBdr>
        <w:top w:val="none" w:sz="0" w:space="0" w:color="auto"/>
        <w:left w:val="none" w:sz="0" w:space="0" w:color="auto"/>
        <w:bottom w:val="none" w:sz="0" w:space="0" w:color="auto"/>
        <w:right w:val="none" w:sz="0" w:space="0" w:color="auto"/>
      </w:divBdr>
    </w:div>
    <w:div w:id="1594320331">
      <w:bodyDiv w:val="1"/>
      <w:marLeft w:val="0"/>
      <w:marRight w:val="0"/>
      <w:marTop w:val="0"/>
      <w:marBottom w:val="0"/>
      <w:divBdr>
        <w:top w:val="none" w:sz="0" w:space="0" w:color="auto"/>
        <w:left w:val="none" w:sz="0" w:space="0" w:color="auto"/>
        <w:bottom w:val="none" w:sz="0" w:space="0" w:color="auto"/>
        <w:right w:val="none" w:sz="0" w:space="0" w:color="auto"/>
      </w:divBdr>
    </w:div>
    <w:div w:id="1609238299">
      <w:bodyDiv w:val="1"/>
      <w:marLeft w:val="0"/>
      <w:marRight w:val="0"/>
      <w:marTop w:val="0"/>
      <w:marBottom w:val="0"/>
      <w:divBdr>
        <w:top w:val="none" w:sz="0" w:space="0" w:color="auto"/>
        <w:left w:val="none" w:sz="0" w:space="0" w:color="auto"/>
        <w:bottom w:val="none" w:sz="0" w:space="0" w:color="auto"/>
        <w:right w:val="none" w:sz="0" w:space="0" w:color="auto"/>
      </w:divBdr>
    </w:div>
    <w:div w:id="1633749538">
      <w:bodyDiv w:val="1"/>
      <w:marLeft w:val="0"/>
      <w:marRight w:val="0"/>
      <w:marTop w:val="0"/>
      <w:marBottom w:val="0"/>
      <w:divBdr>
        <w:top w:val="none" w:sz="0" w:space="0" w:color="auto"/>
        <w:left w:val="none" w:sz="0" w:space="0" w:color="auto"/>
        <w:bottom w:val="none" w:sz="0" w:space="0" w:color="auto"/>
        <w:right w:val="none" w:sz="0" w:space="0" w:color="auto"/>
      </w:divBdr>
    </w:div>
    <w:div w:id="1853913821">
      <w:bodyDiv w:val="1"/>
      <w:marLeft w:val="0"/>
      <w:marRight w:val="0"/>
      <w:marTop w:val="0"/>
      <w:marBottom w:val="0"/>
      <w:divBdr>
        <w:top w:val="none" w:sz="0" w:space="0" w:color="auto"/>
        <w:left w:val="none" w:sz="0" w:space="0" w:color="auto"/>
        <w:bottom w:val="none" w:sz="0" w:space="0" w:color="auto"/>
        <w:right w:val="none" w:sz="0" w:space="0" w:color="auto"/>
      </w:divBdr>
    </w:div>
    <w:div w:id="2027293031">
      <w:bodyDiv w:val="1"/>
      <w:marLeft w:val="0"/>
      <w:marRight w:val="0"/>
      <w:marTop w:val="0"/>
      <w:marBottom w:val="0"/>
      <w:divBdr>
        <w:top w:val="none" w:sz="0" w:space="0" w:color="auto"/>
        <w:left w:val="none" w:sz="0" w:space="0" w:color="auto"/>
        <w:bottom w:val="none" w:sz="0" w:space="0" w:color="auto"/>
        <w:right w:val="none" w:sz="0" w:space="0" w:color="auto"/>
      </w:divBdr>
    </w:div>
    <w:div w:id="2044481118">
      <w:bodyDiv w:val="1"/>
      <w:marLeft w:val="0"/>
      <w:marRight w:val="0"/>
      <w:marTop w:val="0"/>
      <w:marBottom w:val="0"/>
      <w:divBdr>
        <w:top w:val="none" w:sz="0" w:space="0" w:color="auto"/>
        <w:left w:val="none" w:sz="0" w:space="0" w:color="auto"/>
        <w:bottom w:val="none" w:sz="0" w:space="0" w:color="auto"/>
        <w:right w:val="none" w:sz="0" w:space="0" w:color="auto"/>
      </w:divBdr>
    </w:div>
    <w:div w:id="21054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ghpanah@onehealthtrus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88A1-8484-45F2-B04A-9C8481E5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12</Pages>
  <Words>19761</Words>
  <Characters>112643</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Fardad Haghpanah</dc:creator>
  <cp:keywords/>
  <dc:description/>
  <cp:lastModifiedBy>Fardad Haghpanah</cp:lastModifiedBy>
  <cp:revision>110</cp:revision>
  <dcterms:created xsi:type="dcterms:W3CDTF">2023-08-08T19:41:00Z</dcterms:created>
  <dcterms:modified xsi:type="dcterms:W3CDTF">2024-11-02T19:05:00Z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http://www.zotero.org/styles/chicago-note-bibliography</vt:lpwstr>
  </property>
  <property fmtid="{D5CDD505-2E9C-101B-9397-08002B2CF9AE}" pid="3" name="Mendeley Recent Style Name 0_1">
    <vt:lpwstr>Chicago Manual of Style 17th edition (note)</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http://www.zotero.org/styles/clinical-infectious-diseases</vt:lpwstr>
  </property>
  <property fmtid="{D5CDD505-2E9C-101B-9397-08002B2CF9AE}" pid="7" name="Mendeley Recent Style Name 2_1">
    <vt:lpwstr>Clinical Infectious Diseases</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http://www.zotero.org/styles/infection-control-and-hospital-epidemiology</vt:lpwstr>
  </property>
  <property fmtid="{D5CDD505-2E9C-101B-9397-08002B2CF9AE}" pid="11" name="Mendeley Recent Style Name 4_1">
    <vt:lpwstr>Infection Control &amp; Hospital Epidemiology</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http://www.zotero.org/styles/plos-computational-biology</vt:lpwstr>
  </property>
  <property fmtid="{D5CDD505-2E9C-101B-9397-08002B2CF9AE}" pid="15" name="Mendeley Recent Style Name 6_1">
    <vt:lpwstr>PLOS Computational Biology</vt:lpwstr>
  </property>
  <property fmtid="{D5CDD505-2E9C-101B-9397-08002B2CF9AE}" pid="16" name="Mendeley Recent Style Id 7_1">
    <vt:lpwstr>http://www.zotero.org/styles/proceedings-of-the-royal-society-b</vt:lpwstr>
  </property>
  <property fmtid="{D5CDD505-2E9C-101B-9397-08002B2CF9AE}" pid="17" name="Mendeley Recent Style Name 7_1">
    <vt:lpwstr>Proceedings of the Royal Society B</vt:lpwstr>
  </property>
  <property fmtid="{D5CDD505-2E9C-101B-9397-08002B2CF9AE}" pid="18" name="Mendeley Recent Style Id 8_1">
    <vt:lpwstr>http://www.zotero.org/styles/simulation-modelling-practice-and-theory</vt:lpwstr>
  </property>
  <property fmtid="{D5CDD505-2E9C-101B-9397-08002B2CF9AE}" pid="19" name="Mendeley Recent Style Name 8_1">
    <vt:lpwstr>Simulation Modelling Practice and Theory</vt:lpwstr>
  </property>
  <property fmtid="{D5CDD505-2E9C-101B-9397-08002B2CF9AE}" pid="20" name="Mendeley Recent Style Id 9_1">
    <vt:lpwstr>http://www.zotero.org/styles/the-lancet-infectious-diseases</vt:lpwstr>
  </property>
  <property fmtid="{D5CDD505-2E9C-101B-9397-08002B2CF9AE}" pid="21" name="Mendeley Recent Style Name 9_1">
    <vt:lpwstr>The Lancet Infectious Diseases</vt:lpwstr>
  </property>
  <property fmtid="{D5CDD505-2E9C-101B-9397-08002B2CF9AE}" pid="22" name="Mendeley Document_1">
    <vt:lpwstr>True</vt:lpwstr>
  </property>
  <property fmtid="{D5CDD505-2E9C-101B-9397-08002B2CF9AE}" pid="23" name="Mendeley Unique User Id_1">
    <vt:lpwstr>8a266a18-f2b3-3d52-b2b3-13f8f2216c38</vt:lpwstr>
  </property>
  <property fmtid="{D5CDD505-2E9C-101B-9397-08002B2CF9AE}" pid="24" name="Mendeley Citation Style_1">
    <vt:lpwstr>http://www.zotero.org/styles/clinical-infectious-diseases</vt:lpwstr>
  </property>
</Properties>
</file>