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B41" w14:textId="77777777" w:rsidR="00015ECB" w:rsidRPr="00BA62A9" w:rsidRDefault="00015ECB" w:rsidP="00015EC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" w:hanging="3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</w:pPr>
      <w:r w:rsidRPr="00BA62A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 xml:space="preserve">Effects of electroconvulsive therapy on cortical thickness in depression: A systematic review </w:t>
      </w:r>
    </w:p>
    <w:p w14:paraId="523B1081" w14:textId="77777777" w:rsidR="004C2A74" w:rsidRPr="00BA62A9" w:rsidRDefault="004C2A74" w:rsidP="004C2A7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A059F4F" w14:textId="01EE7DA3" w:rsidR="0001782C" w:rsidRPr="00BA62A9" w:rsidRDefault="004C2A74" w:rsidP="004C2A74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BA62A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Supplementary Material</w:t>
      </w:r>
      <w:r w:rsidR="0001782C" w:rsidRPr="00BA62A9">
        <w:rPr>
          <w:rFonts w:ascii="Times New Roman" w:hAnsi="Times New Roman" w:cs="Times New Roman"/>
          <w:i/>
          <w:iCs/>
          <w:color w:val="000000"/>
          <w:vertAlign w:val="superscript"/>
          <w:lang w:val="en-US"/>
        </w:rPr>
        <w:t xml:space="preserve"> </w:t>
      </w:r>
    </w:p>
    <w:p w14:paraId="3E052F6D" w14:textId="77777777" w:rsidR="0001782C" w:rsidRPr="00BA62A9" w:rsidRDefault="0001782C">
      <w:pPr>
        <w:rPr>
          <w:rFonts w:ascii="Times New Roman" w:hAnsi="Times New Roman" w:cs="Times New Roman"/>
          <w:lang w:val="en-US"/>
        </w:rPr>
      </w:pPr>
    </w:p>
    <w:p w14:paraId="5DC4B365" w14:textId="1F08679A" w:rsidR="0001782C" w:rsidRPr="00BA62A9" w:rsidRDefault="0001782C">
      <w:pPr>
        <w:rPr>
          <w:rFonts w:ascii="Times New Roman" w:hAnsi="Times New Roman" w:cs="Times New Roman"/>
          <w:lang w:val="en-US"/>
        </w:rPr>
      </w:pPr>
    </w:p>
    <w:p w14:paraId="1B0F12E8" w14:textId="4D23C6F5" w:rsidR="00E36BC9" w:rsidRPr="00BA62A9" w:rsidRDefault="0082758C" w:rsidP="00E36BC9">
      <w:pPr>
        <w:spacing w:line="360" w:lineRule="auto"/>
        <w:contextualSpacing/>
        <w:rPr>
          <w:rFonts w:ascii="Times" w:eastAsia="Times New Roman" w:hAnsi="Times" w:cs="Times New Roman"/>
          <w:i/>
          <w:iCs/>
          <w:lang w:val="en-US" w:eastAsia="it-IT"/>
        </w:rPr>
      </w:pPr>
      <w:r w:rsidRPr="00BA62A9">
        <w:rPr>
          <w:rFonts w:ascii="Times New Roman" w:hAnsi="Times New Roman" w:cs="Times New Roman"/>
          <w:lang w:val="en-US"/>
        </w:rPr>
        <w:br w:type="page"/>
      </w:r>
      <w:r w:rsidR="00E36BC9" w:rsidRPr="00BA62A9">
        <w:rPr>
          <w:rFonts w:ascii="Times" w:eastAsia="Times New Roman" w:hAnsi="Times" w:cs="Times New Roman"/>
          <w:i/>
          <w:iCs/>
          <w:lang w:val="en-US" w:eastAsia="it-IT"/>
        </w:rPr>
        <w:lastRenderedPageBreak/>
        <w:t>Assessment of methodological quality</w:t>
      </w:r>
    </w:p>
    <w:p w14:paraId="2C54FEC3" w14:textId="012C505F" w:rsidR="00E36BC9" w:rsidRPr="00BA62A9" w:rsidRDefault="00E36BC9" w:rsidP="00E36BC9">
      <w:pPr>
        <w:spacing w:line="360" w:lineRule="auto"/>
        <w:ind w:hanging="2"/>
        <w:contextualSpacing/>
        <w:jc w:val="both"/>
        <w:rPr>
          <w:rFonts w:ascii="Times" w:eastAsia="Times New Roman" w:hAnsi="Times" w:cs="Times New Roman"/>
          <w:lang w:val="en-US" w:eastAsia="it-IT"/>
        </w:rPr>
      </w:pPr>
      <w:r w:rsidRPr="00BA62A9">
        <w:rPr>
          <w:rFonts w:ascii="Times" w:eastAsia="Times New Roman" w:hAnsi="Times" w:cs="Times New Roman"/>
          <w:lang w:val="en-US" w:eastAsia="it-IT"/>
        </w:rPr>
        <w:t xml:space="preserve">The </w:t>
      </w:r>
      <w:r w:rsidR="00485C96" w:rsidRPr="00BA62A9">
        <w:rPr>
          <w:rFonts w:ascii="Times" w:eastAsia="Times New Roman" w:hAnsi="Times" w:cs="Times New Roman"/>
          <w:lang w:val="en-US" w:eastAsia="it-IT"/>
        </w:rPr>
        <w:t>methodological</w:t>
      </w:r>
      <w:r w:rsidRPr="00BA62A9">
        <w:rPr>
          <w:rFonts w:ascii="Times" w:eastAsia="Times New Roman" w:hAnsi="Times" w:cs="Times New Roman"/>
          <w:lang w:val="en-US" w:eastAsia="it-IT"/>
        </w:rPr>
        <w:t xml:space="preserve"> quality of the included studies was assessed using a point system derived from Gbly and Videbech (2018)</w:t>
      </w:r>
      <w:r w:rsidR="007B1951" w:rsidRPr="00BA62A9">
        <w:rPr>
          <w:rFonts w:ascii="Times" w:eastAsia="Times New Roman" w:hAnsi="Times" w:cs="Times New Roman"/>
          <w:lang w:val="en-US" w:eastAsia="it-IT"/>
        </w:rPr>
        <w:t xml:space="preserve"> </w:t>
      </w:r>
      <w:sdt>
        <w:sdtPr>
          <w:rPr>
            <w:rFonts w:ascii="Times" w:eastAsia="Times New Roman" w:hAnsi="Times" w:cs="Times New Roman"/>
            <w:color w:val="000000"/>
            <w:lang w:val="en-US" w:eastAsia="it-IT"/>
          </w:rPr>
          <w:tag w:val="MENDELEY_CITATION_v3_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"/>
          <w:id w:val="1323390089"/>
          <w:placeholder>
            <w:docPart w:val="DefaultPlaceholder_-1854013440"/>
          </w:placeholder>
        </w:sdtPr>
        <w:sdtEndPr/>
        <w:sdtContent>
          <w:r w:rsidR="007B1951" w:rsidRPr="00BA62A9">
            <w:rPr>
              <w:rFonts w:ascii="Times" w:eastAsia="Times New Roman" w:hAnsi="Times" w:cs="Times New Roman"/>
              <w:color w:val="000000"/>
              <w:lang w:val="en-US" w:eastAsia="it-IT"/>
            </w:rPr>
            <w:t>(Gbyl and Videbech, 2018)</w:t>
          </w:r>
        </w:sdtContent>
      </w:sdt>
      <w:r w:rsidRPr="00BA62A9">
        <w:rPr>
          <w:rFonts w:ascii="Times" w:eastAsia="Times New Roman" w:hAnsi="Times" w:cs="Times New Roman"/>
          <w:lang w:val="en-US" w:eastAsia="it-IT"/>
        </w:rPr>
        <w:t>. The quality score consists of the following items: a) number of subjects (0,1 point was assigned for every subject enrolled); b) the presence of a control group (1 point was assigned for the presence of an age- and gender-matched group of healthy controls, additional 1 point for the presence of a control group of depressed patients not treated with ECT); c) the number of MRI scans the control group underwent (1 point assigned if the group was scanned twice or more); d) MRI scanner field strength (1 point for 3 Tesla); e) voxel size (1 point given for voxel size lower than 1</w:t>
      </w:r>
      <w:r w:rsidR="00157FA5" w:rsidRPr="00BA62A9">
        <w:rPr>
          <w:rFonts w:ascii="Times" w:eastAsia="Times New Roman" w:hAnsi="Times" w:cs="Times New Roman"/>
          <w:lang w:val="en-US" w:eastAsia="it-IT"/>
        </w:rPr>
        <w:t>.</w:t>
      </w:r>
      <w:r w:rsidRPr="00BA62A9">
        <w:rPr>
          <w:rFonts w:ascii="Times" w:eastAsia="Times New Roman" w:hAnsi="Times" w:cs="Times New Roman"/>
          <w:lang w:val="en-US" w:eastAsia="it-IT"/>
        </w:rPr>
        <w:t>0 mm</w:t>
      </w:r>
      <w:r w:rsidR="00485C96" w:rsidRPr="00BA62A9">
        <w:rPr>
          <w:rFonts w:ascii="Times" w:eastAsia="Times New Roman" w:hAnsi="Times" w:cs="Times New Roman"/>
          <w:vertAlign w:val="superscript"/>
          <w:lang w:val="en-US" w:eastAsia="it-IT"/>
        </w:rPr>
        <w:t>3</w:t>
      </w:r>
      <w:r w:rsidRPr="00BA62A9">
        <w:rPr>
          <w:rFonts w:ascii="Times" w:eastAsia="Times New Roman" w:hAnsi="Times" w:cs="Times New Roman"/>
          <w:lang w:val="en-US" w:eastAsia="it-IT"/>
        </w:rPr>
        <w:t xml:space="preserve">; f) medication status (1 point if subjects were not medicated or if medication had been washed out in &gt;80% of subjects before inclusion); g) consecutively collected sample (1 point was assigned if it was explicitly stated that a sample was collected in a consecutive way); h) duration of follow-up time (1 point for every MRI scan conducted later than 2 weeks after completion of the ECT series). The higher the score, the better the methodological quality. </w:t>
      </w:r>
    </w:p>
    <w:p w14:paraId="6B0ED073" w14:textId="2D123B59" w:rsidR="00E36BC9" w:rsidRPr="00BA62A9" w:rsidRDefault="00E36BC9">
      <w:pPr>
        <w:rPr>
          <w:rFonts w:ascii="Times New Roman" w:hAnsi="Times New Roman" w:cs="Times New Roman"/>
          <w:lang w:val="en-US"/>
        </w:rPr>
      </w:pPr>
      <w:r w:rsidRPr="00BA62A9">
        <w:rPr>
          <w:rFonts w:ascii="Times New Roman" w:hAnsi="Times New Roman" w:cs="Times New Roman"/>
          <w:lang w:val="en-US"/>
        </w:rPr>
        <w:br w:type="page"/>
      </w:r>
    </w:p>
    <w:p w14:paraId="32FBED49" w14:textId="4FD65733" w:rsidR="00E36BC9" w:rsidRPr="00BA62A9" w:rsidRDefault="00E36BC9" w:rsidP="00E36BC9">
      <w:pPr>
        <w:pStyle w:val="NormaleWeb"/>
        <w:shd w:val="clear" w:color="auto" w:fill="FFFFFF"/>
        <w:rPr>
          <w:rFonts w:ascii="Times" w:hAnsi="Times"/>
          <w:b/>
          <w:bCs/>
          <w:lang w:val="en-US"/>
        </w:rPr>
      </w:pPr>
      <w:r w:rsidRPr="00BA62A9">
        <w:rPr>
          <w:rFonts w:ascii="Times" w:hAnsi="Times"/>
          <w:b/>
          <w:bCs/>
          <w:lang w:val="en-US"/>
        </w:rPr>
        <w:lastRenderedPageBreak/>
        <w:t xml:space="preserve">Table S.1. Assessment of the methodological quality of the included studies. </w:t>
      </w: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150"/>
        <w:gridCol w:w="928"/>
        <w:gridCol w:w="883"/>
        <w:gridCol w:w="928"/>
        <w:gridCol w:w="928"/>
        <w:gridCol w:w="705"/>
        <w:gridCol w:w="1183"/>
        <w:gridCol w:w="1405"/>
        <w:gridCol w:w="994"/>
        <w:gridCol w:w="961"/>
      </w:tblGrid>
      <w:tr w:rsidR="00E36BC9" w:rsidRPr="00BA62A9" w14:paraId="7DF9AFBB" w14:textId="77777777" w:rsidTr="00C33978">
        <w:tc>
          <w:tcPr>
            <w:tcW w:w="1150" w:type="dxa"/>
            <w:shd w:val="clear" w:color="auto" w:fill="D9D9D9" w:themeFill="background1" w:themeFillShade="D9"/>
          </w:tcPr>
          <w:p w14:paraId="7980DAEC" w14:textId="6D99490D" w:rsidR="00E36BC9" w:rsidRPr="00BA62A9" w:rsidRDefault="00E36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F5B85AB" w14:textId="6AD7843F" w:rsidR="00E36BC9" w:rsidRPr="00BA62A9" w:rsidRDefault="00C339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2A9">
              <w:rPr>
                <w:rFonts w:ascii="Times" w:hAnsi="Times"/>
                <w:b/>
                <w:color w:val="000000"/>
              </w:rPr>
              <w:t>N°</w:t>
            </w:r>
            <w:r w:rsidR="00E36BC9" w:rsidRPr="00BA62A9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it-IT"/>
              </w:rPr>
              <w:t xml:space="preserve"> of subjects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523ED93" w14:textId="33A0E1F5" w:rsidR="00E36BC9" w:rsidRPr="00BA62A9" w:rsidRDefault="00E36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2A9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it-IT"/>
              </w:rPr>
              <w:t xml:space="preserve">Control group 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E5E154A" w14:textId="40EF7163" w:rsidR="00E36BC9" w:rsidRPr="00BA62A9" w:rsidRDefault="00C339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2A9">
              <w:rPr>
                <w:rFonts w:ascii="Times" w:hAnsi="Times"/>
                <w:b/>
                <w:color w:val="000000"/>
              </w:rPr>
              <w:t xml:space="preserve">N° </w:t>
            </w:r>
            <w:r w:rsidR="00E36BC9" w:rsidRPr="00BA62A9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it-IT"/>
              </w:rPr>
              <w:t xml:space="preserve">of MRI scans in the control group 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A639F82" w14:textId="64B8AAC3" w:rsidR="00E36BC9" w:rsidRPr="00BA62A9" w:rsidRDefault="00E36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2A9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it-IT"/>
              </w:rPr>
              <w:t xml:space="preserve">MRI scanner field strength 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3AEB2015" w14:textId="5ED6DD2B" w:rsidR="00E36BC9" w:rsidRPr="00BA62A9" w:rsidRDefault="00E36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2A9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it-IT"/>
              </w:rPr>
              <w:t xml:space="preserve">Voxel size 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693AA802" w14:textId="4AC2F1A8" w:rsidR="00E36BC9" w:rsidRPr="00BA62A9" w:rsidRDefault="00E36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2A9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it-IT"/>
              </w:rPr>
              <w:t xml:space="preserve">Medication status 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0A4C4187" w14:textId="0C9F0F83" w:rsidR="00E36BC9" w:rsidRPr="00BA62A9" w:rsidRDefault="00E36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2A9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it-IT"/>
              </w:rPr>
              <w:t>Consecutively collected sample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2A7A81A1" w14:textId="4BB53696" w:rsidR="00E36BC9" w:rsidRPr="00BA62A9" w:rsidRDefault="00E36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2A9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it-IT"/>
              </w:rPr>
              <w:t>Duration of follow-up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38CBD00F" w14:textId="7226A64E" w:rsidR="00E36BC9" w:rsidRPr="00BA62A9" w:rsidRDefault="00E36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quality score</w:t>
            </w:r>
          </w:p>
        </w:tc>
      </w:tr>
      <w:tr w:rsidR="00E36BC9" w:rsidRPr="00BA62A9" w14:paraId="1DCBE022" w14:textId="77777777" w:rsidTr="00C33978">
        <w:tc>
          <w:tcPr>
            <w:tcW w:w="1150" w:type="dxa"/>
          </w:tcPr>
          <w:p w14:paraId="6ED7826E" w14:textId="560A4935" w:rsidR="00E36BC9" w:rsidRPr="00BA62A9" w:rsidRDefault="00E36BC9" w:rsidP="00E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Pirnia et al., 2016</w:t>
            </w:r>
          </w:p>
        </w:tc>
        <w:tc>
          <w:tcPr>
            <w:tcW w:w="928" w:type="dxa"/>
          </w:tcPr>
          <w:p w14:paraId="5CB3AC92" w14:textId="660EAF09" w:rsidR="00E36BC9" w:rsidRPr="00BA62A9" w:rsidRDefault="00C33978" w:rsidP="00E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883" w:type="dxa"/>
          </w:tcPr>
          <w:p w14:paraId="73F04B8E" w14:textId="5C5DE50D" w:rsidR="00E36BC9" w:rsidRPr="00BA62A9" w:rsidRDefault="00C33978" w:rsidP="00E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648F83B7" w14:textId="19291C6F" w:rsidR="00E36BC9" w:rsidRPr="00BA62A9" w:rsidRDefault="00C33978" w:rsidP="00E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70BCEA5B" w14:textId="593499B3" w:rsidR="00E36BC9" w:rsidRPr="00BA62A9" w:rsidRDefault="00C33978" w:rsidP="00E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1A778DF6" w14:textId="000E0AF3" w:rsidR="00E36BC9" w:rsidRPr="00BA62A9" w:rsidRDefault="00C33978" w:rsidP="00E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778DD53B" w14:textId="35C6B68A" w:rsidR="00E36BC9" w:rsidRPr="00BA62A9" w:rsidRDefault="00C33978" w:rsidP="00E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173A217C" w14:textId="235590B2" w:rsidR="00E36BC9" w:rsidRPr="00BA62A9" w:rsidRDefault="00C33978" w:rsidP="00E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2C235EDA" w14:textId="249CC57F" w:rsidR="00E36BC9" w:rsidRPr="00BA62A9" w:rsidRDefault="00C33978" w:rsidP="00E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14:paraId="63FA8BA3" w14:textId="2B249F66" w:rsidR="00E36BC9" w:rsidRPr="00BA62A9" w:rsidRDefault="00C33978" w:rsidP="00E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</w:tr>
      <w:tr w:rsidR="00C33978" w:rsidRPr="00BA62A9" w14:paraId="399857F7" w14:textId="77777777" w:rsidTr="00C33978">
        <w:tc>
          <w:tcPr>
            <w:tcW w:w="1150" w:type="dxa"/>
          </w:tcPr>
          <w:p w14:paraId="1D4CEED9" w14:textId="63A74FB7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Sartorius et al., 2016</w:t>
            </w:r>
          </w:p>
        </w:tc>
        <w:tc>
          <w:tcPr>
            <w:tcW w:w="928" w:type="dxa"/>
          </w:tcPr>
          <w:p w14:paraId="2B73C8AF" w14:textId="37CC6C12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83" w:type="dxa"/>
          </w:tcPr>
          <w:p w14:paraId="13E6B0DA" w14:textId="385AC243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141B556B" w14:textId="0CDB617B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77A8A284" w14:textId="573756B1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1B6F8815" w14:textId="0105A82F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20C45749" w14:textId="5111CB6B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</w:tcPr>
          <w:p w14:paraId="27555434" w14:textId="32B5B87E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0F8C09B6" w14:textId="007378F1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14:paraId="0A5D5526" w14:textId="68F36DBF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C33978" w:rsidRPr="00BA62A9" w14:paraId="289D7CC7" w14:textId="77777777" w:rsidTr="00C33978">
        <w:tc>
          <w:tcPr>
            <w:tcW w:w="1150" w:type="dxa"/>
          </w:tcPr>
          <w:p w14:paraId="6E33CD7F" w14:textId="24AA1B0A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Van Eijndhoven et al., 2016</w:t>
            </w:r>
          </w:p>
        </w:tc>
        <w:tc>
          <w:tcPr>
            <w:tcW w:w="928" w:type="dxa"/>
          </w:tcPr>
          <w:p w14:paraId="545F72A7" w14:textId="26C4108A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83" w:type="dxa"/>
          </w:tcPr>
          <w:p w14:paraId="6CBE51B3" w14:textId="4ABB3594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5C51227B" w14:textId="0B03587E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2FA4BC73" w14:textId="1A669891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14:paraId="5DDE539A" w14:textId="6CF7AE64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353A3441" w14:textId="74EA299C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14F37E61" w14:textId="564B4C78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5C43FDC4" w14:textId="21C168BE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14:paraId="376B40B0" w14:textId="7F74CE81" w:rsidR="00C33978" w:rsidRPr="00BA62A9" w:rsidRDefault="00C33978" w:rsidP="00C33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157FA5" w:rsidRPr="00BA62A9" w14:paraId="47655CC0" w14:textId="77777777" w:rsidTr="00C33978">
        <w:tc>
          <w:tcPr>
            <w:tcW w:w="1150" w:type="dxa"/>
          </w:tcPr>
          <w:p w14:paraId="46886743" w14:textId="2CDC1644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Gbyl et al., 2019</w:t>
            </w:r>
          </w:p>
        </w:tc>
        <w:tc>
          <w:tcPr>
            <w:tcW w:w="928" w:type="dxa"/>
          </w:tcPr>
          <w:p w14:paraId="79EE40CA" w14:textId="2FA7368D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83" w:type="dxa"/>
          </w:tcPr>
          <w:p w14:paraId="44388237" w14:textId="362A5877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46E842FC" w14:textId="728069DB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575E9091" w14:textId="0A6EF90A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61DCEE67" w14:textId="2EA9B7A4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73B2DC8D" w14:textId="186D00F9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</w:tcPr>
          <w:p w14:paraId="2FC40615" w14:textId="6E1DF1B6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0E2A2D06" w14:textId="02E608E3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14:paraId="030DE70C" w14:textId="78B8743F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157FA5" w:rsidRPr="00BA62A9" w14:paraId="2475877E" w14:textId="77777777" w:rsidTr="00C33978">
        <w:tc>
          <w:tcPr>
            <w:tcW w:w="1150" w:type="dxa"/>
          </w:tcPr>
          <w:p w14:paraId="16A3FDBC" w14:textId="124EFB0F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Gryglewski et al., 2019</w:t>
            </w:r>
          </w:p>
        </w:tc>
        <w:tc>
          <w:tcPr>
            <w:tcW w:w="928" w:type="dxa"/>
          </w:tcPr>
          <w:p w14:paraId="2C49C075" w14:textId="7B0E3B4F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83" w:type="dxa"/>
          </w:tcPr>
          <w:p w14:paraId="246913F5" w14:textId="1190B10A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6E2F7478" w14:textId="4369DF29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2D9410F6" w14:textId="285FBAD2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245B8077" w14:textId="3FF6D217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655C1990" w14:textId="12177A55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</w:tcPr>
          <w:p w14:paraId="194D9C55" w14:textId="0DCEC217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51731563" w14:textId="4DEFA6AF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14:paraId="47084CC2" w14:textId="5CC64602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157FA5" w:rsidRPr="00BA62A9" w14:paraId="35DD3B92" w14:textId="77777777" w:rsidTr="00C33978">
        <w:tc>
          <w:tcPr>
            <w:tcW w:w="1150" w:type="dxa"/>
          </w:tcPr>
          <w:p w14:paraId="4BDBBE85" w14:textId="7B022571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Schmitgen et al., 2019</w:t>
            </w:r>
          </w:p>
        </w:tc>
        <w:tc>
          <w:tcPr>
            <w:tcW w:w="928" w:type="dxa"/>
          </w:tcPr>
          <w:p w14:paraId="4828D4AD" w14:textId="11B5AE3A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83" w:type="dxa"/>
          </w:tcPr>
          <w:p w14:paraId="6173BAF3" w14:textId="76E47E02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2FD7EEC5" w14:textId="4FA2F140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09EFC407" w14:textId="5E54A004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4E3FE675" w14:textId="7AE68914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0478ECE6" w14:textId="29BCC62D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</w:tcPr>
          <w:p w14:paraId="2E24F797" w14:textId="4FF8A048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5B3B32FF" w14:textId="7DDA6695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14:paraId="092043FF" w14:textId="03158ECC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157FA5" w:rsidRPr="00BA62A9" w14:paraId="3D886E33" w14:textId="77777777" w:rsidTr="00C33978">
        <w:tc>
          <w:tcPr>
            <w:tcW w:w="1150" w:type="dxa"/>
          </w:tcPr>
          <w:p w14:paraId="0282FBFF" w14:textId="35F87737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Xu et al., 2019</w:t>
            </w:r>
          </w:p>
        </w:tc>
        <w:tc>
          <w:tcPr>
            <w:tcW w:w="928" w:type="dxa"/>
          </w:tcPr>
          <w:p w14:paraId="760A136A" w14:textId="33FBBD42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83" w:type="dxa"/>
          </w:tcPr>
          <w:p w14:paraId="7B97C909" w14:textId="36C30777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090854E2" w14:textId="390DF76C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14:paraId="1FAD2A43" w14:textId="6F8B99CF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513AFCBE" w14:textId="7925C477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5EFEEBE6" w14:textId="4A0B8822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</w:tcPr>
          <w:p w14:paraId="74ACBF74" w14:textId="6613EAB5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2239AA5F" w14:textId="3E9E5F42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14:paraId="1949C147" w14:textId="19B9A8EB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157FA5" w:rsidRPr="00BA62A9" w14:paraId="7BFC4541" w14:textId="77777777" w:rsidTr="00C33978">
        <w:tc>
          <w:tcPr>
            <w:tcW w:w="1150" w:type="dxa"/>
          </w:tcPr>
          <w:p w14:paraId="65ED7891" w14:textId="17F9DBA2" w:rsidR="00157FA5" w:rsidRPr="00BA62A9" w:rsidRDefault="00157FA5" w:rsidP="00157FA5">
            <w:pPr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Yrondi et al., 2019</w:t>
            </w:r>
          </w:p>
        </w:tc>
        <w:tc>
          <w:tcPr>
            <w:tcW w:w="928" w:type="dxa"/>
          </w:tcPr>
          <w:p w14:paraId="62373189" w14:textId="4E22E7BA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83" w:type="dxa"/>
          </w:tcPr>
          <w:p w14:paraId="7A742CF5" w14:textId="18549B3A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55EDAB30" w14:textId="67D9B589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19CD37C4" w14:textId="59988AAA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70E1202F" w14:textId="38EF0157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079C9DF1" w14:textId="37726DBF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</w:tcPr>
          <w:p w14:paraId="1E63EB90" w14:textId="252014EC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7A50B1F3" w14:textId="5CB94DDA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14:paraId="04C7B1CA" w14:textId="30E463C6" w:rsidR="00157FA5" w:rsidRPr="00BA62A9" w:rsidRDefault="00157FA5" w:rsidP="0015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CA2AA7" w:rsidRPr="00BA62A9" w14:paraId="3D9D5A8C" w14:textId="77777777" w:rsidTr="00C33978">
        <w:tc>
          <w:tcPr>
            <w:tcW w:w="1150" w:type="dxa"/>
          </w:tcPr>
          <w:p w14:paraId="151190CD" w14:textId="3AC9603D" w:rsidR="00CA2AA7" w:rsidRPr="00BA62A9" w:rsidRDefault="00CA2AA7" w:rsidP="00CA2AA7">
            <w:pPr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Ji et al., 2022</w:t>
            </w:r>
          </w:p>
        </w:tc>
        <w:tc>
          <w:tcPr>
            <w:tcW w:w="928" w:type="dxa"/>
          </w:tcPr>
          <w:p w14:paraId="5DECB654" w14:textId="5A7DCAAB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883" w:type="dxa"/>
          </w:tcPr>
          <w:p w14:paraId="5D1B94A6" w14:textId="26D4D90A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06227FDF" w14:textId="4E972315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74904023" w14:textId="1729BD4A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5CF96C69" w14:textId="374F7F7F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67C0CEFC" w14:textId="7FDB0D24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</w:tcPr>
          <w:p w14:paraId="6AD18764" w14:textId="11940E66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0343EC1C" w14:textId="77F91D51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14:paraId="5FC5AD7C" w14:textId="2AE6AA75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</w:tr>
      <w:tr w:rsidR="00CA2AA7" w:rsidRPr="00BA62A9" w14:paraId="726B6C80" w14:textId="77777777" w:rsidTr="00C33978">
        <w:tc>
          <w:tcPr>
            <w:tcW w:w="1150" w:type="dxa"/>
          </w:tcPr>
          <w:p w14:paraId="7FF5609D" w14:textId="1E2E7186" w:rsidR="00CA2AA7" w:rsidRPr="00BA62A9" w:rsidRDefault="00CA2AA7" w:rsidP="00CA2AA7">
            <w:pPr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Bracht et al., 2023</w:t>
            </w:r>
          </w:p>
        </w:tc>
        <w:tc>
          <w:tcPr>
            <w:tcW w:w="928" w:type="dxa"/>
          </w:tcPr>
          <w:p w14:paraId="03885D5A" w14:textId="38325E50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883" w:type="dxa"/>
          </w:tcPr>
          <w:p w14:paraId="2171F1FB" w14:textId="00D3CD8D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14:paraId="2B5CEB13" w14:textId="7E7120A2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26B2F6EB" w14:textId="4C0C8E53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3AB765FF" w14:textId="4413470A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28D0AC33" w14:textId="3BE919B8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</w:tcPr>
          <w:p w14:paraId="686ADBB8" w14:textId="5ACF5C2D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667C0EB6" w14:textId="4BEC8D18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14:paraId="404D5966" w14:textId="44D47128" w:rsidR="00CA2AA7" w:rsidRPr="00BA62A9" w:rsidRDefault="00CA2AA7" w:rsidP="00CA2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2F7BA05F" w14:textId="03A9ABDA" w:rsidR="005D40E6" w:rsidRPr="00BA62A9" w:rsidRDefault="005D40E6">
      <w:pPr>
        <w:rPr>
          <w:rFonts w:ascii="Times New Roman" w:hAnsi="Times New Roman" w:cs="Times New Roman"/>
          <w:lang w:val="en-US"/>
        </w:rPr>
      </w:pPr>
    </w:p>
    <w:p w14:paraId="659B4E46" w14:textId="77777777" w:rsidR="00457526" w:rsidRPr="00BA62A9" w:rsidRDefault="005D40E6" w:rsidP="00457526">
      <w:pPr>
        <w:pStyle w:val="NormaleWeb"/>
        <w:shd w:val="clear" w:color="auto" w:fill="FFFFFF"/>
        <w:rPr>
          <w:rFonts w:ascii="Times" w:hAnsi="Times"/>
          <w:b/>
          <w:bCs/>
          <w:lang w:val="en-US"/>
        </w:rPr>
      </w:pPr>
      <w:r w:rsidRPr="00BA62A9">
        <w:rPr>
          <w:lang w:val="en-US"/>
        </w:rPr>
        <w:br w:type="page"/>
      </w:r>
      <w:r w:rsidR="00457526" w:rsidRPr="00BA62A9">
        <w:rPr>
          <w:rFonts w:ascii="Times" w:hAnsi="Times"/>
          <w:b/>
          <w:bCs/>
          <w:lang w:val="en-US"/>
        </w:rPr>
        <w:lastRenderedPageBreak/>
        <w:t xml:space="preserve">Table S.2. Clinical scales scores in the included subjects. </w:t>
      </w:r>
    </w:p>
    <w:p w14:paraId="1216B092" w14:textId="77777777" w:rsidR="00457526" w:rsidRPr="00BA62A9" w:rsidRDefault="00457526" w:rsidP="00457526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2"/>
        <w:gridCol w:w="1844"/>
        <w:gridCol w:w="6945"/>
      </w:tblGrid>
      <w:tr w:rsidR="00457526" w:rsidRPr="00BA62A9" w14:paraId="6B538B43" w14:textId="77777777" w:rsidTr="00773ACD">
        <w:trPr>
          <w:trHeight w:val="661"/>
        </w:trPr>
        <w:tc>
          <w:tcPr>
            <w:tcW w:w="992" w:type="dxa"/>
            <w:shd w:val="clear" w:color="auto" w:fill="D9D9D9" w:themeFill="background1" w:themeFillShade="D9"/>
          </w:tcPr>
          <w:p w14:paraId="0B807C0D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/>
                <w:color w:val="000000"/>
                <w:sz w:val="20"/>
                <w:szCs w:val="20"/>
              </w:rPr>
              <w:t>Author, year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5B23BC3D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left="-2"/>
              <w:contextualSpacing/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/>
                <w:color w:val="000000"/>
                <w:sz w:val="20"/>
                <w:szCs w:val="20"/>
              </w:rPr>
              <w:t>Subjects</w:t>
            </w:r>
            <w:r w:rsidRPr="00BA62A9">
              <w:rPr>
                <w:rFonts w:ascii="Times" w:hAnsi="Times"/>
                <w:b/>
                <w:sz w:val="20"/>
                <w:szCs w:val="20"/>
              </w:rPr>
              <w:t xml:space="preserve"> (M/F) </w:t>
            </w:r>
          </w:p>
        </w:tc>
        <w:tc>
          <w:tcPr>
            <w:tcW w:w="6945" w:type="dxa"/>
            <w:shd w:val="clear" w:color="auto" w:fill="D9D9D9" w:themeFill="background1" w:themeFillShade="D9"/>
          </w:tcPr>
          <w:p w14:paraId="04F94EE0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/>
                <w:color w:val="000000"/>
                <w:sz w:val="20"/>
                <w:szCs w:val="20"/>
              </w:rPr>
              <w:t>Clinical scales scores</w:t>
            </w:r>
          </w:p>
        </w:tc>
      </w:tr>
      <w:tr w:rsidR="00457526" w:rsidRPr="00675C15" w14:paraId="4280779C" w14:textId="77777777" w:rsidTr="00773ACD">
        <w:trPr>
          <w:trHeight w:val="680"/>
        </w:trPr>
        <w:tc>
          <w:tcPr>
            <w:tcW w:w="992" w:type="dxa"/>
            <w:vMerge w:val="restart"/>
          </w:tcPr>
          <w:p w14:paraId="7F1289C3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Pirnia et al., 2016</w:t>
            </w:r>
          </w:p>
        </w:tc>
        <w:tc>
          <w:tcPr>
            <w:tcW w:w="1844" w:type="dxa"/>
          </w:tcPr>
          <w:p w14:paraId="053C0AC9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Patients: 29 (11/18)</w:t>
            </w:r>
          </w:p>
        </w:tc>
        <w:tc>
          <w:tcPr>
            <w:tcW w:w="6945" w:type="dxa"/>
          </w:tcPr>
          <w:p w14:paraId="6B7667C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/>
                <w:color w:val="000000"/>
                <w:sz w:val="20"/>
                <w:szCs w:val="20"/>
              </w:rPr>
              <w:t>T1-T2-T3</w:t>
            </w:r>
          </w:p>
          <w:p w14:paraId="387753CB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HAM-D: 26.3 (4.93); 20.5 (6.47); 12.2 (8.26)</w:t>
            </w:r>
          </w:p>
          <w:p w14:paraId="54D6762D" w14:textId="77777777" w:rsidR="00457526" w:rsidRPr="00BA62A9" w:rsidRDefault="00457526" w:rsidP="00773ACD">
            <w:pPr>
              <w:ind w:hanging="2"/>
              <w:contextualSpacing/>
              <w:rPr>
                <w:rFonts w:ascii="Times" w:eastAsia="NSimSun" w:hAnsi="Times" w:cs="Lucida Sans"/>
                <w:bCs/>
                <w:color w:val="000000"/>
                <w:sz w:val="20"/>
                <w:szCs w:val="20"/>
                <w:lang w:eastAsia="zh-CN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MADRS: 40.6 (7.57); 32.6 (8.67); 15.6 (11.4)</w:t>
            </w:r>
          </w:p>
        </w:tc>
      </w:tr>
      <w:tr w:rsidR="00457526" w:rsidRPr="00BA62A9" w14:paraId="76B217E5" w14:textId="77777777" w:rsidTr="00773ACD">
        <w:trPr>
          <w:trHeight w:val="373"/>
        </w:trPr>
        <w:tc>
          <w:tcPr>
            <w:tcW w:w="992" w:type="dxa"/>
            <w:vMerge/>
          </w:tcPr>
          <w:p w14:paraId="55797EA7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0FCA47C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HC: 29 (13/16)</w:t>
            </w:r>
          </w:p>
        </w:tc>
        <w:tc>
          <w:tcPr>
            <w:tcW w:w="6945" w:type="dxa"/>
          </w:tcPr>
          <w:p w14:paraId="673EFE63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57526" w:rsidRPr="00675C15" w14:paraId="7F73C702" w14:textId="77777777" w:rsidTr="00773ACD">
        <w:trPr>
          <w:trHeight w:val="680"/>
        </w:trPr>
        <w:tc>
          <w:tcPr>
            <w:tcW w:w="992" w:type="dxa"/>
            <w:vMerge w:val="restart"/>
          </w:tcPr>
          <w:p w14:paraId="294B96AB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Sartorius et al., 2016</w:t>
            </w:r>
          </w:p>
        </w:tc>
        <w:tc>
          <w:tcPr>
            <w:tcW w:w="1844" w:type="dxa"/>
          </w:tcPr>
          <w:p w14:paraId="53DFD5F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Patients: 18 (9/9)</w:t>
            </w:r>
          </w:p>
        </w:tc>
        <w:tc>
          <w:tcPr>
            <w:tcW w:w="6945" w:type="dxa"/>
          </w:tcPr>
          <w:p w14:paraId="4D1F64C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 xml:space="preserve">HAM-D 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</w:rPr>
              <w:t>21</w:t>
            </w:r>
          </w:p>
          <w:p w14:paraId="486910A9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 xml:space="preserve">Pre-ECT: 31.8 (8.2) </w:t>
            </w:r>
          </w:p>
          <w:p w14:paraId="01B1075A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Post-ECT: 10.67 (7.3)</w:t>
            </w:r>
          </w:p>
        </w:tc>
      </w:tr>
      <w:tr w:rsidR="00457526" w:rsidRPr="00BA62A9" w14:paraId="410E5077" w14:textId="77777777" w:rsidTr="00773ACD">
        <w:trPr>
          <w:trHeight w:val="372"/>
        </w:trPr>
        <w:tc>
          <w:tcPr>
            <w:tcW w:w="992" w:type="dxa"/>
            <w:vMerge/>
          </w:tcPr>
          <w:p w14:paraId="17A6843A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A2B7012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HC:36 (18/18)</w:t>
            </w:r>
          </w:p>
        </w:tc>
        <w:tc>
          <w:tcPr>
            <w:tcW w:w="6945" w:type="dxa"/>
          </w:tcPr>
          <w:p w14:paraId="1F775BED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57526" w:rsidRPr="00BA62A9" w14:paraId="20787E51" w14:textId="77777777" w:rsidTr="00773ACD">
        <w:trPr>
          <w:trHeight w:val="845"/>
        </w:trPr>
        <w:tc>
          <w:tcPr>
            <w:tcW w:w="992" w:type="dxa"/>
            <w:vMerge w:val="restart"/>
          </w:tcPr>
          <w:p w14:paraId="5D31B600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Van Eijndhoven et al., 2016</w:t>
            </w:r>
          </w:p>
        </w:tc>
        <w:tc>
          <w:tcPr>
            <w:tcW w:w="1844" w:type="dxa"/>
          </w:tcPr>
          <w:p w14:paraId="572016DC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Patients: 23 (8/15)</w:t>
            </w:r>
          </w:p>
          <w:p w14:paraId="0519CF3E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</w:tcPr>
          <w:p w14:paraId="4A301E6B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HAM-D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</w:rPr>
              <w:t>17</w:t>
            </w:r>
          </w:p>
          <w:p w14:paraId="330BBEBF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Pre-ECT: 21.9 (5.3)</w:t>
            </w:r>
          </w:p>
          <w:p w14:paraId="64A170FD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Post-ECT: 12.6 (7.1)</w:t>
            </w:r>
          </w:p>
        </w:tc>
      </w:tr>
      <w:tr w:rsidR="00457526" w:rsidRPr="00BA62A9" w14:paraId="17D3AD7B" w14:textId="77777777" w:rsidTr="00773ACD">
        <w:trPr>
          <w:trHeight w:val="385"/>
        </w:trPr>
        <w:tc>
          <w:tcPr>
            <w:tcW w:w="992" w:type="dxa"/>
            <w:vMerge/>
          </w:tcPr>
          <w:p w14:paraId="4992AC30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AE48136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HC: 22 (8/14)</w:t>
            </w:r>
          </w:p>
        </w:tc>
        <w:tc>
          <w:tcPr>
            <w:tcW w:w="6945" w:type="dxa"/>
          </w:tcPr>
          <w:p w14:paraId="4B3DAAF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57526" w:rsidRPr="00BA62A9" w14:paraId="3BC7D7D6" w14:textId="77777777" w:rsidTr="00773ACD">
        <w:trPr>
          <w:trHeight w:val="877"/>
        </w:trPr>
        <w:tc>
          <w:tcPr>
            <w:tcW w:w="992" w:type="dxa"/>
          </w:tcPr>
          <w:p w14:paraId="2EB2F790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Gbyl et al., 2019</w:t>
            </w:r>
          </w:p>
        </w:tc>
        <w:tc>
          <w:tcPr>
            <w:tcW w:w="1844" w:type="dxa"/>
          </w:tcPr>
          <w:p w14:paraId="22D02BC7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Patients: 18 (8/10)</w:t>
            </w:r>
          </w:p>
          <w:p w14:paraId="272C2A5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</w:tcPr>
          <w:p w14:paraId="646021AB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/>
                <w:color w:val="000000"/>
                <w:sz w:val="20"/>
                <w:szCs w:val="20"/>
                <w:lang w:val="it-IT"/>
              </w:rPr>
            </w:pPr>
            <w:r w:rsidRPr="00BA62A9">
              <w:rPr>
                <w:rFonts w:ascii="Times" w:hAnsi="Times"/>
                <w:b/>
                <w:color w:val="000000"/>
                <w:sz w:val="20"/>
                <w:szCs w:val="20"/>
                <w:lang w:val="it-IT"/>
              </w:rPr>
              <w:t>T1-T2-T3</w:t>
            </w:r>
          </w:p>
          <w:p w14:paraId="56F87875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  <w:lang w:val="it-IT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lang w:val="it-IT"/>
              </w:rPr>
              <w:t>HAM-D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  <w:lang w:val="it-IT"/>
              </w:rPr>
              <w:t>17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lang w:val="it-IT"/>
              </w:rPr>
              <w:t>: 29.4 (95% CI: 26.6,32.3); 9.7 (95% CI: 6.8,12.5); 10.7 (95% CI: 7.6, 13.8)</w:t>
            </w:r>
          </w:p>
          <w:p w14:paraId="15320A75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  <w:lang w:val="it-IT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lang w:val="it-IT"/>
              </w:rPr>
              <w:t>HAM-D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  <w:lang w:val="it-IT"/>
              </w:rPr>
              <w:t>6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lang w:val="it-IT"/>
              </w:rPr>
              <w:t>: 14.2 (95% CI: 12.6,15.8); 5.1 (95% CI: 3.4, 6.7); 5.2 (95% CI: 3.4, 7.0)</w:t>
            </w:r>
          </w:p>
        </w:tc>
      </w:tr>
      <w:tr w:rsidR="00457526" w:rsidRPr="00BA62A9" w14:paraId="7585519B" w14:textId="77777777" w:rsidTr="00773ACD">
        <w:trPr>
          <w:trHeight w:val="138"/>
        </w:trPr>
        <w:tc>
          <w:tcPr>
            <w:tcW w:w="992" w:type="dxa"/>
          </w:tcPr>
          <w:p w14:paraId="7CB00275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Gryglewski et al., 2019</w:t>
            </w:r>
          </w:p>
        </w:tc>
        <w:tc>
          <w:tcPr>
            <w:tcW w:w="1844" w:type="dxa"/>
          </w:tcPr>
          <w:p w14:paraId="075B3AEB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 xml:space="preserve">Patients: 14 </w:t>
            </w:r>
          </w:p>
          <w:p w14:paraId="51EFF8F3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(3/11)</w:t>
            </w:r>
          </w:p>
          <w:p w14:paraId="7E2E693A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</w:tcPr>
          <w:p w14:paraId="5587C5F0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 xml:space="preserve">HAM-D 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</w:rPr>
              <w:t>17</w:t>
            </w:r>
          </w:p>
          <w:p w14:paraId="54C1695E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Pre-ECT: 25.4 (3.3)</w:t>
            </w:r>
          </w:p>
          <w:p w14:paraId="1AF42B8B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Post-ECT: 7.1 (4.2)</w:t>
            </w:r>
          </w:p>
          <w:p w14:paraId="243738A8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</w:tr>
      <w:tr w:rsidR="00457526" w:rsidRPr="00BA62A9" w14:paraId="2F377A38" w14:textId="77777777" w:rsidTr="00773ACD">
        <w:trPr>
          <w:trHeight w:val="660"/>
        </w:trPr>
        <w:tc>
          <w:tcPr>
            <w:tcW w:w="992" w:type="dxa"/>
            <w:vMerge w:val="restart"/>
          </w:tcPr>
          <w:p w14:paraId="16989994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Schmitgen et al., 2019</w:t>
            </w:r>
          </w:p>
        </w:tc>
        <w:tc>
          <w:tcPr>
            <w:tcW w:w="1844" w:type="dxa"/>
          </w:tcPr>
          <w:p w14:paraId="77487663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Patients: 12 (4/8)</w:t>
            </w:r>
          </w:p>
        </w:tc>
        <w:tc>
          <w:tcPr>
            <w:tcW w:w="6945" w:type="dxa"/>
          </w:tcPr>
          <w:p w14:paraId="31F2B9F0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 xml:space="preserve">HAM-D 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</w:rPr>
              <w:t>17</w:t>
            </w:r>
          </w:p>
          <w:p w14:paraId="47D3FD56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Pre-ECT: 26.8 (6.5)</w:t>
            </w:r>
          </w:p>
          <w:p w14:paraId="2AAA9B38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Post-ECT: 6.5 (3.9)</w:t>
            </w:r>
          </w:p>
          <w:p w14:paraId="6E11780D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</w:tr>
      <w:tr w:rsidR="00457526" w:rsidRPr="00BA62A9" w14:paraId="4B9679E6" w14:textId="77777777" w:rsidTr="00773ACD">
        <w:trPr>
          <w:trHeight w:val="432"/>
        </w:trPr>
        <w:tc>
          <w:tcPr>
            <w:tcW w:w="992" w:type="dxa"/>
            <w:vMerge/>
          </w:tcPr>
          <w:p w14:paraId="7E58749B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27E5C57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HC: 12 (4/8)</w:t>
            </w:r>
          </w:p>
        </w:tc>
        <w:tc>
          <w:tcPr>
            <w:tcW w:w="6945" w:type="dxa"/>
          </w:tcPr>
          <w:p w14:paraId="64A93D03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57526" w:rsidRPr="00BA62A9" w14:paraId="3547B4AD" w14:textId="77777777" w:rsidTr="00773ACD">
        <w:trPr>
          <w:trHeight w:val="565"/>
        </w:trPr>
        <w:tc>
          <w:tcPr>
            <w:tcW w:w="992" w:type="dxa"/>
          </w:tcPr>
          <w:p w14:paraId="66CF5647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Xu et al., 2019</w:t>
            </w:r>
          </w:p>
        </w:tc>
        <w:tc>
          <w:tcPr>
            <w:tcW w:w="1844" w:type="dxa"/>
          </w:tcPr>
          <w:p w14:paraId="3B2DC6F2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Patients: 23 (11/12)</w:t>
            </w:r>
          </w:p>
        </w:tc>
        <w:tc>
          <w:tcPr>
            <w:tcW w:w="6945" w:type="dxa"/>
          </w:tcPr>
          <w:p w14:paraId="663613FE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 xml:space="preserve">HAM-D 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</w:rPr>
              <w:t>17</w:t>
            </w:r>
          </w:p>
          <w:p w14:paraId="43A9EE8F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Pre-ECT: 22.2 (4.7)</w:t>
            </w:r>
          </w:p>
          <w:p w14:paraId="6931C46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Post-ECT: 3.8(2.2)</w:t>
            </w:r>
          </w:p>
        </w:tc>
      </w:tr>
      <w:tr w:rsidR="00457526" w:rsidRPr="00BA62A9" w14:paraId="3CF6BE91" w14:textId="77777777" w:rsidTr="00773ACD">
        <w:trPr>
          <w:trHeight w:val="394"/>
        </w:trPr>
        <w:tc>
          <w:tcPr>
            <w:tcW w:w="992" w:type="dxa"/>
            <w:vMerge w:val="restart"/>
          </w:tcPr>
          <w:p w14:paraId="1AEB18DB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Yrondi et al., 2019</w:t>
            </w:r>
          </w:p>
        </w:tc>
        <w:tc>
          <w:tcPr>
            <w:tcW w:w="1844" w:type="dxa"/>
          </w:tcPr>
          <w:p w14:paraId="48255264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Patients: 17 (NR)</w:t>
            </w:r>
          </w:p>
          <w:p w14:paraId="5AD68F15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</w:tcPr>
          <w:p w14:paraId="743C00C7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NR</w:t>
            </w:r>
          </w:p>
        </w:tc>
      </w:tr>
      <w:tr w:rsidR="00457526" w:rsidRPr="00BA62A9" w14:paraId="4C13C96E" w14:textId="77777777" w:rsidTr="00773ACD">
        <w:trPr>
          <w:trHeight w:val="343"/>
        </w:trPr>
        <w:tc>
          <w:tcPr>
            <w:tcW w:w="992" w:type="dxa"/>
            <w:vMerge/>
          </w:tcPr>
          <w:p w14:paraId="60F98648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FA16E8B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HC: 24 (NR)</w:t>
            </w:r>
          </w:p>
        </w:tc>
        <w:tc>
          <w:tcPr>
            <w:tcW w:w="6945" w:type="dxa"/>
          </w:tcPr>
          <w:p w14:paraId="4F1AA409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57526" w:rsidRPr="00BA62A9" w14:paraId="54977EC4" w14:textId="77777777" w:rsidTr="00773ACD">
        <w:trPr>
          <w:trHeight w:val="749"/>
        </w:trPr>
        <w:tc>
          <w:tcPr>
            <w:tcW w:w="992" w:type="dxa"/>
            <w:vMerge w:val="restart"/>
          </w:tcPr>
          <w:p w14:paraId="2E236AD6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Ji et al., 2023</w:t>
            </w:r>
          </w:p>
        </w:tc>
        <w:tc>
          <w:tcPr>
            <w:tcW w:w="1844" w:type="dxa"/>
          </w:tcPr>
          <w:p w14:paraId="1FC66079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Patients: 56 (12/44)</w:t>
            </w:r>
          </w:p>
        </w:tc>
        <w:tc>
          <w:tcPr>
            <w:tcW w:w="6945" w:type="dxa"/>
          </w:tcPr>
          <w:p w14:paraId="186FB56F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HAM-D</w:t>
            </w:r>
          </w:p>
          <w:p w14:paraId="10903500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Pre-ECT: 24.0 (6.3)</w:t>
            </w:r>
          </w:p>
          <w:p w14:paraId="074DF408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Post-ECT: 6.8 (5.6)</w:t>
            </w:r>
          </w:p>
        </w:tc>
      </w:tr>
      <w:tr w:rsidR="00457526" w:rsidRPr="00BA62A9" w14:paraId="7E95125C" w14:textId="77777777" w:rsidTr="00773ACD">
        <w:trPr>
          <w:trHeight w:val="749"/>
        </w:trPr>
        <w:tc>
          <w:tcPr>
            <w:tcW w:w="992" w:type="dxa"/>
            <w:vMerge/>
          </w:tcPr>
          <w:p w14:paraId="52E7175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67670C5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Patients: 40 (13/27)</w:t>
            </w:r>
          </w:p>
        </w:tc>
        <w:tc>
          <w:tcPr>
            <w:tcW w:w="6945" w:type="dxa"/>
          </w:tcPr>
          <w:p w14:paraId="08D0F017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HAM-D</w:t>
            </w:r>
          </w:p>
          <w:p w14:paraId="52975083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Pre-ECT: 22.5 (4.3)</w:t>
            </w:r>
          </w:p>
          <w:p w14:paraId="11F8873C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Post-ECT: 5.4 (4.8)</w:t>
            </w:r>
          </w:p>
          <w:p w14:paraId="0668D3E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</w:tr>
      <w:tr w:rsidR="00457526" w:rsidRPr="00BA62A9" w14:paraId="6653E45F" w14:textId="77777777" w:rsidTr="00773ACD">
        <w:trPr>
          <w:trHeight w:val="1540"/>
        </w:trPr>
        <w:tc>
          <w:tcPr>
            <w:tcW w:w="992" w:type="dxa"/>
            <w:vMerge w:val="restart"/>
          </w:tcPr>
          <w:p w14:paraId="37EE5965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Bracht et al., 2023</w:t>
            </w:r>
          </w:p>
        </w:tc>
        <w:tc>
          <w:tcPr>
            <w:tcW w:w="1844" w:type="dxa"/>
          </w:tcPr>
          <w:p w14:paraId="4DE848D7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Patients ECT: 20 (12/8)</w:t>
            </w:r>
          </w:p>
        </w:tc>
        <w:tc>
          <w:tcPr>
            <w:tcW w:w="6945" w:type="dxa"/>
          </w:tcPr>
          <w:p w14:paraId="633F2F14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 xml:space="preserve">HAM-D 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</w:rPr>
              <w:t>21</w:t>
            </w:r>
          </w:p>
          <w:p w14:paraId="09FDFD57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Pre-ECT: 21.4 (5.3)</w:t>
            </w:r>
          </w:p>
          <w:p w14:paraId="6FECBBBC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Post-ECT: 10.9 (8.1)</w:t>
            </w:r>
          </w:p>
          <w:p w14:paraId="67EAFFEC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sz w:val="20"/>
                <w:szCs w:val="20"/>
              </w:rPr>
              <w:t>BDI-II</w:t>
            </w:r>
          </w:p>
          <w:p w14:paraId="3D68FED7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Pre-ECT:</w:t>
            </w:r>
            <w:r w:rsidRPr="00BA62A9">
              <w:rPr>
                <w:rFonts w:ascii="Times" w:hAnsi="Times"/>
                <w:bCs/>
                <w:sz w:val="20"/>
                <w:szCs w:val="20"/>
              </w:rPr>
              <w:t xml:space="preserve"> 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30.6 (8.1)</w:t>
            </w:r>
          </w:p>
          <w:p w14:paraId="00054C7C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Post-ECT: 20.8 (10.3)</w:t>
            </w:r>
          </w:p>
        </w:tc>
      </w:tr>
      <w:tr w:rsidR="00457526" w:rsidRPr="00BA62A9" w14:paraId="06F65105" w14:textId="77777777" w:rsidTr="00773ACD">
        <w:trPr>
          <w:trHeight w:val="684"/>
        </w:trPr>
        <w:tc>
          <w:tcPr>
            <w:tcW w:w="992" w:type="dxa"/>
            <w:vMerge/>
          </w:tcPr>
          <w:p w14:paraId="3B6CFA9D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ED7222A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Patients TAU: 20</w:t>
            </w:r>
          </w:p>
          <w:p w14:paraId="7E4689E2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(6/14)</w:t>
            </w:r>
          </w:p>
        </w:tc>
        <w:tc>
          <w:tcPr>
            <w:tcW w:w="6945" w:type="dxa"/>
          </w:tcPr>
          <w:p w14:paraId="7324A12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 xml:space="preserve">HAM-D 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</w:rPr>
              <w:t>21</w:t>
            </w:r>
          </w:p>
          <w:p w14:paraId="5F465CC2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Baseline: 22.6 (5.1)</w:t>
            </w:r>
          </w:p>
          <w:p w14:paraId="29615C5D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Follow-up: 5.6 (3.2)</w:t>
            </w:r>
          </w:p>
          <w:p w14:paraId="1721261E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sz w:val="20"/>
                <w:szCs w:val="20"/>
              </w:rPr>
              <w:t xml:space="preserve">BDI-II </w:t>
            </w:r>
          </w:p>
          <w:p w14:paraId="6DC0079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Baseline: 26.8 (8.8)</w:t>
            </w:r>
          </w:p>
          <w:p w14:paraId="7AEF282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Follow-up: 13.1(8.4)</w:t>
            </w:r>
          </w:p>
          <w:p w14:paraId="43E36DC1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</w:tr>
      <w:tr w:rsidR="00457526" w:rsidRPr="00BA62A9" w14:paraId="65660DA4" w14:textId="77777777" w:rsidTr="00773ACD">
        <w:trPr>
          <w:trHeight w:val="127"/>
        </w:trPr>
        <w:tc>
          <w:tcPr>
            <w:tcW w:w="992" w:type="dxa"/>
            <w:vMerge/>
          </w:tcPr>
          <w:p w14:paraId="328EE05E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E424ECA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HC: 20 (12/8)</w:t>
            </w:r>
          </w:p>
        </w:tc>
        <w:tc>
          <w:tcPr>
            <w:tcW w:w="6945" w:type="dxa"/>
          </w:tcPr>
          <w:p w14:paraId="40D570A7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 xml:space="preserve">HAM-D </w:t>
            </w:r>
            <w:r w:rsidRPr="00BA62A9">
              <w:rPr>
                <w:rFonts w:ascii="Times" w:hAnsi="Times"/>
                <w:bCs/>
                <w:color w:val="000000"/>
                <w:sz w:val="20"/>
                <w:szCs w:val="20"/>
                <w:vertAlign w:val="subscript"/>
              </w:rPr>
              <w:t>21</w:t>
            </w:r>
          </w:p>
          <w:p w14:paraId="574F8544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Baseline: 0.65 (1.0)</w:t>
            </w:r>
          </w:p>
          <w:p w14:paraId="20B8704D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Follow-up 0.25 (0.8)</w:t>
            </w:r>
          </w:p>
          <w:p w14:paraId="5EB8F158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sz w:val="20"/>
                <w:szCs w:val="20"/>
              </w:rPr>
              <w:t xml:space="preserve">BDI-II </w:t>
            </w:r>
          </w:p>
          <w:p w14:paraId="780F9FB9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Baseline: 1.5 (2.4)</w:t>
            </w:r>
          </w:p>
          <w:p w14:paraId="0A6F657C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Follow-up: 1 (1.8)</w:t>
            </w:r>
          </w:p>
          <w:p w14:paraId="6E950176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</w:tr>
    </w:tbl>
    <w:p w14:paraId="17263D7F" w14:textId="77777777" w:rsidR="00457526" w:rsidRPr="00BA62A9" w:rsidRDefault="00457526" w:rsidP="00457526">
      <w:pPr>
        <w:ind w:left="2" w:hanging="2"/>
        <w:contextualSpacing/>
        <w:jc w:val="both"/>
        <w:rPr>
          <w:rFonts w:ascii="Times" w:hAnsi="Times"/>
          <w:color w:val="000000"/>
          <w:sz w:val="20"/>
          <w:szCs w:val="20"/>
          <w:lang w:val="en-US"/>
        </w:rPr>
      </w:pPr>
      <w:r w:rsidRPr="00BA62A9">
        <w:rPr>
          <w:rFonts w:ascii="Times" w:hAnsi="Times"/>
          <w:bCs/>
          <w:color w:val="000000"/>
          <w:sz w:val="20"/>
          <w:szCs w:val="20"/>
          <w:lang w:val="en-US"/>
        </w:rPr>
        <w:t xml:space="preserve">BDI-II: </w:t>
      </w:r>
      <w:r w:rsidRPr="00BA62A9">
        <w:rPr>
          <w:rFonts w:ascii="Times" w:hAnsi="Times"/>
          <w:sz w:val="20"/>
          <w:szCs w:val="20"/>
          <w:lang w:val="en-US"/>
        </w:rPr>
        <w:t xml:space="preserve">Beck depression inventory-II; </w:t>
      </w:r>
      <w:r w:rsidRPr="00BA62A9">
        <w:rPr>
          <w:rFonts w:ascii="Times" w:hAnsi="Times"/>
          <w:bCs/>
          <w:color w:val="000000"/>
          <w:sz w:val="20"/>
          <w:szCs w:val="20"/>
          <w:lang w:val="en-US"/>
        </w:rPr>
        <w:t xml:space="preserve">ECT: electroconvulsive therapy; </w:t>
      </w:r>
      <w:r w:rsidRPr="00BA62A9">
        <w:rPr>
          <w:rFonts w:ascii="Times" w:hAnsi="Times"/>
          <w:color w:val="000000"/>
          <w:sz w:val="20"/>
          <w:szCs w:val="20"/>
          <w:lang w:val="en-US"/>
        </w:rPr>
        <w:t>HAM-D: Hamilton rating scale for depression</w:t>
      </w:r>
      <w:r w:rsidRPr="00BA62A9">
        <w:rPr>
          <w:rFonts w:ascii="Times" w:hAnsi="Times"/>
          <w:bCs/>
          <w:color w:val="000000"/>
          <w:sz w:val="20"/>
          <w:szCs w:val="20"/>
          <w:lang w:val="en-US"/>
        </w:rPr>
        <w:t>; HC: healthy controls; MADRAS:</w:t>
      </w:r>
      <w:r w:rsidRPr="00BA62A9">
        <w:rPr>
          <w:rFonts w:ascii="Times" w:hAnsi="Times"/>
          <w:sz w:val="20"/>
          <w:szCs w:val="20"/>
          <w:lang w:val="en-US"/>
        </w:rPr>
        <w:t xml:space="preserve"> </w:t>
      </w:r>
      <w:r w:rsidRPr="00BA62A9">
        <w:rPr>
          <w:rFonts w:ascii="Times" w:hAnsi="Times"/>
          <w:bCs/>
          <w:color w:val="000000"/>
          <w:sz w:val="20"/>
          <w:szCs w:val="20"/>
          <w:lang w:val="en-US"/>
        </w:rPr>
        <w:t xml:space="preserve">Montgomery-Åsberg depression rating scales; NR: not reported; NA: not applicable; NR: not reported; TAU: treatment as usual; </w:t>
      </w:r>
      <w:r w:rsidRPr="00BA62A9">
        <w:rPr>
          <w:rFonts w:ascii="Times" w:hAnsi="Times"/>
          <w:color w:val="000000"/>
          <w:sz w:val="20"/>
          <w:szCs w:val="20"/>
          <w:lang w:val="en-US"/>
        </w:rPr>
        <w:t>TRD: treatment resistant depression.</w:t>
      </w:r>
    </w:p>
    <w:p w14:paraId="311200B6" w14:textId="77777777" w:rsidR="00457526" w:rsidRPr="00BA62A9" w:rsidRDefault="00457526" w:rsidP="00457526">
      <w:pPr>
        <w:rPr>
          <w:rFonts w:ascii="Times New Roman" w:hAnsi="Times New Roman" w:cs="Times New Roman"/>
          <w:lang w:val="en-US"/>
        </w:rPr>
      </w:pPr>
      <w:r w:rsidRPr="00BA62A9">
        <w:rPr>
          <w:rFonts w:ascii="Times New Roman" w:hAnsi="Times New Roman" w:cs="Times New Roman"/>
          <w:lang w:val="en-US"/>
        </w:rPr>
        <w:br w:type="page"/>
      </w:r>
    </w:p>
    <w:p w14:paraId="1AB21C36" w14:textId="77777777" w:rsidR="00457526" w:rsidRPr="00BA62A9" w:rsidRDefault="00457526" w:rsidP="00457526">
      <w:pPr>
        <w:pStyle w:val="NormaleWeb"/>
        <w:shd w:val="clear" w:color="auto" w:fill="FFFFFF"/>
        <w:rPr>
          <w:rFonts w:ascii="Times" w:hAnsi="Times"/>
          <w:b/>
          <w:bCs/>
          <w:lang w:val="en-US"/>
        </w:rPr>
      </w:pPr>
      <w:r w:rsidRPr="00BA62A9">
        <w:rPr>
          <w:rFonts w:ascii="Times" w:hAnsi="Times"/>
          <w:b/>
          <w:bCs/>
          <w:lang w:val="en-US"/>
        </w:rPr>
        <w:lastRenderedPageBreak/>
        <w:t>Table S.3. Statistical analyses in the included studies.</w:t>
      </w:r>
    </w:p>
    <w:p w14:paraId="3DF11224" w14:textId="77777777" w:rsidR="00457526" w:rsidRPr="00BA62A9" w:rsidRDefault="00457526" w:rsidP="00457526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8364"/>
      </w:tblGrid>
      <w:tr w:rsidR="00457526" w:rsidRPr="00BA62A9" w14:paraId="3C51E845" w14:textId="77777777" w:rsidTr="00773ACD">
        <w:trPr>
          <w:trHeight w:val="661"/>
        </w:trPr>
        <w:tc>
          <w:tcPr>
            <w:tcW w:w="1276" w:type="dxa"/>
            <w:shd w:val="clear" w:color="auto" w:fill="D9D9D9" w:themeFill="background1" w:themeFillShade="D9"/>
          </w:tcPr>
          <w:p w14:paraId="6451D6B4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/>
                <w:color w:val="000000"/>
                <w:sz w:val="20"/>
                <w:szCs w:val="20"/>
              </w:rPr>
              <w:t>Author, year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32A69940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/>
                <w:bCs/>
                <w:sz w:val="20"/>
                <w:szCs w:val="20"/>
              </w:rPr>
              <w:t>Statistical analyses</w:t>
            </w:r>
          </w:p>
        </w:tc>
      </w:tr>
      <w:tr w:rsidR="00457526" w:rsidRPr="00BA62A9" w14:paraId="10D9A15A" w14:textId="77777777" w:rsidTr="00773ACD">
        <w:trPr>
          <w:trHeight w:val="488"/>
        </w:trPr>
        <w:tc>
          <w:tcPr>
            <w:tcW w:w="1276" w:type="dxa"/>
          </w:tcPr>
          <w:p w14:paraId="2D486580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Pirnia et al., 2016</w:t>
            </w:r>
          </w:p>
        </w:tc>
        <w:tc>
          <w:tcPr>
            <w:tcW w:w="8364" w:type="dxa"/>
          </w:tcPr>
          <w:p w14:paraId="4D6AAF73" w14:textId="77777777" w:rsidR="00457526" w:rsidRPr="00BA62A9" w:rsidRDefault="00457526" w:rsidP="00773ACD">
            <w:pPr>
              <w:pStyle w:val="NormaleWeb"/>
              <w:contextualSpacing/>
              <w:rPr>
                <w:rFonts w:ascii="Times" w:hAnsi="Times"/>
                <w:sz w:val="20"/>
                <w:szCs w:val="20"/>
              </w:rPr>
            </w:pPr>
            <w:r w:rsidRPr="00BA62A9">
              <w:rPr>
                <w:rFonts w:ascii="Times" w:hAnsi="Times"/>
                <w:sz w:val="20"/>
                <w:szCs w:val="20"/>
              </w:rPr>
              <w:t xml:space="preserve">Significance was set at p &lt; 0.005 with FDR correction for multiple comparisons. </w:t>
            </w:r>
          </w:p>
        </w:tc>
      </w:tr>
      <w:tr w:rsidR="00457526" w:rsidRPr="00BA62A9" w14:paraId="58789304" w14:textId="77777777" w:rsidTr="00773ACD">
        <w:trPr>
          <w:trHeight w:val="912"/>
        </w:trPr>
        <w:tc>
          <w:tcPr>
            <w:tcW w:w="1276" w:type="dxa"/>
          </w:tcPr>
          <w:p w14:paraId="080FB39E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Sartorius et al., 2016</w:t>
            </w:r>
          </w:p>
        </w:tc>
        <w:tc>
          <w:tcPr>
            <w:tcW w:w="8364" w:type="dxa"/>
          </w:tcPr>
          <w:p w14:paraId="5D6A7788" w14:textId="77777777" w:rsidR="00457526" w:rsidRPr="00BA62A9" w:rsidRDefault="00457526" w:rsidP="00773ACD">
            <w:pPr>
              <w:pStyle w:val="NormaleWeb"/>
              <w:contextualSpacing/>
              <w:rPr>
                <w:rFonts w:ascii="Times" w:hAnsi="Times"/>
                <w:sz w:val="20"/>
                <w:szCs w:val="20"/>
              </w:rPr>
            </w:pPr>
            <w:r w:rsidRPr="00BA62A9">
              <w:rPr>
                <w:rFonts w:ascii="Times" w:hAnsi="Times"/>
                <w:sz w:val="20"/>
                <w:szCs w:val="20"/>
              </w:rPr>
              <w:t>A threshold of p = 0.05 FWE corrected on cluster level with a cluster building threshold of p = 0.001 uncorrected was used.</w:t>
            </w:r>
          </w:p>
        </w:tc>
      </w:tr>
      <w:tr w:rsidR="00457526" w:rsidRPr="00BA62A9" w14:paraId="12E33ED4" w14:textId="77777777" w:rsidTr="00773ACD">
        <w:trPr>
          <w:trHeight w:val="1047"/>
        </w:trPr>
        <w:tc>
          <w:tcPr>
            <w:tcW w:w="1276" w:type="dxa"/>
          </w:tcPr>
          <w:p w14:paraId="24ACEEE6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Van Eijndhoven et al., 2016</w:t>
            </w:r>
          </w:p>
        </w:tc>
        <w:tc>
          <w:tcPr>
            <w:tcW w:w="8364" w:type="dxa"/>
          </w:tcPr>
          <w:p w14:paraId="1955BD5B" w14:textId="77777777" w:rsidR="00457526" w:rsidRPr="00BA62A9" w:rsidRDefault="00457526" w:rsidP="00773ACD">
            <w:pPr>
              <w:pStyle w:val="NormaleWeb"/>
              <w:contextualSpacing/>
              <w:rPr>
                <w:rFonts w:ascii="Times" w:hAnsi="Times"/>
                <w:sz w:val="20"/>
                <w:szCs w:val="20"/>
              </w:rPr>
            </w:pPr>
            <w:r w:rsidRPr="00BA62A9">
              <w:rPr>
                <w:rFonts w:ascii="Times" w:hAnsi="Times"/>
                <w:sz w:val="20"/>
                <w:szCs w:val="20"/>
              </w:rPr>
              <w:t>Correction for multiple comparisons was applied by clusterwise correction, based on Monte Carlo Z simulation (threshold 0.005)</w:t>
            </w:r>
          </w:p>
          <w:p w14:paraId="094E10B2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jc w:val="both"/>
              <w:rPr>
                <w:rFonts w:ascii="Times" w:hAnsi="Times"/>
                <w:bCs/>
                <w:color w:val="000000"/>
                <w:sz w:val="20"/>
                <w:szCs w:val="20"/>
              </w:rPr>
            </w:pPr>
          </w:p>
        </w:tc>
      </w:tr>
      <w:tr w:rsidR="00457526" w:rsidRPr="00BA62A9" w14:paraId="1652B40C" w14:textId="77777777" w:rsidTr="00773ACD">
        <w:trPr>
          <w:trHeight w:val="693"/>
        </w:trPr>
        <w:tc>
          <w:tcPr>
            <w:tcW w:w="1276" w:type="dxa"/>
          </w:tcPr>
          <w:p w14:paraId="32EE0D67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Gbyl et al., 2019</w:t>
            </w:r>
          </w:p>
        </w:tc>
        <w:tc>
          <w:tcPr>
            <w:tcW w:w="8364" w:type="dxa"/>
          </w:tcPr>
          <w:p w14:paraId="7184FFB5" w14:textId="77777777" w:rsidR="00457526" w:rsidRPr="00BA62A9" w:rsidRDefault="00457526" w:rsidP="00773ACD">
            <w:pPr>
              <w:pStyle w:val="NormaleWeb"/>
              <w:contextualSpacing/>
              <w:rPr>
                <w:rFonts w:ascii="Times" w:hAnsi="Times"/>
                <w:sz w:val="20"/>
                <w:szCs w:val="20"/>
              </w:rPr>
            </w:pPr>
            <w:r w:rsidRPr="00BA62A9">
              <w:rPr>
                <w:rFonts w:ascii="Times" w:hAnsi="Times"/>
                <w:sz w:val="20"/>
                <w:szCs w:val="20"/>
              </w:rPr>
              <w:t xml:space="preserve">Significance was set at p &lt; 0.05 with </w:t>
            </w:r>
            <w:r w:rsidRPr="00BA62A9">
              <w:rPr>
                <w:rFonts w:ascii="Times" w:hAnsi="Times" w:cs="Calibri"/>
                <w:sz w:val="20"/>
                <w:szCs w:val="20"/>
              </w:rPr>
              <w:t xml:space="preserve">the Benjamini-Hochberg FDR </w:t>
            </w:r>
            <w:r w:rsidRPr="00BA62A9">
              <w:rPr>
                <w:rFonts w:ascii="Times" w:hAnsi="Times"/>
                <w:sz w:val="20"/>
                <w:szCs w:val="20"/>
              </w:rPr>
              <w:t>correction for multiple comparisons.</w:t>
            </w:r>
          </w:p>
        </w:tc>
      </w:tr>
      <w:tr w:rsidR="00457526" w:rsidRPr="00BA62A9" w14:paraId="09B71A0A" w14:textId="77777777" w:rsidTr="009451DF">
        <w:trPr>
          <w:trHeight w:val="1114"/>
        </w:trPr>
        <w:tc>
          <w:tcPr>
            <w:tcW w:w="1276" w:type="dxa"/>
          </w:tcPr>
          <w:p w14:paraId="7DD1FC68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Gryglewski et al., 2019</w:t>
            </w:r>
          </w:p>
        </w:tc>
        <w:tc>
          <w:tcPr>
            <w:tcW w:w="8364" w:type="dxa"/>
          </w:tcPr>
          <w:p w14:paraId="7BCD2FFE" w14:textId="77777777" w:rsidR="00457526" w:rsidRPr="00BA62A9" w:rsidRDefault="00457526" w:rsidP="00773ACD">
            <w:pPr>
              <w:pStyle w:val="NormaleWeb"/>
              <w:contextualSpacing/>
              <w:rPr>
                <w:rFonts w:ascii="Times" w:hAnsi="Times"/>
                <w:color w:val="211E1E"/>
                <w:sz w:val="20"/>
                <w:szCs w:val="20"/>
              </w:rPr>
            </w:pPr>
            <w:r w:rsidRPr="00BA62A9">
              <w:rPr>
                <w:rFonts w:ascii="Times" w:hAnsi="Times"/>
                <w:color w:val="211E1E"/>
                <w:sz w:val="20"/>
                <w:szCs w:val="20"/>
              </w:rPr>
              <w:t xml:space="preserve">Bonferroni correction for FWE by multiplying p-values with the number of regions (34 for cortical areas) was used. Results were considered significant at an FWE-corrected probability of type I error of α ≤ 0.05.  Trend-level effects were reported after controlling </w:t>
            </w:r>
            <w:r w:rsidRPr="00BA62A9">
              <w:rPr>
                <w:rFonts w:ascii="Times" w:hAnsi="Times"/>
                <w:sz w:val="20"/>
                <w:szCs w:val="20"/>
              </w:rPr>
              <w:t xml:space="preserve">with </w:t>
            </w:r>
            <w:r w:rsidRPr="00BA62A9">
              <w:rPr>
                <w:rFonts w:ascii="Times" w:hAnsi="Times" w:cs="Calibri"/>
                <w:sz w:val="20"/>
                <w:szCs w:val="20"/>
              </w:rPr>
              <w:t xml:space="preserve">the Benjamini-Hochberg FDR </w:t>
            </w:r>
            <w:r w:rsidRPr="00BA62A9">
              <w:rPr>
                <w:rFonts w:ascii="Times" w:hAnsi="Times"/>
                <w:sz w:val="20"/>
                <w:szCs w:val="20"/>
              </w:rPr>
              <w:t>correction for multiple comparisons</w:t>
            </w:r>
            <w:r w:rsidRPr="00BA62A9">
              <w:rPr>
                <w:rFonts w:ascii="Times" w:hAnsi="Times"/>
                <w:color w:val="211E1E"/>
                <w:sz w:val="20"/>
                <w:szCs w:val="20"/>
              </w:rPr>
              <w:t xml:space="preserve"> at a level of</w:t>
            </w:r>
            <w:r w:rsidRPr="00BA62A9">
              <w:rPr>
                <w:rFonts w:ascii="Times" w:hAnsi="Times"/>
                <w:sz w:val="20"/>
                <w:szCs w:val="20"/>
              </w:rPr>
              <w:t xml:space="preserve"> p &lt; 0.05.</w:t>
            </w:r>
          </w:p>
        </w:tc>
      </w:tr>
      <w:tr w:rsidR="00457526" w:rsidRPr="00BA62A9" w14:paraId="5EBD2D53" w14:textId="77777777" w:rsidTr="00773ACD">
        <w:trPr>
          <w:trHeight w:val="901"/>
        </w:trPr>
        <w:tc>
          <w:tcPr>
            <w:tcW w:w="1276" w:type="dxa"/>
          </w:tcPr>
          <w:p w14:paraId="506EA15D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Schmitgen et al., 2019</w:t>
            </w:r>
          </w:p>
        </w:tc>
        <w:tc>
          <w:tcPr>
            <w:tcW w:w="8364" w:type="dxa"/>
          </w:tcPr>
          <w:p w14:paraId="3F313B4F" w14:textId="77777777" w:rsidR="00457526" w:rsidRPr="00BA62A9" w:rsidRDefault="00457526" w:rsidP="00773ACD">
            <w:pPr>
              <w:pStyle w:val="NormaleWeb"/>
              <w:contextualSpacing/>
              <w:rPr>
                <w:rFonts w:ascii="Times" w:hAnsi="Times"/>
                <w:sz w:val="20"/>
                <w:szCs w:val="20"/>
              </w:rPr>
            </w:pPr>
            <w:r w:rsidRPr="00BA62A9">
              <w:rPr>
                <w:rFonts w:ascii="Times" w:hAnsi="Times"/>
                <w:sz w:val="20"/>
                <w:szCs w:val="20"/>
              </w:rPr>
              <w:t>Significance was set at p &lt; 0.05 uncorrected.</w:t>
            </w:r>
          </w:p>
        </w:tc>
      </w:tr>
      <w:tr w:rsidR="00457526" w:rsidRPr="00BA62A9" w14:paraId="7A466041" w14:textId="77777777" w:rsidTr="00773ACD">
        <w:trPr>
          <w:trHeight w:val="836"/>
        </w:trPr>
        <w:tc>
          <w:tcPr>
            <w:tcW w:w="1276" w:type="dxa"/>
          </w:tcPr>
          <w:p w14:paraId="1A80AB03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Xu et al., 2019</w:t>
            </w:r>
          </w:p>
        </w:tc>
        <w:tc>
          <w:tcPr>
            <w:tcW w:w="8364" w:type="dxa"/>
          </w:tcPr>
          <w:p w14:paraId="552D4E1B" w14:textId="77777777" w:rsidR="00457526" w:rsidRPr="00BA62A9" w:rsidRDefault="00457526" w:rsidP="00773ACD">
            <w:pPr>
              <w:pStyle w:val="NormaleWeb"/>
              <w:numPr>
                <w:ilvl w:val="0"/>
                <w:numId w:val="10"/>
              </w:numPr>
              <w:contextualSpacing/>
              <w:rPr>
                <w:rFonts w:ascii="Times" w:hAnsi="Times"/>
                <w:sz w:val="20"/>
                <w:szCs w:val="20"/>
              </w:rPr>
            </w:pPr>
            <w:r w:rsidRPr="00BA62A9">
              <w:rPr>
                <w:rFonts w:ascii="Times" w:hAnsi="Times"/>
                <w:sz w:val="20"/>
                <w:szCs w:val="20"/>
              </w:rPr>
              <w:t xml:space="preserve">Vertex-wise SBM analyses: results were corrected for multiple comparisons using Monte Carlo simulation (a pre- cached cluster-wise level of p &lt; 0.05, a voxel-wise level of p &lt; 0.001). </w:t>
            </w:r>
          </w:p>
          <w:p w14:paraId="461A4E9B" w14:textId="77777777" w:rsidR="00457526" w:rsidRPr="00BA62A9" w:rsidRDefault="00457526" w:rsidP="00773ACD">
            <w:pPr>
              <w:pStyle w:val="NormaleWeb"/>
              <w:numPr>
                <w:ilvl w:val="0"/>
                <w:numId w:val="10"/>
              </w:numPr>
              <w:contextualSpacing/>
              <w:rPr>
                <w:rFonts w:ascii="Times" w:hAnsi="Times"/>
                <w:sz w:val="20"/>
                <w:szCs w:val="20"/>
              </w:rPr>
            </w:pPr>
            <w:r w:rsidRPr="00BA62A9">
              <w:rPr>
                <w:rFonts w:ascii="Times" w:hAnsi="Times"/>
                <w:sz w:val="20"/>
                <w:szCs w:val="20"/>
              </w:rPr>
              <w:t xml:space="preserve">Regional CT analyses: a Bonferroni correction with p &lt; 0.05/68 was used. </w:t>
            </w:r>
          </w:p>
        </w:tc>
      </w:tr>
      <w:tr w:rsidR="00457526" w:rsidRPr="00BA62A9" w14:paraId="4E73A3A7" w14:textId="77777777" w:rsidTr="00773ACD">
        <w:trPr>
          <w:trHeight w:val="605"/>
        </w:trPr>
        <w:tc>
          <w:tcPr>
            <w:tcW w:w="1276" w:type="dxa"/>
          </w:tcPr>
          <w:p w14:paraId="78E7968B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Yrondi et al., 2019</w:t>
            </w:r>
          </w:p>
        </w:tc>
        <w:tc>
          <w:tcPr>
            <w:tcW w:w="8364" w:type="dxa"/>
          </w:tcPr>
          <w:p w14:paraId="67875924" w14:textId="77777777" w:rsidR="00457526" w:rsidRPr="00BA62A9" w:rsidRDefault="00457526" w:rsidP="00773ACD">
            <w:pPr>
              <w:pStyle w:val="NormaleWeb"/>
              <w:contextualSpacing/>
              <w:rPr>
                <w:rFonts w:ascii="Times" w:hAnsi="Times"/>
                <w:sz w:val="20"/>
                <w:szCs w:val="20"/>
              </w:rPr>
            </w:pPr>
            <w:r w:rsidRPr="00BA62A9">
              <w:rPr>
                <w:rFonts w:ascii="Times" w:hAnsi="Times"/>
                <w:sz w:val="20"/>
                <w:szCs w:val="20"/>
              </w:rPr>
              <w:t xml:space="preserve">Significance was set at p &lt; 0.005 with FDR correction for multiple comparisons. </w:t>
            </w:r>
          </w:p>
        </w:tc>
      </w:tr>
      <w:tr w:rsidR="00457526" w:rsidRPr="00BA62A9" w14:paraId="18044A0C" w14:textId="77777777" w:rsidTr="00773ACD">
        <w:trPr>
          <w:trHeight w:val="546"/>
        </w:trPr>
        <w:tc>
          <w:tcPr>
            <w:tcW w:w="1276" w:type="dxa"/>
          </w:tcPr>
          <w:p w14:paraId="455A14E2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Ji et al., 2023</w:t>
            </w:r>
          </w:p>
        </w:tc>
        <w:tc>
          <w:tcPr>
            <w:tcW w:w="8364" w:type="dxa"/>
          </w:tcPr>
          <w:p w14:paraId="2BE00C6D" w14:textId="77777777" w:rsidR="00457526" w:rsidRPr="00BA62A9" w:rsidRDefault="00457526" w:rsidP="00773ACD">
            <w:pPr>
              <w:pStyle w:val="NormaleWeb"/>
              <w:contextualSpacing/>
              <w:rPr>
                <w:rFonts w:ascii="Times" w:hAnsi="Times"/>
                <w:sz w:val="20"/>
                <w:szCs w:val="20"/>
              </w:rPr>
            </w:pPr>
            <w:r w:rsidRPr="00BA62A9">
              <w:rPr>
                <w:rFonts w:ascii="Times" w:hAnsi="Times"/>
                <w:sz w:val="20"/>
                <w:szCs w:val="20"/>
              </w:rPr>
              <w:t xml:space="preserve">Significance was set at p &lt; 0.005 with false FDR correction for multiple comparisons. </w:t>
            </w:r>
          </w:p>
          <w:p w14:paraId="4D4981C5" w14:textId="77777777" w:rsidR="00457526" w:rsidRPr="00BA62A9" w:rsidRDefault="00457526" w:rsidP="00773ACD">
            <w:pPr>
              <w:pStyle w:val="NormaleWeb"/>
              <w:contextualSpacing/>
              <w:rPr>
                <w:rFonts w:ascii="Times" w:hAnsi="Times"/>
                <w:sz w:val="20"/>
                <w:szCs w:val="20"/>
              </w:rPr>
            </w:pPr>
          </w:p>
        </w:tc>
      </w:tr>
      <w:tr w:rsidR="00457526" w:rsidRPr="00BA62A9" w14:paraId="1F6CAE9D" w14:textId="77777777" w:rsidTr="00773ACD">
        <w:trPr>
          <w:trHeight w:val="546"/>
        </w:trPr>
        <w:tc>
          <w:tcPr>
            <w:tcW w:w="1276" w:type="dxa"/>
          </w:tcPr>
          <w:p w14:paraId="77995BEA" w14:textId="77777777" w:rsidR="00457526" w:rsidRPr="00BA62A9" w:rsidRDefault="00457526" w:rsidP="0077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ind w:hanging="2"/>
              <w:contextualSpacing/>
              <w:rPr>
                <w:rFonts w:ascii="Times" w:hAnsi="Times"/>
                <w:bCs/>
                <w:color w:val="000000"/>
                <w:sz w:val="20"/>
                <w:szCs w:val="20"/>
              </w:rPr>
            </w:pPr>
            <w:r w:rsidRPr="00BA62A9">
              <w:rPr>
                <w:rFonts w:ascii="Times" w:hAnsi="Times"/>
                <w:bCs/>
                <w:color w:val="000000"/>
                <w:sz w:val="20"/>
                <w:szCs w:val="20"/>
              </w:rPr>
              <w:t>Bracht et al., 2023</w:t>
            </w:r>
          </w:p>
        </w:tc>
        <w:tc>
          <w:tcPr>
            <w:tcW w:w="8364" w:type="dxa"/>
          </w:tcPr>
          <w:p w14:paraId="51680AA1" w14:textId="77777777" w:rsidR="00457526" w:rsidRPr="00BA62A9" w:rsidRDefault="00457526" w:rsidP="00773ACD">
            <w:pPr>
              <w:pStyle w:val="NormaleWeb"/>
              <w:contextualSpacing/>
              <w:rPr>
                <w:rFonts w:ascii="Times" w:hAnsi="Times"/>
                <w:sz w:val="20"/>
                <w:szCs w:val="20"/>
              </w:rPr>
            </w:pPr>
            <w:r w:rsidRPr="00BA62A9">
              <w:rPr>
                <w:rFonts w:ascii="Times" w:hAnsi="Times"/>
                <w:sz w:val="20"/>
                <w:szCs w:val="20"/>
              </w:rPr>
              <w:t xml:space="preserve">All tests were two-tailed and a level of significance of p &lt; 0.05 was applied. </w:t>
            </w:r>
          </w:p>
        </w:tc>
      </w:tr>
    </w:tbl>
    <w:p w14:paraId="277374A2" w14:textId="77777777" w:rsidR="00457526" w:rsidRPr="00B02C66" w:rsidRDefault="00457526" w:rsidP="00457526">
      <w:pPr>
        <w:ind w:left="2" w:hanging="2"/>
        <w:contextualSpacing/>
        <w:jc w:val="both"/>
        <w:rPr>
          <w:rFonts w:ascii="Times" w:hAnsi="Times"/>
          <w:color w:val="000000"/>
          <w:sz w:val="20"/>
          <w:szCs w:val="20"/>
          <w:lang w:val="en-US"/>
        </w:rPr>
      </w:pPr>
      <w:r w:rsidRPr="00BA62A9">
        <w:rPr>
          <w:rFonts w:ascii="Times" w:hAnsi="Times"/>
          <w:bCs/>
          <w:color w:val="000000"/>
          <w:sz w:val="20"/>
          <w:szCs w:val="20"/>
          <w:lang w:val="en-US"/>
        </w:rPr>
        <w:t xml:space="preserve">BDI-II: </w:t>
      </w:r>
      <w:r w:rsidRPr="00BA62A9">
        <w:rPr>
          <w:rFonts w:ascii="Times" w:hAnsi="Times"/>
          <w:sz w:val="20"/>
          <w:szCs w:val="20"/>
          <w:lang w:val="en-US"/>
        </w:rPr>
        <w:t xml:space="preserve">Beck depression inventory-II; CT: cortical thickness; </w:t>
      </w:r>
      <w:r w:rsidRPr="00BA62A9">
        <w:rPr>
          <w:rFonts w:ascii="Times" w:hAnsi="Times"/>
          <w:bCs/>
          <w:color w:val="000000"/>
          <w:sz w:val="20"/>
          <w:szCs w:val="20"/>
          <w:lang w:val="en-US"/>
        </w:rPr>
        <w:t xml:space="preserve">ECT: electroconvulsive therapy; FDR: </w:t>
      </w:r>
      <w:r w:rsidRPr="00BA62A9">
        <w:rPr>
          <w:rFonts w:ascii="Times" w:hAnsi="Times"/>
          <w:sz w:val="20"/>
          <w:szCs w:val="20"/>
          <w:lang w:val="en-US"/>
        </w:rPr>
        <w:t xml:space="preserve">false discovery rate; FEW: </w:t>
      </w:r>
      <w:r w:rsidRPr="00BA62A9">
        <w:rPr>
          <w:rFonts w:ascii="Times" w:hAnsi="Times"/>
          <w:color w:val="211E1E"/>
          <w:sz w:val="20"/>
          <w:szCs w:val="20"/>
          <w:lang w:val="en-US"/>
        </w:rPr>
        <w:t>family-wise error;</w:t>
      </w:r>
      <w:r w:rsidRPr="00BA62A9">
        <w:rPr>
          <w:rFonts w:ascii="Times" w:hAnsi="Times"/>
          <w:color w:val="000000"/>
          <w:sz w:val="20"/>
          <w:szCs w:val="20"/>
          <w:lang w:val="en-US"/>
        </w:rPr>
        <w:t xml:space="preserve"> HAM-D: Hamilton rating scale for depression</w:t>
      </w:r>
      <w:r w:rsidRPr="00BA62A9">
        <w:rPr>
          <w:rFonts w:ascii="Times" w:hAnsi="Times"/>
          <w:bCs/>
          <w:color w:val="000000"/>
          <w:sz w:val="20"/>
          <w:szCs w:val="20"/>
          <w:lang w:val="en-US"/>
        </w:rPr>
        <w:t>; HC: healthy controls; MADRAS:</w:t>
      </w:r>
      <w:r w:rsidRPr="00BA62A9">
        <w:rPr>
          <w:rFonts w:ascii="Times" w:hAnsi="Times"/>
          <w:sz w:val="20"/>
          <w:szCs w:val="20"/>
          <w:lang w:val="en-US"/>
        </w:rPr>
        <w:t xml:space="preserve"> </w:t>
      </w:r>
      <w:r w:rsidRPr="00BA62A9">
        <w:rPr>
          <w:rFonts w:ascii="Times" w:hAnsi="Times"/>
          <w:bCs/>
          <w:color w:val="000000"/>
          <w:sz w:val="20"/>
          <w:szCs w:val="20"/>
          <w:lang w:val="en-US"/>
        </w:rPr>
        <w:t xml:space="preserve">Montgomery-Åsberg depression rating scales; NR: not reported; NA: not applicable; NR: not reported; SBM: surface-based morphometry; TAU: treatment as usual; </w:t>
      </w:r>
      <w:r w:rsidRPr="00BA62A9">
        <w:rPr>
          <w:rFonts w:ascii="Times" w:hAnsi="Times"/>
          <w:color w:val="000000"/>
          <w:sz w:val="20"/>
          <w:szCs w:val="20"/>
          <w:lang w:val="en-US"/>
        </w:rPr>
        <w:t>TRD: treatment resistant depression.</w:t>
      </w:r>
    </w:p>
    <w:p w14:paraId="134E3C27" w14:textId="77777777" w:rsidR="00457526" w:rsidRPr="00B02C66" w:rsidRDefault="00457526" w:rsidP="00457526">
      <w:pPr>
        <w:pStyle w:val="NormaleWeb"/>
        <w:shd w:val="clear" w:color="auto" w:fill="FFFFFF"/>
        <w:rPr>
          <w:rFonts w:ascii="Times" w:hAnsi="Times"/>
          <w:color w:val="000000"/>
          <w:sz w:val="20"/>
          <w:szCs w:val="20"/>
          <w:lang w:val="en-US"/>
        </w:rPr>
      </w:pPr>
    </w:p>
    <w:p w14:paraId="0363A797" w14:textId="3B665AB7" w:rsidR="00DB3B3B" w:rsidRPr="00B02C66" w:rsidRDefault="00DB3B3B" w:rsidP="00457526">
      <w:pPr>
        <w:pStyle w:val="NormaleWeb"/>
        <w:shd w:val="clear" w:color="auto" w:fill="FFFFFF"/>
        <w:rPr>
          <w:rFonts w:ascii="Times" w:hAnsi="Times"/>
          <w:color w:val="000000"/>
          <w:sz w:val="20"/>
          <w:szCs w:val="20"/>
          <w:lang w:val="en-US"/>
        </w:rPr>
      </w:pPr>
    </w:p>
    <w:p w14:paraId="2120F8F7" w14:textId="77777777" w:rsidR="00DB3B3B" w:rsidRPr="0001782C" w:rsidRDefault="00DB3B3B" w:rsidP="00DB3B3B">
      <w:pPr>
        <w:rPr>
          <w:rFonts w:ascii="Times New Roman" w:hAnsi="Times New Roman" w:cs="Times New Roman"/>
          <w:lang w:val="en-US"/>
        </w:rPr>
      </w:pPr>
    </w:p>
    <w:p w14:paraId="12B5066D" w14:textId="77777777" w:rsidR="00DB3B3B" w:rsidRPr="0001782C" w:rsidRDefault="00DB3B3B">
      <w:pPr>
        <w:rPr>
          <w:rFonts w:ascii="Times New Roman" w:hAnsi="Times New Roman" w:cs="Times New Roman"/>
          <w:lang w:val="en-US"/>
        </w:rPr>
      </w:pPr>
    </w:p>
    <w:sectPr w:rsidR="00DB3B3B" w:rsidRPr="0001782C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3F4A" w14:textId="77777777" w:rsidR="00675C15" w:rsidRDefault="00675C15" w:rsidP="00675C15">
      <w:r>
        <w:separator/>
      </w:r>
    </w:p>
  </w:endnote>
  <w:endnote w:type="continuationSeparator" w:id="0">
    <w:p w14:paraId="2123D9FE" w14:textId="77777777" w:rsidR="00675C15" w:rsidRDefault="00675C15" w:rsidP="006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916055285"/>
      <w:docPartObj>
        <w:docPartGallery w:val="Page Numbers (Bottom of Page)"/>
        <w:docPartUnique/>
      </w:docPartObj>
    </w:sdtPr>
    <w:sdtContent>
      <w:p w14:paraId="459DA177" w14:textId="2845DD71" w:rsidR="00675C15" w:rsidRDefault="00675C15" w:rsidP="00675C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A590EE7" w14:textId="77777777" w:rsidR="00675C15" w:rsidRDefault="00675C15" w:rsidP="00675C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033831026"/>
      <w:docPartObj>
        <w:docPartGallery w:val="Page Numbers (Bottom of Page)"/>
        <w:docPartUnique/>
      </w:docPartObj>
    </w:sdtPr>
    <w:sdtContent>
      <w:p w14:paraId="3EB932F8" w14:textId="76E189C9" w:rsidR="00675C15" w:rsidRDefault="00675C15" w:rsidP="00675C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B7EE8E4" w14:textId="77777777" w:rsidR="00675C15" w:rsidRDefault="00675C15" w:rsidP="00675C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FB98" w14:textId="77777777" w:rsidR="00675C15" w:rsidRDefault="00675C15" w:rsidP="00675C15">
      <w:r>
        <w:separator/>
      </w:r>
    </w:p>
  </w:footnote>
  <w:footnote w:type="continuationSeparator" w:id="0">
    <w:p w14:paraId="2896F942" w14:textId="77777777" w:rsidR="00675C15" w:rsidRDefault="00675C15" w:rsidP="0067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DDC"/>
    <w:multiLevelType w:val="multilevel"/>
    <w:tmpl w:val="70FA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21CAE"/>
    <w:multiLevelType w:val="hybridMultilevel"/>
    <w:tmpl w:val="DCE49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60D"/>
    <w:multiLevelType w:val="multilevel"/>
    <w:tmpl w:val="5E04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5754E"/>
    <w:multiLevelType w:val="hybridMultilevel"/>
    <w:tmpl w:val="F0126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4DD4"/>
    <w:multiLevelType w:val="multilevel"/>
    <w:tmpl w:val="28B6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A687F"/>
    <w:multiLevelType w:val="multilevel"/>
    <w:tmpl w:val="57C4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7D2B3C"/>
    <w:multiLevelType w:val="multilevel"/>
    <w:tmpl w:val="BA36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964C0"/>
    <w:multiLevelType w:val="hybridMultilevel"/>
    <w:tmpl w:val="F0B2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52BA"/>
    <w:multiLevelType w:val="multilevel"/>
    <w:tmpl w:val="06CC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133724"/>
    <w:multiLevelType w:val="multilevel"/>
    <w:tmpl w:val="4B88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6C18E4"/>
    <w:multiLevelType w:val="multilevel"/>
    <w:tmpl w:val="147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7268488">
    <w:abstractNumId w:val="8"/>
  </w:num>
  <w:num w:numId="2" w16cid:durableId="1085609778">
    <w:abstractNumId w:val="4"/>
  </w:num>
  <w:num w:numId="3" w16cid:durableId="660549995">
    <w:abstractNumId w:val="9"/>
  </w:num>
  <w:num w:numId="4" w16cid:durableId="761679341">
    <w:abstractNumId w:val="10"/>
  </w:num>
  <w:num w:numId="5" w16cid:durableId="1211458580">
    <w:abstractNumId w:val="0"/>
  </w:num>
  <w:num w:numId="6" w16cid:durableId="793527692">
    <w:abstractNumId w:val="5"/>
  </w:num>
  <w:num w:numId="7" w16cid:durableId="1778989307">
    <w:abstractNumId w:val="6"/>
  </w:num>
  <w:num w:numId="8" w16cid:durableId="1165973966">
    <w:abstractNumId w:val="2"/>
  </w:num>
  <w:num w:numId="9" w16cid:durableId="502816689">
    <w:abstractNumId w:val="7"/>
  </w:num>
  <w:num w:numId="10" w16cid:durableId="186143399">
    <w:abstractNumId w:val="1"/>
  </w:num>
  <w:num w:numId="11" w16cid:durableId="813564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F4"/>
    <w:rsid w:val="00007778"/>
    <w:rsid w:val="000104C9"/>
    <w:rsid w:val="00015ECB"/>
    <w:rsid w:val="0001782C"/>
    <w:rsid w:val="000322F6"/>
    <w:rsid w:val="00037F38"/>
    <w:rsid w:val="00041B96"/>
    <w:rsid w:val="000426C0"/>
    <w:rsid w:val="00061C3A"/>
    <w:rsid w:val="00090FEE"/>
    <w:rsid w:val="000A4847"/>
    <w:rsid w:val="000C6DB8"/>
    <w:rsid w:val="000D268E"/>
    <w:rsid w:val="000D2B3D"/>
    <w:rsid w:val="000D77E6"/>
    <w:rsid w:val="000F2A71"/>
    <w:rsid w:val="001248FA"/>
    <w:rsid w:val="00126ADF"/>
    <w:rsid w:val="001453D5"/>
    <w:rsid w:val="001469DC"/>
    <w:rsid w:val="00157FA5"/>
    <w:rsid w:val="0017096E"/>
    <w:rsid w:val="001A0289"/>
    <w:rsid w:val="001F236B"/>
    <w:rsid w:val="001F59D7"/>
    <w:rsid w:val="001F6BB2"/>
    <w:rsid w:val="002025DD"/>
    <w:rsid w:val="00236B31"/>
    <w:rsid w:val="00241406"/>
    <w:rsid w:val="00263514"/>
    <w:rsid w:val="00264BAC"/>
    <w:rsid w:val="002657F0"/>
    <w:rsid w:val="002707BB"/>
    <w:rsid w:val="0028372D"/>
    <w:rsid w:val="00285BA4"/>
    <w:rsid w:val="002A5077"/>
    <w:rsid w:val="002C6D26"/>
    <w:rsid w:val="002F1181"/>
    <w:rsid w:val="002F262D"/>
    <w:rsid w:val="003030CB"/>
    <w:rsid w:val="003064A7"/>
    <w:rsid w:val="00306E21"/>
    <w:rsid w:val="003130AC"/>
    <w:rsid w:val="0032481C"/>
    <w:rsid w:val="00350904"/>
    <w:rsid w:val="00363B6C"/>
    <w:rsid w:val="003A4D48"/>
    <w:rsid w:val="003B7910"/>
    <w:rsid w:val="003C2094"/>
    <w:rsid w:val="003C56B8"/>
    <w:rsid w:val="003E00DD"/>
    <w:rsid w:val="003E5121"/>
    <w:rsid w:val="003E65EC"/>
    <w:rsid w:val="003E754C"/>
    <w:rsid w:val="003F12CD"/>
    <w:rsid w:val="00454ABB"/>
    <w:rsid w:val="00457526"/>
    <w:rsid w:val="00481B67"/>
    <w:rsid w:val="00485C96"/>
    <w:rsid w:val="00487E2D"/>
    <w:rsid w:val="004C2A74"/>
    <w:rsid w:val="004E4E16"/>
    <w:rsid w:val="005228C3"/>
    <w:rsid w:val="00526F46"/>
    <w:rsid w:val="00541BBD"/>
    <w:rsid w:val="0059280D"/>
    <w:rsid w:val="005A09E2"/>
    <w:rsid w:val="005B3795"/>
    <w:rsid w:val="005B5C16"/>
    <w:rsid w:val="005D1291"/>
    <w:rsid w:val="005D40E6"/>
    <w:rsid w:val="00620923"/>
    <w:rsid w:val="006330DB"/>
    <w:rsid w:val="006336E7"/>
    <w:rsid w:val="00633D3A"/>
    <w:rsid w:val="006377E9"/>
    <w:rsid w:val="00643C99"/>
    <w:rsid w:val="00645276"/>
    <w:rsid w:val="006477FF"/>
    <w:rsid w:val="00666458"/>
    <w:rsid w:val="00675C15"/>
    <w:rsid w:val="006827F4"/>
    <w:rsid w:val="006B4753"/>
    <w:rsid w:val="006B4F87"/>
    <w:rsid w:val="006B5A7D"/>
    <w:rsid w:val="006C25AA"/>
    <w:rsid w:val="007047F0"/>
    <w:rsid w:val="007704C8"/>
    <w:rsid w:val="00792103"/>
    <w:rsid w:val="007B1951"/>
    <w:rsid w:val="007C5C96"/>
    <w:rsid w:val="007E3255"/>
    <w:rsid w:val="007E79D1"/>
    <w:rsid w:val="007F7166"/>
    <w:rsid w:val="007F7EC0"/>
    <w:rsid w:val="008150FC"/>
    <w:rsid w:val="0082758C"/>
    <w:rsid w:val="008436A9"/>
    <w:rsid w:val="00874948"/>
    <w:rsid w:val="00874D8E"/>
    <w:rsid w:val="00877BFE"/>
    <w:rsid w:val="00887ABE"/>
    <w:rsid w:val="00897BF4"/>
    <w:rsid w:val="008C1B1C"/>
    <w:rsid w:val="008D2FEF"/>
    <w:rsid w:val="008E5CB6"/>
    <w:rsid w:val="008F7EE2"/>
    <w:rsid w:val="00901011"/>
    <w:rsid w:val="009336F2"/>
    <w:rsid w:val="0093617F"/>
    <w:rsid w:val="009367D4"/>
    <w:rsid w:val="009451DF"/>
    <w:rsid w:val="00960069"/>
    <w:rsid w:val="009605B0"/>
    <w:rsid w:val="009634F4"/>
    <w:rsid w:val="00963F06"/>
    <w:rsid w:val="00964AAD"/>
    <w:rsid w:val="00974C8D"/>
    <w:rsid w:val="009966B4"/>
    <w:rsid w:val="009C68A9"/>
    <w:rsid w:val="00A040BC"/>
    <w:rsid w:val="00A04D0A"/>
    <w:rsid w:val="00A10A55"/>
    <w:rsid w:val="00A11EDA"/>
    <w:rsid w:val="00A2642A"/>
    <w:rsid w:val="00A67624"/>
    <w:rsid w:val="00A74FFF"/>
    <w:rsid w:val="00A75BD3"/>
    <w:rsid w:val="00A8106C"/>
    <w:rsid w:val="00AA088F"/>
    <w:rsid w:val="00AA0BFA"/>
    <w:rsid w:val="00AC61F9"/>
    <w:rsid w:val="00B278F6"/>
    <w:rsid w:val="00B3021B"/>
    <w:rsid w:val="00B54D7D"/>
    <w:rsid w:val="00B57157"/>
    <w:rsid w:val="00B61F62"/>
    <w:rsid w:val="00BA62A9"/>
    <w:rsid w:val="00BD36D5"/>
    <w:rsid w:val="00C179B8"/>
    <w:rsid w:val="00C211C3"/>
    <w:rsid w:val="00C22B14"/>
    <w:rsid w:val="00C33978"/>
    <w:rsid w:val="00C35179"/>
    <w:rsid w:val="00C70F4F"/>
    <w:rsid w:val="00C9182F"/>
    <w:rsid w:val="00CA107B"/>
    <w:rsid w:val="00CA2AA7"/>
    <w:rsid w:val="00CB1322"/>
    <w:rsid w:val="00CD7F54"/>
    <w:rsid w:val="00DB3B3B"/>
    <w:rsid w:val="00DC1172"/>
    <w:rsid w:val="00DF599A"/>
    <w:rsid w:val="00E02362"/>
    <w:rsid w:val="00E275DF"/>
    <w:rsid w:val="00E36BC9"/>
    <w:rsid w:val="00E50561"/>
    <w:rsid w:val="00E66466"/>
    <w:rsid w:val="00E8272C"/>
    <w:rsid w:val="00EE7816"/>
    <w:rsid w:val="00EF6562"/>
    <w:rsid w:val="00F05D1A"/>
    <w:rsid w:val="00F14A25"/>
    <w:rsid w:val="00F214FD"/>
    <w:rsid w:val="00F21A49"/>
    <w:rsid w:val="00F435E7"/>
    <w:rsid w:val="00F45B41"/>
    <w:rsid w:val="00F52F95"/>
    <w:rsid w:val="00F61E78"/>
    <w:rsid w:val="00F62003"/>
    <w:rsid w:val="00F710A1"/>
    <w:rsid w:val="00F73262"/>
    <w:rsid w:val="00FB6138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7CA19"/>
  <w15:chartTrackingRefBased/>
  <w15:docId w15:val="{7DB45975-9D4B-D740-B1C0-EE174BAA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B4753"/>
    <w:pPr>
      <w:spacing w:before="100" w:beforeAutospacing="1" w:after="180"/>
      <w:outlineLvl w:val="0"/>
    </w:pPr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782C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unhideWhenUsed/>
    <w:qFormat/>
    <w:rsid w:val="00AA0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0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088F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88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2FE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874D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C179B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7E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7EC0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5B3795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4753"/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eastAsia="it-IT"/>
    </w:rPr>
  </w:style>
  <w:style w:type="table" w:styleId="Grigliatabella">
    <w:name w:val="Table Grid"/>
    <w:basedOn w:val="Tabellanormale"/>
    <w:uiPriority w:val="39"/>
    <w:rsid w:val="006B4753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-maintitle--symbl">
    <w:name w:val="symbol-main__title--symbl"/>
    <w:basedOn w:val="Carpredefinitoparagrafo"/>
    <w:rsid w:val="005D40E6"/>
  </w:style>
  <w:style w:type="paragraph" w:styleId="Pidipagina">
    <w:name w:val="footer"/>
    <w:basedOn w:val="Normale"/>
    <w:link w:val="PidipaginaCarattere"/>
    <w:uiPriority w:val="99"/>
    <w:unhideWhenUsed/>
    <w:rsid w:val="00675C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C15"/>
  </w:style>
  <w:style w:type="character" w:styleId="Numeropagina">
    <w:name w:val="page number"/>
    <w:basedOn w:val="Carpredefinitoparagrafo"/>
    <w:uiPriority w:val="99"/>
    <w:semiHidden/>
    <w:unhideWhenUsed/>
    <w:rsid w:val="0067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9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9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50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4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5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2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4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3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4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7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9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6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5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1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4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2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1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9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0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6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8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6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7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5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8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4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8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6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0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6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0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2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4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3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9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6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1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0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6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0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0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1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2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5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60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5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2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6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7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7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0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3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2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1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7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1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3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7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8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D9B6F6-70C4-B84E-BD7E-715E8499C796}"/>
      </w:docPartPr>
      <w:docPartBody>
        <w:p w:rsidR="00F21B6D" w:rsidRDefault="00EF57A4">
          <w:r w:rsidRPr="0055365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A4"/>
    <w:rsid w:val="0011175D"/>
    <w:rsid w:val="001E5FFB"/>
    <w:rsid w:val="00260481"/>
    <w:rsid w:val="002C29A7"/>
    <w:rsid w:val="004E7039"/>
    <w:rsid w:val="006D4C33"/>
    <w:rsid w:val="00A86714"/>
    <w:rsid w:val="00C90DC4"/>
    <w:rsid w:val="00DF0B0A"/>
    <w:rsid w:val="00E80339"/>
    <w:rsid w:val="00EA4B6E"/>
    <w:rsid w:val="00EF57A4"/>
    <w:rsid w:val="00F2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F57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182BD9-C772-ED4D-BC7F-A104C419B980}">
  <we:reference id="wa104382081" version="1.46.0.0" store="it-IT" storeType="OMEX"/>
  <we:alternateReferences>
    <we:reference id="wa104382081" version="1.46.0.0" store="it-IT" storeType="OMEX"/>
  </we:alternateReferences>
  <we:properties>
    <we:property name="MENDELEY_CITATIONS" value="[{&quot;citationID&quot;:&quot;MENDELEY_CITATION_78a0286a-2272-4a16-b7f8-dc396f59d36e&quot;,&quot;properties&quot;:{&quot;noteIndex&quot;:0},&quot;isEdited&quot;:false,&quot;manualOverride&quot;:{&quot;isManuallyOverridden&quot;:false,&quot;citeprocText&quot;:&quot;(Gbyl and Videbech, 2018)&quot;,&quot;manualOverrideText&quot;:&quot;&quot;},&quot;citationTag&quot;:&quot;MENDELEY_CITATION_v3_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&quot;,&quot;citationItems&quot;:[{&quot;id&quot;:&quot;c50da5e7-ec4f-3c0f-a1ba-ba7cc402ebda&quot;,&quot;itemData&quot;:{&quot;type&quot;:&quot;article-journal&quot;,&quot;id&quot;:&quot;c50da5e7-ec4f-3c0f-a1ba-ba7cc402ebda&quot;,&quot;title&quot;:&quot;Electroconvulsive therapy increases brain volume in major depression: a systematic review and meta-analysis&quot;,&quot;author&quot;:[{&quot;family&quot;:&quot;Gbyl&quot;,&quot;given&quot;:&quot;K.&quot;,&quot;parse-names&quot;:false,&quot;dropping-particle&quot;:&quot;&quot;,&quot;non-dropping-particle&quot;:&quot;&quot;},{&quot;family&quot;:&quot;Videbech&quot;,&quot;given&quot;:&quot;P.&quot;,&quot;parse-names&quot;:false,&quot;dropping-particle&quot;:&quot;&quot;,&quot;non-dropping-particle&quot;:&quot;&quot;}],&quot;container-title&quot;:&quot;Acta Psychiatrica Scandinavica&quot;,&quot;container-title-short&quot;:&quot;Acta Psychiatr Scand&quot;,&quot;accessed&quot;:{&quot;date-parts&quot;:[[2023,9,5]]},&quot;DOI&quot;:&quot;10.1111/ACPS.12884&quot;,&quot;ISSN&quot;:&quot;1600-0447&quot;,&quot;PMID&quot;:&quot;29707778&quot;,&quot;URL&quot;:&quot;https://onlinelibrary.wiley.com/doi/full/10.1111/acps.12884&quot;,&quot;issued&quot;:{&quot;date-parts&quot;:[[2018,9,1]]},&quot;page&quot;:&quot;180-195&quot;,&quot;abstract&quot;:&quot;Objective: The main purpose of this review was to synthesise evidence on ECT's effects on brain's structure. Method: A systematic literature review of longitudinal studies of depressed patients treated with ECT using magnetic resonance imaging (MRI) and meta-analysis of ECT's effect on hippocampal volume. Results: Thirty-two studies with 467 patients and 285 controls were included. The MRI studies did not find any evidence of ECT-related brain damage. All but one of the newer MRI volumetric studies found ECT-induced volume increases in certain brain areas, most consistently in hippocampus. Meta-analysis of effect of ECT on hippocampal volume yielded pooled effect size: g = 0.39 (95% CI = 0.18–0.61) for the right hippocampus and g = 0.31 (95% CI = 0.09–0.53) for the left. The DTI studies point to an ECT-induced increase in the integrity of white matter pathways in the frontal and temporal lobes. The results of correlations between volume increases and treatment efficacy were inconsistent. Conclusion: The MRI studies do not support the hypothesis that ECT causes brain damage; on the contrary, the treatment induces volume increases in fronto-limbic areas. Further studies should explore the relationship between these increases and treatment effect and cognitive side effects.&quot;,&quot;publisher&quot;:&quot;John Wiley &amp; Sons, Ltd&quot;,&quot;issue&quot;:&quot;3&quot;,&quot;volume&quot;:&quot;138&quot;},&quot;isTemporary&quot;:false}]}]"/>
    <we:property name="MENDELEY_CITATIONS_LOCALE_CODE" value="&quot;en-US&quot;"/>
    <we:property name="MENDELEY_CITATIONS_STYLE" value="{&quot;id&quot;:&quot;https://www.zotero.org/styles/journal-of-affective-disorders&quot;,&quot;title&quot;:&quot;Journal of Affective Disorders&quot;,&quot;format&quot;:&quot;author-date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DC24CF-285F-EF41-863E-74872911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857</Words>
  <Characters>5229</Characters>
  <Application>Microsoft Office Word</Application>
  <DocSecurity>0</DocSecurity>
  <Lines>91</Lines>
  <Paragraphs>40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Cattarinussi Giulia</dc:creator>
  <cp:keywords/>
  <dc:description/>
  <cp:lastModifiedBy>Fabio Sambataro</cp:lastModifiedBy>
  <cp:revision>4</cp:revision>
  <dcterms:created xsi:type="dcterms:W3CDTF">2024-01-19T08:00:00Z</dcterms:created>
  <dcterms:modified xsi:type="dcterms:W3CDTF">2024-01-19T08:12:00Z</dcterms:modified>
</cp:coreProperties>
</file>