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573CD" w:rsidRPr="005F3544" w:rsidRDefault="00A573CD" w:rsidP="00A573CD">
      <w:pPr>
        <w:rPr>
          <w:b/>
        </w:rPr>
      </w:pPr>
      <w:r w:rsidRPr="005F3544">
        <w:rPr>
          <w:b/>
        </w:rPr>
        <w:t>Supplement</w:t>
      </w:r>
    </w:p>
    <w:p w:rsidR="00A573CD" w:rsidRDefault="00A573CD" w:rsidP="00A573CD">
      <w:pPr>
        <w:rPr>
          <w:b/>
        </w:rPr>
      </w:pPr>
    </w:p>
    <w:p w:rsidR="00A573CD" w:rsidRDefault="00A573CD" w:rsidP="00A573CD">
      <w:pPr>
        <w:spacing w:line="480" w:lineRule="auto"/>
        <w:rPr>
          <w:b/>
          <w:i/>
        </w:rPr>
      </w:pPr>
      <w:r w:rsidRPr="00A01FF6">
        <w:rPr>
          <w:b/>
          <w:i/>
        </w:rPr>
        <w:t>Descriptions and characteristics of secondary outcomes</w:t>
      </w:r>
      <w:r>
        <w:rPr>
          <w:b/>
          <w:i/>
        </w:rPr>
        <w:t xml:space="preserve"> </w:t>
      </w:r>
    </w:p>
    <w:p w:rsidR="00A573CD" w:rsidRDefault="00A573CD" w:rsidP="00A573CD">
      <w:pPr>
        <w:spacing w:line="480" w:lineRule="auto"/>
      </w:pPr>
      <w:r>
        <w:rPr>
          <w:color w:val="000000"/>
        </w:rPr>
        <w:t xml:space="preserve">Rater-based clinical interview MÅDRS measuring depression severity was included as a secondary outcome. The scale’s 10 items are measured on a 6-point </w:t>
      </w:r>
      <w:proofErr w:type="spellStart"/>
      <w:r>
        <w:rPr>
          <w:color w:val="000000"/>
        </w:rPr>
        <w:t>likert</w:t>
      </w:r>
      <w:proofErr w:type="spellEnd"/>
      <w:r>
        <w:rPr>
          <w:color w:val="000000"/>
        </w:rPr>
        <w:t xml:space="preserve"> scale, including symptoms identified as selective and sensitive to treatment response [1</w:t>
      </w:r>
      <w:r w:rsidR="00AB6D70">
        <w:rPr>
          <w:color w:val="000000"/>
        </w:rPr>
        <w:t>6</w:t>
      </w:r>
      <w:r>
        <w:rPr>
          <w:color w:val="000000"/>
        </w:rPr>
        <w:t>]. The RHS-15 is an instrument used for screening anxiety, depressive and trauma-related disorders in refugee populations [</w:t>
      </w:r>
      <w:r w:rsidR="00AB6D70">
        <w:rPr>
          <w:color w:val="000000"/>
        </w:rPr>
        <w:t>17</w:t>
      </w:r>
      <w:r>
        <w:rPr>
          <w:color w:val="000000"/>
        </w:rPr>
        <w:t>]. 14-items assess symptoms on a scale from 0 (not at all) to 4 (extremely), while item 15 presents a distress thermometer, on which participants rank the overall distress they experienced within the last week on a scale from 0 (no distress) to 10 (extreme distress). The BRS is a six-item instrument measuring resilience [</w:t>
      </w:r>
      <w:r w:rsidR="00AB6D70">
        <w:rPr>
          <w:color w:val="000000"/>
        </w:rPr>
        <w:t>18</w:t>
      </w:r>
      <w:r>
        <w:rPr>
          <w:color w:val="000000"/>
        </w:rPr>
        <w:t xml:space="preserve">], i.e. the ability to recover from stress and adversity. Responses are rated on a five-point </w:t>
      </w:r>
      <w:proofErr w:type="spellStart"/>
      <w:r>
        <w:rPr>
          <w:color w:val="000000"/>
        </w:rPr>
        <w:t>likert</w:t>
      </w:r>
      <w:proofErr w:type="spellEnd"/>
      <w:r>
        <w:rPr>
          <w:color w:val="000000"/>
        </w:rPr>
        <w:t xml:space="preserve"> scale ranging from 1 (very rarely or never) to 5 (very often or always). Patients sense of effective personal action control, i.e. perceived self-efficacy was assessed by the GSE [</w:t>
      </w:r>
      <w:r w:rsidR="00AB6D70">
        <w:rPr>
          <w:color w:val="000000"/>
        </w:rPr>
        <w:t>19</w:t>
      </w:r>
      <w:r>
        <w:rPr>
          <w:color w:val="000000"/>
        </w:rPr>
        <w:t xml:space="preserve">]. Participants rate ten statements regarding their ability to cope with everyday challenges on a 4-point </w:t>
      </w:r>
      <w:proofErr w:type="spellStart"/>
      <w:r>
        <w:rPr>
          <w:color w:val="000000"/>
        </w:rPr>
        <w:t>likert</w:t>
      </w:r>
      <w:proofErr w:type="spellEnd"/>
      <w:r>
        <w:rPr>
          <w:color w:val="000000"/>
        </w:rPr>
        <w:t xml:space="preserve"> scale ranging from 1 (not at all true) to 4 (exactly true). The SDQ as a brief five factor instrument assessing emotional and behavioral problems was included to assess interpersonal difficulties in participants on a 3-point </w:t>
      </w:r>
      <w:proofErr w:type="spellStart"/>
      <w:r>
        <w:rPr>
          <w:color w:val="000000"/>
        </w:rPr>
        <w:t>likert</w:t>
      </w:r>
      <w:proofErr w:type="spellEnd"/>
      <w:r>
        <w:rPr>
          <w:color w:val="000000"/>
        </w:rPr>
        <w:t xml:space="preserve"> type scale (0=not true, 1=somewhat true, 2=certainly true). The 25-item scale comprises the five subscales emotional problems, conduct problems, hyperactivity-inattention, peer problems and prosocial behavior [2</w:t>
      </w:r>
      <w:r w:rsidR="00AB6D70">
        <w:rPr>
          <w:color w:val="000000"/>
        </w:rPr>
        <w:t>0</w:t>
      </w:r>
      <w:r>
        <w:rPr>
          <w:color w:val="000000"/>
        </w:rPr>
        <w:t xml:space="preserve">]. Life quality was measured by the </w:t>
      </w:r>
      <w:proofErr w:type="spellStart"/>
      <w:r>
        <w:rPr>
          <w:color w:val="000000"/>
        </w:rPr>
        <w:t>WHOQoL</w:t>
      </w:r>
      <w:proofErr w:type="spellEnd"/>
      <w:r>
        <w:rPr>
          <w:color w:val="000000"/>
        </w:rPr>
        <w:t>-BREF, a 26-item version of the WHOQoL-100 assessment [2</w:t>
      </w:r>
      <w:r w:rsidR="00AB6D70">
        <w:rPr>
          <w:color w:val="000000"/>
        </w:rPr>
        <w:t>1</w:t>
      </w:r>
      <w:bookmarkStart w:id="0" w:name="_GoBack"/>
      <w:bookmarkEnd w:id="0"/>
      <w:r>
        <w:rPr>
          <w:color w:val="000000"/>
        </w:rPr>
        <w:t xml:space="preserve">]. The scale assesses life quality across the four domains physical, psychological, social and environment on 5-point </w:t>
      </w:r>
      <w:proofErr w:type="spellStart"/>
      <w:r>
        <w:rPr>
          <w:color w:val="000000"/>
        </w:rPr>
        <w:t>likert</w:t>
      </w:r>
      <w:proofErr w:type="spellEnd"/>
      <w:r>
        <w:rPr>
          <w:color w:val="000000"/>
        </w:rPr>
        <w:t xml:space="preserve"> scales. </w:t>
      </w:r>
    </w:p>
    <w:p w:rsidR="00A573CD" w:rsidRDefault="00A573CD" w:rsidP="00A573CD">
      <w:pPr>
        <w:spacing w:line="480" w:lineRule="auto"/>
        <w:jc w:val="left"/>
        <w:rPr>
          <w:color w:val="000000"/>
          <w:sz w:val="20"/>
          <w:szCs w:val="20"/>
        </w:rPr>
      </w:pPr>
    </w:p>
    <w:p w:rsidR="00A573CD" w:rsidRDefault="00A573CD" w:rsidP="00A573CD">
      <w:pPr>
        <w:spacing w:line="480" w:lineRule="auto"/>
        <w:jc w:val="left"/>
        <w:rPr>
          <w:color w:val="000000"/>
          <w:sz w:val="20"/>
          <w:szCs w:val="20"/>
        </w:rPr>
      </w:pPr>
    </w:p>
    <w:p w:rsidR="00A573CD" w:rsidRDefault="00A573CD" w:rsidP="00A573CD">
      <w:pPr>
        <w:spacing w:line="480" w:lineRule="auto"/>
        <w:rPr>
          <w:b/>
        </w:rPr>
      </w:pPr>
    </w:p>
    <w:p w:rsidR="00A573CD" w:rsidRDefault="00A573CD" w:rsidP="00A573CD">
      <w:pPr>
        <w:spacing w:line="480" w:lineRule="auto"/>
        <w:rPr>
          <w:b/>
        </w:rPr>
      </w:pPr>
    </w:p>
    <w:p w:rsidR="00A573CD" w:rsidRDefault="00A573CD" w:rsidP="00A573CD">
      <w:pPr>
        <w:spacing w:line="480" w:lineRule="auto"/>
        <w:rPr>
          <w:b/>
        </w:rPr>
      </w:pPr>
    </w:p>
    <w:p w:rsidR="00A573CD" w:rsidRDefault="00A573CD" w:rsidP="00A573CD">
      <w:pPr>
        <w:spacing w:line="276" w:lineRule="auto"/>
      </w:pPr>
      <w:r>
        <w:rPr>
          <w:b/>
        </w:rPr>
        <w:lastRenderedPageBreak/>
        <w:t xml:space="preserve">Table S1. </w:t>
      </w:r>
      <w:r>
        <w:t>Trajectories of primary and secondary outcomes from baseline to post-intervention within PP sample.</w:t>
      </w:r>
    </w:p>
    <w:p w:rsidR="00A573CD" w:rsidRDefault="00A573CD" w:rsidP="00A573CD">
      <w:pPr>
        <w:spacing w:line="276" w:lineRule="auto"/>
      </w:pPr>
    </w:p>
    <w:tbl>
      <w:tblPr>
        <w:tblW w:w="5004" w:type="pct"/>
        <w:jc w:val="center"/>
        <w:tblLayout w:type="fixed"/>
        <w:tblCellMar>
          <w:left w:w="28" w:type="dxa"/>
          <w:right w:w="28" w:type="dxa"/>
        </w:tblCellMar>
        <w:tblLook w:val="0420" w:firstRow="1" w:lastRow="0" w:firstColumn="0" w:lastColumn="0" w:noHBand="0" w:noVBand="1"/>
      </w:tblPr>
      <w:tblGrid>
        <w:gridCol w:w="992"/>
        <w:gridCol w:w="811"/>
        <w:gridCol w:w="33"/>
        <w:gridCol w:w="693"/>
        <w:gridCol w:w="22"/>
        <w:gridCol w:w="76"/>
        <w:gridCol w:w="80"/>
        <w:gridCol w:w="675"/>
        <w:gridCol w:w="64"/>
        <w:gridCol w:w="827"/>
        <w:gridCol w:w="568"/>
        <w:gridCol w:w="56"/>
        <w:gridCol w:w="363"/>
        <w:gridCol w:w="261"/>
        <w:gridCol w:w="27"/>
        <w:gridCol w:w="568"/>
        <w:gridCol w:w="29"/>
        <w:gridCol w:w="624"/>
        <w:gridCol w:w="58"/>
        <w:gridCol w:w="568"/>
        <w:gridCol w:w="624"/>
        <w:gridCol w:w="1054"/>
      </w:tblGrid>
      <w:tr w:rsidR="00A573CD" w:rsidRPr="00084970" w:rsidTr="00322F66">
        <w:trPr>
          <w:cantSplit/>
          <w:tblHeader/>
          <w:jc w:val="center"/>
        </w:trPr>
        <w:tc>
          <w:tcPr>
            <w:tcW w:w="546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right"/>
              <w:rPr>
                <w:rFonts w:eastAsia="Time New Roman"/>
                <w:b/>
                <w:color w:val="111111"/>
                <w:sz w:val="18"/>
                <w:szCs w:val="18"/>
              </w:rPr>
            </w:pPr>
          </w:p>
        </w:tc>
        <w:tc>
          <w:tcPr>
            <w:tcW w:w="901" w:type="pct"/>
            <w:gridSpan w:val="5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BA10A4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10A4">
              <w:rPr>
                <w:rFonts w:ascii="Times New Roman" w:hAnsi="Times New Roman" w:cs="Times New Roman"/>
                <w:sz w:val="18"/>
                <w:szCs w:val="18"/>
              </w:rPr>
              <w:t>Intervention</w:t>
            </w:r>
          </w:p>
        </w:tc>
        <w:tc>
          <w:tcPr>
            <w:tcW w:w="907" w:type="pct"/>
            <w:gridSpan w:val="4"/>
            <w:tcBorders>
              <w:top w:val="single" w:sz="8" w:space="0" w:color="000000"/>
            </w:tcBorders>
            <w:shd w:val="clear" w:color="auto" w:fill="FFFFFF"/>
            <w:vAlign w:val="bottom"/>
          </w:tcPr>
          <w:p w:rsidR="00A573CD" w:rsidRPr="00BA10A4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10A4">
              <w:rPr>
                <w:rFonts w:ascii="Times New Roman" w:hAnsi="Times New Roman" w:cs="Times New Roman"/>
                <w:sz w:val="18"/>
                <w:szCs w:val="18"/>
              </w:rPr>
              <w:t>TAU</w:t>
            </w:r>
          </w:p>
        </w:tc>
        <w:tc>
          <w:tcPr>
            <w:tcW w:w="2646" w:type="pct"/>
            <w:gridSpan w:val="12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084970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73CD" w:rsidRPr="00084970" w:rsidTr="00322F66">
        <w:trPr>
          <w:cantSplit/>
          <w:trHeight w:val="57"/>
          <w:tblHeader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right"/>
              <w:rPr>
                <w:rFonts w:eastAsia="Time New Roman"/>
                <w:b/>
                <w:color w:val="111111"/>
                <w:sz w:val="18"/>
                <w:szCs w:val="18"/>
              </w:rPr>
            </w:pPr>
          </w:p>
        </w:tc>
        <w:tc>
          <w:tcPr>
            <w:tcW w:w="447" w:type="pct"/>
            <w:tcBorders>
              <w:top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5E3118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sz w:val="18"/>
                <w:szCs w:val="18"/>
              </w:rPr>
              <w:t>BL</w:t>
            </w:r>
          </w:p>
        </w:tc>
        <w:tc>
          <w:tcPr>
            <w:tcW w:w="412" w:type="pct"/>
            <w:gridSpan w:val="3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A573CD" w:rsidRPr="005E3118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sz w:val="18"/>
                <w:szCs w:val="18"/>
              </w:rPr>
              <w:t>Post</w:t>
            </w:r>
          </w:p>
        </w:tc>
        <w:tc>
          <w:tcPr>
            <w:tcW w:w="42" w:type="pct"/>
            <w:shd w:val="clear" w:color="auto" w:fill="FFFFFF"/>
            <w:vAlign w:val="bottom"/>
          </w:tcPr>
          <w:p w:rsidR="00A573CD" w:rsidRPr="00BA10A4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8"/>
                <w:szCs w:val="18"/>
              </w:rPr>
            </w:pPr>
          </w:p>
        </w:tc>
        <w:tc>
          <w:tcPr>
            <w:tcW w:w="44" w:type="pct"/>
            <w:shd w:val="clear" w:color="auto" w:fill="FFFFFF"/>
            <w:vAlign w:val="bottom"/>
          </w:tcPr>
          <w:p w:rsidR="00A573CD" w:rsidRPr="00BA10A4" w:rsidRDefault="00A573CD" w:rsidP="00322F66">
            <w:pPr>
              <w:pStyle w:val="Compact"/>
              <w:rPr>
                <w:rFonts w:ascii="Times New Roman" w:hAnsi="Times New Roman" w:cs="Times New Roman"/>
                <w:sz w:val="2"/>
                <w:szCs w:val="18"/>
              </w:rPr>
            </w:pPr>
          </w:p>
        </w:tc>
        <w:tc>
          <w:tcPr>
            <w:tcW w:w="407" w:type="pct"/>
            <w:gridSpan w:val="2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A573CD" w:rsidRPr="005E3118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sz w:val="18"/>
                <w:szCs w:val="18"/>
              </w:rPr>
              <w:t>BL</w:t>
            </w:r>
          </w:p>
        </w:tc>
        <w:tc>
          <w:tcPr>
            <w:tcW w:w="456" w:type="pct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A573CD" w:rsidRPr="005E3118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sz w:val="18"/>
                <w:szCs w:val="18"/>
              </w:rPr>
              <w:t>Post</w:t>
            </w:r>
          </w:p>
        </w:tc>
        <w:tc>
          <w:tcPr>
            <w:tcW w:w="5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Group</w:t>
            </w:r>
          </w:p>
        </w:tc>
        <w:tc>
          <w:tcPr>
            <w:tcW w:w="864" w:type="pct"/>
            <w:gridSpan w:val="6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084970" w:rsidRDefault="00A573CD" w:rsidP="00322F66">
            <w:pPr>
              <w:pStyle w:val="Comp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hAnsi="Times New Roman" w:cs="Times New Roman"/>
                <w:sz w:val="18"/>
                <w:szCs w:val="18"/>
              </w:rPr>
              <w:t>Time</w:t>
            </w:r>
          </w:p>
        </w:tc>
        <w:tc>
          <w:tcPr>
            <w:tcW w:w="657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084970" w:rsidRDefault="00A573CD" w:rsidP="00322F66">
            <w:pPr>
              <w:pStyle w:val="Compact"/>
              <w:rPr>
                <w:rFonts w:ascii="Times New Roman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hAnsi="Times New Roman" w:cs="Times New Roman"/>
                <w:sz w:val="18"/>
                <w:szCs w:val="18"/>
              </w:rPr>
              <w:t>Time x Group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ES</w:t>
            </w:r>
          </w:p>
        </w:tc>
      </w:tr>
      <w:tr w:rsidR="00A573CD" w:rsidRPr="00084970" w:rsidTr="00322F66">
        <w:trPr>
          <w:cantSplit/>
          <w:tblHeader/>
          <w:jc w:val="center"/>
        </w:trPr>
        <w:tc>
          <w:tcPr>
            <w:tcW w:w="546" w:type="pct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pStyle w:val="Compact"/>
              <w:rPr>
                <w:rFonts w:ascii="Times New Roman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hAnsi="Times New Roman" w:cs="Times New Roman"/>
                <w:sz w:val="18"/>
                <w:szCs w:val="18"/>
              </w:rPr>
              <w:t>Outcome</w:t>
            </w:r>
          </w:p>
        </w:tc>
        <w:tc>
          <w:tcPr>
            <w:tcW w:w="447" w:type="pct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5E3118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i/>
                <w:sz w:val="18"/>
                <w:szCs w:val="18"/>
              </w:rPr>
              <w:t>M (SD)</w:t>
            </w:r>
          </w:p>
        </w:tc>
        <w:tc>
          <w:tcPr>
            <w:tcW w:w="454" w:type="pct"/>
            <w:gridSpan w:val="4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5E3118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i/>
                <w:sz w:val="18"/>
                <w:szCs w:val="18"/>
              </w:rPr>
              <w:t>M (SD)</w:t>
            </w:r>
          </w:p>
        </w:tc>
        <w:tc>
          <w:tcPr>
            <w:tcW w:w="451" w:type="pct"/>
            <w:gridSpan w:val="3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5E3118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i/>
                <w:sz w:val="18"/>
                <w:szCs w:val="18"/>
              </w:rPr>
              <w:t>M (SD)</w:t>
            </w:r>
          </w:p>
        </w:tc>
        <w:tc>
          <w:tcPr>
            <w:tcW w:w="456" w:type="pct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5E3118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5E3118">
              <w:rPr>
                <w:rFonts w:ascii="Times New Roman" w:hAnsi="Times New Roman" w:cs="Times New Roman"/>
                <w:i/>
                <w:sz w:val="18"/>
                <w:szCs w:val="18"/>
              </w:rPr>
              <w:t>M (SD)</w:t>
            </w:r>
          </w:p>
        </w:tc>
        <w:tc>
          <w:tcPr>
            <w:tcW w:w="344" w:type="pct"/>
            <w:gridSpan w:val="2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A576AD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A576AD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F  </w:t>
            </w:r>
          </w:p>
        </w:tc>
        <w:tc>
          <w:tcPr>
            <w:tcW w:w="344" w:type="pct"/>
            <w:gridSpan w:val="2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A576AD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p</w:t>
            </w:r>
          </w:p>
        </w:tc>
        <w:tc>
          <w:tcPr>
            <w:tcW w:w="344" w:type="pct"/>
            <w:gridSpan w:val="3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A576AD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A576AD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F </w:t>
            </w:r>
          </w:p>
        </w:tc>
        <w:tc>
          <w:tcPr>
            <w:tcW w:w="344" w:type="pct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A576AD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p</w:t>
            </w:r>
          </w:p>
        </w:tc>
        <w:tc>
          <w:tcPr>
            <w:tcW w:w="345" w:type="pct"/>
            <w:gridSpan w:val="2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A576AD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A576AD">
              <w:rPr>
                <w:rFonts w:ascii="Times New Roman" w:hAnsi="Times New Roman" w:cs="Times New Roman"/>
                <w:i/>
                <w:sz w:val="18"/>
                <w:szCs w:val="18"/>
              </w:rPr>
              <w:t>F</w:t>
            </w:r>
          </w:p>
        </w:tc>
        <w:tc>
          <w:tcPr>
            <w:tcW w:w="344" w:type="pct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A576AD" w:rsidRDefault="00A573CD" w:rsidP="00322F66">
            <w:pPr>
              <w:pStyle w:val="Compact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A576AD">
              <w:rPr>
                <w:rFonts w:ascii="Times New Roman" w:hAnsi="Times New Roman" w:cs="Times New Roman"/>
                <w:i/>
                <w:sz w:val="18"/>
                <w:szCs w:val="18"/>
              </w:rPr>
              <w:t>p</w:t>
            </w:r>
          </w:p>
        </w:tc>
        <w:tc>
          <w:tcPr>
            <w:tcW w:w="582" w:type="pct"/>
            <w:tcBorders>
              <w:bottom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A573CD" w:rsidRPr="00084970" w:rsidRDefault="00A573CD" w:rsidP="00322F66">
            <w:pPr>
              <w:pStyle w:val="Compac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 </w:t>
            </w:r>
            <w:r w:rsidRPr="00A576AD">
              <w:rPr>
                <w:rFonts w:ascii="Times New Roman" w:hAnsi="Times New Roman" w:cs="Times New Roman"/>
                <w:i/>
                <w:sz w:val="18"/>
                <w:szCs w:val="18"/>
              </w:rPr>
              <w:t>d</w:t>
            </w:r>
            <w:r w:rsidRPr="00084970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1011" w:type="pct"/>
            <w:gridSpan w:val="3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A576AD" w:rsidRDefault="00A573CD" w:rsidP="00322F66">
            <w:pPr>
              <w:pStyle w:val="Compact"/>
              <w:jc w:val="both"/>
              <w:rPr>
                <w:rFonts w:ascii="Times New Roman" w:eastAsia="Time New Roman" w:hAnsi="Times New Roman" w:cs="Times New Roman"/>
                <w:i/>
                <w:color w:val="111111"/>
                <w:sz w:val="18"/>
                <w:szCs w:val="18"/>
              </w:rPr>
            </w:pPr>
            <w:r w:rsidRPr="00A576AD">
              <w:rPr>
                <w:rFonts w:ascii="Times New Roman" w:hAnsi="Times New Roman" w:cs="Times New Roman"/>
                <w:i/>
                <w:sz w:val="18"/>
                <w:szCs w:val="18"/>
              </w:rPr>
              <w:t>Primary outcome</w:t>
            </w:r>
          </w:p>
        </w:tc>
        <w:tc>
          <w:tcPr>
            <w:tcW w:w="382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470" w:type="pct"/>
            <w:gridSpan w:val="4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491" w:type="pct"/>
            <w:gridSpan w:val="2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13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90" w:type="pct"/>
            <w:gridSpan w:val="4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13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92" w:type="pct"/>
            <w:gridSpan w:val="3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13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4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582" w:type="pct"/>
            <w:tcBorders>
              <w:top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hAnsi="Times New Roman" w:cs="Times New Roman"/>
                <w:sz w:val="18"/>
                <w:szCs w:val="18"/>
              </w:rPr>
              <w:t>PHQ-9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16.</w:t>
            </w:r>
            <w:r>
              <w:rPr>
                <w:rFonts w:eastAsia="Time New Roman"/>
                <w:color w:val="111111"/>
                <w:sz w:val="18"/>
                <w:szCs w:val="18"/>
              </w:rPr>
              <w:t>93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sz w:val="18"/>
                <w:szCs w:val="18"/>
              </w:rPr>
              <w:t>(3.</w:t>
            </w:r>
            <w:r>
              <w:rPr>
                <w:sz w:val="18"/>
                <w:szCs w:val="18"/>
              </w:rPr>
              <w:t>24</w:t>
            </w:r>
            <w:r w:rsidRPr="00084970">
              <w:rPr>
                <w:sz w:val="18"/>
                <w:szCs w:val="18"/>
              </w:rPr>
              <w:t>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14.</w:t>
            </w:r>
            <w:r>
              <w:rPr>
                <w:rFonts w:eastAsia="Time New Roman"/>
                <w:color w:val="111111"/>
                <w:sz w:val="18"/>
                <w:szCs w:val="18"/>
              </w:rPr>
              <w:t>31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(6.</w:t>
            </w:r>
            <w:r>
              <w:rPr>
                <w:rFonts w:eastAsia="Time New Roman"/>
                <w:color w:val="111111"/>
                <w:sz w:val="18"/>
                <w:szCs w:val="18"/>
              </w:rPr>
              <w:t>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16.98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(1.3</w:t>
            </w:r>
            <w:r>
              <w:rPr>
                <w:rFonts w:eastAsia="Time New Roman"/>
                <w:color w:val="111111"/>
                <w:sz w:val="18"/>
                <w:szCs w:val="18"/>
              </w:rPr>
              <w:t>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18.05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(4.81)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1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921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1.35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249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8.25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.005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0.6</w:t>
            </w:r>
            <w:r>
              <w:rPr>
                <w:rFonts w:eastAsia="Time New Roman"/>
                <w:color w:val="111111"/>
                <w:sz w:val="18"/>
                <w:szCs w:val="18"/>
              </w:rPr>
              <w:t>7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18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to 1.1</w:t>
            </w:r>
            <w:r>
              <w:rPr>
                <w:rFonts w:eastAsia="Time New Roman"/>
                <w:color w:val="111111"/>
                <w:sz w:val="18"/>
                <w:szCs w:val="18"/>
              </w:rPr>
              <w:t>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101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A576AD" w:rsidRDefault="00A573CD" w:rsidP="00322F66">
            <w:pPr>
              <w:pStyle w:val="Compact"/>
              <w:rPr>
                <w:rFonts w:ascii="Times New Roman" w:eastAsia="Time New Roman" w:hAnsi="Times New Roman" w:cs="Times New Roman"/>
                <w:i/>
                <w:color w:val="111111"/>
                <w:sz w:val="18"/>
                <w:szCs w:val="18"/>
              </w:rPr>
            </w:pPr>
            <w:r w:rsidRPr="00A576AD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Secondary outcomes</w:t>
            </w:r>
          </w:p>
        </w:tc>
        <w:tc>
          <w:tcPr>
            <w:tcW w:w="3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470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491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center"/>
              <w:rPr>
                <w:rFonts w:eastAsia="Time New Roman"/>
                <w:color w:val="111111"/>
                <w:sz w:val="18"/>
                <w:szCs w:val="18"/>
              </w:rPr>
            </w:pP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M</w:t>
            </w:r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Å</w:t>
            </w:r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DRS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23.</w:t>
            </w:r>
            <w:r>
              <w:rPr>
                <w:rFonts w:eastAsia="Time New Roman"/>
                <w:color w:val="111111"/>
                <w:sz w:val="18"/>
                <w:szCs w:val="18"/>
              </w:rPr>
              <w:t>53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(9.</w:t>
            </w:r>
            <w:r>
              <w:rPr>
                <w:rFonts w:eastAsia="Time New Roman"/>
                <w:color w:val="111111"/>
                <w:sz w:val="18"/>
                <w:szCs w:val="18"/>
              </w:rPr>
              <w:t>26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16.</w:t>
            </w:r>
            <w:r>
              <w:rPr>
                <w:rFonts w:eastAsia="Time New Roman"/>
                <w:color w:val="111111"/>
                <w:sz w:val="18"/>
                <w:szCs w:val="18"/>
              </w:rPr>
              <w:t>93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(10.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78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26.25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(9.</w:t>
            </w:r>
            <w:r>
              <w:rPr>
                <w:rFonts w:eastAsia="Time New Roman"/>
                <w:color w:val="111111"/>
                <w:sz w:val="18"/>
                <w:szCs w:val="18"/>
              </w:rPr>
              <w:t>65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23.8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(10.45)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76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.3</w:t>
            </w:r>
            <w:r>
              <w:rPr>
                <w:rFonts w:eastAsia="Time New Roman"/>
                <w:color w:val="111111"/>
                <w:sz w:val="18"/>
                <w:szCs w:val="18"/>
              </w:rPr>
              <w:t>86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12.06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.001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4.06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48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0.5</w:t>
            </w:r>
            <w:r>
              <w:rPr>
                <w:rFonts w:eastAsia="Time New Roman"/>
                <w:color w:val="111111"/>
                <w:sz w:val="18"/>
                <w:szCs w:val="18"/>
              </w:rPr>
              <w:t>2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(0.0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3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to </w:t>
            </w:r>
            <w:r>
              <w:rPr>
                <w:rFonts w:eastAsia="Time New Roman"/>
                <w:color w:val="111111"/>
                <w:sz w:val="18"/>
                <w:szCs w:val="18"/>
              </w:rPr>
              <w:t>1.01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RHS</w:t>
            </w:r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-15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3</w:t>
            </w:r>
            <w:r>
              <w:rPr>
                <w:rFonts w:eastAsia="Time New Roman"/>
                <w:color w:val="111111"/>
                <w:sz w:val="18"/>
                <w:szCs w:val="18"/>
              </w:rPr>
              <w:t>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13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(9)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28.83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(12.</w:t>
            </w:r>
            <w:r>
              <w:rPr>
                <w:rFonts w:eastAsia="Time New Roman"/>
                <w:color w:val="111111"/>
                <w:sz w:val="18"/>
                <w:szCs w:val="18"/>
              </w:rPr>
              <w:t>98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35.</w:t>
            </w:r>
            <w:r>
              <w:rPr>
                <w:rFonts w:eastAsia="Time New Roman"/>
                <w:color w:val="111111"/>
                <w:sz w:val="18"/>
                <w:szCs w:val="18"/>
              </w:rPr>
              <w:t>7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(7.</w:t>
            </w:r>
            <w:r>
              <w:rPr>
                <w:rFonts w:eastAsia="Time New Roman"/>
                <w:color w:val="111111"/>
                <w:sz w:val="18"/>
                <w:szCs w:val="18"/>
              </w:rPr>
              <w:t>37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33.98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(10.11)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25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618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11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.00</w:t>
            </w:r>
            <w:r>
              <w:rPr>
                <w:rFonts w:eastAsia="Time New Roman"/>
                <w:color w:val="111111"/>
                <w:sz w:val="18"/>
                <w:szCs w:val="18"/>
              </w:rPr>
              <w:t>1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4.56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36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5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(0.0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1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to 0.9</w:t>
            </w:r>
            <w:r>
              <w:rPr>
                <w:rFonts w:eastAsia="Time New Roman"/>
                <w:color w:val="111111"/>
                <w:sz w:val="18"/>
                <w:szCs w:val="18"/>
              </w:rPr>
              <w:t>8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BRS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2.</w:t>
            </w:r>
            <w:r>
              <w:rPr>
                <w:rFonts w:eastAsia="Time New Roman"/>
                <w:color w:val="111111"/>
                <w:sz w:val="18"/>
                <w:szCs w:val="18"/>
              </w:rPr>
              <w:t>69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83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2.9</w:t>
            </w:r>
            <w:r>
              <w:rPr>
                <w:rFonts w:eastAsia="Time New Roman"/>
                <w:color w:val="111111"/>
                <w:sz w:val="18"/>
                <w:szCs w:val="18"/>
              </w:rPr>
              <w:t>1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(0.6</w:t>
            </w:r>
            <w:r>
              <w:rPr>
                <w:rFonts w:eastAsia="Time New Roman"/>
                <w:color w:val="111111"/>
                <w:sz w:val="18"/>
                <w:szCs w:val="18"/>
              </w:rPr>
              <w:t>9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2.</w:t>
            </w:r>
            <w:r>
              <w:rPr>
                <w:rFonts w:eastAsia="Time New Roman"/>
                <w:color w:val="111111"/>
                <w:sz w:val="18"/>
                <w:szCs w:val="18"/>
              </w:rPr>
              <w:t>82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(0.5</w:t>
            </w:r>
            <w:r>
              <w:rPr>
                <w:rFonts w:eastAsia="Time New Roman"/>
                <w:color w:val="111111"/>
                <w:sz w:val="18"/>
                <w:szCs w:val="18"/>
              </w:rPr>
              <w:t>5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2.76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(0.53)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0.69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408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72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399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2.12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15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-0.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37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(-0.8</w:t>
            </w:r>
            <w:r>
              <w:rPr>
                <w:rFonts w:eastAsia="Time New Roman"/>
                <w:color w:val="111111"/>
                <w:sz w:val="18"/>
                <w:szCs w:val="18"/>
              </w:rPr>
              <w:t>7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to 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13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GSE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23.66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(7.</w:t>
            </w:r>
            <w:r>
              <w:rPr>
                <w:rFonts w:eastAsia="Time New Roman"/>
                <w:color w:val="111111"/>
                <w:sz w:val="18"/>
                <w:szCs w:val="18"/>
              </w:rPr>
              <w:t>01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22.93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(6.</w:t>
            </w:r>
            <w:r>
              <w:rPr>
                <w:rFonts w:eastAsia="Time New Roman"/>
                <w:color w:val="111111"/>
                <w:sz w:val="18"/>
                <w:szCs w:val="18"/>
              </w:rPr>
              <w:t>62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24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6.89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22.75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(5.66)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5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.81</w:t>
            </w:r>
            <w:r>
              <w:rPr>
                <w:rFonts w:eastAsia="Time New Roman"/>
                <w:color w:val="111111"/>
                <w:sz w:val="18"/>
                <w:szCs w:val="18"/>
              </w:rPr>
              <w:t>6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1.7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196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7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.7</w:t>
            </w:r>
            <w:r>
              <w:rPr>
                <w:rFonts w:eastAsia="Time New Roman"/>
                <w:color w:val="111111"/>
                <w:sz w:val="18"/>
                <w:szCs w:val="18"/>
              </w:rPr>
              <w:t>98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-0.0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5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(-0.5</w:t>
            </w:r>
            <w:r>
              <w:rPr>
                <w:rFonts w:eastAsia="Time New Roman"/>
                <w:color w:val="111111"/>
                <w:sz w:val="18"/>
                <w:szCs w:val="18"/>
              </w:rPr>
              <w:t>5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to 0.4</w:t>
            </w:r>
            <w:r>
              <w:rPr>
                <w:rFonts w:eastAsia="Time New Roman"/>
                <w:color w:val="111111"/>
                <w:sz w:val="18"/>
                <w:szCs w:val="18"/>
              </w:rPr>
              <w:t>5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SDQ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57.28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6.19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52.</w:t>
            </w:r>
            <w:r>
              <w:rPr>
                <w:rFonts w:eastAsia="Time New Roman"/>
                <w:color w:val="111111"/>
                <w:sz w:val="18"/>
                <w:szCs w:val="18"/>
              </w:rPr>
              <w:t>7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(4.</w:t>
            </w:r>
            <w:r>
              <w:rPr>
                <w:rFonts w:eastAsia="Time New Roman"/>
                <w:color w:val="111111"/>
                <w:sz w:val="18"/>
                <w:szCs w:val="18"/>
              </w:rPr>
              <w:t>94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53.</w:t>
            </w:r>
            <w:r>
              <w:rPr>
                <w:rFonts w:eastAsia="Time New Roman"/>
                <w:color w:val="111111"/>
                <w:sz w:val="18"/>
                <w:szCs w:val="18"/>
              </w:rPr>
              <w:t>98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7.36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53.95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(4.9)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5.09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26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7.53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08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6.83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.0</w:t>
            </w:r>
            <w:r>
              <w:rPr>
                <w:rFonts w:eastAsia="Time New Roman"/>
                <w:color w:val="111111"/>
                <w:sz w:val="18"/>
                <w:szCs w:val="18"/>
              </w:rPr>
              <w:t>11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(0.09 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to 1.</w:t>
            </w:r>
            <w:r>
              <w:rPr>
                <w:rFonts w:eastAsia="Time New Roman"/>
                <w:color w:val="111111"/>
                <w:sz w:val="18"/>
                <w:szCs w:val="18"/>
              </w:rPr>
              <w:t>1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proofErr w:type="spellStart"/>
            <w:r w:rsidRPr="00084970">
              <w:rPr>
                <w:rFonts w:ascii="Times New Roman" w:eastAsiaTheme="minorEastAsia" w:hAnsi="Times New Roman" w:cs="Times New Roman"/>
                <w:sz w:val="18"/>
                <w:szCs w:val="18"/>
              </w:rPr>
              <w:t>WHOQoL</w:t>
            </w:r>
            <w:proofErr w:type="spellEnd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-BREF (item 1+2)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10.9</w:t>
            </w:r>
          </w:p>
          <w:p w:rsidR="00A573CD" w:rsidRPr="00F30487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2.76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12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3.87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11.75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2.53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11.09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(</w:t>
            </w:r>
            <w:r>
              <w:rPr>
                <w:rFonts w:eastAsia="Time New Roman"/>
                <w:color w:val="111111"/>
                <w:sz w:val="18"/>
                <w:szCs w:val="18"/>
              </w:rPr>
              <w:t>2.97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1.66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.2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0.1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751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2.98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.</w:t>
            </w:r>
            <w:r>
              <w:rPr>
                <w:rFonts w:eastAsia="Time New Roman"/>
                <w:color w:val="111111"/>
                <w:sz w:val="18"/>
                <w:szCs w:val="18"/>
              </w:rPr>
              <w:t>089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-0.31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 xml:space="preserve"> (-0.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8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sz w:val="18"/>
                <w:szCs w:val="18"/>
              </w:rPr>
            </w:pPr>
            <w:r w:rsidRPr="00084970">
              <w:rPr>
                <w:rFonts w:eastAsia="Time New Roman"/>
                <w:color w:val="111111"/>
                <w:sz w:val="18"/>
                <w:szCs w:val="18"/>
              </w:rPr>
              <w:t>to 0.</w:t>
            </w:r>
            <w:r>
              <w:rPr>
                <w:rFonts w:eastAsia="Time New Roman"/>
                <w:color w:val="111111"/>
                <w:sz w:val="18"/>
                <w:szCs w:val="18"/>
              </w:rPr>
              <w:t>21</w:t>
            </w:r>
            <w:r w:rsidRPr="00084970">
              <w:rPr>
                <w:rFonts w:eastAsia="Time New Roman"/>
                <w:color w:val="111111"/>
                <w:sz w:val="18"/>
                <w:szCs w:val="18"/>
              </w:rPr>
              <w:t>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WHOQoL</w:t>
            </w:r>
            <w:proofErr w:type="spellEnd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-BREF (physical)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45.75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(14.79)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49.18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(21.77)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42.36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(13.96)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41.13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(12.76)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0.53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.469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0.17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.683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1.42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.237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 xml:space="preserve">-0.3 (-0.8 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to 0.21)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WHOQoL</w:t>
            </w:r>
            <w:proofErr w:type="spellEnd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-BREF (psych.)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49.43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(15.93)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40.99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(23.94)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46.6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(15.67)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38.23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(14.86)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0.34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.56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11.25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.001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.959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0.04 (-0.47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to 0.55)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WHOQoL</w:t>
            </w:r>
            <w:proofErr w:type="spellEnd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-BREF (social)</w:t>
            </w:r>
          </w:p>
        </w:tc>
        <w:tc>
          <w:tcPr>
            <w:tcW w:w="447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41.95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(20.83)</w:t>
            </w:r>
          </w:p>
        </w:tc>
        <w:tc>
          <w:tcPr>
            <w:tcW w:w="454" w:type="pct"/>
            <w:gridSpan w:val="4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42.59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(25.25)</w:t>
            </w:r>
          </w:p>
        </w:tc>
        <w:tc>
          <w:tcPr>
            <w:tcW w:w="451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46.6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(15.67)</w:t>
            </w:r>
          </w:p>
        </w:tc>
        <w:tc>
          <w:tcPr>
            <w:tcW w:w="456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38.23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(14.86)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0.83</w:t>
            </w:r>
          </w:p>
        </w:tc>
        <w:tc>
          <w:tcPr>
            <w:tcW w:w="344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.364</w:t>
            </w:r>
          </w:p>
        </w:tc>
        <w:tc>
          <w:tcPr>
            <w:tcW w:w="344" w:type="pct"/>
            <w:gridSpan w:val="3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0.14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.714</w:t>
            </w:r>
          </w:p>
        </w:tc>
        <w:tc>
          <w:tcPr>
            <w:tcW w:w="345" w:type="pct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0.04</w:t>
            </w:r>
          </w:p>
        </w:tc>
        <w:tc>
          <w:tcPr>
            <w:tcW w:w="344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.84</w:t>
            </w:r>
          </w:p>
        </w:tc>
        <w:tc>
          <w:tcPr>
            <w:tcW w:w="582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0.06 (-0.45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to 0.56)</w:t>
            </w:r>
          </w:p>
        </w:tc>
      </w:tr>
      <w:tr w:rsidR="00A573CD" w:rsidRPr="00084970" w:rsidTr="00322F66">
        <w:trPr>
          <w:cantSplit/>
          <w:jc w:val="center"/>
        </w:trPr>
        <w:tc>
          <w:tcPr>
            <w:tcW w:w="546" w:type="pct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573CD" w:rsidRPr="00084970" w:rsidRDefault="00A573CD" w:rsidP="00322F66">
            <w:pPr>
              <w:pStyle w:val="Compact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WHOQoL</w:t>
            </w:r>
            <w:proofErr w:type="spellEnd"/>
            <w:r>
              <w:rPr>
                <w:rFonts w:ascii="Times New Roman" w:eastAsiaTheme="minorEastAsia" w:hAnsi="Times New Roman" w:cs="Times New Roman"/>
                <w:sz w:val="18"/>
                <w:szCs w:val="18"/>
              </w:rPr>
              <w:t>-BREF (environ.)</w:t>
            </w:r>
          </w:p>
        </w:tc>
        <w:tc>
          <w:tcPr>
            <w:tcW w:w="447" w:type="pct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48.46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(15.87)</w:t>
            </w:r>
          </w:p>
        </w:tc>
        <w:tc>
          <w:tcPr>
            <w:tcW w:w="454" w:type="pct"/>
            <w:gridSpan w:val="4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52.78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(19.3)</w:t>
            </w:r>
          </w:p>
        </w:tc>
        <w:tc>
          <w:tcPr>
            <w:tcW w:w="451" w:type="pct"/>
            <w:gridSpan w:val="3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46.69</w:t>
            </w:r>
          </w:p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(14.45)</w:t>
            </w:r>
          </w:p>
        </w:tc>
        <w:tc>
          <w:tcPr>
            <w:tcW w:w="456" w:type="pct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49.77</w:t>
            </w:r>
          </w:p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(13.11)</w:t>
            </w:r>
          </w:p>
        </w:tc>
        <w:tc>
          <w:tcPr>
            <w:tcW w:w="344" w:type="pct"/>
            <w:gridSpan w:val="2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0.11</w:t>
            </w:r>
          </w:p>
        </w:tc>
        <w:tc>
          <w:tcPr>
            <w:tcW w:w="344" w:type="pct"/>
            <w:gridSpan w:val="2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.737</w:t>
            </w:r>
          </w:p>
        </w:tc>
        <w:tc>
          <w:tcPr>
            <w:tcW w:w="344" w:type="pct"/>
            <w:gridSpan w:val="3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2.43</w:t>
            </w:r>
          </w:p>
        </w:tc>
        <w:tc>
          <w:tcPr>
            <w:tcW w:w="344" w:type="pct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.124</w:t>
            </w:r>
          </w:p>
        </w:tc>
        <w:tc>
          <w:tcPr>
            <w:tcW w:w="345" w:type="pct"/>
            <w:gridSpan w:val="2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0.03</w:t>
            </w:r>
          </w:p>
        </w:tc>
        <w:tc>
          <w:tcPr>
            <w:tcW w:w="344" w:type="pct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Pr="00084970" w:rsidRDefault="00A573CD" w:rsidP="00322F66">
            <w:pPr>
              <w:spacing w:before="40" w:after="40" w:line="240" w:lineRule="auto"/>
              <w:ind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.874</w:t>
            </w:r>
          </w:p>
        </w:tc>
        <w:tc>
          <w:tcPr>
            <w:tcW w:w="582" w:type="pct"/>
            <w:tcBorders>
              <w:bottom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573CD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0.02 (-0.48</w:t>
            </w:r>
          </w:p>
          <w:p w:rsidR="00A573CD" w:rsidRPr="00084970" w:rsidRDefault="00A573CD" w:rsidP="00322F66">
            <w:pPr>
              <w:spacing w:before="40" w:after="40" w:line="240" w:lineRule="auto"/>
              <w:ind w:left="100" w:right="100"/>
              <w:jc w:val="left"/>
              <w:rPr>
                <w:rFonts w:eastAsia="Time New Roman"/>
                <w:color w:val="111111"/>
                <w:sz w:val="18"/>
                <w:szCs w:val="18"/>
              </w:rPr>
            </w:pPr>
            <w:r>
              <w:rPr>
                <w:rFonts w:eastAsia="Time New Roman"/>
                <w:color w:val="111111"/>
                <w:sz w:val="18"/>
                <w:szCs w:val="18"/>
              </w:rPr>
              <w:t>to 0.52)</w:t>
            </w:r>
          </w:p>
        </w:tc>
      </w:tr>
    </w:tbl>
    <w:p w:rsidR="00A573CD" w:rsidRDefault="00A573CD" w:rsidP="00A573CD">
      <w:pPr>
        <w:spacing w:line="276" w:lineRule="auto"/>
        <w:rPr>
          <w:sz w:val="20"/>
          <w:szCs w:val="20"/>
        </w:rPr>
      </w:pPr>
      <w:r w:rsidRPr="003F5DCD">
        <w:rPr>
          <w:i/>
          <w:sz w:val="20"/>
          <w:szCs w:val="20"/>
        </w:rPr>
        <w:t>Note.</w:t>
      </w:r>
      <w:r w:rsidRPr="000876B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TAU = treatment-as-usual; BL = baseline, Post = post-intervention; </w:t>
      </w:r>
      <w:r w:rsidRPr="006824C6">
        <w:rPr>
          <w:i/>
          <w:sz w:val="20"/>
          <w:szCs w:val="20"/>
        </w:rPr>
        <w:t>M</w:t>
      </w:r>
      <w:r w:rsidRPr="000876B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= </w:t>
      </w:r>
      <w:r w:rsidRPr="000876BE">
        <w:rPr>
          <w:sz w:val="20"/>
          <w:szCs w:val="20"/>
        </w:rPr>
        <w:t xml:space="preserve">mean; </w:t>
      </w:r>
      <w:r w:rsidRPr="006824C6">
        <w:rPr>
          <w:i/>
          <w:sz w:val="20"/>
          <w:szCs w:val="20"/>
        </w:rPr>
        <w:t>SD</w:t>
      </w:r>
      <w:r w:rsidRPr="000876B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= </w:t>
      </w:r>
      <w:r w:rsidRPr="000876BE">
        <w:rPr>
          <w:sz w:val="20"/>
          <w:szCs w:val="20"/>
        </w:rPr>
        <w:t>standard deviation</w:t>
      </w:r>
      <w:r>
        <w:rPr>
          <w:sz w:val="20"/>
          <w:szCs w:val="20"/>
        </w:rPr>
        <w:t xml:space="preserve">; </w:t>
      </w:r>
      <w:r w:rsidRPr="000876BE">
        <w:rPr>
          <w:sz w:val="20"/>
          <w:szCs w:val="20"/>
        </w:rPr>
        <w:t>ES</w:t>
      </w:r>
      <w:r>
        <w:rPr>
          <w:sz w:val="20"/>
          <w:szCs w:val="20"/>
        </w:rPr>
        <w:t xml:space="preserve"> =</w:t>
      </w:r>
      <w:r w:rsidRPr="000876BE">
        <w:rPr>
          <w:sz w:val="20"/>
          <w:szCs w:val="20"/>
        </w:rPr>
        <w:t xml:space="preserve"> effect size</w:t>
      </w:r>
      <w:r>
        <w:rPr>
          <w:sz w:val="20"/>
          <w:szCs w:val="20"/>
        </w:rPr>
        <w:t>;</w:t>
      </w:r>
      <w:r w:rsidRPr="000876BE">
        <w:rPr>
          <w:sz w:val="20"/>
          <w:szCs w:val="20"/>
        </w:rPr>
        <w:t xml:space="preserve"> </w:t>
      </w:r>
      <w:r w:rsidRPr="006824C6">
        <w:rPr>
          <w:i/>
          <w:sz w:val="20"/>
          <w:szCs w:val="20"/>
        </w:rPr>
        <w:t>d</w:t>
      </w:r>
      <w:r w:rsidRPr="000876B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= </w:t>
      </w:r>
      <w:r w:rsidRPr="000876BE">
        <w:rPr>
          <w:sz w:val="20"/>
          <w:szCs w:val="20"/>
        </w:rPr>
        <w:t xml:space="preserve">Cohen’s </w:t>
      </w:r>
      <w:r w:rsidRPr="006824C6">
        <w:rPr>
          <w:i/>
          <w:sz w:val="20"/>
          <w:szCs w:val="20"/>
        </w:rPr>
        <w:t>d</w:t>
      </w:r>
      <w:r>
        <w:rPr>
          <w:sz w:val="20"/>
          <w:szCs w:val="20"/>
        </w:rPr>
        <w:t>;</w:t>
      </w:r>
      <w:r w:rsidRPr="000876BE">
        <w:rPr>
          <w:sz w:val="20"/>
          <w:szCs w:val="20"/>
        </w:rPr>
        <w:t xml:space="preserve"> CI </w:t>
      </w:r>
      <w:r>
        <w:rPr>
          <w:sz w:val="20"/>
          <w:szCs w:val="20"/>
        </w:rPr>
        <w:t xml:space="preserve">= </w:t>
      </w:r>
      <w:r w:rsidRPr="000876BE">
        <w:rPr>
          <w:sz w:val="20"/>
          <w:szCs w:val="20"/>
        </w:rPr>
        <w:t>confidence interval</w:t>
      </w:r>
      <w:r>
        <w:rPr>
          <w:sz w:val="20"/>
          <w:szCs w:val="20"/>
        </w:rPr>
        <w:t xml:space="preserve">; </w:t>
      </w:r>
      <w:r w:rsidRPr="000876BE">
        <w:rPr>
          <w:color w:val="000000"/>
          <w:sz w:val="20"/>
          <w:szCs w:val="20"/>
        </w:rPr>
        <w:t xml:space="preserve">PHQ-9 </w:t>
      </w:r>
      <w:r>
        <w:rPr>
          <w:color w:val="000000"/>
          <w:sz w:val="20"/>
          <w:szCs w:val="20"/>
        </w:rPr>
        <w:t xml:space="preserve">= </w:t>
      </w:r>
      <w:r w:rsidRPr="000876BE">
        <w:rPr>
          <w:color w:val="000000"/>
          <w:sz w:val="20"/>
          <w:szCs w:val="20"/>
        </w:rPr>
        <w:t>Patient Health Questionnaire</w:t>
      </w:r>
      <w:r>
        <w:rPr>
          <w:color w:val="000000"/>
          <w:sz w:val="20"/>
          <w:szCs w:val="20"/>
        </w:rPr>
        <w:t>-</w:t>
      </w:r>
      <w:r w:rsidRPr="000876BE">
        <w:rPr>
          <w:color w:val="000000"/>
          <w:sz w:val="20"/>
          <w:szCs w:val="20"/>
        </w:rPr>
        <w:t>9</w:t>
      </w:r>
      <w:r>
        <w:rPr>
          <w:color w:val="000000"/>
          <w:sz w:val="20"/>
          <w:szCs w:val="20"/>
        </w:rPr>
        <w:t>;</w:t>
      </w:r>
      <w:r w:rsidRPr="000876BE">
        <w:rPr>
          <w:color w:val="000000"/>
          <w:sz w:val="20"/>
          <w:szCs w:val="20"/>
        </w:rPr>
        <w:t xml:space="preserve"> MÅDRS </w:t>
      </w:r>
      <w:r>
        <w:rPr>
          <w:color w:val="000000"/>
          <w:sz w:val="20"/>
          <w:szCs w:val="20"/>
        </w:rPr>
        <w:t xml:space="preserve">= </w:t>
      </w:r>
      <w:r w:rsidRPr="000876BE">
        <w:rPr>
          <w:color w:val="000000"/>
          <w:sz w:val="20"/>
          <w:szCs w:val="20"/>
        </w:rPr>
        <w:t xml:space="preserve">Montgomery </w:t>
      </w:r>
      <w:proofErr w:type="spellStart"/>
      <w:r w:rsidRPr="000876BE">
        <w:rPr>
          <w:color w:val="000000"/>
          <w:sz w:val="20"/>
          <w:szCs w:val="20"/>
        </w:rPr>
        <w:t>Åsberg</w:t>
      </w:r>
      <w:proofErr w:type="spellEnd"/>
      <w:r w:rsidRPr="000876BE">
        <w:rPr>
          <w:color w:val="000000"/>
          <w:sz w:val="20"/>
          <w:szCs w:val="20"/>
        </w:rPr>
        <w:t xml:space="preserve"> Depression Rating Scale</w:t>
      </w:r>
      <w:r>
        <w:rPr>
          <w:color w:val="000000"/>
          <w:sz w:val="20"/>
          <w:szCs w:val="20"/>
        </w:rPr>
        <w:t>;</w:t>
      </w:r>
      <w:r w:rsidRPr="000876BE">
        <w:rPr>
          <w:color w:val="000000"/>
          <w:sz w:val="20"/>
          <w:szCs w:val="20"/>
        </w:rPr>
        <w:t xml:space="preserve"> RHS</w:t>
      </w:r>
      <w:r>
        <w:rPr>
          <w:color w:val="000000"/>
          <w:sz w:val="20"/>
          <w:szCs w:val="20"/>
        </w:rPr>
        <w:t>-15</w:t>
      </w:r>
      <w:r w:rsidRPr="000876BE">
        <w:rPr>
          <w:color w:val="000000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 xml:space="preserve">= </w:t>
      </w:r>
      <w:r w:rsidRPr="000876BE">
        <w:rPr>
          <w:color w:val="000000"/>
          <w:sz w:val="20"/>
          <w:szCs w:val="20"/>
        </w:rPr>
        <w:t>Refugee Health Screener</w:t>
      </w:r>
      <w:r>
        <w:rPr>
          <w:color w:val="000000"/>
          <w:sz w:val="20"/>
          <w:szCs w:val="20"/>
        </w:rPr>
        <w:t>-</w:t>
      </w:r>
      <w:r w:rsidRPr="000876BE">
        <w:rPr>
          <w:color w:val="000000"/>
          <w:sz w:val="20"/>
          <w:szCs w:val="20"/>
        </w:rPr>
        <w:t>15</w:t>
      </w:r>
      <w:r>
        <w:rPr>
          <w:color w:val="000000"/>
          <w:sz w:val="20"/>
          <w:szCs w:val="20"/>
        </w:rPr>
        <w:t>;</w:t>
      </w:r>
      <w:r w:rsidRPr="000876BE">
        <w:rPr>
          <w:color w:val="000000"/>
          <w:sz w:val="20"/>
          <w:szCs w:val="20"/>
        </w:rPr>
        <w:t xml:space="preserve"> BR</w:t>
      </w:r>
      <w:r>
        <w:rPr>
          <w:color w:val="000000"/>
          <w:sz w:val="20"/>
          <w:szCs w:val="20"/>
        </w:rPr>
        <w:t>S</w:t>
      </w:r>
      <w:r w:rsidRPr="000876BE">
        <w:rPr>
          <w:color w:val="000000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 xml:space="preserve">= </w:t>
      </w:r>
      <w:r w:rsidRPr="000876BE">
        <w:rPr>
          <w:color w:val="000000"/>
          <w:sz w:val="20"/>
          <w:szCs w:val="20"/>
        </w:rPr>
        <w:t>Brief Resilience Scale</w:t>
      </w:r>
      <w:r>
        <w:rPr>
          <w:color w:val="000000"/>
          <w:sz w:val="20"/>
          <w:szCs w:val="20"/>
        </w:rPr>
        <w:t>; GSE = General Self-</w:t>
      </w:r>
      <w:r w:rsidRPr="000876BE">
        <w:rPr>
          <w:color w:val="000000"/>
          <w:sz w:val="20"/>
          <w:szCs w:val="20"/>
        </w:rPr>
        <w:t>Efficacy Scale</w:t>
      </w:r>
      <w:r>
        <w:rPr>
          <w:color w:val="000000"/>
          <w:sz w:val="20"/>
          <w:szCs w:val="20"/>
        </w:rPr>
        <w:t>;</w:t>
      </w:r>
      <w:r w:rsidRPr="000876BE">
        <w:rPr>
          <w:color w:val="000000"/>
          <w:sz w:val="20"/>
          <w:szCs w:val="20"/>
        </w:rPr>
        <w:t xml:space="preserve"> SDQ </w:t>
      </w:r>
      <w:r>
        <w:rPr>
          <w:color w:val="000000"/>
          <w:sz w:val="20"/>
          <w:szCs w:val="20"/>
        </w:rPr>
        <w:t xml:space="preserve">= </w:t>
      </w:r>
      <w:r w:rsidRPr="000876BE">
        <w:rPr>
          <w:color w:val="000000"/>
          <w:sz w:val="20"/>
          <w:szCs w:val="20"/>
        </w:rPr>
        <w:t>Strength and Difficulties Questionnaire</w:t>
      </w:r>
      <w:r>
        <w:rPr>
          <w:color w:val="000000"/>
          <w:sz w:val="20"/>
          <w:szCs w:val="20"/>
        </w:rPr>
        <w:t>;</w:t>
      </w:r>
      <w:r w:rsidRPr="000876BE">
        <w:rPr>
          <w:color w:val="000000"/>
          <w:sz w:val="20"/>
          <w:szCs w:val="20"/>
        </w:rPr>
        <w:t xml:space="preserve"> </w:t>
      </w:r>
      <w:proofErr w:type="spellStart"/>
      <w:r w:rsidRPr="000876BE">
        <w:rPr>
          <w:color w:val="000000"/>
          <w:sz w:val="20"/>
          <w:szCs w:val="20"/>
        </w:rPr>
        <w:t>WHO</w:t>
      </w:r>
      <w:r>
        <w:rPr>
          <w:color w:val="000000"/>
          <w:sz w:val="20"/>
          <w:szCs w:val="20"/>
        </w:rPr>
        <w:t>Q</w:t>
      </w:r>
      <w:r w:rsidRPr="000876BE">
        <w:rPr>
          <w:color w:val="000000"/>
          <w:sz w:val="20"/>
          <w:szCs w:val="20"/>
        </w:rPr>
        <w:t>oL</w:t>
      </w:r>
      <w:proofErr w:type="spellEnd"/>
      <w:r>
        <w:rPr>
          <w:color w:val="000000"/>
          <w:sz w:val="20"/>
          <w:szCs w:val="20"/>
        </w:rPr>
        <w:t>-BREF</w:t>
      </w:r>
      <w:r w:rsidRPr="000876BE">
        <w:rPr>
          <w:color w:val="000000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 xml:space="preserve">= </w:t>
      </w:r>
      <w:r w:rsidRPr="000876BE">
        <w:rPr>
          <w:color w:val="000000"/>
          <w:sz w:val="20"/>
          <w:szCs w:val="20"/>
        </w:rPr>
        <w:t xml:space="preserve">World Health Organization Quality of Life </w:t>
      </w:r>
      <w:r>
        <w:rPr>
          <w:color w:val="000000"/>
          <w:sz w:val="20"/>
          <w:szCs w:val="20"/>
        </w:rPr>
        <w:t>questionnaire, brief version</w:t>
      </w:r>
      <w:r w:rsidRPr="000876BE">
        <w:rPr>
          <w:color w:val="000000"/>
          <w:sz w:val="20"/>
          <w:szCs w:val="20"/>
        </w:rPr>
        <w:t xml:space="preserve">. </w:t>
      </w:r>
    </w:p>
    <w:p w:rsidR="00A573CD" w:rsidRDefault="00A573CD" w:rsidP="00A573CD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A573CD" w:rsidRDefault="00A573CD" w:rsidP="00A573CD">
      <w:pPr>
        <w:spacing w:line="276" w:lineRule="auto"/>
        <w:rPr>
          <w:color w:val="000000"/>
        </w:rPr>
      </w:pPr>
      <w:r>
        <w:rPr>
          <w:b/>
          <w:color w:val="000000"/>
        </w:rPr>
        <w:lastRenderedPageBreak/>
        <w:t>Figure S1.</w:t>
      </w:r>
      <w:r>
        <w:rPr>
          <w:color w:val="000000"/>
        </w:rPr>
        <w:t xml:space="preserve"> Primary and secondary outcome variables at primary study endpoint within the PP sample.</w:t>
      </w:r>
    </w:p>
    <w:p w:rsidR="00A573CD" w:rsidRDefault="00A573CD" w:rsidP="00A573CD">
      <w:pPr>
        <w:spacing w:line="276" w:lineRule="auto"/>
      </w:pPr>
    </w:p>
    <w:p w:rsidR="00A573CD" w:rsidRDefault="00A573CD" w:rsidP="00A573CD">
      <w:pPr>
        <w:spacing w:line="276" w:lineRule="auto"/>
        <w:rPr>
          <w:sz w:val="20"/>
          <w:szCs w:val="20"/>
        </w:rPr>
      </w:pPr>
      <w:r w:rsidRPr="00EC68E3">
        <w:rPr>
          <w:noProof/>
          <w:color w:val="000000"/>
          <w:lang w:eastAsia="en-US"/>
        </w:rPr>
        <w:drawing>
          <wp:inline distT="0" distB="0" distL="0" distR="0" wp14:anchorId="2789F429" wp14:editId="72688848">
            <wp:extent cx="5756910" cy="4710430"/>
            <wp:effectExtent l="0" t="0" r="0" b="127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71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3CD" w:rsidRPr="00827CD0" w:rsidRDefault="00A573CD" w:rsidP="00A573CD">
      <w:pPr>
        <w:spacing w:line="276" w:lineRule="auto"/>
        <w:rPr>
          <w:b/>
          <w:bCs/>
          <w:color w:val="000000" w:themeColor="text1"/>
          <w:sz w:val="20"/>
          <w:szCs w:val="20"/>
        </w:rPr>
      </w:pPr>
      <w:r w:rsidRPr="003F5DCD">
        <w:rPr>
          <w:i/>
          <w:color w:val="000000"/>
          <w:sz w:val="20"/>
          <w:szCs w:val="20"/>
        </w:rPr>
        <w:t>Note.</w:t>
      </w:r>
      <w:r>
        <w:rPr>
          <w:color w:val="000000"/>
          <w:sz w:val="20"/>
          <w:szCs w:val="20"/>
        </w:rPr>
        <w:t xml:space="preserve"> </w:t>
      </w:r>
      <w:r w:rsidRPr="003F5DCD">
        <w:rPr>
          <w:color w:val="000000"/>
          <w:sz w:val="20"/>
          <w:szCs w:val="20"/>
        </w:rPr>
        <w:t>TAU</w:t>
      </w:r>
      <w:r>
        <w:rPr>
          <w:color w:val="000000"/>
          <w:sz w:val="20"/>
          <w:szCs w:val="20"/>
        </w:rPr>
        <w:t xml:space="preserve"> =</w:t>
      </w:r>
      <w:r w:rsidRPr="003F5DCD">
        <w:rPr>
          <w:color w:val="000000"/>
          <w:sz w:val="20"/>
          <w:szCs w:val="20"/>
        </w:rPr>
        <w:t xml:space="preserve"> treatment-as-usual</w:t>
      </w:r>
      <w:r>
        <w:rPr>
          <w:color w:val="000000"/>
          <w:sz w:val="20"/>
          <w:szCs w:val="20"/>
        </w:rPr>
        <w:t>;</w:t>
      </w:r>
      <w:r w:rsidRPr="003F5DCD">
        <w:rPr>
          <w:color w:val="000000"/>
          <w:sz w:val="20"/>
          <w:szCs w:val="20"/>
        </w:rPr>
        <w:t xml:space="preserve"> SCCM </w:t>
      </w:r>
      <w:r>
        <w:rPr>
          <w:color w:val="000000"/>
          <w:sz w:val="20"/>
          <w:szCs w:val="20"/>
        </w:rPr>
        <w:t xml:space="preserve">= Empowerment group intervention within the </w:t>
      </w:r>
      <w:r w:rsidRPr="003F5DCD">
        <w:rPr>
          <w:color w:val="000000"/>
          <w:sz w:val="20"/>
          <w:szCs w:val="20"/>
        </w:rPr>
        <w:t>Stepped and Collaborative Care Model</w:t>
      </w:r>
      <w:r>
        <w:rPr>
          <w:color w:val="000000"/>
          <w:sz w:val="20"/>
          <w:szCs w:val="20"/>
        </w:rPr>
        <w:t>;</w:t>
      </w:r>
      <w:r w:rsidRPr="003F5DCD">
        <w:rPr>
          <w:color w:val="000000"/>
          <w:sz w:val="20"/>
          <w:szCs w:val="20"/>
        </w:rPr>
        <w:t xml:space="preserve"> PHQ-9 </w:t>
      </w:r>
      <w:r>
        <w:rPr>
          <w:color w:val="000000"/>
          <w:sz w:val="20"/>
          <w:szCs w:val="20"/>
        </w:rPr>
        <w:t xml:space="preserve">= </w:t>
      </w:r>
      <w:r w:rsidRPr="003F5DCD">
        <w:rPr>
          <w:color w:val="000000"/>
          <w:sz w:val="20"/>
          <w:szCs w:val="20"/>
        </w:rPr>
        <w:t>Patient Health Questionnaire</w:t>
      </w:r>
      <w:r>
        <w:rPr>
          <w:color w:val="000000"/>
          <w:sz w:val="20"/>
          <w:szCs w:val="20"/>
        </w:rPr>
        <w:t>-</w:t>
      </w:r>
      <w:r w:rsidRPr="003F5DCD">
        <w:rPr>
          <w:color w:val="000000"/>
          <w:sz w:val="20"/>
          <w:szCs w:val="20"/>
        </w:rPr>
        <w:t>9</w:t>
      </w:r>
      <w:r>
        <w:rPr>
          <w:color w:val="000000"/>
          <w:sz w:val="20"/>
          <w:szCs w:val="20"/>
        </w:rPr>
        <w:t>;</w:t>
      </w:r>
      <w:r w:rsidRPr="003F5DCD">
        <w:rPr>
          <w:color w:val="000000"/>
          <w:sz w:val="20"/>
          <w:szCs w:val="20"/>
        </w:rPr>
        <w:t xml:space="preserve"> MÅDRS </w:t>
      </w:r>
      <w:r>
        <w:rPr>
          <w:color w:val="000000"/>
          <w:sz w:val="20"/>
          <w:szCs w:val="20"/>
        </w:rPr>
        <w:t xml:space="preserve">= </w:t>
      </w:r>
      <w:r w:rsidRPr="003F5DCD">
        <w:rPr>
          <w:color w:val="000000"/>
          <w:sz w:val="20"/>
          <w:szCs w:val="20"/>
        </w:rPr>
        <w:t xml:space="preserve">Montgomery </w:t>
      </w:r>
      <w:proofErr w:type="spellStart"/>
      <w:r w:rsidRPr="003F5DCD">
        <w:rPr>
          <w:color w:val="000000"/>
          <w:sz w:val="20"/>
          <w:szCs w:val="20"/>
        </w:rPr>
        <w:t>Åsberg</w:t>
      </w:r>
      <w:proofErr w:type="spellEnd"/>
      <w:r w:rsidRPr="003F5DCD">
        <w:rPr>
          <w:color w:val="000000"/>
          <w:sz w:val="20"/>
          <w:szCs w:val="20"/>
        </w:rPr>
        <w:t xml:space="preserve"> Depression Rating Scale</w:t>
      </w:r>
      <w:r>
        <w:rPr>
          <w:color w:val="000000"/>
          <w:sz w:val="20"/>
          <w:szCs w:val="20"/>
        </w:rPr>
        <w:t>;</w:t>
      </w:r>
      <w:r w:rsidRPr="003F5DCD">
        <w:rPr>
          <w:color w:val="000000"/>
          <w:sz w:val="20"/>
          <w:szCs w:val="20"/>
        </w:rPr>
        <w:t xml:space="preserve"> RHS </w:t>
      </w:r>
      <w:r>
        <w:rPr>
          <w:color w:val="000000"/>
          <w:sz w:val="20"/>
          <w:szCs w:val="20"/>
        </w:rPr>
        <w:t xml:space="preserve">= </w:t>
      </w:r>
      <w:r w:rsidRPr="003F5DCD">
        <w:rPr>
          <w:color w:val="000000"/>
          <w:sz w:val="20"/>
          <w:szCs w:val="20"/>
        </w:rPr>
        <w:t>Refugee Health Screener</w:t>
      </w:r>
      <w:r>
        <w:rPr>
          <w:color w:val="000000"/>
          <w:sz w:val="20"/>
          <w:szCs w:val="20"/>
        </w:rPr>
        <w:t>-</w:t>
      </w:r>
      <w:r w:rsidRPr="003F5DCD">
        <w:rPr>
          <w:color w:val="000000"/>
          <w:sz w:val="20"/>
          <w:szCs w:val="20"/>
        </w:rPr>
        <w:t>15; BR</w:t>
      </w:r>
      <w:r>
        <w:rPr>
          <w:color w:val="000000"/>
          <w:sz w:val="20"/>
          <w:szCs w:val="20"/>
        </w:rPr>
        <w:t>S</w:t>
      </w:r>
      <w:r w:rsidRPr="003F5DCD">
        <w:rPr>
          <w:color w:val="000000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 xml:space="preserve">= </w:t>
      </w:r>
      <w:r w:rsidRPr="003F5DCD">
        <w:rPr>
          <w:color w:val="000000"/>
          <w:sz w:val="20"/>
          <w:szCs w:val="20"/>
        </w:rPr>
        <w:t>Brief Resilience Scale</w:t>
      </w:r>
      <w:r>
        <w:rPr>
          <w:color w:val="000000"/>
          <w:sz w:val="20"/>
          <w:szCs w:val="20"/>
        </w:rPr>
        <w:t>; GSE = General Self-</w:t>
      </w:r>
      <w:r w:rsidRPr="003F5DCD">
        <w:rPr>
          <w:color w:val="000000"/>
          <w:sz w:val="20"/>
          <w:szCs w:val="20"/>
        </w:rPr>
        <w:t>Efficacy Scale</w:t>
      </w:r>
      <w:r>
        <w:rPr>
          <w:color w:val="000000"/>
          <w:sz w:val="20"/>
          <w:szCs w:val="20"/>
        </w:rPr>
        <w:t>;</w:t>
      </w:r>
      <w:r w:rsidRPr="003F5DCD">
        <w:rPr>
          <w:color w:val="000000"/>
          <w:sz w:val="20"/>
          <w:szCs w:val="20"/>
        </w:rPr>
        <w:t xml:space="preserve"> SDQ </w:t>
      </w:r>
      <w:r>
        <w:rPr>
          <w:color w:val="000000"/>
          <w:sz w:val="20"/>
          <w:szCs w:val="20"/>
        </w:rPr>
        <w:t xml:space="preserve">= </w:t>
      </w:r>
      <w:r w:rsidRPr="003F5DCD">
        <w:rPr>
          <w:color w:val="000000"/>
          <w:sz w:val="20"/>
          <w:szCs w:val="20"/>
        </w:rPr>
        <w:t>Strength and Difficulties Questionnaire</w:t>
      </w:r>
      <w:r>
        <w:rPr>
          <w:color w:val="000000"/>
          <w:sz w:val="20"/>
          <w:szCs w:val="20"/>
        </w:rPr>
        <w:t xml:space="preserve">; </w:t>
      </w:r>
      <w:proofErr w:type="spellStart"/>
      <w:r w:rsidRPr="00827CD0">
        <w:rPr>
          <w:color w:val="000000" w:themeColor="text1"/>
          <w:sz w:val="20"/>
          <w:szCs w:val="20"/>
        </w:rPr>
        <w:t>WHOQoL</w:t>
      </w:r>
      <w:proofErr w:type="spellEnd"/>
      <w:r w:rsidRPr="00827CD0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 xml:space="preserve">= </w:t>
      </w:r>
      <w:r w:rsidRPr="00827CD0">
        <w:rPr>
          <w:color w:val="000000" w:themeColor="text1"/>
          <w:sz w:val="20"/>
          <w:szCs w:val="20"/>
        </w:rPr>
        <w:t xml:space="preserve">World Health Organization Quality of Life </w:t>
      </w:r>
      <w:r>
        <w:rPr>
          <w:color w:val="000000" w:themeColor="text1"/>
          <w:sz w:val="20"/>
          <w:szCs w:val="20"/>
        </w:rPr>
        <w:t>questionnaire, brief</w:t>
      </w:r>
      <w:r w:rsidRPr="00827CD0">
        <w:rPr>
          <w:color w:val="000000" w:themeColor="text1"/>
          <w:sz w:val="20"/>
          <w:szCs w:val="20"/>
        </w:rPr>
        <w:t xml:space="preserve"> version</w:t>
      </w:r>
      <w:r>
        <w:rPr>
          <w:color w:val="000000" w:themeColor="text1"/>
          <w:sz w:val="20"/>
          <w:szCs w:val="20"/>
        </w:rPr>
        <w:t>, item 1 + 2</w:t>
      </w:r>
      <w:r w:rsidRPr="00827CD0">
        <w:rPr>
          <w:color w:val="000000" w:themeColor="text1"/>
          <w:sz w:val="20"/>
          <w:szCs w:val="20"/>
        </w:rPr>
        <w:t>. Error bars represent ± 1 standard error.</w:t>
      </w:r>
    </w:p>
    <w:p w:rsidR="00B254B3" w:rsidRDefault="00AB6D70"/>
    <w:sectPr w:rsidR="00B254B3" w:rsidSect="001F6D5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 New Roman">
    <w:altName w:val="Cambria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3CD"/>
    <w:rsid w:val="00034DFA"/>
    <w:rsid w:val="000B7977"/>
    <w:rsid w:val="00112622"/>
    <w:rsid w:val="0018342C"/>
    <w:rsid w:val="001F6D53"/>
    <w:rsid w:val="002109D8"/>
    <w:rsid w:val="00213ADA"/>
    <w:rsid w:val="00222CA5"/>
    <w:rsid w:val="00237B85"/>
    <w:rsid w:val="00271BD7"/>
    <w:rsid w:val="00314AC9"/>
    <w:rsid w:val="00320F90"/>
    <w:rsid w:val="003223D0"/>
    <w:rsid w:val="00324B8F"/>
    <w:rsid w:val="003352D6"/>
    <w:rsid w:val="00350532"/>
    <w:rsid w:val="00354C9D"/>
    <w:rsid w:val="003670E9"/>
    <w:rsid w:val="003A620B"/>
    <w:rsid w:val="003F2A2C"/>
    <w:rsid w:val="00467FAE"/>
    <w:rsid w:val="004A0714"/>
    <w:rsid w:val="004F7CB6"/>
    <w:rsid w:val="00511AAC"/>
    <w:rsid w:val="00543F8A"/>
    <w:rsid w:val="00545BAF"/>
    <w:rsid w:val="005918B9"/>
    <w:rsid w:val="005E10CD"/>
    <w:rsid w:val="006351AE"/>
    <w:rsid w:val="006458C3"/>
    <w:rsid w:val="006778BA"/>
    <w:rsid w:val="006A2AD0"/>
    <w:rsid w:val="007D2C2F"/>
    <w:rsid w:val="00836E2F"/>
    <w:rsid w:val="008672F3"/>
    <w:rsid w:val="008D533F"/>
    <w:rsid w:val="0093361E"/>
    <w:rsid w:val="009516FF"/>
    <w:rsid w:val="00953858"/>
    <w:rsid w:val="00960907"/>
    <w:rsid w:val="009E4BDC"/>
    <w:rsid w:val="00A24098"/>
    <w:rsid w:val="00A573CD"/>
    <w:rsid w:val="00AB6D70"/>
    <w:rsid w:val="00AC541E"/>
    <w:rsid w:val="00AD0AC7"/>
    <w:rsid w:val="00B10427"/>
    <w:rsid w:val="00B27659"/>
    <w:rsid w:val="00B676EE"/>
    <w:rsid w:val="00B874E7"/>
    <w:rsid w:val="00B92DDC"/>
    <w:rsid w:val="00C32490"/>
    <w:rsid w:val="00C748EB"/>
    <w:rsid w:val="00C96A44"/>
    <w:rsid w:val="00CE5C32"/>
    <w:rsid w:val="00CF6F7E"/>
    <w:rsid w:val="00D46CC2"/>
    <w:rsid w:val="00DD3E51"/>
    <w:rsid w:val="00DE35DC"/>
    <w:rsid w:val="00E94181"/>
    <w:rsid w:val="00EB173E"/>
    <w:rsid w:val="00EC3FD4"/>
    <w:rsid w:val="00EC4D71"/>
    <w:rsid w:val="00F05A86"/>
    <w:rsid w:val="00F13D5F"/>
    <w:rsid w:val="00FA2FCB"/>
    <w:rsid w:val="00FC6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982E6B"/>
  <w14:defaultImageDpi w14:val="32767"/>
  <w15:chartTrackingRefBased/>
  <w15:docId w15:val="{049CC0CA-0E2C-2249-9612-63BAA0B174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A573CD"/>
    <w:pPr>
      <w:spacing w:line="360" w:lineRule="auto"/>
      <w:jc w:val="both"/>
    </w:pPr>
    <w:rPr>
      <w:rFonts w:ascii="Times New Roman" w:eastAsia="Times New Roman" w:hAnsi="Times New Roman" w:cs="Times New Roman"/>
      <w:lang w:val="en-US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Compact">
    <w:name w:val="Compact"/>
    <w:basedOn w:val="Textkrper"/>
    <w:qFormat/>
    <w:rsid w:val="00A573CD"/>
    <w:pPr>
      <w:spacing w:before="36" w:after="36" w:line="240" w:lineRule="auto"/>
      <w:jc w:val="left"/>
    </w:pPr>
    <w:rPr>
      <w:rFonts w:asciiTheme="minorHAnsi" w:eastAsiaTheme="minorHAnsi" w:hAnsiTheme="minorHAnsi" w:cstheme="minorBidi"/>
      <w:lang w:eastAsia="en-US"/>
    </w:rPr>
  </w:style>
  <w:style w:type="paragraph" w:styleId="Textkrper">
    <w:name w:val="Body Text"/>
    <w:basedOn w:val="Standard"/>
    <w:link w:val="TextkrperZchn"/>
    <w:uiPriority w:val="99"/>
    <w:semiHidden/>
    <w:unhideWhenUsed/>
    <w:rsid w:val="00A573CD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A573CD"/>
    <w:rPr>
      <w:rFonts w:ascii="Times New Roman" w:eastAsia="Times New Roman" w:hAnsi="Times New Roman" w:cs="Times New Roman"/>
      <w:lang w:val="en-US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616</Words>
  <Characters>3881</Characters>
  <Application>Microsoft Office Word</Application>
  <DocSecurity>0</DocSecurity>
  <Lines>32</Lines>
  <Paragraphs>8</Paragraphs>
  <ScaleCrop>false</ScaleCrop>
  <Company/>
  <LinksUpToDate>false</LinksUpToDate>
  <CharactersWithSpaces>4489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Maren Wiechers</dc:creator>
  <cp:keywords/>
  <dc:description/>
  <cp:lastModifiedBy>Maren Wiechers</cp:lastModifiedBy>
  <cp:revision>2</cp:revision>
  <dcterms:created xsi:type="dcterms:W3CDTF">2022-10-10T11:09:00Z</dcterms:created>
  <dcterms:modified xsi:type="dcterms:W3CDTF">2023-01-06T08:37:00Z</dcterms:modified>
</cp:coreProperties>
</file>