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C673" w14:textId="207E37D8" w:rsidR="006D287D" w:rsidRPr="00A70C4F" w:rsidRDefault="0032177A" w:rsidP="00681E03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szCs w:val="20"/>
        </w:rPr>
        <w:t>Supplement</w:t>
      </w:r>
      <w:r w:rsidR="00CE1C4A" w:rsidRPr="00A70C4F">
        <w:rPr>
          <w:rFonts w:ascii="Arial" w:hAnsi="Arial" w:cs="Arial"/>
          <w:b/>
          <w:szCs w:val="20"/>
        </w:rPr>
        <w:t xml:space="preserve"> </w:t>
      </w:r>
      <w:r w:rsidR="00E13CC3" w:rsidRPr="00A70C4F">
        <w:rPr>
          <w:rFonts w:ascii="Arial" w:hAnsi="Arial" w:cs="Arial"/>
          <w:b/>
          <w:szCs w:val="20"/>
        </w:rPr>
        <w:t xml:space="preserve">1: </w:t>
      </w:r>
      <w:r w:rsidR="00C30743" w:rsidRPr="00A70C4F">
        <w:rPr>
          <w:rFonts w:ascii="Arial" w:hAnsi="Arial" w:cs="Arial"/>
          <w:b/>
          <w:bCs/>
          <w:color w:val="000000" w:themeColor="text1"/>
        </w:rPr>
        <w:t>Sensitivity analysis</w:t>
      </w:r>
    </w:p>
    <w:p w14:paraId="5043D3AB" w14:textId="77777777" w:rsidR="00E13CC3" w:rsidRPr="00A70C4F" w:rsidRDefault="00E13CC3" w:rsidP="00E13CC3">
      <w:pPr>
        <w:rPr>
          <w:rFonts w:ascii="Arial" w:hAnsi="Arial" w:cs="Arial"/>
          <w:b/>
          <w:bCs/>
          <w:color w:val="000000" w:themeColor="text1"/>
        </w:rPr>
      </w:pPr>
    </w:p>
    <w:p w14:paraId="036CE2AF" w14:textId="01F423E5" w:rsidR="00DD5605" w:rsidRPr="00A70C4F" w:rsidRDefault="006D287D">
      <w:pPr>
        <w:spacing w:after="160" w:line="259" w:lineRule="auto"/>
        <w:rPr>
          <w:rFonts w:ascii="Arial" w:hAnsi="Arial" w:cs="Arial"/>
          <w:color w:val="000000" w:themeColor="text1"/>
        </w:rPr>
      </w:pPr>
      <w:r w:rsidRPr="00A70C4F">
        <w:rPr>
          <w:rFonts w:ascii="Arial" w:hAnsi="Arial" w:cs="Arial"/>
        </w:rPr>
        <w:t>Parameter uncertainty was addressed in multi-way sensitivity analyses</w:t>
      </w:r>
      <w:r w:rsidR="0060451E" w:rsidRPr="00A70C4F">
        <w:rPr>
          <w:rFonts w:ascii="Arial" w:hAnsi="Arial" w:cs="Arial"/>
          <w:b/>
          <w:bCs/>
          <w:color w:val="000000" w:themeColor="text1"/>
        </w:rPr>
        <w:t xml:space="preserve">. </w:t>
      </w:r>
      <w:r w:rsidR="0060451E" w:rsidRPr="00A70C4F">
        <w:rPr>
          <w:rFonts w:ascii="Arial" w:hAnsi="Arial" w:cs="Arial"/>
          <w:color w:val="000000" w:themeColor="text1"/>
        </w:rPr>
        <w:t>First one-way se</w:t>
      </w:r>
      <w:r w:rsidR="00763E4E" w:rsidRPr="00A70C4F">
        <w:rPr>
          <w:rFonts w:ascii="Arial" w:hAnsi="Arial" w:cs="Arial"/>
          <w:color w:val="000000" w:themeColor="text1"/>
        </w:rPr>
        <w:t xml:space="preserve">nsitivity analyses were conducted to look at how changes in model assumptions impact on expected </w:t>
      </w:r>
      <w:r w:rsidR="00505055" w:rsidRPr="00A70C4F">
        <w:rPr>
          <w:rFonts w:ascii="Arial" w:hAnsi="Arial" w:cs="Arial"/>
          <w:color w:val="000000" w:themeColor="text1"/>
        </w:rPr>
        <w:t xml:space="preserve">costs of care pathways, </w:t>
      </w:r>
      <w:r w:rsidR="00763E4E" w:rsidRPr="00A70C4F">
        <w:rPr>
          <w:rFonts w:ascii="Arial" w:hAnsi="Arial" w:cs="Arial"/>
          <w:color w:val="000000" w:themeColor="text1"/>
        </w:rPr>
        <w:t xml:space="preserve">NMB and relative ranking of care pathway scenarios. We varied model parameters by </w:t>
      </w:r>
      <w:r w:rsidR="00AE1BBE" w:rsidRPr="00A70C4F">
        <w:rPr>
          <w:rFonts w:ascii="Arial" w:hAnsi="Arial" w:cs="Arial"/>
          <w:color w:val="000000" w:themeColor="text1"/>
        </w:rPr>
        <w:t>20</w:t>
      </w:r>
      <w:r w:rsidR="00763E4E" w:rsidRPr="00A70C4F">
        <w:rPr>
          <w:rFonts w:ascii="Arial" w:hAnsi="Arial" w:cs="Arial"/>
          <w:color w:val="000000" w:themeColor="text1"/>
        </w:rPr>
        <w:t>% above and below their baseline values</w:t>
      </w:r>
      <w:r w:rsidR="00D35888" w:rsidRPr="00A70C4F">
        <w:rPr>
          <w:rFonts w:ascii="Arial" w:hAnsi="Arial" w:cs="Arial"/>
          <w:color w:val="000000" w:themeColor="text1"/>
        </w:rPr>
        <w:t>. In addition</w:t>
      </w:r>
      <w:r w:rsidR="00505055" w:rsidRPr="00A70C4F">
        <w:rPr>
          <w:rFonts w:ascii="Arial" w:hAnsi="Arial" w:cs="Arial"/>
          <w:color w:val="000000" w:themeColor="text1"/>
        </w:rPr>
        <w:t>,</w:t>
      </w:r>
      <w:r w:rsidR="00D35888" w:rsidRPr="00A70C4F">
        <w:rPr>
          <w:rFonts w:ascii="Arial" w:hAnsi="Arial" w:cs="Arial"/>
          <w:color w:val="000000" w:themeColor="text1"/>
        </w:rPr>
        <w:t xml:space="preserve"> we varied the DALY disability weight for anorexia nervosa by their 95% confidence intervals (0.150 – 0.312). </w:t>
      </w:r>
      <w:r w:rsidR="007071EC">
        <w:rPr>
          <w:rFonts w:ascii="Arial" w:hAnsi="Arial" w:cs="Arial"/>
          <w:color w:val="000000" w:themeColor="text1"/>
        </w:rPr>
        <w:t>Further we varie</w:t>
      </w:r>
      <w:r w:rsidR="001B06ED">
        <w:rPr>
          <w:rFonts w:ascii="Arial" w:hAnsi="Arial" w:cs="Arial"/>
          <w:color w:val="000000" w:themeColor="text1"/>
        </w:rPr>
        <w:t>d our assumption that recovery and remission would have no adverse impacts</w:t>
      </w:r>
      <w:r w:rsidR="00054816">
        <w:rPr>
          <w:rFonts w:ascii="Arial" w:hAnsi="Arial" w:cs="Arial"/>
          <w:color w:val="000000" w:themeColor="text1"/>
        </w:rPr>
        <w:t xml:space="preserve"> at all</w:t>
      </w:r>
      <w:r w:rsidR="001B06ED">
        <w:rPr>
          <w:rFonts w:ascii="Arial" w:hAnsi="Arial" w:cs="Arial"/>
          <w:color w:val="000000" w:themeColor="text1"/>
        </w:rPr>
        <w:t xml:space="preserve"> and looked at how </w:t>
      </w:r>
      <w:r w:rsidR="00E170D1">
        <w:rPr>
          <w:rFonts w:ascii="Arial" w:hAnsi="Arial" w:cs="Arial"/>
          <w:color w:val="000000" w:themeColor="text1"/>
        </w:rPr>
        <w:t xml:space="preserve">this would change if </w:t>
      </w:r>
      <w:r w:rsidR="00274D90">
        <w:rPr>
          <w:rFonts w:ascii="Arial" w:hAnsi="Arial" w:cs="Arial"/>
          <w:color w:val="000000" w:themeColor="text1"/>
        </w:rPr>
        <w:t xml:space="preserve">there was still some adverse DALY impact. We assumed would at maximum be </w:t>
      </w:r>
      <w:r w:rsidR="00982F8C">
        <w:rPr>
          <w:rFonts w:ascii="Arial" w:hAnsi="Arial" w:cs="Arial"/>
          <w:color w:val="000000" w:themeColor="text1"/>
        </w:rPr>
        <w:t xml:space="preserve">the 0.150 DALY weight reported in the 95% confidence intervals. </w:t>
      </w:r>
      <w:r w:rsidR="00D35888" w:rsidRPr="00A70C4F">
        <w:rPr>
          <w:rFonts w:ascii="Arial" w:hAnsi="Arial" w:cs="Arial"/>
          <w:color w:val="000000" w:themeColor="text1"/>
        </w:rPr>
        <w:t xml:space="preserve">Our </w:t>
      </w:r>
      <w:r w:rsidR="00576608" w:rsidRPr="00A70C4F">
        <w:rPr>
          <w:rFonts w:ascii="Arial" w:hAnsi="Arial" w:cs="Arial"/>
          <w:color w:val="000000" w:themeColor="text1"/>
        </w:rPr>
        <w:t>scenario</w:t>
      </w:r>
      <w:r w:rsidR="00505055" w:rsidRPr="00A70C4F">
        <w:rPr>
          <w:rFonts w:ascii="Arial" w:hAnsi="Arial" w:cs="Arial"/>
          <w:color w:val="000000" w:themeColor="text1"/>
        </w:rPr>
        <w:t xml:space="preserve"> </w:t>
      </w:r>
      <w:r w:rsidR="00540DB2" w:rsidRPr="00A70C4F">
        <w:rPr>
          <w:rFonts w:ascii="Arial" w:hAnsi="Arial" w:cs="Arial"/>
          <w:color w:val="000000" w:themeColor="text1"/>
        </w:rPr>
        <w:t xml:space="preserve">2 </w:t>
      </w:r>
      <w:r w:rsidR="00576608" w:rsidRPr="00A70C4F">
        <w:rPr>
          <w:rFonts w:ascii="Arial" w:hAnsi="Arial" w:cs="Arial"/>
          <w:color w:val="000000" w:themeColor="text1"/>
        </w:rPr>
        <w:t>already indicated that t</w:t>
      </w:r>
      <w:r w:rsidR="00763E4E" w:rsidRPr="00A70C4F">
        <w:rPr>
          <w:rFonts w:ascii="Arial" w:hAnsi="Arial" w:cs="Arial"/>
          <w:color w:val="000000" w:themeColor="text1"/>
        </w:rPr>
        <w:t xml:space="preserve">he model is sensitive to changes in duration of expected wait time prior to access to specialist outpatient services; the longer the wait time the greater the economic case for taking steps to improve access to services, however </w:t>
      </w:r>
      <w:r w:rsidR="009C56BD" w:rsidRPr="00A70C4F">
        <w:rPr>
          <w:rFonts w:ascii="Arial" w:hAnsi="Arial" w:cs="Arial"/>
          <w:color w:val="000000" w:themeColor="text1"/>
        </w:rPr>
        <w:t xml:space="preserve">in sensitivity </w:t>
      </w:r>
      <w:r w:rsidR="00540DB2" w:rsidRPr="00A70C4F">
        <w:rPr>
          <w:rFonts w:ascii="Arial" w:hAnsi="Arial" w:cs="Arial"/>
          <w:color w:val="000000" w:themeColor="text1"/>
        </w:rPr>
        <w:t xml:space="preserve">none of the other parameters, including </w:t>
      </w:r>
      <w:r w:rsidR="00763E4E" w:rsidRPr="00A70C4F">
        <w:rPr>
          <w:rFonts w:ascii="Arial" w:hAnsi="Arial" w:cs="Arial"/>
          <w:color w:val="000000" w:themeColor="text1"/>
        </w:rPr>
        <w:t>changes in the length of hospitalisation, use of specialists versus non-specialist outpatient care services</w:t>
      </w:r>
      <w:r w:rsidR="00E83F2F" w:rsidRPr="00A70C4F">
        <w:rPr>
          <w:rFonts w:ascii="Arial" w:hAnsi="Arial" w:cs="Arial"/>
          <w:color w:val="000000" w:themeColor="text1"/>
        </w:rPr>
        <w:t xml:space="preserve"> or changes in the </w:t>
      </w:r>
      <w:r w:rsidR="00763E4E" w:rsidRPr="00A70C4F">
        <w:rPr>
          <w:rFonts w:ascii="Arial" w:hAnsi="Arial" w:cs="Arial"/>
          <w:color w:val="000000" w:themeColor="text1"/>
        </w:rPr>
        <w:t xml:space="preserve">unit costs of care </w:t>
      </w:r>
      <w:r w:rsidR="00540DB2" w:rsidRPr="00A70C4F">
        <w:rPr>
          <w:rFonts w:ascii="Arial" w:hAnsi="Arial" w:cs="Arial"/>
          <w:color w:val="000000" w:themeColor="text1"/>
        </w:rPr>
        <w:t xml:space="preserve">had a substantial impact on </w:t>
      </w:r>
      <w:r w:rsidR="00763E4E" w:rsidRPr="00A70C4F">
        <w:rPr>
          <w:rFonts w:ascii="Arial" w:hAnsi="Arial" w:cs="Arial"/>
          <w:color w:val="000000" w:themeColor="text1"/>
        </w:rPr>
        <w:t>model results.</w:t>
      </w:r>
      <w:r w:rsidR="00E83F2F" w:rsidRPr="00A70C4F">
        <w:rPr>
          <w:rFonts w:ascii="Arial" w:hAnsi="Arial" w:cs="Arial"/>
          <w:color w:val="000000" w:themeColor="text1"/>
        </w:rPr>
        <w:t xml:space="preserve"> </w:t>
      </w:r>
      <w:r w:rsidR="00054816">
        <w:rPr>
          <w:rFonts w:ascii="Arial" w:hAnsi="Arial" w:cs="Arial"/>
          <w:color w:val="000000" w:themeColor="text1"/>
        </w:rPr>
        <w:t xml:space="preserve">Changes in DALY weights had no impact on overall </w:t>
      </w:r>
      <w:r w:rsidR="004B6876">
        <w:rPr>
          <w:rFonts w:ascii="Arial" w:hAnsi="Arial" w:cs="Arial"/>
          <w:color w:val="000000" w:themeColor="text1"/>
        </w:rPr>
        <w:t xml:space="preserve">ranking of model scenarios. </w:t>
      </w:r>
      <w:r w:rsidR="00E83F2F" w:rsidRPr="00A70C4F">
        <w:rPr>
          <w:rFonts w:ascii="Arial" w:hAnsi="Arial" w:cs="Arial"/>
          <w:color w:val="000000" w:themeColor="text1"/>
        </w:rPr>
        <w:t xml:space="preserve">The impacts of </w:t>
      </w:r>
      <w:r w:rsidR="004A043F" w:rsidRPr="00A70C4F">
        <w:rPr>
          <w:rFonts w:ascii="Arial" w:hAnsi="Arial" w:cs="Arial"/>
          <w:color w:val="000000" w:themeColor="text1"/>
        </w:rPr>
        <w:t xml:space="preserve">varying </w:t>
      </w:r>
      <w:r w:rsidR="00E83F2F" w:rsidRPr="00A70C4F">
        <w:rPr>
          <w:rFonts w:ascii="Arial" w:hAnsi="Arial" w:cs="Arial"/>
          <w:color w:val="000000" w:themeColor="text1"/>
        </w:rPr>
        <w:t>discount rates</w:t>
      </w:r>
      <w:r w:rsidR="004A043F" w:rsidRPr="00A70C4F">
        <w:rPr>
          <w:rFonts w:ascii="Arial" w:hAnsi="Arial" w:cs="Arial"/>
          <w:color w:val="000000" w:themeColor="text1"/>
        </w:rPr>
        <w:t xml:space="preserve"> between 0% and 6%</w:t>
      </w:r>
      <w:r w:rsidR="00E83F2F" w:rsidRPr="00A70C4F">
        <w:rPr>
          <w:rFonts w:ascii="Arial" w:hAnsi="Arial" w:cs="Arial"/>
          <w:color w:val="000000" w:themeColor="text1"/>
        </w:rPr>
        <w:t xml:space="preserve"> were also modest.</w:t>
      </w:r>
    </w:p>
    <w:p w14:paraId="7BEF61A6" w14:textId="2309EA4C" w:rsidR="00E83F2F" w:rsidRPr="00A70C4F" w:rsidRDefault="00E83F2F">
      <w:pPr>
        <w:spacing w:after="160" w:line="259" w:lineRule="auto"/>
        <w:rPr>
          <w:rFonts w:ascii="Arial" w:hAnsi="Arial" w:cs="Arial"/>
          <w:color w:val="000000" w:themeColor="text1"/>
        </w:rPr>
      </w:pPr>
      <w:r w:rsidRPr="00A70C4F">
        <w:rPr>
          <w:rFonts w:ascii="Arial" w:hAnsi="Arial" w:cs="Arial"/>
          <w:color w:val="000000" w:themeColor="text1"/>
        </w:rPr>
        <w:t xml:space="preserve">In addition, we </w:t>
      </w:r>
      <w:r w:rsidR="00F96BF5" w:rsidRPr="00A70C4F">
        <w:rPr>
          <w:rFonts w:ascii="Arial" w:hAnsi="Arial" w:cs="Arial"/>
          <w:color w:val="000000" w:themeColor="text1"/>
        </w:rPr>
        <w:t>undertook probabilist</w:t>
      </w:r>
      <w:r w:rsidR="00A1032A" w:rsidRPr="00A70C4F">
        <w:rPr>
          <w:rFonts w:ascii="Arial" w:hAnsi="Arial" w:cs="Arial"/>
          <w:color w:val="000000" w:themeColor="text1"/>
        </w:rPr>
        <w:t xml:space="preserve">ic sensitivity analysis varying </w:t>
      </w:r>
      <w:r w:rsidR="00B51049" w:rsidRPr="00A70C4F">
        <w:rPr>
          <w:rFonts w:ascii="Arial" w:hAnsi="Arial" w:cs="Arial"/>
          <w:color w:val="000000" w:themeColor="text1"/>
        </w:rPr>
        <w:t>key parameters</w:t>
      </w:r>
      <w:r w:rsidR="0060451E" w:rsidRPr="00A70C4F">
        <w:rPr>
          <w:rFonts w:ascii="Arial" w:hAnsi="Arial" w:cs="Arial"/>
          <w:color w:val="000000" w:themeColor="text1"/>
        </w:rPr>
        <w:t xml:space="preserve"> concurrently 10,000 times</w:t>
      </w:r>
      <w:r w:rsidR="00B51049" w:rsidRPr="00A70C4F">
        <w:rPr>
          <w:rFonts w:ascii="Arial" w:hAnsi="Arial" w:cs="Arial"/>
          <w:color w:val="000000" w:themeColor="text1"/>
        </w:rPr>
        <w:t>, accounting for distributional assumptions around each parameter. Again, this did not change scenario rankings or</w:t>
      </w:r>
      <w:r w:rsidR="0060451E" w:rsidRPr="00A70C4F">
        <w:rPr>
          <w:rFonts w:ascii="Arial" w:hAnsi="Arial" w:cs="Arial"/>
          <w:color w:val="000000" w:themeColor="text1"/>
        </w:rPr>
        <w:t xml:space="preserve"> impact substantially on the magnitude of NMBs.</w:t>
      </w:r>
    </w:p>
    <w:p w14:paraId="1C95E218" w14:textId="77777777" w:rsidR="000F0DEA" w:rsidRPr="00A70C4F" w:rsidRDefault="000F0DEA">
      <w:pPr>
        <w:spacing w:after="160" w:line="259" w:lineRule="auto"/>
        <w:rPr>
          <w:rFonts w:ascii="Arial" w:hAnsi="Arial" w:cs="Arial"/>
          <w:color w:val="000000" w:themeColor="text1"/>
        </w:rPr>
      </w:pPr>
    </w:p>
    <w:p w14:paraId="79DD1870" w14:textId="77777777" w:rsidR="003D6CD8" w:rsidRPr="00A70C4F" w:rsidRDefault="003D6CD8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4F106009" w14:textId="4241216C" w:rsidR="004A043F" w:rsidRPr="00A70C4F" w:rsidRDefault="004A043F" w:rsidP="00C05530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One-way sensitivity analyses</w:t>
      </w:r>
    </w:p>
    <w:p w14:paraId="447F8AEF" w14:textId="2F50EFE8" w:rsidR="00C05530" w:rsidRPr="00A70C4F" w:rsidRDefault="00C05530" w:rsidP="00C05530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England Expected Mean Cost Lower Parameter Values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358"/>
        <w:gridCol w:w="1118"/>
        <w:gridCol w:w="996"/>
        <w:gridCol w:w="1118"/>
        <w:gridCol w:w="996"/>
        <w:gridCol w:w="1118"/>
        <w:gridCol w:w="996"/>
        <w:gridCol w:w="1118"/>
        <w:gridCol w:w="996"/>
        <w:gridCol w:w="1118"/>
        <w:gridCol w:w="996"/>
      </w:tblGrid>
      <w:tr w:rsidR="007D7594" w:rsidRPr="00A70C4F" w14:paraId="32074056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FA16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A4EFBD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8E0606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89B7EC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61A4DC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E7ABE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B79761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371B3C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1CB313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0EB77E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A24392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7D7594" w:rsidRPr="00A70C4F" w14:paraId="729B15EF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BE64D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FF079E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D4049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-15.90%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C1575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419FA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-15.64%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739E3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94A05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D81282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€ 19,373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4AC41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518F6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F7559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-11.10%</w:t>
            </w:r>
          </w:p>
        </w:tc>
      </w:tr>
      <w:tr w:rsidR="007D7594" w:rsidRPr="00A70C4F" w14:paraId="5B1C5313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565BD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3CDD7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0A492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A5F66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E98F1A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23A432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5F048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3CA9E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4E98A6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-3.51%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42E5B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731C96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-7.96%</w:t>
            </w:r>
          </w:p>
        </w:tc>
      </w:tr>
      <w:tr w:rsidR="007D7594" w:rsidRPr="00A70C4F" w14:paraId="4C809B47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DCAA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D461E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€ 31,502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B7B700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F46D7D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19433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34FAC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85CE62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4B458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B6B07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9CCB6D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34FAA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7D7594" w:rsidRPr="00A70C4F" w14:paraId="527F73FD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DEFC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6474D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€ 31,482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3295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B66C5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61440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23B74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A614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B2B5C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F3E9ED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61E976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462ED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-0.93%</w:t>
            </w:r>
          </w:p>
        </w:tc>
      </w:tr>
      <w:tr w:rsidR="007D7594" w:rsidRPr="00A70C4F" w14:paraId="24F706AD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18188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23295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F55D2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3484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F8C51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AE533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BAED4D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-12.61%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2E5CA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€ 19,769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A5E0B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-12.49%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AAA91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25C4AD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-9.74%</w:t>
            </w:r>
          </w:p>
        </w:tc>
      </w:tr>
      <w:tr w:rsidR="007D7594" w:rsidRPr="00A70C4F" w14:paraId="706B48B6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7EEEB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257F92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€ 30,385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9BC17A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5A636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A51B0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0B7C1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A46B4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B546D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C3053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6C826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B95E80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7D7594" w:rsidRPr="00A70C4F" w14:paraId="3EAE1238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163C1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ECC3D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€ 29,232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22226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8F1A6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45F0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EE23D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21E4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B0CA6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52DE1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1EE30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F993F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7D7594" w:rsidRPr="00A70C4F" w14:paraId="66D5D213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BD9E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6036F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€ 29,211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2A1A3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3BAFEE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D9070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EFF2B5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3EEF2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68BBF9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02A61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-9.34%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66ACD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02B490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7D7594" w:rsidRPr="00A70C4F" w14:paraId="35A6E703" w14:textId="77777777" w:rsidTr="007D7594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913F8" w14:textId="77777777" w:rsidR="007D7594" w:rsidRPr="00A70C4F" w:rsidRDefault="007D75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AFEE9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€ 30,304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617E28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31BA2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BFE45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A83DA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519A77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F918F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9FFBFC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92AEA4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4296FB" w14:textId="77777777" w:rsidR="007D7594" w:rsidRPr="00A70C4F" w:rsidRDefault="007D759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-0.24%</w:t>
            </w:r>
          </w:p>
        </w:tc>
      </w:tr>
    </w:tbl>
    <w:p w14:paraId="6F285CDA" w14:textId="77777777" w:rsidR="00420672" w:rsidRPr="00A70C4F" w:rsidRDefault="00420672" w:rsidP="0042067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5FCE1F7E" w14:textId="77777777" w:rsidR="007D7594" w:rsidRPr="00A70C4F" w:rsidRDefault="007D7594">
      <w:pPr>
        <w:spacing w:after="160" w:line="259" w:lineRule="auto"/>
        <w:rPr>
          <w:rFonts w:ascii="Arial" w:hAnsi="Arial" w:cs="Arial"/>
          <w:color w:val="000000" w:themeColor="text1"/>
        </w:rPr>
      </w:pPr>
    </w:p>
    <w:p w14:paraId="219B0749" w14:textId="2BA26F41" w:rsidR="00420672" w:rsidRPr="00A70C4F" w:rsidRDefault="00DE659B" w:rsidP="00420672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England</w:t>
      </w:r>
      <w:r w:rsidR="00420672" w:rsidRPr="00A70C4F">
        <w:rPr>
          <w:rFonts w:ascii="Arial" w:hAnsi="Arial" w:cs="Arial"/>
          <w:b/>
          <w:bCs/>
          <w:color w:val="000000" w:themeColor="text1"/>
        </w:rPr>
        <w:t xml:space="preserve"> Net Monetary Benefit Lower Parameter Values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55"/>
        <w:gridCol w:w="1188"/>
        <w:gridCol w:w="1090"/>
        <w:gridCol w:w="1185"/>
        <w:gridCol w:w="1090"/>
        <w:gridCol w:w="1185"/>
        <w:gridCol w:w="1089"/>
        <w:gridCol w:w="1184"/>
        <w:gridCol w:w="1089"/>
        <w:gridCol w:w="1184"/>
        <w:gridCol w:w="1089"/>
      </w:tblGrid>
      <w:tr w:rsidR="00C2706B" w:rsidRPr="00A70C4F" w14:paraId="38C6B9AD" w14:textId="77777777" w:rsidTr="00DE659B">
        <w:trPr>
          <w:trHeight w:val="319"/>
        </w:trPr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07A17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288805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F6DC1E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673C7F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88A690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6A8E4C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E1C4FD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4EED69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F6A446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08BDB6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62D65F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C2706B" w:rsidRPr="00A70C4F" w14:paraId="280B82C9" w14:textId="77777777" w:rsidTr="00DE659B">
        <w:trPr>
          <w:trHeight w:val="319"/>
        </w:trPr>
        <w:tc>
          <w:tcPr>
            <w:tcW w:w="9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0068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27877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€ 231,273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04292C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1.77%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62CF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€ 238,143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5799B4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1.23%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DEC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€ 238,294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15035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1.67%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EC0F1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€ 240,703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2CC686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1.64%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8FA58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€ 251,279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38B884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1.09%</w:t>
            </w:r>
          </w:p>
        </w:tc>
      </w:tr>
      <w:tr w:rsidR="00C2706B" w:rsidRPr="00A70C4F" w14:paraId="77104141" w14:textId="77777777" w:rsidTr="00DE659B">
        <w:trPr>
          <w:trHeight w:val="319"/>
        </w:trPr>
        <w:tc>
          <w:tcPr>
            <w:tcW w:w="9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522F9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Discount rate (0%)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3B8F03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€ 253,320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EA36C9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11.47%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4AEE9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€ 262,211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F6FE15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11.46%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E3282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€ 261,132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649EFC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11.41%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409D4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€ 263,842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69F384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11.41%</w:t>
            </w:r>
          </w:p>
        </w:tc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FDF34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€ 276,583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1295F9" w14:textId="77777777" w:rsidR="00C2706B" w:rsidRPr="00A70C4F" w:rsidRDefault="00C2706B" w:rsidP="00DE65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11.27%</w:t>
            </w:r>
          </w:p>
        </w:tc>
      </w:tr>
    </w:tbl>
    <w:p w14:paraId="4B0E4343" w14:textId="77777777" w:rsidR="00DE659B" w:rsidRPr="00A70C4F" w:rsidRDefault="00DE659B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1909E7B6" w14:textId="5AE14541" w:rsidR="00DE659B" w:rsidRPr="00A70C4F" w:rsidRDefault="00DE659B" w:rsidP="00DE659B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England Expected Mean Cost Higher Parameter Values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38"/>
        <w:gridCol w:w="1061"/>
        <w:gridCol w:w="917"/>
        <w:gridCol w:w="1061"/>
        <w:gridCol w:w="917"/>
        <w:gridCol w:w="1061"/>
        <w:gridCol w:w="917"/>
        <w:gridCol w:w="1061"/>
        <w:gridCol w:w="917"/>
        <w:gridCol w:w="1061"/>
        <w:gridCol w:w="917"/>
      </w:tblGrid>
      <w:tr w:rsidR="00E97495" w:rsidRPr="00A70C4F" w14:paraId="0D5A2225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BDA0E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091771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D5010C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960FA2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E2B7BC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AF60C4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202540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421797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FC1C3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0941BD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2BB8B8" w14:textId="77777777" w:rsidR="00E97495" w:rsidRPr="00A70C4F" w:rsidRDefault="00E97495" w:rsidP="00093D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E97495" w:rsidRPr="00A70C4F" w14:paraId="782DCA68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9ADD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DFDAF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€ 36,793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69DD8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15.90%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4F576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€ 31,378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29934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15.64%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4A5DF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€ 28,534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C3EFE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14.39%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96E1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€ 25,807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313DB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14.24%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8D198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€ 15,993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2D9EB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11.10%</w:t>
            </w:r>
          </w:p>
        </w:tc>
      </w:tr>
      <w:tr w:rsidR="00E97495" w:rsidRPr="00A70C4F" w14:paraId="1127B67F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AFD62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46F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€ 32,540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AF5B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2.50%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1EC0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€ 27,937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C80A34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2.96%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C41F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€ 26,079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BA4DE2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ABB2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€ 23,385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A9A846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3.52%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972C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€ 15,542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A40A3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7.97%</w:t>
            </w:r>
          </w:p>
        </w:tc>
      </w:tr>
      <w:tr w:rsidR="00E97495" w:rsidRPr="00A70C4F" w14:paraId="1C4094FC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0DE8F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6E52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€ 31,989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829EE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0.77%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7D10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€ 27,381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BBA93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0.91%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F72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B262C6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40F36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€ 22,834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856D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785B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1185A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E97495" w:rsidRPr="00A70C4F" w14:paraId="432DF294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0480F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9505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€ 32,008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8C4B8F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0.83%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B95FF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€ 27,269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F64AC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0.50%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07B5B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€ 25,207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A92694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9D16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€ 22,853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23743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1.16%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E88B2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€ 14,530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3EF44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0.94%</w:t>
            </w:r>
          </w:p>
        </w:tc>
      </w:tr>
      <w:tr w:rsidR="00E97495" w:rsidRPr="00A70C4F" w14:paraId="1EF0395B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FE6BD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3CBBB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€ 36,153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ABB46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13.89%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59E3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€ 30,487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3EEB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12.36%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A903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€ 28,079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AB79B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12.57%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9B60E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€ 25,405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79F6A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12.46%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7332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€ 15,793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2B755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9.71%</w:t>
            </w:r>
          </w:p>
        </w:tc>
      </w:tr>
      <w:tr w:rsidR="00E97495" w:rsidRPr="00A70C4F" w14:paraId="10BB517D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52D1B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01E82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€ 33,106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0F0F76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4.29%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E39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€ 28,261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B8FA0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4.15%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BD34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424C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2C62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€ 24,128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395975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6.81%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99E5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AB67D5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E97495" w:rsidRPr="00A70C4F" w14:paraId="6B31570D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1ECAB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1482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€ 34,259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4A70C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7.92%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4CC44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€ 29,247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AD4E6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7.79%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AF7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€ 28,534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85CB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14.39%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9AA15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€ 22,590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9E93B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4994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C950E5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E97495" w:rsidRPr="00A70C4F" w14:paraId="0E2673E8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58335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8144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€ 34,280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56CE9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7.99%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05C3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€ 29,265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1F3A6C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7.85%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105C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€ 24,944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181E4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F5CFE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€ 24,700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AF612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9.34%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DF558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2A204F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E97495" w:rsidRPr="00A70C4F" w14:paraId="660CE55E" w14:textId="77777777" w:rsidTr="00093D31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952D6" w14:textId="77777777" w:rsidR="00E97495" w:rsidRPr="00A70C4F" w:rsidRDefault="00E974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BC77D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€ 33,186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90E80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2BB79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€ 28,498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7EE3C1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5.03%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431F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€ 25,969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2CA153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4.11%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5BE8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€ 23,624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DAFE90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4.58%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14:paraId="016492AA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€ 14,909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5B27A7" w14:textId="77777777" w:rsidR="00E97495" w:rsidRPr="00A70C4F" w:rsidRDefault="00E974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3.57%</w:t>
            </w:r>
          </w:p>
        </w:tc>
      </w:tr>
    </w:tbl>
    <w:p w14:paraId="6D146B35" w14:textId="77777777" w:rsidR="00093D31" w:rsidRPr="00A70C4F" w:rsidRDefault="00093D31" w:rsidP="00093D3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45A33C9A" w14:textId="77777777" w:rsidR="00093D31" w:rsidRPr="00A70C4F" w:rsidRDefault="00093D31" w:rsidP="00DE659B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3A369C52" w14:textId="3FD0BB03" w:rsidR="00DE659B" w:rsidRPr="00A70C4F" w:rsidRDefault="00093D31" w:rsidP="00DE659B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England</w:t>
      </w:r>
      <w:r w:rsidR="00DE659B" w:rsidRPr="00A70C4F">
        <w:rPr>
          <w:rFonts w:ascii="Arial" w:hAnsi="Arial" w:cs="Arial"/>
          <w:b/>
          <w:bCs/>
          <w:color w:val="000000" w:themeColor="text1"/>
        </w:rPr>
        <w:t xml:space="preserve"> Net Monetary Benefit </w:t>
      </w:r>
      <w:r w:rsidRPr="00A70C4F">
        <w:rPr>
          <w:rFonts w:ascii="Arial" w:hAnsi="Arial" w:cs="Arial"/>
          <w:b/>
          <w:bCs/>
          <w:color w:val="000000" w:themeColor="text1"/>
        </w:rPr>
        <w:t>Higher</w:t>
      </w:r>
      <w:r w:rsidR="00DE659B" w:rsidRPr="00A70C4F">
        <w:rPr>
          <w:rFonts w:ascii="Arial" w:hAnsi="Arial" w:cs="Arial"/>
          <w:b/>
          <w:bCs/>
          <w:color w:val="000000" w:themeColor="text1"/>
        </w:rPr>
        <w:t xml:space="preserve"> Parameter Values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676"/>
        <w:gridCol w:w="1174"/>
        <w:gridCol w:w="1075"/>
        <w:gridCol w:w="1174"/>
        <w:gridCol w:w="1076"/>
        <w:gridCol w:w="1175"/>
        <w:gridCol w:w="1076"/>
        <w:gridCol w:w="1175"/>
        <w:gridCol w:w="1076"/>
        <w:gridCol w:w="1175"/>
        <w:gridCol w:w="1076"/>
      </w:tblGrid>
      <w:tr w:rsidR="00630B46" w:rsidRPr="00630B46" w14:paraId="00F8C3C3" w14:textId="77777777" w:rsidTr="00630B46">
        <w:trPr>
          <w:trHeight w:val="319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4751A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3D2E60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29011A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1C0F65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7846F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081FF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B7EE3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3AF1B3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573691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D55103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91AF24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630B46" w:rsidRPr="00630B46" w14:paraId="55966798" w14:textId="77777777" w:rsidTr="00630B46">
        <w:trPr>
          <w:trHeight w:val="319"/>
          <w:jc w:val="right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AE7C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84B00E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€ 222,485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62C254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-2.10%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60806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€ 231,794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2EC384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-1.47%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8A06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€ 229,741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EF7AC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-1.98%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0661D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€ 232,211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BA3E34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-1.95%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184B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€ 245,360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3DF96C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-1.29%</w:t>
            </w:r>
          </w:p>
        </w:tc>
      </w:tr>
      <w:tr w:rsidR="00630B46" w:rsidRPr="00630B46" w14:paraId="3980DCA2" w14:textId="77777777" w:rsidTr="00630B46">
        <w:trPr>
          <w:trHeight w:val="319"/>
          <w:jc w:val="right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1760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Remission / Recovery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BA7997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€ 194,723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8D25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-14.32%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E7E82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€ 200,448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5838A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-14.79%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299C4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€ 201,632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51BD08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-13.97%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DCB06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€ 204,013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F28D6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-13.85%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79BA8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€ 213,383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8B63CE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-14.16%</w:t>
            </w:r>
          </w:p>
        </w:tc>
      </w:tr>
      <w:tr w:rsidR="00630B46" w:rsidRPr="00630B46" w14:paraId="2CFFE322" w14:textId="77777777" w:rsidTr="00630B46">
        <w:trPr>
          <w:trHeight w:val="319"/>
          <w:jc w:val="right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D0400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Discount rate (6%)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F42F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€ 211,210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A93588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-7.06%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76B8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€ 218,622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654B66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-7.07%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A5FB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€ 217,901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7039D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-7.03%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27BD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€ 220,167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F5F732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-7.03%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F7F5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€ 231,282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ED2DB9" w14:textId="77777777" w:rsidR="00630B46" w:rsidRPr="00630B46" w:rsidRDefault="00630B46" w:rsidP="00630B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630B4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-6.96%</w:t>
            </w:r>
          </w:p>
        </w:tc>
      </w:tr>
    </w:tbl>
    <w:p w14:paraId="6A4A1B64" w14:textId="77777777" w:rsidR="00916F05" w:rsidRDefault="00916F05" w:rsidP="0012410D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664E6611" w14:textId="77777777" w:rsidR="00916F05" w:rsidRDefault="00916F05" w:rsidP="0012410D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31F1765E" w14:textId="3809AD69" w:rsidR="0012410D" w:rsidRPr="00A70C4F" w:rsidRDefault="0012410D" w:rsidP="0012410D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Germany Expected Mean Cost Lower Parameter Values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58"/>
        <w:gridCol w:w="1118"/>
        <w:gridCol w:w="996"/>
        <w:gridCol w:w="1118"/>
        <w:gridCol w:w="996"/>
        <w:gridCol w:w="1118"/>
        <w:gridCol w:w="996"/>
        <w:gridCol w:w="1118"/>
        <w:gridCol w:w="996"/>
        <w:gridCol w:w="1118"/>
        <w:gridCol w:w="996"/>
      </w:tblGrid>
      <w:tr w:rsidR="000454FC" w:rsidRPr="00A70C4F" w14:paraId="376312A8" w14:textId="77777777" w:rsidTr="000454FC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5BD0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7C0C89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F9B2AA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482E3A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22345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3E120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70B55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8AA5D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0889D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9DA09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26179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0454FC" w:rsidRPr="00A70C4F" w14:paraId="749029CC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F8FF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D30E3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5F86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-17.23%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A8454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76091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-17.15%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4854F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€ 8,784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F10AE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-15.88%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3C4B70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€ 7,810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26C36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-15.98%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233DB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€ 4,947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302D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-13.18%</w:t>
            </w:r>
          </w:p>
        </w:tc>
      </w:tr>
      <w:tr w:rsidR="000454FC" w:rsidRPr="00A70C4F" w14:paraId="10533085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06C7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D3CA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€ 13,267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BC104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C976B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DB4AA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-2.24%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CBC726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A3FEE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-3.49%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5E42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BF04B6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491B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F6B38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-8.11%</w:t>
            </w:r>
          </w:p>
        </w:tc>
      </w:tr>
      <w:tr w:rsidR="000454FC" w:rsidRPr="00A70C4F" w14:paraId="498DFFC1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9214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FF6FA5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€ 13,469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6B03A0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77068A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42A7E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2F7B7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9F7EE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D56B5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83E49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E6261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51008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0454FC" w:rsidRPr="00A70C4F" w14:paraId="0405F7F4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583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DB272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€ 13,454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9DAD5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CD0B26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319A3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692B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6742A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7602F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5DDF2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6D84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E4C27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-0.28%</w:t>
            </w:r>
          </w:p>
        </w:tc>
      </w:tr>
      <w:tr w:rsidR="000454FC" w:rsidRPr="00A70C4F" w14:paraId="44ACA4CD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5EFA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75E4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78970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-12.23%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7654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42370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-12.20%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D05BB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5ABDF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-11.27%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681B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€ 8,239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1A891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-11.36%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B1CB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586F2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-9.37%</w:t>
            </w:r>
          </w:p>
        </w:tc>
      </w:tr>
      <w:tr w:rsidR="000454FC" w:rsidRPr="00A70C4F" w14:paraId="213B25D9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B158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B5B9B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€ 12,905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A20A2D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-4.56%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6D4DB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C535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-4.45%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26A20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22A376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E5B33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€ 8,597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184A0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-7.51%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DC9F3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D6104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0454FC" w:rsidRPr="00A70C4F" w14:paraId="4D05E10F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7B63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85772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€ 12,361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37F440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-8.58%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A1E4C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D1D87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-8.54%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94B7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808A4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-10.98%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5267A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€ 8,784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E1CCC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-5.50%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A639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C312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0454FC" w:rsidRPr="00A70C4F" w14:paraId="476459EC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7D21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63ADC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€ 12,351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0F453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-8.65%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06F6F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1FBE6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-8.61%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D76CE6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798F5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7CF864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€ 8,321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1CA81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-10.48%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D276D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2667AE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0454FC" w:rsidRPr="00A70C4F" w14:paraId="430BD3D9" w14:textId="77777777" w:rsidTr="000454FC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A9929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329F59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€ 12,856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17F113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-4.92%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883447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€ 11,582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A617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8A95C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A0FB4A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-4.53%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D5135C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€ 9,263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548338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3ACA2B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€ 5,682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6AB0C2" w14:textId="77777777" w:rsidR="000454FC" w:rsidRPr="00A70C4F" w:rsidRDefault="000454FC" w:rsidP="00DC7B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-0.28%</w:t>
            </w:r>
          </w:p>
        </w:tc>
      </w:tr>
    </w:tbl>
    <w:p w14:paraId="0B4D28DB" w14:textId="77777777" w:rsidR="0012410D" w:rsidRPr="00A70C4F" w:rsidRDefault="0012410D" w:rsidP="0012410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01F35FE6" w14:textId="77777777" w:rsidR="002431D9" w:rsidRPr="00A70C4F" w:rsidRDefault="002431D9" w:rsidP="002431D9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E9EAD01" w14:textId="77777777" w:rsidR="001C795A" w:rsidRPr="00A70C4F" w:rsidRDefault="001C795A" w:rsidP="001C795A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Germany Net Monetary Benefit Lower Parameter Values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38"/>
        <w:gridCol w:w="1061"/>
        <w:gridCol w:w="917"/>
        <w:gridCol w:w="1061"/>
        <w:gridCol w:w="917"/>
        <w:gridCol w:w="1061"/>
        <w:gridCol w:w="917"/>
        <w:gridCol w:w="1061"/>
        <w:gridCol w:w="917"/>
        <w:gridCol w:w="1061"/>
        <w:gridCol w:w="917"/>
      </w:tblGrid>
      <w:tr w:rsidR="001C795A" w:rsidRPr="00A70C4F" w14:paraId="6A189CF4" w14:textId="77777777" w:rsidTr="006014F5">
        <w:trPr>
          <w:trHeight w:val="319"/>
          <w:jc w:val="center"/>
        </w:trPr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FD8FB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13E8F4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DCB554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252570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1A364B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A1B7C8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145A02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CDDD37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AC3C54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9348F1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2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22B00" w14:textId="77777777" w:rsidR="001C795A" w:rsidRPr="00A70C4F" w:rsidRDefault="001C795A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1C795A" w:rsidRPr="00A70C4F" w14:paraId="4F04C1C7" w14:textId="77777777" w:rsidTr="006014F5">
        <w:trPr>
          <w:trHeight w:val="319"/>
          <w:jc w:val="center"/>
        </w:trPr>
        <w:tc>
          <w:tcPr>
            <w:tcW w:w="190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A2384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167DB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€251,978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39FB6C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1.12%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F4749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€255,485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0E8853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0.79%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0929A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€255,236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54C522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1.07%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B831F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€256,429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81E09A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1.06%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25174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€261,742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4BDA5B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0.71%</w:t>
            </w:r>
          </w:p>
        </w:tc>
      </w:tr>
      <w:tr w:rsidR="001C795A" w:rsidRPr="00A70C4F" w14:paraId="3C068CAE" w14:textId="77777777" w:rsidTr="006014F5">
        <w:trPr>
          <w:trHeight w:val="319"/>
          <w:jc w:val="center"/>
        </w:trPr>
        <w:tc>
          <w:tcPr>
            <w:tcW w:w="190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ADEA4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Discount rate (0%)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8BE9E8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€276,842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994931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11.10%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9A375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€281,567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20A45D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11.08%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E23C7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€280,451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BF78A3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11.06%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3EA4C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€281,773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C01A6F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11.04%</w:t>
            </w:r>
          </w:p>
        </w:tc>
        <w:tc>
          <w:tcPr>
            <w:tcW w:w="3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2F056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€288,427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8AEF2F" w14:textId="77777777" w:rsidR="001C795A" w:rsidRPr="00A70C4F" w:rsidRDefault="001C795A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  <w14:ligatures w14:val="standardContextual"/>
              </w:rPr>
              <w:t>10.97%</w:t>
            </w:r>
          </w:p>
        </w:tc>
      </w:tr>
    </w:tbl>
    <w:p w14:paraId="624FC84D" w14:textId="77777777" w:rsidR="001C795A" w:rsidRPr="00A70C4F" w:rsidRDefault="001C795A" w:rsidP="001C795A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29C40AB0" w14:textId="77777777" w:rsidR="001C795A" w:rsidRPr="00A70C4F" w:rsidRDefault="001C795A" w:rsidP="001C795A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5C1B9451" w14:textId="5ECFE836" w:rsidR="00D675CF" w:rsidRPr="00A70C4F" w:rsidRDefault="00D675CF" w:rsidP="00D675CF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Germany Expected Mean Cost Higher Parameter Values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38"/>
        <w:gridCol w:w="1061"/>
        <w:gridCol w:w="917"/>
        <w:gridCol w:w="1061"/>
        <w:gridCol w:w="917"/>
        <w:gridCol w:w="1061"/>
        <w:gridCol w:w="917"/>
        <w:gridCol w:w="1061"/>
        <w:gridCol w:w="917"/>
        <w:gridCol w:w="1061"/>
        <w:gridCol w:w="917"/>
      </w:tblGrid>
      <w:tr w:rsidR="00AB1BF1" w:rsidRPr="00A70C4F" w14:paraId="1AB4D2A0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FB098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A68AC4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2648FC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CAC5D5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1477DC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4719F3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BB4FC0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EF55BD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F718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EC3FD6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59F911" w14:textId="77777777" w:rsidR="00AB1BF1" w:rsidRPr="00A70C4F" w:rsidRDefault="00AB1BF1" w:rsidP="00AB1B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AB1BF1" w:rsidRPr="00A70C4F" w14:paraId="5E14257F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1089D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2343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€ 15,851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B98BF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17.23%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B7FA4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9C6230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17.16%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F9A5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€ 12,099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80B95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15.87%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35895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7A306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15.98%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EFACA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€ 6,449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07F378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13.18%</w:t>
            </w:r>
          </w:p>
        </w:tc>
      </w:tr>
      <w:tr w:rsidR="00AB1BF1" w:rsidRPr="00A70C4F" w14:paraId="7AF1C9AA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7059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5DFCD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€ 13,775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76A4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1.88%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5F9F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€ 11,886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A36B7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2.25%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D1C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€ 10,805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457F5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3.48%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3AB8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€ 9,549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47982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2.73%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0383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€ 6,070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E19A85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6.53%</w:t>
            </w:r>
          </w:p>
        </w:tc>
      </w:tr>
      <w:tr w:rsidR="00AB1BF1" w:rsidRPr="00A70C4F" w14:paraId="1E8EB6F6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2676F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6DDB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€ 13,573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04D83A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0.38%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7F0A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€ 11,678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715D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0.46%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ED7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9E0B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007C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€ 9,347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76676D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0.56%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ACB9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11379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AB1BF1" w:rsidRPr="00A70C4F" w14:paraId="1F56439B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DAEB1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3A665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€ 13,588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4378B0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0.50%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9C57D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9A262D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0.15%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570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€ 10,509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936B3C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0.64%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5AAA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€ 9,362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F07194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0.72%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1B5A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€ 5,714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20046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0.28%</w:t>
            </w:r>
          </w:p>
        </w:tc>
      </w:tr>
      <w:tr w:rsidR="00AB1BF1" w:rsidRPr="00A70C4F" w14:paraId="24695B8C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C56C4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985A8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€ 15,995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993974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18.30%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CC3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€ 13,748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CF3E5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18.26%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7F8A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€ 12,201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2A34F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16.85%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DF670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€ 10,874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240E50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16.99%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5F4E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€ 6,497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D1BDC0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14.02%</w:t>
            </w:r>
          </w:p>
        </w:tc>
      </w:tr>
      <w:tr w:rsidR="00AB1BF1" w:rsidRPr="00A70C4F" w14:paraId="6E721730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9D9CE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5ACC5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€ 14,137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D1E1F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7EB1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62000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4.46%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9163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C6230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D44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€ 9,993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91656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7.51%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B4648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F3FE5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AB1BF1" w:rsidRPr="00A70C4F" w14:paraId="584755D6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091BD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3B88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€ 14,682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9B0E13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8.59%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7D27A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2A1E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8.55%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935D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B351A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15.88%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101CA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€ 9,295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BE4ED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276C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F280E3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AB1BF1" w:rsidRPr="00A70C4F" w14:paraId="20963467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4D69F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A707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€ 14,692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99C3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8.66%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9DA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9002C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8.62%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7CC6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F9A77F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B7454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€ 10,269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CA6F0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10.48%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2B923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€ 5,698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5539C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AB1BF1" w:rsidRPr="00A70C4F" w14:paraId="3F91E5C5" w14:textId="77777777" w:rsidTr="002431D9">
        <w:trPr>
          <w:trHeight w:val="319"/>
          <w:jc w:val="center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5143B" w14:textId="77777777" w:rsidR="00AB1BF1" w:rsidRPr="00A70C4F" w:rsidRDefault="00AB1B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F9D7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€ 14,186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0EA836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4.92%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80A2B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€ 12,268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8AD27C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5.53%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9C81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€ 10,915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3E33E2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945E8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€ 9,772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BC931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5.13%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14:paraId="18C25CEE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€ 5,940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73E129" w14:textId="77777777" w:rsidR="00AB1BF1" w:rsidRPr="00A70C4F" w:rsidRDefault="00AB1B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4.25%</w:t>
            </w:r>
          </w:p>
        </w:tc>
      </w:tr>
    </w:tbl>
    <w:p w14:paraId="0FCE2BC9" w14:textId="77777777" w:rsidR="002431D9" w:rsidRPr="00A70C4F" w:rsidRDefault="002431D9" w:rsidP="002431D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13403E7E" w14:textId="77777777" w:rsidR="009863D4" w:rsidRPr="00A70C4F" w:rsidRDefault="009863D4" w:rsidP="003D6CD8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15ADB36B" w14:textId="0A2D9F2D" w:rsidR="003D6CD8" w:rsidRPr="00A70C4F" w:rsidRDefault="003D6CD8" w:rsidP="003D6CD8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Germany Net Monetary Benefit Higher Parameter Values</w:t>
      </w:r>
    </w:p>
    <w:p w14:paraId="58C39664" w14:textId="77777777" w:rsidR="009863D4" w:rsidRPr="00A70C4F" w:rsidRDefault="009863D4" w:rsidP="003D6CD8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387"/>
        <w:gridCol w:w="1203"/>
        <w:gridCol w:w="982"/>
        <w:gridCol w:w="1107"/>
        <w:gridCol w:w="982"/>
        <w:gridCol w:w="1107"/>
        <w:gridCol w:w="982"/>
        <w:gridCol w:w="1107"/>
        <w:gridCol w:w="982"/>
        <w:gridCol w:w="1107"/>
        <w:gridCol w:w="982"/>
      </w:tblGrid>
      <w:tr w:rsidR="00034A0F" w:rsidRPr="00034A0F" w14:paraId="02FE0FB1" w14:textId="77777777" w:rsidTr="00034A0F">
        <w:trPr>
          <w:trHeight w:val="319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3C34A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47B95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9DEEB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DB871E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DB8348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4844E3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87893D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A8BBA8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33F558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581E9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9A56BA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034A0F" w:rsidRPr="00034A0F" w14:paraId="327634E4" w14:textId="77777777" w:rsidTr="00034A0F">
        <w:trPr>
          <w:trHeight w:val="319"/>
          <w:jc w:val="center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C9EFD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37C3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€ 245,868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D41B3E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-1.33%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5E67A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€ 251,115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079EB3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-0.94%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024B4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€ 249,319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6CC18A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-1.27%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9B528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€ 250,561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B79A4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-1.26%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621A1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€ 257,730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651227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-0.84%</w:t>
            </w:r>
          </w:p>
        </w:tc>
      </w:tr>
      <w:tr w:rsidR="00034A0F" w:rsidRPr="00034A0F" w14:paraId="14E77248" w14:textId="77777777" w:rsidTr="00034A0F">
        <w:trPr>
          <w:trHeight w:val="319"/>
          <w:jc w:val="center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7D6AE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DALY weight Remission / Recovery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53D8D5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€ 214,170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B23488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-14.05%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5EE05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€ 216,861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D8FA87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-14.45%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D62C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€ 217,338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983A9C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-13.94%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D70B4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€ 218,508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A970F3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-13.89%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DFA9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€ 222,952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B737E0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-14.22%</w:t>
            </w:r>
          </w:p>
        </w:tc>
      </w:tr>
      <w:tr w:rsidR="00034A0F" w:rsidRPr="00034A0F" w14:paraId="59979C00" w14:textId="77777777" w:rsidTr="00034A0F">
        <w:trPr>
          <w:trHeight w:val="319"/>
          <w:jc w:val="center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7E8D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Discount rate (6%)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0174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€ 232,113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E0A351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-6.85%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65503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€ 236,148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580DDD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-6.84%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8C7D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€ 235,189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D2550B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-6.87%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5369D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€ 236,436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DCFC4A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-6.82%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7D8B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€ 242,282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283576" w14:textId="77777777" w:rsidR="009B6630" w:rsidRPr="00034A0F" w:rsidRDefault="009B6630" w:rsidP="00034A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034A0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-6.78%</w:t>
            </w:r>
          </w:p>
        </w:tc>
      </w:tr>
    </w:tbl>
    <w:p w14:paraId="377A7CE4" w14:textId="01F86267" w:rsidR="00AF5BEE" w:rsidRPr="00A70C4F" w:rsidRDefault="00AF5BEE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3244CA42" w14:textId="68B6F18C" w:rsidR="00D5285F" w:rsidRPr="00A70C4F" w:rsidRDefault="009D307C" w:rsidP="00D5285F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Spain</w:t>
      </w:r>
      <w:r w:rsidR="00D5285F" w:rsidRPr="00A70C4F">
        <w:rPr>
          <w:rFonts w:ascii="Arial" w:hAnsi="Arial" w:cs="Arial"/>
          <w:b/>
          <w:bCs/>
          <w:color w:val="000000" w:themeColor="text1"/>
        </w:rPr>
        <w:t xml:space="preserve"> Expected Mean Cost Lower Parameter Values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58"/>
        <w:gridCol w:w="1118"/>
        <w:gridCol w:w="996"/>
        <w:gridCol w:w="1118"/>
        <w:gridCol w:w="996"/>
        <w:gridCol w:w="1118"/>
        <w:gridCol w:w="996"/>
        <w:gridCol w:w="1118"/>
        <w:gridCol w:w="996"/>
        <w:gridCol w:w="1118"/>
        <w:gridCol w:w="996"/>
      </w:tblGrid>
      <w:tr w:rsidR="00F07BFD" w:rsidRPr="00A70C4F" w14:paraId="519A3CDC" w14:textId="77777777" w:rsidTr="006014F5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95F1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5924A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0F0C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825D7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4836C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6B6CD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3BD63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96C35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D0D0F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EEB22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359B7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F07BFD" w:rsidRPr="00A70C4F" w14:paraId="03561A3C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9DD6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3CF36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51CBD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06F8C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82270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1F4D3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E240D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EA70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BBEFA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-13.22%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E671D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98B6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-10.61%</w:t>
            </w:r>
          </w:p>
        </w:tc>
      </w:tr>
      <w:tr w:rsidR="00F07BFD" w:rsidRPr="00A70C4F" w14:paraId="17707AC4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9272A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A045E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A5FA5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8309E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205C6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86BCB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022FF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-3.99%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F5EF4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E8DED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-3.05%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B8CCF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9C262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-7.12%</w:t>
            </w:r>
          </w:p>
        </w:tc>
      </w:tr>
      <w:tr w:rsidR="00F07BFD" w:rsidRPr="00A70C4F" w14:paraId="61A36B63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26773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E7941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295D7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F2BA8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E9A36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2E9DA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6202F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181FD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A1C6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F5B3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0B9D6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F07BFD" w:rsidRPr="00A70C4F" w14:paraId="5E52B115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B9A6B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3FD27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79DFAB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86850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AB2D1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ECF43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61B24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02296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FA86A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0C2D1B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2B0B0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-0.30%</w:t>
            </w:r>
          </w:p>
        </w:tc>
      </w:tr>
      <w:tr w:rsidR="00F07BFD" w:rsidRPr="00A70C4F" w14:paraId="5580C8F8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04C8B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day hospital contact (per day)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5492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B398F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00CA4B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5D9BC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2DF6F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67205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508A9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E091F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4BF6B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45740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-1.98%</w:t>
            </w:r>
          </w:p>
        </w:tc>
      </w:tr>
      <w:tr w:rsidR="00F07BFD" w:rsidRPr="00A70C4F" w14:paraId="625BCD95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B453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D4B30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E4524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-12.14%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3565F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960F2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-11.66%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CFEAD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71F3C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-11.17%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A11A4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7A674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-10.96%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D97CF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CE07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-8.79%</w:t>
            </w:r>
          </w:p>
        </w:tc>
      </w:tr>
      <w:tr w:rsidR="00F07BFD" w:rsidRPr="00A70C4F" w14:paraId="4E28768B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AA83D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day hospital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45279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0BC5C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B071C2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91E5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DD6A4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43505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6D903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43595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-2.30%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64B3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€ 6,978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40988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-1.84%</w:t>
            </w:r>
          </w:p>
        </w:tc>
      </w:tr>
      <w:tr w:rsidR="00F07BFD" w:rsidRPr="00A70C4F" w14:paraId="24705000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883DF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C7BF8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0B7CC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BDCDD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8E366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CAC977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FBA3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B79D9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26240B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-7.48%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41809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EE8BA6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F07BFD" w:rsidRPr="00A70C4F" w14:paraId="06A9B7E7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CAAC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A0E495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6DCF2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-8.44%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B1707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33BEBA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-8.32%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289BF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F44DF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-15.60%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60C07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59CF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32E2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AE957D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F07BFD" w:rsidRPr="00A70C4F" w14:paraId="2BA8A862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0C414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6EFEB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2EAF5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-8.51%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85B1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9A6E3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-8.39%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8257E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72BCF8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C8394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€ 10,365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B3C8E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-10.30%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5ED78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7FE60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F07BFD" w:rsidRPr="00A70C4F" w14:paraId="40B2ACCD" w14:textId="77777777" w:rsidTr="006014F5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08B87" w14:textId="77777777" w:rsidR="00F07BFD" w:rsidRPr="00A70C4F" w:rsidRDefault="00F07BFD" w:rsidP="006014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0557F1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0B7E3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-4.16%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F6A92C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C4F3F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D05C04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66E70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-3.83%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B92499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BDD880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2774F3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BE6EEF" w14:textId="77777777" w:rsidR="00F07BFD" w:rsidRPr="00A70C4F" w:rsidRDefault="00F07BFD" w:rsidP="006014F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-0.23%</w:t>
            </w:r>
          </w:p>
        </w:tc>
      </w:tr>
    </w:tbl>
    <w:p w14:paraId="7C1736A2" w14:textId="77777777" w:rsidR="00F07BFD" w:rsidRPr="00A70C4F" w:rsidRDefault="00F07BFD" w:rsidP="00F07B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18D4B973" w14:textId="1BD2971D" w:rsidR="00D5285F" w:rsidRPr="00A70C4F" w:rsidRDefault="009D307C" w:rsidP="00D5285F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Spain</w:t>
      </w:r>
      <w:r w:rsidR="00D5285F" w:rsidRPr="00A70C4F">
        <w:rPr>
          <w:rFonts w:ascii="Arial" w:hAnsi="Arial" w:cs="Arial"/>
          <w:b/>
          <w:bCs/>
          <w:color w:val="000000" w:themeColor="text1"/>
        </w:rPr>
        <w:t xml:space="preserve"> Net Monetary Benefit Lower Parameter Values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2"/>
        <w:gridCol w:w="1186"/>
        <w:gridCol w:w="1090"/>
        <w:gridCol w:w="1185"/>
        <w:gridCol w:w="1090"/>
        <w:gridCol w:w="1185"/>
        <w:gridCol w:w="1090"/>
        <w:gridCol w:w="1185"/>
        <w:gridCol w:w="1090"/>
        <w:gridCol w:w="1185"/>
        <w:gridCol w:w="1090"/>
      </w:tblGrid>
      <w:tr w:rsidR="00B63DE4" w:rsidRPr="00A70C4F" w14:paraId="7CE1AAE0" w14:textId="77777777" w:rsidTr="004B65B0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C155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24C6E6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EF4A69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06645B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44B21A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716E62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A45E65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C63CC1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159FD0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A0D764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73CF3A" w14:textId="77777777" w:rsidR="00B63DE4" w:rsidRPr="00A70C4F" w:rsidRDefault="00B63DE4" w:rsidP="004B65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B63DE4" w:rsidRPr="00A70C4F" w14:paraId="547602AD" w14:textId="77777777" w:rsidTr="00B63DE4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54629" w14:textId="77777777" w:rsidR="00B63DE4" w:rsidRPr="00A70C4F" w:rsidRDefault="00B63D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419D96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€ 249,369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765B9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1.09%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64911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€ 252,383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FDE95F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0.90%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E8CF9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€ 253,381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A2ED6C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1.01%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0E38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€ 254,458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DD5DDA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1.01%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63011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€ 260,109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4EB4AC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0.75%</w:t>
            </w:r>
          </w:p>
        </w:tc>
      </w:tr>
      <w:tr w:rsidR="00B63DE4" w:rsidRPr="00A70C4F" w14:paraId="0F88BFD8" w14:textId="77777777" w:rsidTr="00B63DE4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178AB" w14:textId="77777777" w:rsidR="00B63DE4" w:rsidRPr="00A70C4F" w:rsidRDefault="00B63D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Discount rate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8F1F73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€ 274,240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B644C2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8B957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€ 278,019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B29E8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11.14%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360F5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1B48E8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11.12%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8C513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€ 279,935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3D26BE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11.12%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433BF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€ 286,603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41EF5E" w14:textId="77777777" w:rsidR="00B63DE4" w:rsidRPr="00A70C4F" w:rsidRDefault="00B63D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11.01%</w:t>
            </w:r>
          </w:p>
        </w:tc>
      </w:tr>
    </w:tbl>
    <w:p w14:paraId="30E3A944" w14:textId="4A0BC1D0" w:rsidR="00AF5BEE" w:rsidRPr="00A70C4F" w:rsidRDefault="00AF5BEE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1E2A2896" w14:textId="7E2922D1" w:rsidR="009D307C" w:rsidRPr="00A70C4F" w:rsidRDefault="009D307C" w:rsidP="009D307C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 xml:space="preserve">Spain Expected Mean Cost </w:t>
      </w:r>
      <w:r w:rsidR="004B65B0" w:rsidRPr="00A70C4F">
        <w:rPr>
          <w:rFonts w:ascii="Arial" w:hAnsi="Arial" w:cs="Arial"/>
          <w:b/>
          <w:bCs/>
          <w:color w:val="000000" w:themeColor="text1"/>
        </w:rPr>
        <w:t>Higher</w:t>
      </w:r>
      <w:r w:rsidRPr="00A70C4F">
        <w:rPr>
          <w:rFonts w:ascii="Arial" w:hAnsi="Arial" w:cs="Arial"/>
          <w:b/>
          <w:bCs/>
          <w:color w:val="000000" w:themeColor="text1"/>
        </w:rPr>
        <w:t xml:space="preserve"> Parameter Values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38"/>
        <w:gridCol w:w="1061"/>
        <w:gridCol w:w="917"/>
        <w:gridCol w:w="1061"/>
        <w:gridCol w:w="917"/>
        <w:gridCol w:w="1061"/>
        <w:gridCol w:w="917"/>
        <w:gridCol w:w="1061"/>
        <w:gridCol w:w="917"/>
        <w:gridCol w:w="1061"/>
        <w:gridCol w:w="917"/>
      </w:tblGrid>
      <w:tr w:rsidR="00427422" w:rsidRPr="00A70C4F" w14:paraId="0831F333" w14:textId="77777777" w:rsidTr="00047DA9">
        <w:trPr>
          <w:trHeight w:val="319"/>
        </w:trPr>
        <w:tc>
          <w:tcPr>
            <w:tcW w:w="1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542A9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9B5A7C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EB2215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877411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7C945A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543B47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72F2EE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DE49A9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BCB0E2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DABBCB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6357F4" w14:textId="77777777" w:rsidR="00427422" w:rsidRPr="00A70C4F" w:rsidRDefault="00427422" w:rsidP="00047D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427422" w:rsidRPr="00A70C4F" w14:paraId="13B4088B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B0E8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inpatient (per day)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BC2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€ 18,720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13FD9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14.66%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4DEF4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€ 16,234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1A009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14.07%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ABC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EB9BA0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13.50%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E3B0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EAE5E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13.22%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22B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€ 7,863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7A73A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10.61%</w:t>
            </w:r>
          </w:p>
        </w:tc>
      </w:tr>
      <w:tr w:rsidR="00427422" w:rsidRPr="00A70C4F" w14:paraId="6DC6553D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8706B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ASED*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DB45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€ 16,679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CC7B8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2.16%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6D4A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€ 14,586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59F43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2.49%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A0BF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€ 13,123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9C87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3.99%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D415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41AAD0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3.05%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2A41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€ 7,615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9EA900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7.12%</w:t>
            </w:r>
          </w:p>
        </w:tc>
      </w:tr>
      <w:tr w:rsidR="00427422" w:rsidRPr="00A70C4F" w14:paraId="00608432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942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non-specialist outpatient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0BC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€ 16,420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0ACE2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0.58%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392B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€ 14,325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0940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0.65%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CB68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24149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5D43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€ 11,648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1C38F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0.80%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36CD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329A9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427422" w:rsidRPr="00A70C4F" w14:paraId="0F5C3B0C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C2BA3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Primary care doctor consultation (per contact)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CBE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€ 16,378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B5544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0.32%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E573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€ 14,252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15DB9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0.14%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6D3B4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466A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0.40%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3BCD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€ 11,606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111EB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0.44%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4F1D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4E4290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0.30%</w:t>
            </w:r>
          </w:p>
        </w:tc>
      </w:tr>
      <w:tr w:rsidR="00427422" w:rsidRPr="00A70C4F" w14:paraId="5DDC3DEC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1FFB2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Unit cost day hospital contact (per day)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B335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€ 16,701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7C9A98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2.30%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38FD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€ 14,607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F1DDA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2.63%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24D5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€ 12,885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EE5A2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2.11%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63A2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€ 11,841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F1C0C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2.48%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B7F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€ 7,250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7232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1.98%</w:t>
            </w:r>
          </w:p>
        </w:tc>
      </w:tr>
      <w:tr w:rsidR="00427422" w:rsidRPr="00A70C4F" w14:paraId="0BD14F3D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06DC2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inpatient stay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FA24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€ 18,304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C2B40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12.12%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21A3B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€ 15,888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353C8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11.64%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FBA8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€ 14,026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8351F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11.15%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D304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€ 12,818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62C83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10.93%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1848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€ 7,733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5B4E2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8.78%</w:t>
            </w:r>
          </w:p>
        </w:tc>
      </w:tr>
      <w:tr w:rsidR="00427422" w:rsidRPr="00A70C4F" w14:paraId="33F37AEF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98550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Length of day hospital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4A1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€ 16,688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25FB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2.22%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DEA5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€ 14,579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43A15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2.44%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2DA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€ 12,862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90DEC4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1.93%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EFE8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€ 11,820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36C46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2.29%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A657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B32DD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1.84%</w:t>
            </w:r>
          </w:p>
        </w:tc>
      </w:tr>
      <w:tr w:rsidR="00427422" w:rsidRPr="00A70C4F" w14:paraId="683B1368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0223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treated with non-specialist outpatient care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EADF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€ 17,068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05A25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4.54%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2D9B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€ 14,860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D76580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4.41%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DAA6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600A0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CFCF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€ 12,419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307A1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7.48%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8F50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D3FF2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427422" w:rsidRPr="00A70C4F" w14:paraId="3DB12277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47D95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ASED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2A02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€ 17,705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3809DB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8.45%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F0E24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€ 15,416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2E776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8.32%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6D1A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€ 14,588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C4DDF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15.60%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035B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€ 11,555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17D7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836E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1ECD2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427422" w:rsidRPr="00A70C4F" w14:paraId="66F7EF29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40C24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hospitalisation following non-specialist outpatient treatment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2A3E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€ 17,716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6EB8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8.51%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65143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€ 15,426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C87286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8.39%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E49D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€ 12,619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C35155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42BB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€ 12,744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DE768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10.29%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611D4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€ 7,109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96C45D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0.00%</w:t>
            </w:r>
          </w:p>
        </w:tc>
      </w:tr>
      <w:tr w:rsidR="00427422" w:rsidRPr="00A70C4F" w14:paraId="79D50A6F" w14:textId="77777777" w:rsidTr="00047DA9">
        <w:trPr>
          <w:trHeight w:val="319"/>
        </w:trPr>
        <w:tc>
          <w:tcPr>
            <w:tcW w:w="1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EEDC2" w14:textId="77777777" w:rsidR="00427422" w:rsidRPr="00A70C4F" w:rsidRDefault="004274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Probability of rehospitalisation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3FA99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€ 17,006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81B898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4.17%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602E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€ 14,871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DDB10F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4.49%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E591A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€ 13,103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0D0D51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3.84%</w:t>
            </w:r>
          </w:p>
        </w:tc>
        <w:tc>
          <w:tcPr>
            <w:tcW w:w="3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B237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€ 12,042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F5E75C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4.21%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14:paraId="6FB9862B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€ 7,350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5CFFFB" w14:textId="77777777" w:rsidR="00427422" w:rsidRPr="00A70C4F" w:rsidRDefault="004274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A70C4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3.39%</w:t>
            </w:r>
          </w:p>
        </w:tc>
      </w:tr>
    </w:tbl>
    <w:p w14:paraId="2DC0667A" w14:textId="77777777" w:rsidR="00047DA9" w:rsidRPr="00A70C4F" w:rsidRDefault="00047DA9" w:rsidP="00047DA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A70C4F">
        <w:rPr>
          <w:rFonts w:ascii="Arial" w:hAnsi="Arial" w:cs="Arial"/>
          <w:color w:val="000000" w:themeColor="text1"/>
          <w:sz w:val="20"/>
          <w:szCs w:val="20"/>
        </w:rPr>
        <w:t>ASED=Adult Specialist Eating Disorder Service</w:t>
      </w:r>
    </w:p>
    <w:p w14:paraId="59D7F3C5" w14:textId="6DEE156B" w:rsidR="009D307C" w:rsidRPr="00A70C4F" w:rsidRDefault="009D307C" w:rsidP="009D307C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Spain Net Monetary Benefit</w:t>
      </w:r>
      <w:r w:rsidR="004B65B0" w:rsidRPr="00A70C4F">
        <w:rPr>
          <w:rFonts w:ascii="Arial" w:hAnsi="Arial" w:cs="Arial"/>
          <w:b/>
          <w:bCs/>
          <w:color w:val="000000" w:themeColor="text1"/>
        </w:rPr>
        <w:t xml:space="preserve"> Higher</w:t>
      </w:r>
      <w:r w:rsidRPr="00A70C4F">
        <w:rPr>
          <w:rFonts w:ascii="Arial" w:hAnsi="Arial" w:cs="Arial"/>
          <w:b/>
          <w:bCs/>
          <w:color w:val="000000" w:themeColor="text1"/>
        </w:rPr>
        <w:t xml:space="preserve"> Parameter Values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76"/>
        <w:gridCol w:w="1174"/>
        <w:gridCol w:w="1075"/>
        <w:gridCol w:w="1174"/>
        <w:gridCol w:w="1076"/>
        <w:gridCol w:w="1175"/>
        <w:gridCol w:w="1076"/>
        <w:gridCol w:w="1175"/>
        <w:gridCol w:w="1076"/>
        <w:gridCol w:w="1175"/>
        <w:gridCol w:w="1076"/>
      </w:tblGrid>
      <w:tr w:rsidR="005B3410" w:rsidRPr="005B3410" w14:paraId="1CA50BA4" w14:textId="77777777" w:rsidTr="005B3410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165E8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DF35CB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F95A4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BCC02C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251ABF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7FE527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870C38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EC8E57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1DA32D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09F40E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Scenario 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E4768F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% change</w:t>
            </w:r>
          </w:p>
        </w:tc>
      </w:tr>
      <w:tr w:rsidR="005B3410" w:rsidRPr="005B3410" w14:paraId="29E19E4E" w14:textId="77777777" w:rsidTr="005B3410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C5532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Anorexia Nervosa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1CFEA3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€ 243,472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6171C9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-1.30%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6E9D5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€ 247,478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558AF5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-1.06%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DF80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€ 247,814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B0D24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-1.21%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3D72D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€ 248,903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A29C90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-1.20%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F12A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€ 255,857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9CC295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-0.89%</w:t>
            </w:r>
          </w:p>
        </w:tc>
      </w:tr>
      <w:tr w:rsidR="005B3410" w:rsidRPr="005B3410" w14:paraId="578CA9CB" w14:textId="77777777" w:rsidTr="005B3410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2D773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DALY weight Remission / Recovery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902AB2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€ 211,462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C2D949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-14.28%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B192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€ 214,010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A6DEAC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-14.44%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91B8A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€ 215,320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626753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-14.16%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2B07F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€ 216,390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D9CDB4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-14.10%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55CDD" w14:textId="19FE1B36" w:rsidR="005B3410" w:rsidRPr="005B3410" w:rsidRDefault="001079D8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€221,431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B86878" w14:textId="50D2603F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-1</w:t>
            </w:r>
            <w:r w:rsidR="00C2178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C2178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23</w:t>
            </w: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%</w:t>
            </w:r>
          </w:p>
        </w:tc>
      </w:tr>
      <w:tr w:rsidR="005B3410" w:rsidRPr="005B3410" w14:paraId="7223F46D" w14:textId="77777777" w:rsidTr="005B3410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AC7A8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Discount rate (6%)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A5BFD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€ 229,665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97B839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-6.90%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34F34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€ 232,932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825855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-6.88%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37193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€ 233,609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8CCD3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-6.87%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68BE1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€ 234,620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F0E652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-6.87%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09861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€ 240,593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A2A1BF" w14:textId="77777777" w:rsidR="005B3410" w:rsidRPr="005B3410" w:rsidRDefault="005B3410" w:rsidP="005B341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5B341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-6.81%</w:t>
            </w:r>
          </w:p>
        </w:tc>
      </w:tr>
    </w:tbl>
    <w:p w14:paraId="22E922EB" w14:textId="7777777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7EB05C67" w14:textId="7777777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5461F3BD" w14:textId="7777777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Probabilistic Sensitivity Analysis Results</w:t>
      </w:r>
    </w:p>
    <w:p w14:paraId="7610CE78" w14:textId="7777777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</w:p>
    <w:p w14:paraId="0A2952D1" w14:textId="7777777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t>England</w:t>
      </w:r>
    </w:p>
    <w:p w14:paraId="5887AAA9" w14:textId="6E42BA89" w:rsidR="00FB0379" w:rsidRPr="00A70C4F" w:rsidRDefault="00C47472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10FB16D4" wp14:editId="4F5B86D6">
            <wp:extent cx="5524500" cy="4451350"/>
            <wp:effectExtent l="0" t="0" r="0" b="6350"/>
            <wp:docPr id="1812887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87990" name="Picture 18128879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CADD" w14:textId="77777777" w:rsidR="00053146" w:rsidRPr="00A70C4F" w:rsidRDefault="0005314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31702398" w14:textId="228FCC49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Germany</w:t>
      </w:r>
    </w:p>
    <w:p w14:paraId="75DDAABE" w14:textId="20240CB2" w:rsidR="000C3D16" w:rsidRPr="00A70C4F" w:rsidRDefault="00034AD9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2207D7B7" wp14:editId="2427BFE8">
            <wp:extent cx="5765800" cy="4470400"/>
            <wp:effectExtent l="0" t="0" r="6350" b="6350"/>
            <wp:docPr id="138730293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02933" name="Picture 3" descr="A screenshot of a computer scre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A0BA" w14:textId="77777777" w:rsidR="00DF59E6" w:rsidRPr="00A70C4F" w:rsidRDefault="00DF59E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622A6D12" w14:textId="04DC1307" w:rsidR="000C3D16" w:rsidRPr="00A70C4F" w:rsidRDefault="000C3D16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>Spain</w:t>
      </w:r>
    </w:p>
    <w:p w14:paraId="738376DC" w14:textId="7F33CE6F" w:rsidR="009D307C" w:rsidRPr="00A70C4F" w:rsidRDefault="00AD639D">
      <w:pPr>
        <w:spacing w:after="160" w:line="259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01838498" wp14:editId="2AE04DD1">
            <wp:extent cx="5492750" cy="4432300"/>
            <wp:effectExtent l="0" t="0" r="0" b="6350"/>
            <wp:docPr id="28568117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81176" name="Picture 1" descr="A screenshot of a computer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07C" w:rsidRPr="00A70C4F">
        <w:rPr>
          <w:rFonts w:ascii="Arial" w:hAnsi="Arial" w:cs="Arial"/>
          <w:b/>
          <w:bCs/>
          <w:color w:val="000000" w:themeColor="text1"/>
        </w:rPr>
        <w:br w:type="page"/>
      </w:r>
    </w:p>
    <w:p w14:paraId="5FB9359A" w14:textId="5BEA525F" w:rsidR="0032177A" w:rsidRPr="00A70C4F" w:rsidRDefault="00E13CC3" w:rsidP="0032177A">
      <w:pPr>
        <w:rPr>
          <w:rFonts w:ascii="Arial" w:hAnsi="Arial" w:cs="Arial"/>
          <w:b/>
          <w:bCs/>
          <w:color w:val="000000" w:themeColor="text1"/>
        </w:rPr>
      </w:pPr>
      <w:r w:rsidRPr="00A70C4F">
        <w:rPr>
          <w:rFonts w:ascii="Arial" w:hAnsi="Arial" w:cs="Arial"/>
          <w:b/>
          <w:bCs/>
          <w:color w:val="000000" w:themeColor="text1"/>
        </w:rPr>
        <w:lastRenderedPageBreak/>
        <w:t xml:space="preserve">Supplement 2: </w:t>
      </w:r>
      <w:r w:rsidR="0032177A" w:rsidRPr="00A70C4F">
        <w:rPr>
          <w:rFonts w:ascii="Arial" w:hAnsi="Arial" w:cs="Arial"/>
          <w:b/>
          <w:bCs/>
          <w:color w:val="000000" w:themeColor="text1"/>
        </w:rPr>
        <w:t>Consolidated Health Economic Evaluation Reporting Standards (CHEERS) statement</w:t>
      </w:r>
    </w:p>
    <w:p w14:paraId="5F4A3347" w14:textId="77777777" w:rsidR="0032177A" w:rsidRPr="00A70C4F" w:rsidRDefault="0032177A" w:rsidP="0032177A">
      <w:pPr>
        <w:pStyle w:val="Heading1"/>
        <w:rPr>
          <w:rFonts w:ascii="Arial" w:hAnsi="Arial" w:cs="Arial"/>
        </w:rPr>
      </w:pPr>
      <w:bookmarkStart w:id="0" w:name="cheers-2022-checklist"/>
      <w:r w:rsidRPr="00A70C4F">
        <w:rPr>
          <w:rFonts w:ascii="Arial" w:hAnsi="Arial" w:cs="Arial"/>
        </w:rPr>
        <w:t>CHEERS 2022 Checklist</w:t>
      </w:r>
    </w:p>
    <w:p w14:paraId="1871031C" w14:textId="77777777" w:rsidR="0032177A" w:rsidRPr="00A70C4F" w:rsidRDefault="0032177A" w:rsidP="0032177A">
      <w:pPr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081"/>
        <w:gridCol w:w="490"/>
        <w:gridCol w:w="5376"/>
        <w:gridCol w:w="4991"/>
      </w:tblGrid>
      <w:tr w:rsidR="00930D2B" w:rsidRPr="00A70C4F" w14:paraId="5CFA8F79" w14:textId="77777777" w:rsidTr="00771499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1EEF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FFFFFF"/>
                <w:sz w:val="18"/>
                <w:szCs w:val="18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7F22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FFFFFF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F9B1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D9EF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FFFFFF"/>
                <w:sz w:val="18"/>
                <w:szCs w:val="18"/>
              </w:rPr>
              <w:t>Location where item is reported</w:t>
            </w:r>
          </w:p>
        </w:tc>
      </w:tr>
      <w:tr w:rsidR="00930D2B" w:rsidRPr="00A70C4F" w14:paraId="02DA22A7" w14:textId="77777777" w:rsidTr="00771499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F325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9248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A4B4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7159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7521F90C" w14:textId="77777777" w:rsidTr="00771499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0072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BA20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2FFC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Identify the study as an economic evaluation and specify the interventions being compared.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B8D1" w14:textId="54B9B33B" w:rsidR="0032177A" w:rsidRPr="00A70C4F" w:rsidRDefault="00043CB2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Title, Line1, Page </w:t>
            </w:r>
            <w:r w:rsidR="006A14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30D2B" w:rsidRPr="00A70C4F" w14:paraId="2E0811C8" w14:textId="77777777" w:rsidTr="00771499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3A5F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Abstract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0F79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814E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59FC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32619075" w14:textId="77777777" w:rsidTr="00771499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FB74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43CB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947E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Provide a structured summary that highlights context, key methods, results, and alternative analyses.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8623" w14:textId="5CD730C8" w:rsidR="0032177A" w:rsidRPr="00A70C4F" w:rsidRDefault="00043CB2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Abstract, Page </w:t>
            </w:r>
            <w:r w:rsidR="00A56C09">
              <w:rPr>
                <w:rFonts w:ascii="Arial" w:hAnsi="Arial" w:cs="Arial"/>
                <w:sz w:val="18"/>
                <w:szCs w:val="18"/>
              </w:rPr>
              <w:t>3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Lines 4-23, Page </w:t>
            </w:r>
            <w:r w:rsidR="00A56C09">
              <w:rPr>
                <w:rFonts w:ascii="Arial" w:hAnsi="Arial" w:cs="Arial"/>
                <w:sz w:val="18"/>
                <w:szCs w:val="18"/>
              </w:rPr>
              <w:t>3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24-3</w:t>
            </w:r>
            <w:r w:rsidR="00BA1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30D2B" w:rsidRPr="00A70C4F" w14:paraId="21D21BC2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A4A1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Introduction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A34E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D9FA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225D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23DF0A75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B061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Background and objectives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36FC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0870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Give the context for the study, the study question, and its practical relevance for decision making in policy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6E94" w14:textId="76552555" w:rsidR="0032177A" w:rsidRPr="00A70C4F" w:rsidRDefault="000112F7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Introduction, Page </w:t>
            </w:r>
            <w:r w:rsidR="00A56C09">
              <w:rPr>
                <w:rFonts w:ascii="Arial" w:hAnsi="Arial" w:cs="Arial"/>
                <w:sz w:val="18"/>
                <w:szCs w:val="18"/>
              </w:rPr>
              <w:t>5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Lines </w:t>
            </w:r>
            <w:r w:rsidR="00A40A0D" w:rsidRPr="00A70C4F">
              <w:rPr>
                <w:rFonts w:ascii="Arial" w:hAnsi="Arial" w:cs="Arial"/>
                <w:sz w:val="18"/>
                <w:szCs w:val="18"/>
              </w:rPr>
              <w:t>3</w:t>
            </w:r>
            <w:r w:rsidR="00EA3EA8">
              <w:rPr>
                <w:rFonts w:ascii="Arial" w:hAnsi="Arial" w:cs="Arial"/>
                <w:sz w:val="18"/>
                <w:szCs w:val="18"/>
              </w:rPr>
              <w:t>9</w:t>
            </w:r>
            <w:r w:rsidR="00161ED4" w:rsidRPr="00A70C4F">
              <w:rPr>
                <w:rFonts w:ascii="Arial" w:hAnsi="Arial" w:cs="Arial"/>
                <w:sz w:val="18"/>
                <w:szCs w:val="18"/>
              </w:rPr>
              <w:t xml:space="preserve"> to Page </w:t>
            </w:r>
            <w:r w:rsidR="00A56C09">
              <w:rPr>
                <w:rFonts w:ascii="Arial" w:hAnsi="Arial" w:cs="Arial"/>
                <w:sz w:val="18"/>
                <w:szCs w:val="18"/>
              </w:rPr>
              <w:t>7</w:t>
            </w:r>
            <w:r w:rsidR="00161ED4" w:rsidRPr="00A70C4F">
              <w:rPr>
                <w:rFonts w:ascii="Arial" w:hAnsi="Arial" w:cs="Arial"/>
                <w:sz w:val="18"/>
                <w:szCs w:val="18"/>
              </w:rPr>
              <w:t xml:space="preserve">, Line </w:t>
            </w:r>
            <w:r w:rsidR="00F22FDC" w:rsidRPr="00A70C4F">
              <w:rPr>
                <w:rFonts w:ascii="Arial" w:hAnsi="Arial" w:cs="Arial"/>
                <w:sz w:val="18"/>
                <w:szCs w:val="18"/>
              </w:rPr>
              <w:t>1</w:t>
            </w:r>
            <w:r w:rsidR="002147F1">
              <w:rPr>
                <w:rFonts w:ascii="Arial" w:hAnsi="Arial" w:cs="Arial"/>
                <w:sz w:val="18"/>
                <w:szCs w:val="18"/>
              </w:rPr>
              <w:t>27</w:t>
            </w:r>
            <w:r w:rsidR="00F22FDC" w:rsidRPr="00A70C4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930D2B" w:rsidRPr="00A70C4F" w14:paraId="1336CFA5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EED7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Methods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7AC2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3759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2720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33AF8E35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9853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Health economic analysis plan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8884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D3B2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Indicate whether a health economic analysis plan was developed and where available.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1FCC" w14:textId="59BA22D3" w:rsidR="0032177A" w:rsidRPr="00A70C4F" w:rsidRDefault="00317529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30D2B" w:rsidRPr="00A70C4F" w14:paraId="411529DB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4A76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Study population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8E73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95BE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characteristics of the study population (such as age range, demographics, socioeconomic, or clinical characteristics).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43D5" w14:textId="22C2CE7C" w:rsidR="00C07492" w:rsidRPr="00A70C4F" w:rsidRDefault="007812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9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0775AB">
              <w:rPr>
                <w:rFonts w:ascii="Arial" w:hAnsi="Arial" w:cs="Arial"/>
                <w:sz w:val="18"/>
                <w:szCs w:val="18"/>
              </w:rPr>
              <w:t>36-137</w:t>
            </w:r>
          </w:p>
        </w:tc>
      </w:tr>
      <w:tr w:rsidR="00930D2B" w:rsidRPr="00A70C4F" w14:paraId="7D63C5D1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8A7A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Setting and location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54F2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8D99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Provide relevant contextual information that may influence findings.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FD93" w14:textId="4A0FF9C4" w:rsidR="00C07492" w:rsidRPr="00A70C4F" w:rsidRDefault="0074660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6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 </w:t>
            </w:r>
            <w:r w:rsidR="00C65F78">
              <w:rPr>
                <w:rFonts w:ascii="Arial" w:hAnsi="Arial" w:cs="Arial"/>
                <w:sz w:val="18"/>
                <w:szCs w:val="18"/>
              </w:rPr>
              <w:t>70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– Page </w:t>
            </w:r>
            <w:r w:rsidR="00A56C09">
              <w:rPr>
                <w:rFonts w:ascii="Arial" w:hAnsi="Arial" w:cs="Arial"/>
                <w:sz w:val="18"/>
                <w:szCs w:val="18"/>
              </w:rPr>
              <w:t>8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</w:t>
            </w:r>
            <w:r w:rsidR="004D02F1" w:rsidRPr="00A70C4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7F4915">
              <w:rPr>
                <w:rFonts w:ascii="Arial" w:hAnsi="Arial" w:cs="Arial"/>
                <w:sz w:val="18"/>
                <w:szCs w:val="18"/>
              </w:rPr>
              <w:t>12</w:t>
            </w:r>
            <w:r w:rsidR="008E4C13" w:rsidRPr="00A70C4F">
              <w:rPr>
                <w:rFonts w:ascii="Arial" w:hAnsi="Arial" w:cs="Arial"/>
                <w:sz w:val="18"/>
                <w:szCs w:val="18"/>
              </w:rPr>
              <w:t>, Figure 2</w:t>
            </w:r>
          </w:p>
        </w:tc>
      </w:tr>
      <w:tr w:rsidR="00930D2B" w:rsidRPr="00A70C4F" w14:paraId="31690705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E5D3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Comparators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B615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02CC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the interventions or strategies being compared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044E" w14:textId="7464EB5A" w:rsidR="00C07492" w:rsidRPr="00A70C4F" w:rsidRDefault="00B77E98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Care Pathway Scenarios, </w:t>
            </w:r>
            <w:r w:rsidR="00747389"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9</w:t>
            </w:r>
            <w:r w:rsidR="00747389" w:rsidRPr="00A70C4F">
              <w:rPr>
                <w:rFonts w:ascii="Arial" w:hAnsi="Arial" w:cs="Arial"/>
                <w:sz w:val="18"/>
                <w:szCs w:val="18"/>
              </w:rPr>
              <w:t>, Line</w:t>
            </w:r>
            <w:r w:rsidR="007218C5" w:rsidRPr="00A70C4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A14E4">
              <w:rPr>
                <w:rFonts w:ascii="Arial" w:hAnsi="Arial" w:cs="Arial"/>
                <w:sz w:val="18"/>
                <w:szCs w:val="18"/>
              </w:rPr>
              <w:t>45</w:t>
            </w:r>
            <w:r w:rsidR="007218C5" w:rsidRPr="00A70C4F">
              <w:rPr>
                <w:rFonts w:ascii="Arial" w:hAnsi="Arial" w:cs="Arial"/>
                <w:sz w:val="18"/>
                <w:szCs w:val="18"/>
              </w:rPr>
              <w:t xml:space="preserve"> – 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="00404E4E"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7F033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930D2B" w:rsidRPr="00A70C4F" w14:paraId="44F6E771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06C3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Perspective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264D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5267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State the perspective(s) adopted by the study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3220" w14:textId="013F626A" w:rsidR="00C07492" w:rsidRPr="00A70C4F" w:rsidRDefault="005E1ADD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FD528E">
              <w:rPr>
                <w:rFonts w:ascii="Arial" w:hAnsi="Arial" w:cs="Arial"/>
                <w:sz w:val="18"/>
                <w:szCs w:val="18"/>
              </w:rPr>
              <w:t>84</w:t>
            </w:r>
            <w:r w:rsidRPr="00A70C4F">
              <w:rPr>
                <w:rFonts w:ascii="Arial" w:hAnsi="Arial" w:cs="Arial"/>
                <w:sz w:val="18"/>
                <w:szCs w:val="18"/>
              </w:rPr>
              <w:t>-1</w:t>
            </w:r>
            <w:r w:rsidR="00FD528E">
              <w:rPr>
                <w:rFonts w:ascii="Arial" w:hAnsi="Arial" w:cs="Arial"/>
                <w:sz w:val="18"/>
                <w:szCs w:val="18"/>
              </w:rPr>
              <w:t>85</w:t>
            </w:r>
            <w:r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2FEB0C3C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B084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Time horizon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A952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81D0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State the time horizon for the study and why appropriate.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C5ED" w14:textId="18ED0FE9" w:rsidR="0032177A" w:rsidRPr="00A70C4F" w:rsidRDefault="00B11A30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8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AC6C05">
              <w:rPr>
                <w:rFonts w:ascii="Arial" w:hAnsi="Arial" w:cs="Arial"/>
                <w:sz w:val="18"/>
                <w:szCs w:val="18"/>
              </w:rPr>
              <w:t>38</w:t>
            </w:r>
            <w:r w:rsidRPr="00A70C4F">
              <w:rPr>
                <w:rFonts w:ascii="Arial" w:hAnsi="Arial" w:cs="Arial"/>
                <w:sz w:val="18"/>
                <w:szCs w:val="18"/>
              </w:rPr>
              <w:t>-1</w:t>
            </w:r>
            <w:r w:rsidR="00AC6C05">
              <w:rPr>
                <w:rFonts w:ascii="Arial" w:hAnsi="Arial" w:cs="Arial"/>
                <w:sz w:val="18"/>
                <w:szCs w:val="18"/>
              </w:rPr>
              <w:t>39</w:t>
            </w:r>
            <w:r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2CA3999D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2C4A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lastRenderedPageBreak/>
              <w:t>Discount rate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128F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E593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the discount rate(s) and reason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E1EA" w14:textId="42251E37" w:rsidR="0032177A" w:rsidRPr="00A70C4F" w:rsidRDefault="00B11A30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 </w:t>
            </w:r>
            <w:r w:rsidR="001A379A">
              <w:rPr>
                <w:rFonts w:ascii="Arial" w:hAnsi="Arial" w:cs="Arial"/>
                <w:sz w:val="18"/>
                <w:szCs w:val="18"/>
              </w:rPr>
              <w:t>1</w:t>
            </w:r>
            <w:r w:rsidR="00E1041B">
              <w:rPr>
                <w:rFonts w:ascii="Arial" w:hAnsi="Arial" w:cs="Arial"/>
                <w:sz w:val="18"/>
                <w:szCs w:val="18"/>
              </w:rPr>
              <w:t xml:space="preserve">83, 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 w:rsidR="00E1041B">
              <w:rPr>
                <w:rFonts w:ascii="Arial" w:hAnsi="Arial" w:cs="Arial"/>
                <w:sz w:val="18"/>
                <w:szCs w:val="18"/>
              </w:rPr>
              <w:t xml:space="preserve"> Line 184</w:t>
            </w:r>
            <w:r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52BA0CAD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DA14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Selection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F407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8451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what outcomes were used as the measure(s) of benefit(s) and harm(s).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CDC0" w14:textId="3371E910" w:rsidR="00C07492" w:rsidRPr="00A70C4F" w:rsidRDefault="00110A07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1</w:t>
            </w:r>
            <w:r w:rsidR="004D66F3">
              <w:rPr>
                <w:rFonts w:ascii="Arial" w:hAnsi="Arial" w:cs="Arial"/>
                <w:sz w:val="18"/>
                <w:szCs w:val="18"/>
              </w:rPr>
              <w:t>74</w:t>
            </w:r>
            <w:r w:rsidRPr="00A70C4F">
              <w:rPr>
                <w:rFonts w:ascii="Arial" w:hAnsi="Arial" w:cs="Arial"/>
                <w:sz w:val="18"/>
                <w:szCs w:val="18"/>
              </w:rPr>
              <w:t>-</w:t>
            </w:r>
            <w:r w:rsidR="005B3C77">
              <w:rPr>
                <w:rFonts w:ascii="Arial" w:hAnsi="Arial" w:cs="Arial"/>
                <w:sz w:val="18"/>
                <w:szCs w:val="18"/>
              </w:rPr>
              <w:t>179</w:t>
            </w:r>
            <w:r w:rsidR="00714D1D" w:rsidRPr="00A70C4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6471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 w:rsidR="00C6471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F3320" w:rsidRPr="00A70C4F">
              <w:rPr>
                <w:rFonts w:ascii="Arial" w:hAnsi="Arial" w:cs="Arial"/>
                <w:sz w:val="18"/>
                <w:szCs w:val="18"/>
              </w:rPr>
              <w:t>Lines 1</w:t>
            </w:r>
            <w:r w:rsidR="00C64718">
              <w:rPr>
                <w:rFonts w:ascii="Arial" w:hAnsi="Arial" w:cs="Arial"/>
                <w:sz w:val="18"/>
                <w:szCs w:val="18"/>
              </w:rPr>
              <w:t>86</w:t>
            </w:r>
            <w:r w:rsidR="00FF3320" w:rsidRPr="00A70C4F">
              <w:rPr>
                <w:rFonts w:ascii="Arial" w:hAnsi="Arial" w:cs="Arial"/>
                <w:sz w:val="18"/>
                <w:szCs w:val="18"/>
              </w:rPr>
              <w:t>-1</w:t>
            </w:r>
            <w:r w:rsidR="00C64718">
              <w:rPr>
                <w:rFonts w:ascii="Arial" w:hAnsi="Arial" w:cs="Arial"/>
                <w:sz w:val="18"/>
                <w:szCs w:val="18"/>
              </w:rPr>
              <w:t>91</w:t>
            </w:r>
            <w:r w:rsidR="00FF3320"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33D4EE8C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1F17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Measurement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91D0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DE50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how outcomes used to capture benefit(s) and harm(s) were measured.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5F61" w14:textId="46BD99EC" w:rsidR="00C07492" w:rsidRPr="00A70C4F" w:rsidRDefault="0072730D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1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Pr="00A70C4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0C4F">
              <w:rPr>
                <w:rFonts w:ascii="Arial" w:hAnsi="Arial" w:cs="Arial"/>
                <w:sz w:val="18"/>
                <w:szCs w:val="18"/>
              </w:rPr>
              <w:t>Lines 1</w:t>
            </w: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Pr="00A70C4F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1D2A0DD2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3054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Valuation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B438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C0E8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the population and methods used to measure and value outcomes.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41CC" w14:textId="16D9E9B2" w:rsidR="00C07492" w:rsidRPr="00A70C4F" w:rsidRDefault="0072730D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1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Pr="00A70C4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0C4F">
              <w:rPr>
                <w:rFonts w:ascii="Arial" w:hAnsi="Arial" w:cs="Arial"/>
                <w:sz w:val="18"/>
                <w:szCs w:val="18"/>
              </w:rPr>
              <w:t>Lines 1</w:t>
            </w: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Pr="00A70C4F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A70C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0D2B" w:rsidRPr="00A70C4F" w14:paraId="428682AB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FB8A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Measurement and valuation of resources and costs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DD90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9DAD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how costs were valued.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D0CF" w14:textId="57F5404C" w:rsidR="00C07492" w:rsidRPr="00A70C4F" w:rsidRDefault="008A063C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Table 1</w:t>
            </w:r>
          </w:p>
        </w:tc>
      </w:tr>
      <w:tr w:rsidR="00930D2B" w:rsidRPr="00A70C4F" w14:paraId="48D092C0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C26C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Currency, price date, and conversion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7D14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4BED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the dates of the estimated resource quantities and unit costs, plus the currency and year of conversion.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668A" w14:textId="79476B44" w:rsidR="00C07492" w:rsidRPr="00A70C4F" w:rsidRDefault="00B30BC6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="003870A5">
              <w:rPr>
                <w:rFonts w:ascii="Arial" w:hAnsi="Arial" w:cs="Arial"/>
                <w:sz w:val="18"/>
                <w:szCs w:val="18"/>
              </w:rPr>
              <w:t>,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Lines 1</w:t>
            </w:r>
            <w:r w:rsidR="003870A5">
              <w:rPr>
                <w:rFonts w:ascii="Arial" w:hAnsi="Arial" w:cs="Arial"/>
                <w:sz w:val="18"/>
                <w:szCs w:val="18"/>
              </w:rPr>
              <w:t>80</w:t>
            </w:r>
            <w:r w:rsidR="00B73276" w:rsidRPr="00A70C4F">
              <w:rPr>
                <w:rFonts w:ascii="Arial" w:hAnsi="Arial" w:cs="Arial"/>
                <w:sz w:val="18"/>
                <w:szCs w:val="18"/>
              </w:rPr>
              <w:t>-</w:t>
            </w:r>
            <w:r w:rsidR="001A379A">
              <w:rPr>
                <w:rFonts w:ascii="Arial" w:hAnsi="Arial" w:cs="Arial"/>
                <w:sz w:val="18"/>
                <w:szCs w:val="18"/>
              </w:rPr>
              <w:t>1</w:t>
            </w:r>
            <w:r w:rsidR="00791BC9">
              <w:rPr>
                <w:rFonts w:ascii="Arial" w:hAnsi="Arial" w:cs="Arial"/>
                <w:sz w:val="18"/>
                <w:szCs w:val="18"/>
              </w:rPr>
              <w:t>83</w:t>
            </w:r>
            <w:r w:rsidR="00B73276" w:rsidRPr="00A70C4F">
              <w:rPr>
                <w:rFonts w:ascii="Arial" w:hAnsi="Arial" w:cs="Arial"/>
                <w:sz w:val="18"/>
                <w:szCs w:val="18"/>
              </w:rPr>
              <w:t>, and Table 1</w:t>
            </w:r>
          </w:p>
        </w:tc>
      </w:tr>
      <w:tr w:rsidR="00930D2B" w:rsidRPr="00A70C4F" w14:paraId="73AA6B8B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A8B2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Rationale and description of model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5914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38BE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If modelling is used, describe in detail and why used. Report if the model is publicly available and where it can be accessed.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C11D" w14:textId="4F917388" w:rsidR="00C07492" w:rsidRPr="00A70C4F" w:rsidRDefault="002F2650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8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Lines </w:t>
            </w:r>
            <w:r w:rsidR="001D6779" w:rsidRPr="00A70C4F">
              <w:rPr>
                <w:rFonts w:ascii="Arial" w:hAnsi="Arial" w:cs="Arial"/>
                <w:sz w:val="18"/>
                <w:szCs w:val="18"/>
              </w:rPr>
              <w:t>1</w:t>
            </w:r>
            <w:r w:rsidR="000C2262">
              <w:rPr>
                <w:rFonts w:ascii="Arial" w:hAnsi="Arial" w:cs="Arial"/>
                <w:sz w:val="18"/>
                <w:szCs w:val="18"/>
              </w:rPr>
              <w:t>30</w:t>
            </w:r>
            <w:r w:rsidR="001D6779"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C77" w:rsidRPr="00A70C4F">
              <w:rPr>
                <w:rFonts w:ascii="Arial" w:hAnsi="Arial" w:cs="Arial"/>
                <w:sz w:val="18"/>
                <w:szCs w:val="18"/>
              </w:rPr>
              <w:t>–</w:t>
            </w:r>
            <w:r w:rsidR="001D6779"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C77" w:rsidRPr="00A70C4F">
              <w:rPr>
                <w:rFonts w:ascii="Arial" w:hAnsi="Arial" w:cs="Arial"/>
                <w:sz w:val="18"/>
                <w:szCs w:val="18"/>
              </w:rPr>
              <w:t>13</w:t>
            </w:r>
            <w:r w:rsidR="006E28B5">
              <w:rPr>
                <w:rFonts w:ascii="Arial" w:hAnsi="Arial" w:cs="Arial"/>
                <w:sz w:val="18"/>
                <w:szCs w:val="18"/>
              </w:rPr>
              <w:t>2</w:t>
            </w:r>
            <w:r w:rsidR="00E22C77" w:rsidRPr="00A70C4F">
              <w:rPr>
                <w:rFonts w:ascii="Arial" w:hAnsi="Arial" w:cs="Arial"/>
                <w:sz w:val="18"/>
                <w:szCs w:val="18"/>
              </w:rPr>
              <w:t>,</w:t>
            </w:r>
            <w:r w:rsidR="008E4C13"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733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A56C09">
              <w:rPr>
                <w:rFonts w:ascii="Arial" w:hAnsi="Arial" w:cs="Arial"/>
                <w:sz w:val="18"/>
                <w:szCs w:val="18"/>
              </w:rPr>
              <w:t>9</w:t>
            </w:r>
            <w:r w:rsidR="00287334">
              <w:rPr>
                <w:rFonts w:ascii="Arial" w:hAnsi="Arial" w:cs="Arial"/>
                <w:sz w:val="18"/>
                <w:szCs w:val="18"/>
              </w:rPr>
              <w:t xml:space="preserve"> Lines 133 – 156, Page </w:t>
            </w:r>
            <w:r w:rsidR="00A56C09">
              <w:rPr>
                <w:rFonts w:ascii="Arial" w:hAnsi="Arial" w:cs="Arial"/>
                <w:sz w:val="18"/>
                <w:szCs w:val="18"/>
              </w:rPr>
              <w:t>10</w:t>
            </w:r>
            <w:r w:rsidR="00287334">
              <w:rPr>
                <w:rFonts w:ascii="Arial" w:hAnsi="Arial" w:cs="Arial"/>
                <w:sz w:val="18"/>
                <w:szCs w:val="18"/>
              </w:rPr>
              <w:t xml:space="preserve"> Lines </w:t>
            </w:r>
            <w:r w:rsidR="006644E2">
              <w:rPr>
                <w:rFonts w:ascii="Arial" w:hAnsi="Arial" w:cs="Arial"/>
                <w:sz w:val="18"/>
                <w:szCs w:val="18"/>
              </w:rPr>
              <w:t xml:space="preserve">157-180, Page </w:t>
            </w:r>
            <w:r w:rsidR="00A56C09">
              <w:rPr>
                <w:rFonts w:ascii="Arial" w:hAnsi="Arial" w:cs="Arial"/>
                <w:sz w:val="18"/>
                <w:szCs w:val="18"/>
              </w:rPr>
              <w:t>11</w:t>
            </w:r>
            <w:r w:rsidR="006644E2">
              <w:rPr>
                <w:rFonts w:ascii="Arial" w:hAnsi="Arial" w:cs="Arial"/>
                <w:sz w:val="18"/>
                <w:szCs w:val="18"/>
              </w:rPr>
              <w:t xml:space="preserve">, Lines </w:t>
            </w:r>
            <w:r w:rsidR="00930D2B">
              <w:rPr>
                <w:rFonts w:ascii="Arial" w:hAnsi="Arial" w:cs="Arial"/>
                <w:sz w:val="18"/>
                <w:szCs w:val="18"/>
              </w:rPr>
              <w:t>181-204, Page 1</w:t>
            </w:r>
            <w:r w:rsidR="00A56C09">
              <w:rPr>
                <w:rFonts w:ascii="Arial" w:hAnsi="Arial" w:cs="Arial"/>
                <w:sz w:val="18"/>
                <w:szCs w:val="18"/>
              </w:rPr>
              <w:t>2</w:t>
            </w:r>
            <w:r w:rsidR="00930D2B">
              <w:rPr>
                <w:rFonts w:ascii="Arial" w:hAnsi="Arial" w:cs="Arial"/>
                <w:sz w:val="18"/>
                <w:szCs w:val="18"/>
              </w:rPr>
              <w:t xml:space="preserve"> Lines 205 – 208. </w:t>
            </w:r>
            <w:r w:rsidR="008E4C13" w:rsidRPr="00A70C4F">
              <w:rPr>
                <w:rFonts w:ascii="Arial" w:hAnsi="Arial" w:cs="Arial"/>
                <w:sz w:val="18"/>
                <w:szCs w:val="18"/>
              </w:rPr>
              <w:t xml:space="preserve">Figure 1, </w:t>
            </w:r>
            <w:r w:rsidR="00E22C77" w:rsidRPr="00A70C4F">
              <w:rPr>
                <w:rFonts w:ascii="Arial" w:hAnsi="Arial" w:cs="Arial"/>
                <w:sz w:val="18"/>
                <w:szCs w:val="18"/>
              </w:rPr>
              <w:t>Data availability statement</w:t>
            </w:r>
          </w:p>
        </w:tc>
      </w:tr>
      <w:tr w:rsidR="00930D2B" w:rsidRPr="00A70C4F" w14:paraId="25FAA709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B6FE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Analytics and assumptions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2615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DE8D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any methods for analysing or statistically transforming data, any extrapolation methods, and approaches for validating any model used.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A8DA" w14:textId="2AE36275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30D2B" w:rsidRPr="00A70C4F" w14:paraId="4D9DE9F3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D711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Characterising heterogeneity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7601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BB22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any methods used for estimating how the results of the study vary for subgroups.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FF16" w14:textId="6367E543" w:rsidR="00C07492" w:rsidRPr="00A70C4F" w:rsidRDefault="00230AA5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Care Pathway Scenarios, Page </w:t>
            </w:r>
            <w:r w:rsidR="00D321DC">
              <w:rPr>
                <w:rFonts w:ascii="Arial" w:hAnsi="Arial" w:cs="Arial"/>
                <w:sz w:val="18"/>
                <w:szCs w:val="18"/>
              </w:rPr>
              <w:t>8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2E04A3">
              <w:rPr>
                <w:rFonts w:ascii="Arial" w:hAnsi="Arial" w:cs="Arial"/>
                <w:sz w:val="18"/>
                <w:szCs w:val="18"/>
              </w:rPr>
              <w:t>45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– Page </w:t>
            </w:r>
            <w:r w:rsidR="00D321DC">
              <w:rPr>
                <w:rFonts w:ascii="Arial" w:hAnsi="Arial" w:cs="Arial"/>
                <w:sz w:val="18"/>
                <w:szCs w:val="18"/>
              </w:rPr>
              <w:t>10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15202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930D2B" w:rsidRPr="00A70C4F" w14:paraId="2E40D2D8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EBE4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Characterising distributional effects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50C9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0962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how impacts are distributed across different individuals or adjustments made to reflect priority populations.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D0B0" w14:textId="37D4F186" w:rsidR="00C07492" w:rsidRPr="00A70C4F" w:rsidRDefault="00441C03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23709">
              <w:rPr>
                <w:rFonts w:ascii="Arial" w:hAnsi="Arial" w:cs="Arial"/>
                <w:sz w:val="18"/>
                <w:szCs w:val="18"/>
              </w:rPr>
              <w:t>11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 1</w:t>
            </w:r>
            <w:r w:rsidR="005E712D">
              <w:rPr>
                <w:rFonts w:ascii="Arial" w:hAnsi="Arial" w:cs="Arial"/>
                <w:sz w:val="18"/>
                <w:szCs w:val="18"/>
              </w:rPr>
              <w:t xml:space="preserve">96 – Page </w:t>
            </w:r>
            <w:r w:rsidR="002D3EC4">
              <w:rPr>
                <w:rFonts w:ascii="Arial" w:hAnsi="Arial" w:cs="Arial"/>
                <w:sz w:val="18"/>
                <w:szCs w:val="18"/>
              </w:rPr>
              <w:t>1</w:t>
            </w:r>
            <w:r w:rsidR="00C23709">
              <w:rPr>
                <w:rFonts w:ascii="Arial" w:hAnsi="Arial" w:cs="Arial"/>
                <w:sz w:val="18"/>
                <w:szCs w:val="18"/>
              </w:rPr>
              <w:t>2</w:t>
            </w:r>
            <w:r w:rsidR="002D3EC4">
              <w:rPr>
                <w:rFonts w:ascii="Arial" w:hAnsi="Arial" w:cs="Arial"/>
                <w:sz w:val="18"/>
                <w:szCs w:val="18"/>
              </w:rPr>
              <w:t xml:space="preserve"> Line 205</w:t>
            </w:r>
            <w:r w:rsidRPr="00A70C4F">
              <w:rPr>
                <w:rFonts w:ascii="Arial" w:hAnsi="Arial" w:cs="Arial"/>
                <w:sz w:val="18"/>
                <w:szCs w:val="18"/>
              </w:rPr>
              <w:t>, for country-specific results</w:t>
            </w:r>
          </w:p>
        </w:tc>
      </w:tr>
      <w:tr w:rsidR="00930D2B" w:rsidRPr="00A70C4F" w14:paraId="281C85EB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7952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Characterising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F1E5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8D06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methods to characterise any sources of uncertainty in the analysis.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E6CF" w14:textId="56994306" w:rsidR="00C07492" w:rsidRPr="00A70C4F" w:rsidRDefault="00982F00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Page 1</w:t>
            </w:r>
            <w:r w:rsidR="00C23709">
              <w:rPr>
                <w:rFonts w:ascii="Arial" w:hAnsi="Arial" w:cs="Arial"/>
                <w:sz w:val="18"/>
                <w:szCs w:val="18"/>
              </w:rPr>
              <w:t>3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2</w:t>
            </w:r>
            <w:r w:rsidR="00273637">
              <w:rPr>
                <w:rFonts w:ascii="Arial" w:hAnsi="Arial" w:cs="Arial"/>
                <w:sz w:val="18"/>
                <w:szCs w:val="18"/>
              </w:rPr>
              <w:t>48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8B5">
              <w:rPr>
                <w:rFonts w:ascii="Arial" w:hAnsi="Arial" w:cs="Arial"/>
                <w:sz w:val="18"/>
                <w:szCs w:val="18"/>
              </w:rPr>
              <w:t>–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086">
              <w:rPr>
                <w:rFonts w:ascii="Arial" w:hAnsi="Arial" w:cs="Arial"/>
                <w:sz w:val="18"/>
                <w:szCs w:val="18"/>
              </w:rPr>
              <w:t>Pa</w:t>
            </w:r>
            <w:r w:rsidR="00C23709">
              <w:rPr>
                <w:rFonts w:ascii="Arial" w:hAnsi="Arial" w:cs="Arial"/>
                <w:sz w:val="18"/>
                <w:szCs w:val="18"/>
              </w:rPr>
              <w:t>g</w:t>
            </w:r>
            <w:r w:rsidR="008C7086">
              <w:rPr>
                <w:rFonts w:ascii="Arial" w:hAnsi="Arial" w:cs="Arial"/>
                <w:sz w:val="18"/>
                <w:szCs w:val="18"/>
              </w:rPr>
              <w:t>e 1</w:t>
            </w:r>
            <w:r w:rsidR="00C23709">
              <w:rPr>
                <w:rFonts w:ascii="Arial" w:hAnsi="Arial" w:cs="Arial"/>
                <w:sz w:val="18"/>
                <w:szCs w:val="18"/>
              </w:rPr>
              <w:t>4</w:t>
            </w:r>
            <w:r w:rsidR="008C708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734CF" w:rsidRPr="00A70C4F">
              <w:rPr>
                <w:rFonts w:ascii="Arial" w:hAnsi="Arial" w:cs="Arial"/>
                <w:sz w:val="18"/>
                <w:szCs w:val="18"/>
              </w:rPr>
              <w:t>2</w:t>
            </w:r>
            <w:r w:rsidR="008C708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930D2B" w:rsidRPr="00A70C4F" w14:paraId="6B2B0446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3F5E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Approach to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DF6D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301C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any approaches to engage patients or service recipients, the general public, communities, or stakeholders (such as clinicians or payers) in the design of the study.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A85D" w14:textId="5BA99E42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30D2B" w:rsidRPr="00A70C4F" w14:paraId="46EDC459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E172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Results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188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66A2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21BA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580D8CCF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53C3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lastRenderedPageBreak/>
              <w:t>Study parameters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39FA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195E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all analytic inputs (such as values, ranges, references) including uncertainty or distributional assumptions.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F40D" w14:textId="56089572" w:rsidR="00C07492" w:rsidRPr="00A70C4F" w:rsidRDefault="00A40065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Table 1</w:t>
            </w:r>
          </w:p>
        </w:tc>
      </w:tr>
      <w:tr w:rsidR="00930D2B" w:rsidRPr="00A70C4F" w14:paraId="70EF720B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C53B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Summary of main results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2EB8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0ADA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the mean values for the main categories of costs and outcomes of interest and summarise them in the most appropriate overall measure.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4E60" w14:textId="3BFCEA3D" w:rsidR="00C07492" w:rsidRPr="00A70C4F" w:rsidRDefault="00176811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Results, Page 1</w:t>
            </w:r>
            <w:r w:rsidR="00C23709">
              <w:rPr>
                <w:rFonts w:ascii="Arial" w:hAnsi="Arial" w:cs="Arial"/>
                <w:sz w:val="18"/>
                <w:szCs w:val="18"/>
              </w:rPr>
              <w:t>2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, Lines </w:t>
            </w:r>
            <w:r w:rsidR="00FA0CD2" w:rsidRPr="00A70C4F">
              <w:rPr>
                <w:rFonts w:ascii="Arial" w:hAnsi="Arial" w:cs="Arial"/>
                <w:sz w:val="18"/>
                <w:szCs w:val="18"/>
              </w:rPr>
              <w:t>2</w:t>
            </w:r>
            <w:r w:rsidR="00474A61">
              <w:rPr>
                <w:rFonts w:ascii="Arial" w:hAnsi="Arial" w:cs="Arial"/>
                <w:sz w:val="18"/>
                <w:szCs w:val="18"/>
              </w:rPr>
              <w:t>26</w:t>
            </w:r>
            <w:r w:rsidR="00FA0CD2" w:rsidRPr="00A70C4F">
              <w:rPr>
                <w:rFonts w:ascii="Arial" w:hAnsi="Arial" w:cs="Arial"/>
                <w:sz w:val="18"/>
                <w:szCs w:val="18"/>
              </w:rPr>
              <w:t>-</w:t>
            </w:r>
            <w:r w:rsidR="00474A61">
              <w:rPr>
                <w:rFonts w:ascii="Arial" w:hAnsi="Arial" w:cs="Arial"/>
                <w:sz w:val="18"/>
                <w:szCs w:val="18"/>
              </w:rPr>
              <w:t>232</w:t>
            </w:r>
            <w:r w:rsidR="00006FA2" w:rsidRPr="00A70C4F">
              <w:rPr>
                <w:rFonts w:ascii="Arial" w:hAnsi="Arial" w:cs="Arial"/>
                <w:sz w:val="18"/>
                <w:szCs w:val="18"/>
              </w:rPr>
              <w:t xml:space="preserve"> and Page 1</w:t>
            </w:r>
            <w:r w:rsidR="00C23709">
              <w:rPr>
                <w:rFonts w:ascii="Arial" w:hAnsi="Arial" w:cs="Arial"/>
                <w:sz w:val="18"/>
                <w:szCs w:val="18"/>
              </w:rPr>
              <w:t>3</w:t>
            </w:r>
            <w:r w:rsidR="00006FA2" w:rsidRPr="00A70C4F">
              <w:rPr>
                <w:rFonts w:ascii="Arial" w:hAnsi="Arial" w:cs="Arial"/>
                <w:sz w:val="18"/>
                <w:szCs w:val="18"/>
              </w:rPr>
              <w:t>, Lines 2</w:t>
            </w:r>
            <w:r w:rsidR="001E2BC7">
              <w:rPr>
                <w:rFonts w:ascii="Arial" w:hAnsi="Arial" w:cs="Arial"/>
                <w:sz w:val="18"/>
                <w:szCs w:val="18"/>
              </w:rPr>
              <w:t>33</w:t>
            </w:r>
            <w:r w:rsidR="00006FA2" w:rsidRPr="00A70C4F">
              <w:rPr>
                <w:rFonts w:ascii="Arial" w:hAnsi="Arial" w:cs="Arial"/>
                <w:sz w:val="18"/>
                <w:szCs w:val="18"/>
              </w:rPr>
              <w:t>-2</w:t>
            </w:r>
            <w:r w:rsidR="001E2BC7">
              <w:rPr>
                <w:rFonts w:ascii="Arial" w:hAnsi="Arial" w:cs="Arial"/>
                <w:sz w:val="18"/>
                <w:szCs w:val="18"/>
              </w:rPr>
              <w:t>47</w:t>
            </w:r>
            <w:r w:rsidR="00E37670" w:rsidRPr="00A70C4F">
              <w:rPr>
                <w:rFonts w:ascii="Arial" w:hAnsi="Arial" w:cs="Arial"/>
                <w:sz w:val="18"/>
                <w:szCs w:val="18"/>
              </w:rPr>
              <w:t>, Table</w:t>
            </w:r>
            <w:r w:rsidR="001E2BC7">
              <w:rPr>
                <w:rFonts w:ascii="Arial" w:hAnsi="Arial" w:cs="Arial"/>
                <w:sz w:val="18"/>
                <w:szCs w:val="18"/>
              </w:rPr>
              <w:t>s</w:t>
            </w:r>
            <w:r w:rsidR="008E4C13" w:rsidRPr="00A70C4F">
              <w:rPr>
                <w:rFonts w:ascii="Arial" w:hAnsi="Arial" w:cs="Arial"/>
                <w:sz w:val="18"/>
                <w:szCs w:val="18"/>
              </w:rPr>
              <w:t xml:space="preserve"> 2, </w:t>
            </w:r>
            <w:r w:rsidR="001E2BC7">
              <w:rPr>
                <w:rFonts w:ascii="Arial" w:hAnsi="Arial" w:cs="Arial"/>
                <w:sz w:val="18"/>
                <w:szCs w:val="18"/>
              </w:rPr>
              <w:t xml:space="preserve">3, and 4, </w:t>
            </w:r>
            <w:r w:rsidR="008E4C13" w:rsidRPr="00A70C4F">
              <w:rPr>
                <w:rFonts w:ascii="Arial" w:hAnsi="Arial" w:cs="Arial"/>
                <w:sz w:val="18"/>
                <w:szCs w:val="18"/>
              </w:rPr>
              <w:t>Figure 3 and Figure 4</w:t>
            </w:r>
          </w:p>
        </w:tc>
      </w:tr>
      <w:tr w:rsidR="00930D2B" w:rsidRPr="00A70C4F" w14:paraId="42B5D99F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008A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Effect of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8161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3883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how uncertainty about analytic judgments, inputs, or projections affect findings. Report the effect of choice of discount rate and time horizon, if applicable.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BE00" w14:textId="077F6FF0" w:rsidR="00C07492" w:rsidRPr="00A70C4F" w:rsidRDefault="0016182C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Page 1</w:t>
            </w:r>
            <w:r w:rsidR="00C23709">
              <w:rPr>
                <w:rFonts w:ascii="Arial" w:hAnsi="Arial" w:cs="Arial"/>
                <w:sz w:val="18"/>
                <w:szCs w:val="18"/>
              </w:rPr>
              <w:t>3</w:t>
            </w:r>
            <w:r w:rsidRPr="00A70C4F">
              <w:rPr>
                <w:rFonts w:ascii="Arial" w:hAnsi="Arial" w:cs="Arial"/>
                <w:sz w:val="18"/>
                <w:szCs w:val="18"/>
              </w:rPr>
              <w:t>, Lines 2</w:t>
            </w:r>
            <w:r w:rsidR="00554139">
              <w:rPr>
                <w:rFonts w:ascii="Arial" w:hAnsi="Arial" w:cs="Arial"/>
                <w:sz w:val="18"/>
                <w:szCs w:val="18"/>
              </w:rPr>
              <w:t>48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8B5">
              <w:rPr>
                <w:rFonts w:ascii="Arial" w:hAnsi="Arial" w:cs="Arial"/>
                <w:sz w:val="18"/>
                <w:szCs w:val="18"/>
              </w:rPr>
              <w:t>–</w:t>
            </w:r>
            <w:r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D54">
              <w:rPr>
                <w:rFonts w:ascii="Arial" w:hAnsi="Arial" w:cs="Arial"/>
                <w:sz w:val="18"/>
                <w:szCs w:val="18"/>
              </w:rPr>
              <w:t>Page 1</w:t>
            </w:r>
            <w:r w:rsidR="00C23709">
              <w:rPr>
                <w:rFonts w:ascii="Arial" w:hAnsi="Arial" w:cs="Arial"/>
                <w:sz w:val="18"/>
                <w:szCs w:val="18"/>
              </w:rPr>
              <w:t>4</w:t>
            </w:r>
            <w:r w:rsidR="002C1D54">
              <w:rPr>
                <w:rFonts w:ascii="Arial" w:hAnsi="Arial" w:cs="Arial"/>
                <w:sz w:val="18"/>
                <w:szCs w:val="18"/>
              </w:rPr>
              <w:t>, 262</w:t>
            </w:r>
            <w:r w:rsidR="006E28B5">
              <w:rPr>
                <w:rFonts w:ascii="Arial" w:hAnsi="Arial" w:cs="Arial"/>
                <w:sz w:val="18"/>
                <w:szCs w:val="18"/>
              </w:rPr>
              <w:t>, Supplement</w:t>
            </w:r>
            <w:r w:rsidR="002C1D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0D2B" w:rsidRPr="00A70C4F" w14:paraId="721B41AE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7783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Effect of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B2C1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91F8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on any difference patient/service recipient, general public, community, or stakeholder involvement made to the approach or findings of the study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BAAD" w14:textId="3BF5A4E4" w:rsidR="0032177A" w:rsidRPr="00A70C4F" w:rsidRDefault="00C07492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30D2B" w:rsidRPr="00A70C4F" w14:paraId="3E1E239C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B151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Discussion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22B3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28A9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AA25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237F441E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ED2B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Study findings, limitations, generalisability, and current knowledge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47C2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E612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key findings, limitations, ethical or equity considerations not captured, and how these could affect patients, policy,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1F7A" w14:textId="629CA14E" w:rsidR="0032177A" w:rsidRPr="00A70C4F" w:rsidRDefault="00497655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Discussion, </w:t>
            </w:r>
            <w:r w:rsidR="00DD3EE8" w:rsidRPr="00A70C4F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3D192B" w:rsidRPr="00A70C4F">
              <w:rPr>
                <w:rFonts w:ascii="Arial" w:hAnsi="Arial" w:cs="Arial"/>
                <w:sz w:val="18"/>
                <w:szCs w:val="18"/>
              </w:rPr>
              <w:t>P</w:t>
            </w:r>
            <w:r w:rsidR="00DD3EE8" w:rsidRPr="00A70C4F">
              <w:rPr>
                <w:rFonts w:ascii="Arial" w:hAnsi="Arial" w:cs="Arial"/>
                <w:sz w:val="18"/>
                <w:szCs w:val="18"/>
              </w:rPr>
              <w:t>age</w:t>
            </w:r>
            <w:r w:rsidR="003D192B" w:rsidRPr="00A70C4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23709">
              <w:rPr>
                <w:rFonts w:ascii="Arial" w:hAnsi="Arial" w:cs="Arial"/>
                <w:sz w:val="18"/>
                <w:szCs w:val="18"/>
              </w:rPr>
              <w:t>4</w:t>
            </w:r>
            <w:r w:rsidR="003D192B" w:rsidRPr="00A70C4F">
              <w:rPr>
                <w:rFonts w:ascii="Arial" w:hAnsi="Arial" w:cs="Arial"/>
                <w:sz w:val="18"/>
                <w:szCs w:val="18"/>
              </w:rPr>
              <w:t>, Line 2</w:t>
            </w:r>
            <w:r w:rsidR="009C7661">
              <w:rPr>
                <w:rFonts w:ascii="Arial" w:hAnsi="Arial" w:cs="Arial"/>
                <w:sz w:val="18"/>
                <w:szCs w:val="18"/>
              </w:rPr>
              <w:t>63</w:t>
            </w:r>
            <w:r w:rsidR="003D192B" w:rsidRPr="00A70C4F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F7EF8" w:rsidRPr="00A70C4F">
              <w:rPr>
                <w:rFonts w:ascii="Arial" w:hAnsi="Arial" w:cs="Arial"/>
                <w:sz w:val="18"/>
                <w:szCs w:val="18"/>
              </w:rPr>
              <w:t>Page 1</w:t>
            </w:r>
            <w:r w:rsidR="00C23709">
              <w:rPr>
                <w:rFonts w:ascii="Arial" w:hAnsi="Arial" w:cs="Arial"/>
                <w:sz w:val="18"/>
                <w:szCs w:val="18"/>
              </w:rPr>
              <w:t>8</w:t>
            </w:r>
            <w:r w:rsidR="003F7EF8" w:rsidRPr="00A70C4F">
              <w:rPr>
                <w:rFonts w:ascii="Arial" w:hAnsi="Arial" w:cs="Arial"/>
                <w:sz w:val="18"/>
                <w:szCs w:val="18"/>
              </w:rPr>
              <w:t>, Line 3</w:t>
            </w:r>
            <w:r w:rsidR="001C2305">
              <w:rPr>
                <w:rFonts w:ascii="Arial" w:hAnsi="Arial" w:cs="Arial"/>
                <w:sz w:val="18"/>
                <w:szCs w:val="18"/>
              </w:rPr>
              <w:t>77</w:t>
            </w:r>
            <w:r w:rsidR="006E28B5">
              <w:rPr>
                <w:rFonts w:ascii="Arial" w:hAnsi="Arial" w:cs="Arial"/>
                <w:sz w:val="18"/>
                <w:szCs w:val="18"/>
              </w:rPr>
              <w:t>.</w:t>
            </w:r>
            <w:r w:rsidR="00DD3EE8" w:rsidRPr="00A70C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0D2B" w:rsidRPr="00A70C4F" w14:paraId="3E6A5867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0099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Other relevant information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E0CA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5018" w14:textId="77777777" w:rsidR="0032177A" w:rsidRPr="00A70C4F" w:rsidRDefault="0032177A" w:rsidP="00771499">
            <w:pPr>
              <w:spacing w:before="100" w:after="100"/>
              <w:ind w:left="100" w:right="10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70BA" w14:textId="77777777" w:rsidR="0032177A" w:rsidRPr="00A70C4F" w:rsidRDefault="0032177A" w:rsidP="00771499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</w:p>
        </w:tc>
      </w:tr>
      <w:tr w:rsidR="00930D2B" w:rsidRPr="00A70C4F" w14:paraId="66F95373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302D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Source of funding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F022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34A0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Describe how the study was funded and any role of the funder in the identification, design, conduct, and reporting of the analysis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A3A9" w14:textId="476DAE37" w:rsidR="00C07492" w:rsidRPr="00A70C4F" w:rsidRDefault="002161D0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Financial Support, </w:t>
            </w:r>
            <w:r w:rsidR="00E61254" w:rsidRPr="00A70C4F">
              <w:rPr>
                <w:rFonts w:ascii="Arial" w:hAnsi="Arial" w:cs="Arial"/>
                <w:sz w:val="18"/>
                <w:szCs w:val="18"/>
              </w:rPr>
              <w:t>Page 1</w:t>
            </w:r>
            <w:r w:rsidR="00C23709">
              <w:rPr>
                <w:rFonts w:ascii="Arial" w:hAnsi="Arial" w:cs="Arial"/>
                <w:sz w:val="18"/>
                <w:szCs w:val="18"/>
              </w:rPr>
              <w:t>9</w:t>
            </w:r>
            <w:r w:rsidR="00E61254" w:rsidRPr="00A70C4F">
              <w:rPr>
                <w:rFonts w:ascii="Arial" w:hAnsi="Arial" w:cs="Arial"/>
                <w:sz w:val="18"/>
                <w:szCs w:val="18"/>
              </w:rPr>
              <w:t>, Line 3</w:t>
            </w:r>
            <w:r w:rsidR="00826E30">
              <w:rPr>
                <w:rFonts w:ascii="Arial" w:hAnsi="Arial" w:cs="Arial"/>
                <w:sz w:val="18"/>
                <w:szCs w:val="18"/>
              </w:rPr>
              <w:t>78</w:t>
            </w:r>
            <w:r w:rsidR="00701E38" w:rsidRPr="00A70C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5010C" w:rsidRPr="00A70C4F">
              <w:rPr>
                <w:rFonts w:ascii="Arial" w:hAnsi="Arial" w:cs="Arial"/>
                <w:sz w:val="18"/>
                <w:szCs w:val="18"/>
              </w:rPr>
              <w:t>3</w:t>
            </w:r>
            <w:r w:rsidR="00D15E6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30D2B" w:rsidRPr="00A70C4F" w14:paraId="5B274582" w14:textId="77777777" w:rsidTr="00771499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4071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b/>
                <w:color w:val="000000"/>
                <w:sz w:val="18"/>
                <w:szCs w:val="18"/>
              </w:rPr>
              <w:t>Conflicts of interest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E47A" w14:textId="77777777" w:rsidR="00C07492" w:rsidRPr="00A70C4F" w:rsidRDefault="00C07492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E35A" w14:textId="77777777" w:rsidR="00C07492" w:rsidRPr="00A70C4F" w:rsidRDefault="00C07492" w:rsidP="00C07492">
            <w:pPr>
              <w:spacing w:before="100" w:after="100"/>
              <w:ind w:left="100" w:right="100"/>
              <w:rPr>
                <w:rFonts w:ascii="Arial" w:hAnsi="Arial" w:cs="Arial"/>
              </w:rPr>
            </w:pPr>
            <w:r w:rsidRPr="00A70C4F">
              <w:rPr>
                <w:rFonts w:ascii="Arial" w:eastAsia="DejaVu Sans" w:hAnsi="Arial" w:cs="Arial"/>
                <w:color w:val="000000"/>
                <w:sz w:val="18"/>
                <w:szCs w:val="18"/>
              </w:rPr>
              <w:t>Report authors conflicts of interest according to journal or International Committee of Medical Journal Editors requirements.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D508" w14:textId="75DB8B8D" w:rsidR="00C07492" w:rsidRPr="00A70C4F" w:rsidRDefault="00E5010C" w:rsidP="00C07492">
            <w:pPr>
              <w:spacing w:before="100" w:after="100"/>
              <w:ind w:left="100" w:right="100"/>
              <w:jc w:val="center"/>
              <w:rPr>
                <w:rFonts w:ascii="Arial" w:hAnsi="Arial" w:cs="Arial"/>
              </w:rPr>
            </w:pPr>
            <w:r w:rsidRPr="00A70C4F">
              <w:rPr>
                <w:rFonts w:ascii="Arial" w:hAnsi="Arial" w:cs="Arial"/>
                <w:sz w:val="18"/>
                <w:szCs w:val="18"/>
              </w:rPr>
              <w:t xml:space="preserve">Conflicts of Interest, Page </w:t>
            </w:r>
            <w:r w:rsidR="0048067E" w:rsidRPr="00A70C4F">
              <w:rPr>
                <w:rFonts w:ascii="Arial" w:hAnsi="Arial" w:cs="Arial"/>
                <w:sz w:val="18"/>
                <w:szCs w:val="18"/>
              </w:rPr>
              <w:t>1</w:t>
            </w:r>
            <w:r w:rsidR="00C23709">
              <w:rPr>
                <w:rFonts w:ascii="Arial" w:hAnsi="Arial" w:cs="Arial"/>
                <w:sz w:val="18"/>
                <w:szCs w:val="18"/>
              </w:rPr>
              <w:t>9</w:t>
            </w:r>
            <w:r w:rsidR="0048067E" w:rsidRPr="00A70C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28B5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48067E" w:rsidRPr="00A70C4F">
              <w:rPr>
                <w:rFonts w:ascii="Arial" w:hAnsi="Arial" w:cs="Arial"/>
                <w:sz w:val="18"/>
                <w:szCs w:val="18"/>
              </w:rPr>
              <w:t>Line 3</w:t>
            </w:r>
            <w:r w:rsidR="005847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</w:tbl>
    <w:p w14:paraId="6C67DA77" w14:textId="5707C313" w:rsidR="00BF6443" w:rsidRPr="00A70C4F" w:rsidRDefault="0032177A" w:rsidP="004A043F">
      <w:pPr>
        <w:pStyle w:val="FirstParagraph"/>
        <w:rPr>
          <w:rFonts w:ascii="Arial" w:hAnsi="Arial" w:cs="Arial"/>
        </w:rPr>
      </w:pPr>
      <w:r w:rsidRPr="00A70C4F">
        <w:rPr>
          <w:rFonts w:ascii="Arial" w:hAnsi="Arial" w:cs="Arial"/>
        </w:rPr>
        <w:t> </w:t>
      </w:r>
      <w:bookmarkEnd w:id="0"/>
    </w:p>
    <w:sectPr w:rsidR="00BF6443" w:rsidRPr="00A70C4F" w:rsidSect="00497CF7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FFEF" w14:textId="77777777" w:rsidR="00497CF7" w:rsidRDefault="00497CF7" w:rsidP="00E922E8">
      <w:r>
        <w:separator/>
      </w:r>
    </w:p>
  </w:endnote>
  <w:endnote w:type="continuationSeparator" w:id="0">
    <w:p w14:paraId="049D0764" w14:textId="77777777" w:rsidR="00497CF7" w:rsidRDefault="00497CF7" w:rsidP="00E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913762"/>
      <w:docPartObj>
        <w:docPartGallery w:val="Page Numbers (Bottom of Page)"/>
        <w:docPartUnique/>
      </w:docPartObj>
    </w:sdtPr>
    <w:sdtContent>
      <w:p w14:paraId="54E5433A" w14:textId="66BE69B8" w:rsidR="00CE1C4A" w:rsidRDefault="00CE1C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7D64C" w14:textId="77777777" w:rsidR="00E922E8" w:rsidRDefault="00E9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AA2B" w14:textId="77777777" w:rsidR="00497CF7" w:rsidRDefault="00497CF7" w:rsidP="00E922E8">
      <w:r>
        <w:separator/>
      </w:r>
    </w:p>
  </w:footnote>
  <w:footnote w:type="continuationSeparator" w:id="0">
    <w:p w14:paraId="5892AEAD" w14:textId="77777777" w:rsidR="00497CF7" w:rsidRDefault="00497CF7" w:rsidP="00E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D125B"/>
    <w:multiLevelType w:val="hybridMultilevel"/>
    <w:tmpl w:val="549C582C"/>
    <w:lvl w:ilvl="0" w:tplc="58A87C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2177A"/>
    <w:rsid w:val="00006FA2"/>
    <w:rsid w:val="00010112"/>
    <w:rsid w:val="000112F7"/>
    <w:rsid w:val="0001411E"/>
    <w:rsid w:val="00030C6F"/>
    <w:rsid w:val="000317EF"/>
    <w:rsid w:val="00033D60"/>
    <w:rsid w:val="00034A0F"/>
    <w:rsid w:val="00034AD9"/>
    <w:rsid w:val="00037884"/>
    <w:rsid w:val="00043CB2"/>
    <w:rsid w:val="00044C1D"/>
    <w:rsid w:val="000454FC"/>
    <w:rsid w:val="00047DA9"/>
    <w:rsid w:val="00053146"/>
    <w:rsid w:val="00054816"/>
    <w:rsid w:val="00055A8F"/>
    <w:rsid w:val="0005764B"/>
    <w:rsid w:val="00065AA4"/>
    <w:rsid w:val="00066EA9"/>
    <w:rsid w:val="000775AB"/>
    <w:rsid w:val="0007785A"/>
    <w:rsid w:val="00083BC4"/>
    <w:rsid w:val="00087790"/>
    <w:rsid w:val="00093D31"/>
    <w:rsid w:val="000B31ED"/>
    <w:rsid w:val="000B3FE8"/>
    <w:rsid w:val="000C2262"/>
    <w:rsid w:val="000C23EB"/>
    <w:rsid w:val="000C3D16"/>
    <w:rsid w:val="000E19C6"/>
    <w:rsid w:val="000F0C84"/>
    <w:rsid w:val="000F0DEA"/>
    <w:rsid w:val="000F6457"/>
    <w:rsid w:val="001028CF"/>
    <w:rsid w:val="001075FA"/>
    <w:rsid w:val="001079D8"/>
    <w:rsid w:val="00110A07"/>
    <w:rsid w:val="00115457"/>
    <w:rsid w:val="001172F6"/>
    <w:rsid w:val="0012410D"/>
    <w:rsid w:val="001467D4"/>
    <w:rsid w:val="00152021"/>
    <w:rsid w:val="0016182C"/>
    <w:rsid w:val="00161ED4"/>
    <w:rsid w:val="00176811"/>
    <w:rsid w:val="00196526"/>
    <w:rsid w:val="001A379A"/>
    <w:rsid w:val="001B06ED"/>
    <w:rsid w:val="001B2677"/>
    <w:rsid w:val="001B51D4"/>
    <w:rsid w:val="001C2305"/>
    <w:rsid w:val="001C2CC4"/>
    <w:rsid w:val="001C795A"/>
    <w:rsid w:val="001D6779"/>
    <w:rsid w:val="001E1D82"/>
    <w:rsid w:val="001E2BC7"/>
    <w:rsid w:val="001E2DF2"/>
    <w:rsid w:val="001E76EA"/>
    <w:rsid w:val="001F0F96"/>
    <w:rsid w:val="001F2775"/>
    <w:rsid w:val="00204870"/>
    <w:rsid w:val="00204CAD"/>
    <w:rsid w:val="002147F1"/>
    <w:rsid w:val="002161D0"/>
    <w:rsid w:val="00223C47"/>
    <w:rsid w:val="0022537C"/>
    <w:rsid w:val="00230AA5"/>
    <w:rsid w:val="002431D9"/>
    <w:rsid w:val="002601DB"/>
    <w:rsid w:val="00265216"/>
    <w:rsid w:val="00273637"/>
    <w:rsid w:val="00274D90"/>
    <w:rsid w:val="00287334"/>
    <w:rsid w:val="002A1859"/>
    <w:rsid w:val="002A63FA"/>
    <w:rsid w:val="002B3EA5"/>
    <w:rsid w:val="002C1D54"/>
    <w:rsid w:val="002C51F7"/>
    <w:rsid w:val="002D3EC4"/>
    <w:rsid w:val="002E04A3"/>
    <w:rsid w:val="002E6AE2"/>
    <w:rsid w:val="002F1F82"/>
    <w:rsid w:val="002F2650"/>
    <w:rsid w:val="002F628A"/>
    <w:rsid w:val="0031677C"/>
    <w:rsid w:val="00317529"/>
    <w:rsid w:val="0032177A"/>
    <w:rsid w:val="00324AE3"/>
    <w:rsid w:val="0033006C"/>
    <w:rsid w:val="0033207D"/>
    <w:rsid w:val="00343FE3"/>
    <w:rsid w:val="00346C67"/>
    <w:rsid w:val="00351ECC"/>
    <w:rsid w:val="00352682"/>
    <w:rsid w:val="003752A4"/>
    <w:rsid w:val="003764BB"/>
    <w:rsid w:val="00377AE3"/>
    <w:rsid w:val="00382FAC"/>
    <w:rsid w:val="003863D5"/>
    <w:rsid w:val="00386936"/>
    <w:rsid w:val="003870A5"/>
    <w:rsid w:val="003A727A"/>
    <w:rsid w:val="003B4B36"/>
    <w:rsid w:val="003C0C6B"/>
    <w:rsid w:val="003C6031"/>
    <w:rsid w:val="003D131B"/>
    <w:rsid w:val="003D192B"/>
    <w:rsid w:val="003D6CD8"/>
    <w:rsid w:val="003D7ADE"/>
    <w:rsid w:val="003E644C"/>
    <w:rsid w:val="003F53EF"/>
    <w:rsid w:val="003F7EF8"/>
    <w:rsid w:val="00403EE9"/>
    <w:rsid w:val="00404E4E"/>
    <w:rsid w:val="00413512"/>
    <w:rsid w:val="0041431D"/>
    <w:rsid w:val="00420672"/>
    <w:rsid w:val="00426616"/>
    <w:rsid w:val="00427422"/>
    <w:rsid w:val="00430172"/>
    <w:rsid w:val="004310DD"/>
    <w:rsid w:val="00441C03"/>
    <w:rsid w:val="0044322D"/>
    <w:rsid w:val="00460D8E"/>
    <w:rsid w:val="00463E3F"/>
    <w:rsid w:val="00474A61"/>
    <w:rsid w:val="0048067E"/>
    <w:rsid w:val="0048167A"/>
    <w:rsid w:val="00485E4D"/>
    <w:rsid w:val="00497655"/>
    <w:rsid w:val="00497CF7"/>
    <w:rsid w:val="004A043F"/>
    <w:rsid w:val="004A6D1E"/>
    <w:rsid w:val="004B65B0"/>
    <w:rsid w:val="004B6876"/>
    <w:rsid w:val="004D02F1"/>
    <w:rsid w:val="004D66F3"/>
    <w:rsid w:val="004E3470"/>
    <w:rsid w:val="004F1AE6"/>
    <w:rsid w:val="004F2E0E"/>
    <w:rsid w:val="0050055C"/>
    <w:rsid w:val="00505055"/>
    <w:rsid w:val="0051244A"/>
    <w:rsid w:val="00520176"/>
    <w:rsid w:val="00521970"/>
    <w:rsid w:val="00532DCD"/>
    <w:rsid w:val="00540DB2"/>
    <w:rsid w:val="00554139"/>
    <w:rsid w:val="00562DE1"/>
    <w:rsid w:val="00572205"/>
    <w:rsid w:val="00576608"/>
    <w:rsid w:val="00577B10"/>
    <w:rsid w:val="005847F1"/>
    <w:rsid w:val="005A541A"/>
    <w:rsid w:val="005A7BE8"/>
    <w:rsid w:val="005B292B"/>
    <w:rsid w:val="005B3410"/>
    <w:rsid w:val="005B3C77"/>
    <w:rsid w:val="005D0EB5"/>
    <w:rsid w:val="005D1DBB"/>
    <w:rsid w:val="005E1ADD"/>
    <w:rsid w:val="005E712D"/>
    <w:rsid w:val="006002B8"/>
    <w:rsid w:val="006013C8"/>
    <w:rsid w:val="0060451E"/>
    <w:rsid w:val="00605F6D"/>
    <w:rsid w:val="006209A5"/>
    <w:rsid w:val="00623D56"/>
    <w:rsid w:val="00630B46"/>
    <w:rsid w:val="00630EAC"/>
    <w:rsid w:val="00633CC3"/>
    <w:rsid w:val="00641191"/>
    <w:rsid w:val="00651414"/>
    <w:rsid w:val="0065535D"/>
    <w:rsid w:val="006644E2"/>
    <w:rsid w:val="00664CDB"/>
    <w:rsid w:val="00671E0F"/>
    <w:rsid w:val="00681E03"/>
    <w:rsid w:val="006843D1"/>
    <w:rsid w:val="006A14F3"/>
    <w:rsid w:val="006B1A11"/>
    <w:rsid w:val="006C32B9"/>
    <w:rsid w:val="006C5436"/>
    <w:rsid w:val="006D1C3C"/>
    <w:rsid w:val="006D287D"/>
    <w:rsid w:val="006E28B5"/>
    <w:rsid w:val="006F7143"/>
    <w:rsid w:val="00701E38"/>
    <w:rsid w:val="007071EC"/>
    <w:rsid w:val="00714D1D"/>
    <w:rsid w:val="00721230"/>
    <w:rsid w:val="007212A8"/>
    <w:rsid w:val="007218C5"/>
    <w:rsid w:val="0072730D"/>
    <w:rsid w:val="0073217D"/>
    <w:rsid w:val="007340FE"/>
    <w:rsid w:val="00735037"/>
    <w:rsid w:val="00742D8B"/>
    <w:rsid w:val="00746602"/>
    <w:rsid w:val="00747389"/>
    <w:rsid w:val="007605AC"/>
    <w:rsid w:val="00763E4E"/>
    <w:rsid w:val="00767455"/>
    <w:rsid w:val="00767E39"/>
    <w:rsid w:val="00771A46"/>
    <w:rsid w:val="00781292"/>
    <w:rsid w:val="007817AE"/>
    <w:rsid w:val="00791BC9"/>
    <w:rsid w:val="00796672"/>
    <w:rsid w:val="007A202B"/>
    <w:rsid w:val="007C1E0E"/>
    <w:rsid w:val="007D1A81"/>
    <w:rsid w:val="007D7594"/>
    <w:rsid w:val="007E2340"/>
    <w:rsid w:val="007F0339"/>
    <w:rsid w:val="007F4915"/>
    <w:rsid w:val="008049DA"/>
    <w:rsid w:val="0081625E"/>
    <w:rsid w:val="00821D11"/>
    <w:rsid w:val="00823472"/>
    <w:rsid w:val="008235B9"/>
    <w:rsid w:val="00826E30"/>
    <w:rsid w:val="008275E1"/>
    <w:rsid w:val="00853B6E"/>
    <w:rsid w:val="00853D6E"/>
    <w:rsid w:val="00870472"/>
    <w:rsid w:val="00870690"/>
    <w:rsid w:val="008734CF"/>
    <w:rsid w:val="008746C9"/>
    <w:rsid w:val="008771F2"/>
    <w:rsid w:val="0089254D"/>
    <w:rsid w:val="00894AD2"/>
    <w:rsid w:val="008A063C"/>
    <w:rsid w:val="008A1004"/>
    <w:rsid w:val="008C7086"/>
    <w:rsid w:val="008D29A6"/>
    <w:rsid w:val="008E4C13"/>
    <w:rsid w:val="008E5C39"/>
    <w:rsid w:val="008F3971"/>
    <w:rsid w:val="00916F05"/>
    <w:rsid w:val="009208D7"/>
    <w:rsid w:val="00921CE0"/>
    <w:rsid w:val="00927539"/>
    <w:rsid w:val="00930D2B"/>
    <w:rsid w:val="009340A0"/>
    <w:rsid w:val="009522C2"/>
    <w:rsid w:val="0095388B"/>
    <w:rsid w:val="00964AB6"/>
    <w:rsid w:val="00965570"/>
    <w:rsid w:val="00982F00"/>
    <w:rsid w:val="00982F8C"/>
    <w:rsid w:val="009863D4"/>
    <w:rsid w:val="00991EFD"/>
    <w:rsid w:val="009A1103"/>
    <w:rsid w:val="009A14E4"/>
    <w:rsid w:val="009A4A9E"/>
    <w:rsid w:val="009A7629"/>
    <w:rsid w:val="009B6630"/>
    <w:rsid w:val="009C56BD"/>
    <w:rsid w:val="009C7661"/>
    <w:rsid w:val="009D26AC"/>
    <w:rsid w:val="009D307C"/>
    <w:rsid w:val="009E0762"/>
    <w:rsid w:val="009F39A0"/>
    <w:rsid w:val="00A07320"/>
    <w:rsid w:val="00A1032A"/>
    <w:rsid w:val="00A122B8"/>
    <w:rsid w:val="00A12792"/>
    <w:rsid w:val="00A12F5E"/>
    <w:rsid w:val="00A1646B"/>
    <w:rsid w:val="00A247E3"/>
    <w:rsid w:val="00A334F5"/>
    <w:rsid w:val="00A40065"/>
    <w:rsid w:val="00A40A0D"/>
    <w:rsid w:val="00A56C09"/>
    <w:rsid w:val="00A639D9"/>
    <w:rsid w:val="00A63C30"/>
    <w:rsid w:val="00A65769"/>
    <w:rsid w:val="00A70C4F"/>
    <w:rsid w:val="00A70E08"/>
    <w:rsid w:val="00A70F1E"/>
    <w:rsid w:val="00A72AA4"/>
    <w:rsid w:val="00A72DB6"/>
    <w:rsid w:val="00A73B4D"/>
    <w:rsid w:val="00A869AA"/>
    <w:rsid w:val="00A87846"/>
    <w:rsid w:val="00AA4C5F"/>
    <w:rsid w:val="00AA6BFE"/>
    <w:rsid w:val="00AB1BF1"/>
    <w:rsid w:val="00AB3D28"/>
    <w:rsid w:val="00AC5300"/>
    <w:rsid w:val="00AC6C05"/>
    <w:rsid w:val="00AD639D"/>
    <w:rsid w:val="00AE1BBE"/>
    <w:rsid w:val="00AF5BEE"/>
    <w:rsid w:val="00B00712"/>
    <w:rsid w:val="00B02626"/>
    <w:rsid w:val="00B05694"/>
    <w:rsid w:val="00B11A30"/>
    <w:rsid w:val="00B13D90"/>
    <w:rsid w:val="00B20CF3"/>
    <w:rsid w:val="00B270A5"/>
    <w:rsid w:val="00B30BC6"/>
    <w:rsid w:val="00B43260"/>
    <w:rsid w:val="00B456B9"/>
    <w:rsid w:val="00B51049"/>
    <w:rsid w:val="00B624AF"/>
    <w:rsid w:val="00B63DE4"/>
    <w:rsid w:val="00B6577F"/>
    <w:rsid w:val="00B73276"/>
    <w:rsid w:val="00B77E98"/>
    <w:rsid w:val="00B94403"/>
    <w:rsid w:val="00BA186E"/>
    <w:rsid w:val="00BA2E6B"/>
    <w:rsid w:val="00BC2506"/>
    <w:rsid w:val="00BC5FFE"/>
    <w:rsid w:val="00BF3B83"/>
    <w:rsid w:val="00BF6443"/>
    <w:rsid w:val="00C00860"/>
    <w:rsid w:val="00C05530"/>
    <w:rsid w:val="00C07492"/>
    <w:rsid w:val="00C20AAE"/>
    <w:rsid w:val="00C2178B"/>
    <w:rsid w:val="00C23709"/>
    <w:rsid w:val="00C24015"/>
    <w:rsid w:val="00C2706B"/>
    <w:rsid w:val="00C30743"/>
    <w:rsid w:val="00C36849"/>
    <w:rsid w:val="00C448AD"/>
    <w:rsid w:val="00C47472"/>
    <w:rsid w:val="00C51580"/>
    <w:rsid w:val="00C64718"/>
    <w:rsid w:val="00C65F78"/>
    <w:rsid w:val="00C71EB6"/>
    <w:rsid w:val="00C77304"/>
    <w:rsid w:val="00C80A99"/>
    <w:rsid w:val="00C9385F"/>
    <w:rsid w:val="00C95BB0"/>
    <w:rsid w:val="00CA159B"/>
    <w:rsid w:val="00CB47BA"/>
    <w:rsid w:val="00CC2B29"/>
    <w:rsid w:val="00CD0F04"/>
    <w:rsid w:val="00CE1C2A"/>
    <w:rsid w:val="00CE1C4A"/>
    <w:rsid w:val="00D04874"/>
    <w:rsid w:val="00D04AEB"/>
    <w:rsid w:val="00D07BD0"/>
    <w:rsid w:val="00D15E60"/>
    <w:rsid w:val="00D321DC"/>
    <w:rsid w:val="00D32C04"/>
    <w:rsid w:val="00D332B9"/>
    <w:rsid w:val="00D33D7A"/>
    <w:rsid w:val="00D35888"/>
    <w:rsid w:val="00D4587D"/>
    <w:rsid w:val="00D5285F"/>
    <w:rsid w:val="00D65CD1"/>
    <w:rsid w:val="00D675CF"/>
    <w:rsid w:val="00D711F8"/>
    <w:rsid w:val="00D72F84"/>
    <w:rsid w:val="00D7317F"/>
    <w:rsid w:val="00D76146"/>
    <w:rsid w:val="00D868AD"/>
    <w:rsid w:val="00D92F7A"/>
    <w:rsid w:val="00D946E1"/>
    <w:rsid w:val="00D96B40"/>
    <w:rsid w:val="00DA2D5E"/>
    <w:rsid w:val="00DC119E"/>
    <w:rsid w:val="00DC7B38"/>
    <w:rsid w:val="00DD1DC3"/>
    <w:rsid w:val="00DD3EE8"/>
    <w:rsid w:val="00DD5605"/>
    <w:rsid w:val="00DE659B"/>
    <w:rsid w:val="00DF51B5"/>
    <w:rsid w:val="00DF59E6"/>
    <w:rsid w:val="00DF5C30"/>
    <w:rsid w:val="00E04BF2"/>
    <w:rsid w:val="00E063A4"/>
    <w:rsid w:val="00E1041B"/>
    <w:rsid w:val="00E13CC3"/>
    <w:rsid w:val="00E170D1"/>
    <w:rsid w:val="00E218A0"/>
    <w:rsid w:val="00E22C77"/>
    <w:rsid w:val="00E242F9"/>
    <w:rsid w:val="00E25F9C"/>
    <w:rsid w:val="00E2634F"/>
    <w:rsid w:val="00E333A0"/>
    <w:rsid w:val="00E341D6"/>
    <w:rsid w:val="00E37670"/>
    <w:rsid w:val="00E5010C"/>
    <w:rsid w:val="00E506C1"/>
    <w:rsid w:val="00E511A6"/>
    <w:rsid w:val="00E557DF"/>
    <w:rsid w:val="00E5785D"/>
    <w:rsid w:val="00E600C9"/>
    <w:rsid w:val="00E61254"/>
    <w:rsid w:val="00E74BE1"/>
    <w:rsid w:val="00E83F2F"/>
    <w:rsid w:val="00E914B2"/>
    <w:rsid w:val="00E922E8"/>
    <w:rsid w:val="00E955CB"/>
    <w:rsid w:val="00E97495"/>
    <w:rsid w:val="00EA1265"/>
    <w:rsid w:val="00EA3EA8"/>
    <w:rsid w:val="00EA467C"/>
    <w:rsid w:val="00EA6290"/>
    <w:rsid w:val="00EA66BE"/>
    <w:rsid w:val="00EC3D54"/>
    <w:rsid w:val="00ED00D5"/>
    <w:rsid w:val="00EE249A"/>
    <w:rsid w:val="00EF1E37"/>
    <w:rsid w:val="00F00AEC"/>
    <w:rsid w:val="00F03298"/>
    <w:rsid w:val="00F06571"/>
    <w:rsid w:val="00F07BFD"/>
    <w:rsid w:val="00F22FDC"/>
    <w:rsid w:val="00F73865"/>
    <w:rsid w:val="00F77877"/>
    <w:rsid w:val="00F82031"/>
    <w:rsid w:val="00F84D66"/>
    <w:rsid w:val="00F96BF5"/>
    <w:rsid w:val="00FA0C8C"/>
    <w:rsid w:val="00FA0CD2"/>
    <w:rsid w:val="00FB0379"/>
    <w:rsid w:val="00FB11D2"/>
    <w:rsid w:val="00FC2B4F"/>
    <w:rsid w:val="00FC54E3"/>
    <w:rsid w:val="00FD18E9"/>
    <w:rsid w:val="00FD528E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6E47"/>
  <w15:chartTrackingRefBased/>
  <w15:docId w15:val="{628E8ED3-A13D-43AA-929E-3E1A4BA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321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77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32177A"/>
    <w:pPr>
      <w:spacing w:before="120"/>
    </w:pPr>
    <w:rPr>
      <w:rFonts w:asciiTheme="minorHAnsi" w:eastAsiaTheme="minorHAnsi" w:hAnsiTheme="minorHAnsi" w:cstheme="minorBid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17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77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60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DC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A043F"/>
  </w:style>
  <w:style w:type="paragraph" w:styleId="Header">
    <w:name w:val="header"/>
    <w:basedOn w:val="Normal"/>
    <w:link w:val="HeaderChar"/>
    <w:uiPriority w:val="99"/>
    <w:unhideWhenUsed/>
    <w:rsid w:val="00E92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E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2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E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EAC4-E50E-4C75-A824-C39E913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Mcdaid,D</dc:creator>
  <cp:keywords/>
  <dc:description/>
  <cp:lastModifiedBy>Mcdaid,D</cp:lastModifiedBy>
  <cp:revision>68</cp:revision>
  <dcterms:created xsi:type="dcterms:W3CDTF">2024-04-14T17:59:00Z</dcterms:created>
  <dcterms:modified xsi:type="dcterms:W3CDTF">2024-04-15T14:00:00Z</dcterms:modified>
</cp:coreProperties>
</file>