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3E5F9" w14:textId="77777777" w:rsidR="00341AD1" w:rsidRDefault="00341AD1" w:rsidP="00341AD1">
      <w:pPr>
        <w:keepNext/>
        <w:pBdr>
          <w:top w:val="nil"/>
          <w:left w:val="nil"/>
          <w:bottom w:val="nil"/>
          <w:right w:val="nil"/>
          <w:between w:val="nil"/>
        </w:pBdr>
        <w:spacing w:line="480" w:lineRule="auto"/>
        <w:jc w:val="center"/>
        <w:rPr>
          <w:b/>
          <w:color w:val="000000"/>
          <w:sz w:val="22"/>
          <w:szCs w:val="22"/>
        </w:rPr>
      </w:pPr>
    </w:p>
    <w:p w14:paraId="57478EF1" w14:textId="774BEAC3" w:rsidR="00341AD1" w:rsidRPr="000B7FAC" w:rsidRDefault="00341AD1" w:rsidP="00341AD1">
      <w:pPr>
        <w:keepNext/>
        <w:pBdr>
          <w:top w:val="nil"/>
          <w:left w:val="nil"/>
          <w:bottom w:val="nil"/>
          <w:right w:val="nil"/>
          <w:between w:val="nil"/>
        </w:pBdr>
        <w:spacing w:line="480" w:lineRule="auto"/>
        <w:jc w:val="center"/>
        <w:rPr>
          <w:b/>
          <w:color w:val="000000"/>
          <w:sz w:val="28"/>
          <w:szCs w:val="28"/>
        </w:rPr>
      </w:pPr>
      <w:r w:rsidRPr="000B7FAC">
        <w:rPr>
          <w:b/>
          <w:color w:val="000000"/>
          <w:sz w:val="28"/>
          <w:szCs w:val="28"/>
        </w:rPr>
        <w:t>Epidemiology and Infection</w:t>
      </w:r>
    </w:p>
    <w:p w14:paraId="5A918242" w14:textId="2DE1D22C" w:rsidR="00341AD1" w:rsidRPr="000B7FAC" w:rsidRDefault="00341AD1" w:rsidP="000B7FAC">
      <w:pPr>
        <w:keepNext/>
        <w:pBdr>
          <w:top w:val="nil"/>
          <w:left w:val="nil"/>
          <w:bottom w:val="nil"/>
          <w:right w:val="nil"/>
          <w:between w:val="nil"/>
        </w:pBdr>
        <w:spacing w:line="480" w:lineRule="auto"/>
        <w:jc w:val="center"/>
        <w:rPr>
          <w:b/>
          <w:color w:val="000000"/>
          <w:sz w:val="22"/>
          <w:szCs w:val="22"/>
        </w:rPr>
      </w:pPr>
      <w:r>
        <w:rPr>
          <w:b/>
          <w:color w:val="000000"/>
          <w:sz w:val="22"/>
          <w:szCs w:val="22"/>
        </w:rPr>
        <w:t>Severe weather events and cryptosporidiosis in Aotearoa New Zealand: A case series of space-time clusters</w:t>
      </w:r>
    </w:p>
    <w:p w14:paraId="1B3EFC9D" w14:textId="00466F50" w:rsidR="00341AD1" w:rsidRDefault="00341AD1" w:rsidP="00341AD1">
      <w:pPr>
        <w:pBdr>
          <w:top w:val="nil"/>
          <w:left w:val="nil"/>
          <w:bottom w:val="nil"/>
          <w:right w:val="nil"/>
          <w:between w:val="nil"/>
        </w:pBdr>
        <w:spacing w:line="480" w:lineRule="auto"/>
        <w:jc w:val="center"/>
        <w:rPr>
          <w:color w:val="000000"/>
          <w:sz w:val="22"/>
          <w:szCs w:val="22"/>
          <w:vertAlign w:val="superscript"/>
        </w:rPr>
      </w:pPr>
      <w:r w:rsidRPr="00711F1C">
        <w:rPr>
          <w:color w:val="000000"/>
          <w:sz w:val="22"/>
          <w:szCs w:val="22"/>
        </w:rPr>
        <w:t xml:space="preserve">Leah Grout, Simon Hales, </w:t>
      </w:r>
      <w:r w:rsidRPr="00FA6F0A">
        <w:rPr>
          <w:color w:val="000000"/>
          <w:sz w:val="22"/>
          <w:szCs w:val="22"/>
        </w:rPr>
        <w:t xml:space="preserve">Michael G. Baker, </w:t>
      </w:r>
      <w:r w:rsidRPr="00A963E3">
        <w:rPr>
          <w:color w:val="000000"/>
          <w:sz w:val="22"/>
          <w:szCs w:val="22"/>
        </w:rPr>
        <w:t>Nigel French,</w:t>
      </w:r>
      <w:r>
        <w:rPr>
          <w:color w:val="000000"/>
          <w:sz w:val="22"/>
          <w:szCs w:val="22"/>
        </w:rPr>
        <w:t xml:space="preserve"> </w:t>
      </w:r>
      <w:r w:rsidRPr="00711F1C">
        <w:rPr>
          <w:color w:val="000000"/>
          <w:sz w:val="22"/>
          <w:szCs w:val="22"/>
        </w:rPr>
        <w:t>Nick Wilson</w:t>
      </w:r>
    </w:p>
    <w:p w14:paraId="66A45777" w14:textId="77777777" w:rsidR="00341AD1" w:rsidRDefault="00341AD1" w:rsidP="003C6D5D">
      <w:pPr>
        <w:spacing w:line="480" w:lineRule="auto"/>
        <w:rPr>
          <w:b/>
          <w:sz w:val="22"/>
          <w:szCs w:val="22"/>
        </w:rPr>
      </w:pPr>
    </w:p>
    <w:p w14:paraId="4DCA609B" w14:textId="11759365" w:rsidR="003C6D5D" w:rsidRDefault="003C6D5D" w:rsidP="003C6D5D">
      <w:pPr>
        <w:spacing w:line="480" w:lineRule="auto"/>
        <w:rPr>
          <w:b/>
          <w:sz w:val="22"/>
          <w:szCs w:val="22"/>
        </w:rPr>
      </w:pPr>
      <w:r>
        <w:rPr>
          <w:b/>
          <w:sz w:val="22"/>
          <w:szCs w:val="22"/>
        </w:rPr>
        <w:t>Supplemental Materials</w:t>
      </w:r>
    </w:p>
    <w:p w14:paraId="67E8FABD" w14:textId="77777777" w:rsidR="003C6D5D" w:rsidRPr="00B25E13" w:rsidRDefault="003C6D5D" w:rsidP="003C6D5D">
      <w:pPr>
        <w:spacing w:line="480" w:lineRule="auto"/>
        <w:rPr>
          <w:b/>
          <w:i/>
          <w:iCs/>
          <w:sz w:val="22"/>
          <w:szCs w:val="22"/>
        </w:rPr>
      </w:pPr>
      <w:r w:rsidRPr="00B25E13">
        <w:rPr>
          <w:b/>
          <w:i/>
          <w:iCs/>
          <w:sz w:val="22"/>
          <w:szCs w:val="22"/>
        </w:rPr>
        <w:t>Additional results for statistically significant space-time clusters associated with documented severe weather events</w:t>
      </w:r>
    </w:p>
    <w:p w14:paraId="6FE81C18" w14:textId="0820FFB4" w:rsidR="003C6D5D" w:rsidRDefault="003C6D5D" w:rsidP="003C6D5D">
      <w:pPr>
        <w:spacing w:line="480" w:lineRule="auto"/>
        <w:rPr>
          <w:b/>
          <w:sz w:val="22"/>
          <w:szCs w:val="22"/>
        </w:rPr>
      </w:pPr>
    </w:p>
    <w:p w14:paraId="368AB317" w14:textId="116F007F" w:rsidR="003C6D5D" w:rsidRDefault="003C6D5D" w:rsidP="003C6D5D">
      <w:pPr>
        <w:spacing w:line="480" w:lineRule="auto"/>
        <w:jc w:val="center"/>
        <w:rPr>
          <w:i/>
          <w:sz w:val="22"/>
          <w:szCs w:val="22"/>
        </w:rPr>
      </w:pPr>
    </w:p>
    <w:p w14:paraId="02054244" w14:textId="77777777" w:rsidR="003C6D5D" w:rsidRDefault="003C6D5D" w:rsidP="003C6D5D">
      <w:pPr>
        <w:spacing w:line="480" w:lineRule="auto"/>
        <w:jc w:val="center"/>
        <w:rPr>
          <w:b/>
          <w:i/>
          <w:sz w:val="21"/>
          <w:szCs w:val="21"/>
          <w:highlight w:val="yellow"/>
        </w:rPr>
      </w:pPr>
      <w:r>
        <w:rPr>
          <w:b/>
          <w:sz w:val="22"/>
          <w:szCs w:val="22"/>
        </w:rPr>
        <w:t>Supplementary Figure 1. Patterns of daily total precipitation and maximum temperature in the identifying CAU in the three weeks prior and for the duration of Cluster 2 (see Table 2).</w:t>
      </w:r>
    </w:p>
    <w:p w14:paraId="1ECBD411" w14:textId="77777777" w:rsidR="003C6D5D" w:rsidRDefault="003C6D5D" w:rsidP="003C6D5D">
      <w:pPr>
        <w:spacing w:line="480" w:lineRule="auto"/>
        <w:rPr>
          <w:b/>
          <w:sz w:val="22"/>
          <w:szCs w:val="22"/>
        </w:rPr>
      </w:pPr>
    </w:p>
    <w:p w14:paraId="0C934DD9" w14:textId="6A72D35D" w:rsidR="003C6D5D" w:rsidRDefault="003C6D5D" w:rsidP="003C6D5D">
      <w:pPr>
        <w:spacing w:line="480" w:lineRule="auto"/>
        <w:jc w:val="center"/>
        <w:rPr>
          <w:i/>
          <w:sz w:val="22"/>
          <w:szCs w:val="22"/>
        </w:rPr>
      </w:pPr>
    </w:p>
    <w:p w14:paraId="0A1E34C2" w14:textId="77777777" w:rsidR="003C6D5D" w:rsidRDefault="003C6D5D" w:rsidP="003C6D5D">
      <w:pPr>
        <w:spacing w:line="480" w:lineRule="auto"/>
        <w:jc w:val="center"/>
        <w:rPr>
          <w:b/>
          <w:i/>
          <w:sz w:val="21"/>
          <w:szCs w:val="21"/>
        </w:rPr>
      </w:pPr>
      <w:r>
        <w:rPr>
          <w:b/>
          <w:sz w:val="22"/>
          <w:szCs w:val="22"/>
        </w:rPr>
        <w:t>Supplementary Figure 2. Patterns of daily total precipitation and maximum temperature in identifying CAU in the three weeks prior and for the duration of Cluster 6 (see Table 2).</w:t>
      </w:r>
    </w:p>
    <w:p w14:paraId="43DAAF6C" w14:textId="77777777" w:rsidR="003C6D5D" w:rsidRDefault="003C6D5D" w:rsidP="003C6D5D">
      <w:pPr>
        <w:spacing w:line="480" w:lineRule="auto"/>
        <w:rPr>
          <w:b/>
          <w:sz w:val="22"/>
          <w:szCs w:val="22"/>
        </w:rPr>
      </w:pPr>
    </w:p>
    <w:p w14:paraId="37889DDF" w14:textId="4226DA29" w:rsidR="003C6D5D" w:rsidRDefault="003C6D5D" w:rsidP="003C6D5D">
      <w:pPr>
        <w:spacing w:line="480" w:lineRule="auto"/>
        <w:jc w:val="center"/>
        <w:rPr>
          <w:sz w:val="22"/>
          <w:szCs w:val="22"/>
        </w:rPr>
      </w:pPr>
    </w:p>
    <w:p w14:paraId="0F1D5379" w14:textId="77777777" w:rsidR="003C6D5D" w:rsidRDefault="003C6D5D" w:rsidP="003C6D5D">
      <w:pPr>
        <w:spacing w:line="480" w:lineRule="auto"/>
        <w:jc w:val="center"/>
        <w:rPr>
          <w:b/>
          <w:i/>
          <w:sz w:val="21"/>
          <w:szCs w:val="21"/>
        </w:rPr>
      </w:pPr>
      <w:r>
        <w:rPr>
          <w:b/>
          <w:sz w:val="22"/>
          <w:szCs w:val="22"/>
        </w:rPr>
        <w:t>Supplementary Figure 3. Patterns of daily total precipitation and maximum temperature in identifying CAU in the three weeks prior and for the duration of Cluster 11 (see Table 2).</w:t>
      </w:r>
    </w:p>
    <w:p w14:paraId="73180C2A" w14:textId="77777777" w:rsidR="003C6D5D" w:rsidRDefault="003C6D5D" w:rsidP="003C6D5D">
      <w:pPr>
        <w:spacing w:line="480" w:lineRule="auto"/>
        <w:rPr>
          <w:b/>
          <w:sz w:val="22"/>
          <w:szCs w:val="22"/>
        </w:rPr>
      </w:pPr>
    </w:p>
    <w:p w14:paraId="7C97A4D6" w14:textId="5477C724" w:rsidR="003C6D5D" w:rsidRDefault="003C6D5D" w:rsidP="003C6D5D">
      <w:pPr>
        <w:spacing w:line="480" w:lineRule="auto"/>
        <w:jc w:val="center"/>
        <w:rPr>
          <w:sz w:val="22"/>
          <w:szCs w:val="22"/>
        </w:rPr>
      </w:pPr>
    </w:p>
    <w:p w14:paraId="609B9010" w14:textId="77777777" w:rsidR="003C6D5D" w:rsidRDefault="003C6D5D" w:rsidP="003C6D5D">
      <w:pPr>
        <w:spacing w:line="480" w:lineRule="auto"/>
        <w:jc w:val="center"/>
        <w:rPr>
          <w:b/>
          <w:i/>
          <w:sz w:val="21"/>
          <w:szCs w:val="21"/>
        </w:rPr>
      </w:pPr>
      <w:r>
        <w:rPr>
          <w:b/>
          <w:sz w:val="22"/>
          <w:szCs w:val="22"/>
        </w:rPr>
        <w:t>Supplementary Figure 4. Patterns of daily total precipitation and maximum temperature in identifying CAU in the three weeks prior and for the duration of Cluster 13 (see Table 2).</w:t>
      </w:r>
    </w:p>
    <w:p w14:paraId="4AF2AC6C" w14:textId="77777777" w:rsidR="003C6D5D" w:rsidRDefault="003C6D5D" w:rsidP="003C6D5D">
      <w:pPr>
        <w:spacing w:line="480" w:lineRule="auto"/>
        <w:rPr>
          <w:b/>
          <w:sz w:val="22"/>
          <w:szCs w:val="22"/>
        </w:rPr>
      </w:pPr>
    </w:p>
    <w:p w14:paraId="5ACD99AD" w14:textId="304AB01F" w:rsidR="003C6D5D" w:rsidRDefault="003C6D5D" w:rsidP="003C6D5D">
      <w:pPr>
        <w:spacing w:line="480" w:lineRule="auto"/>
        <w:jc w:val="center"/>
      </w:pPr>
    </w:p>
    <w:p w14:paraId="1C8D7803" w14:textId="77777777" w:rsidR="003C6D5D" w:rsidRDefault="003C6D5D" w:rsidP="003C6D5D">
      <w:pPr>
        <w:spacing w:line="480" w:lineRule="auto"/>
        <w:jc w:val="center"/>
        <w:rPr>
          <w:b/>
          <w:i/>
          <w:sz w:val="21"/>
          <w:szCs w:val="21"/>
        </w:rPr>
      </w:pPr>
      <w:r>
        <w:rPr>
          <w:b/>
          <w:sz w:val="22"/>
          <w:szCs w:val="22"/>
        </w:rPr>
        <w:t>Supplementary Figure 5. Patterns of daily total precipitation and maximum temperature in identifying CAU in the three weeks prior and for the duration of Cluster 14 (see Table 2).</w:t>
      </w:r>
    </w:p>
    <w:p w14:paraId="7A41CFB9" w14:textId="77777777" w:rsidR="003C6D5D" w:rsidRDefault="003C6D5D" w:rsidP="003C6D5D">
      <w:pPr>
        <w:spacing w:line="480" w:lineRule="auto"/>
        <w:rPr>
          <w:b/>
          <w:sz w:val="22"/>
          <w:szCs w:val="22"/>
        </w:rPr>
      </w:pPr>
    </w:p>
    <w:p w14:paraId="49CAD4BB" w14:textId="3C537180" w:rsidR="003C6D5D" w:rsidRDefault="003C6D5D" w:rsidP="003C6D5D">
      <w:pPr>
        <w:spacing w:line="480" w:lineRule="auto"/>
        <w:jc w:val="center"/>
      </w:pPr>
    </w:p>
    <w:p w14:paraId="054FF2C3" w14:textId="77777777" w:rsidR="003C6D5D" w:rsidRDefault="003C6D5D" w:rsidP="003C6D5D">
      <w:pPr>
        <w:spacing w:line="480" w:lineRule="auto"/>
        <w:jc w:val="center"/>
        <w:rPr>
          <w:b/>
          <w:i/>
          <w:sz w:val="21"/>
          <w:szCs w:val="21"/>
        </w:rPr>
      </w:pPr>
      <w:r>
        <w:rPr>
          <w:b/>
          <w:sz w:val="22"/>
          <w:szCs w:val="22"/>
        </w:rPr>
        <w:t>Supplementary Figure 6. Patterns of daily total precipitation and maximum temperature in identifying CAU in the three weeks prior and for the duration of Cluster 16 (see Table 2).</w:t>
      </w:r>
    </w:p>
    <w:p w14:paraId="6720DABC" w14:textId="77777777" w:rsidR="003C6D5D" w:rsidRDefault="003C6D5D" w:rsidP="003C6D5D">
      <w:pPr>
        <w:spacing w:line="480" w:lineRule="auto"/>
        <w:rPr>
          <w:b/>
          <w:sz w:val="22"/>
          <w:szCs w:val="22"/>
        </w:rPr>
      </w:pPr>
    </w:p>
    <w:p w14:paraId="72744B77" w14:textId="683605FA" w:rsidR="003C6D5D" w:rsidRDefault="003C6D5D" w:rsidP="003C6D5D">
      <w:pPr>
        <w:spacing w:line="480" w:lineRule="auto"/>
        <w:jc w:val="center"/>
      </w:pPr>
    </w:p>
    <w:p w14:paraId="72800705" w14:textId="77777777" w:rsidR="003C6D5D" w:rsidRDefault="003C6D5D" w:rsidP="003C6D5D">
      <w:pPr>
        <w:spacing w:line="480" w:lineRule="auto"/>
        <w:jc w:val="center"/>
        <w:rPr>
          <w:b/>
          <w:i/>
          <w:sz w:val="21"/>
          <w:szCs w:val="21"/>
        </w:rPr>
      </w:pPr>
      <w:r>
        <w:rPr>
          <w:b/>
          <w:sz w:val="22"/>
          <w:szCs w:val="22"/>
        </w:rPr>
        <w:t>Supplementary Figure 7. Patterns of daily total precipitation and maximum temperature in identifying CAU in the three weeks prior and for the duration of Cluster 27 (see Table 2).</w:t>
      </w:r>
    </w:p>
    <w:p w14:paraId="349A2F25" w14:textId="77777777" w:rsidR="003C6D5D" w:rsidRDefault="003C6D5D" w:rsidP="003C6D5D">
      <w:pPr>
        <w:spacing w:line="480" w:lineRule="auto"/>
        <w:rPr>
          <w:b/>
          <w:sz w:val="22"/>
          <w:szCs w:val="22"/>
        </w:rPr>
      </w:pPr>
    </w:p>
    <w:p w14:paraId="1A0F80AD" w14:textId="7B9036C9" w:rsidR="003C6D5D" w:rsidRDefault="003C6D5D" w:rsidP="003C6D5D">
      <w:pPr>
        <w:spacing w:line="480" w:lineRule="auto"/>
        <w:jc w:val="center"/>
      </w:pPr>
    </w:p>
    <w:p w14:paraId="5FC82558" w14:textId="77777777" w:rsidR="003C6D5D" w:rsidRDefault="003C6D5D" w:rsidP="003C6D5D">
      <w:pPr>
        <w:spacing w:line="480" w:lineRule="auto"/>
        <w:jc w:val="center"/>
        <w:rPr>
          <w:b/>
          <w:i/>
          <w:sz w:val="21"/>
          <w:szCs w:val="21"/>
        </w:rPr>
      </w:pPr>
      <w:r>
        <w:rPr>
          <w:b/>
          <w:sz w:val="22"/>
          <w:szCs w:val="22"/>
        </w:rPr>
        <w:t>Supplementary Figure 8. Patterns of daily total precipitation and maximum temperature in identifying CAU in the three weeks prior and for the duration of Cluster 31 (see Table 2).</w:t>
      </w:r>
    </w:p>
    <w:p w14:paraId="1C4D7929" w14:textId="77777777" w:rsidR="003C6D5D" w:rsidRDefault="003C6D5D" w:rsidP="003C6D5D">
      <w:pPr>
        <w:spacing w:line="480" w:lineRule="auto"/>
        <w:rPr>
          <w:b/>
          <w:sz w:val="22"/>
          <w:szCs w:val="22"/>
        </w:rPr>
      </w:pPr>
    </w:p>
    <w:p w14:paraId="632DEBB7" w14:textId="6692BD98" w:rsidR="003C6D5D" w:rsidRDefault="003C6D5D" w:rsidP="003C6D5D">
      <w:pPr>
        <w:spacing w:line="480" w:lineRule="auto"/>
        <w:jc w:val="center"/>
      </w:pPr>
    </w:p>
    <w:p w14:paraId="73B8B2CE" w14:textId="77777777" w:rsidR="003C6D5D" w:rsidRDefault="003C6D5D" w:rsidP="003C6D5D">
      <w:pPr>
        <w:spacing w:line="480" w:lineRule="auto"/>
        <w:jc w:val="center"/>
        <w:rPr>
          <w:b/>
          <w:i/>
          <w:sz w:val="21"/>
          <w:szCs w:val="21"/>
        </w:rPr>
      </w:pPr>
      <w:r>
        <w:rPr>
          <w:b/>
          <w:sz w:val="22"/>
          <w:szCs w:val="22"/>
        </w:rPr>
        <w:t>Supplementary Figure 9. Patterns of daily total precipitation and maximum temperature in identifying CAU in the three weeks prior and for the duration of Cluster 33 (see Table 2).</w:t>
      </w:r>
    </w:p>
    <w:p w14:paraId="0FB0752F" w14:textId="77777777" w:rsidR="003C6D5D" w:rsidRDefault="003C6D5D" w:rsidP="003C6D5D">
      <w:pPr>
        <w:spacing w:line="480" w:lineRule="auto"/>
        <w:rPr>
          <w:b/>
          <w:sz w:val="22"/>
          <w:szCs w:val="22"/>
        </w:rPr>
      </w:pPr>
    </w:p>
    <w:p w14:paraId="7F8C58B9" w14:textId="268064BC" w:rsidR="003C6D5D" w:rsidRDefault="003C6D5D" w:rsidP="003C6D5D">
      <w:pPr>
        <w:spacing w:line="480" w:lineRule="auto"/>
        <w:jc w:val="center"/>
      </w:pPr>
    </w:p>
    <w:p w14:paraId="4634AA71" w14:textId="77777777" w:rsidR="003C6D5D" w:rsidRDefault="003C6D5D" w:rsidP="003C6D5D">
      <w:pPr>
        <w:spacing w:line="480" w:lineRule="auto"/>
        <w:jc w:val="center"/>
        <w:rPr>
          <w:b/>
          <w:i/>
          <w:sz w:val="21"/>
          <w:szCs w:val="21"/>
        </w:rPr>
      </w:pPr>
      <w:r>
        <w:rPr>
          <w:b/>
          <w:sz w:val="22"/>
          <w:szCs w:val="22"/>
        </w:rPr>
        <w:t>Supplementary Figure 10. Patterns of daily total precipitation and maximum temperature in identifying CAU in the three weeks prior and for the duration of Cluster 36 (see Table 2).</w:t>
      </w:r>
    </w:p>
    <w:p w14:paraId="6D7B86FE" w14:textId="77777777" w:rsidR="003C6D5D" w:rsidRDefault="003C6D5D" w:rsidP="003C6D5D">
      <w:pPr>
        <w:spacing w:line="480" w:lineRule="auto"/>
        <w:rPr>
          <w:b/>
          <w:sz w:val="22"/>
          <w:szCs w:val="22"/>
        </w:rPr>
      </w:pPr>
    </w:p>
    <w:p w14:paraId="36F6A53A" w14:textId="26A54515" w:rsidR="003C6D5D" w:rsidRDefault="003C6D5D" w:rsidP="003C6D5D">
      <w:pPr>
        <w:spacing w:line="480" w:lineRule="auto"/>
        <w:jc w:val="center"/>
      </w:pPr>
    </w:p>
    <w:p w14:paraId="2F2D6BBA" w14:textId="77777777" w:rsidR="003C6D5D" w:rsidRDefault="003C6D5D" w:rsidP="003C6D5D">
      <w:pPr>
        <w:spacing w:line="480" w:lineRule="auto"/>
        <w:jc w:val="center"/>
        <w:rPr>
          <w:b/>
          <w:i/>
          <w:sz w:val="21"/>
          <w:szCs w:val="21"/>
        </w:rPr>
      </w:pPr>
      <w:r>
        <w:rPr>
          <w:b/>
          <w:sz w:val="22"/>
          <w:szCs w:val="22"/>
        </w:rPr>
        <w:t>Supplementary Figure 11. Patterns of daily total precipitation and maximum temperature in identifying CAU in the three weeks prior and for the duration of Cluster 38 (see Table 2).</w:t>
      </w:r>
    </w:p>
    <w:p w14:paraId="7C8A873F" w14:textId="77777777" w:rsidR="003C6D5D" w:rsidRDefault="003C6D5D" w:rsidP="003C6D5D">
      <w:pPr>
        <w:spacing w:line="480" w:lineRule="auto"/>
        <w:rPr>
          <w:b/>
          <w:sz w:val="22"/>
          <w:szCs w:val="22"/>
        </w:rPr>
      </w:pPr>
    </w:p>
    <w:p w14:paraId="6973836E" w14:textId="77777777" w:rsidR="003C6D5D" w:rsidRDefault="003C6D5D" w:rsidP="003C6D5D">
      <w:pPr>
        <w:spacing w:line="480" w:lineRule="auto"/>
        <w:rPr>
          <w:b/>
          <w:sz w:val="22"/>
          <w:szCs w:val="22"/>
        </w:rPr>
      </w:pPr>
    </w:p>
    <w:p w14:paraId="0F86036E" w14:textId="77777777" w:rsidR="003C6D5D" w:rsidRPr="00B25E13" w:rsidRDefault="003C6D5D" w:rsidP="003C6D5D">
      <w:pPr>
        <w:spacing w:line="480" w:lineRule="auto"/>
        <w:rPr>
          <w:b/>
          <w:i/>
          <w:sz w:val="22"/>
          <w:szCs w:val="22"/>
        </w:rPr>
      </w:pPr>
      <w:r>
        <w:rPr>
          <w:b/>
          <w:sz w:val="22"/>
          <w:szCs w:val="22"/>
        </w:rPr>
        <w:t>Supplementary Text. Comparison to previously recorded outbreaks: Additional details</w:t>
      </w:r>
    </w:p>
    <w:p w14:paraId="233E5F17" w14:textId="77777777" w:rsidR="003C6D5D" w:rsidRDefault="003C6D5D" w:rsidP="003C6D5D">
      <w:pPr>
        <w:spacing w:line="480" w:lineRule="auto"/>
        <w:rPr>
          <w:sz w:val="22"/>
          <w:szCs w:val="22"/>
        </w:rPr>
      </w:pPr>
      <w:r>
        <w:rPr>
          <w:sz w:val="22"/>
          <w:szCs w:val="22"/>
        </w:rPr>
        <w:t>A cluster in the Canterbury region from 23 March to 20 April 1999 included 55 notified cases (Cluster 2, Table 3) and closely matched an outbreak with 61 reported cases from 26 February to 23 April 1999. The outbreak was linked to a contaminated community swimming pool.</w:t>
      </w:r>
    </w:p>
    <w:p w14:paraId="2AD2BDD0" w14:textId="77777777" w:rsidR="003C6D5D" w:rsidRDefault="003C6D5D" w:rsidP="003C6D5D">
      <w:pPr>
        <w:spacing w:line="480" w:lineRule="auto"/>
        <w:rPr>
          <w:sz w:val="22"/>
          <w:szCs w:val="22"/>
        </w:rPr>
      </w:pPr>
    </w:p>
    <w:p w14:paraId="71C8A0D6" w14:textId="77777777" w:rsidR="003C6D5D" w:rsidRDefault="003C6D5D" w:rsidP="003C6D5D">
      <w:pPr>
        <w:spacing w:line="480" w:lineRule="auto"/>
        <w:rPr>
          <w:sz w:val="22"/>
          <w:szCs w:val="22"/>
        </w:rPr>
      </w:pPr>
      <w:r>
        <w:rPr>
          <w:sz w:val="22"/>
          <w:szCs w:val="22"/>
        </w:rPr>
        <w:t xml:space="preserve">A cluster in the Bay of Plenty region from 25 October to 27 October 2000 (Cluster 6, Table 3) included 22 notified cases and had a degree of overlap with an outbreak with 27 reported cases that began on 9 December 1999. While the dates do not appear to match, no end date for the outbreak was recorded and the outbreak report was made on 25 October 2000. Therefore, it is possible that there was some overlap between the detected cluster and the reported outbreak if the reported outbreak occurred over a prolonged period. A number of cases from the outbreak were linked to a contaminated water supply on a farm. </w:t>
      </w:r>
    </w:p>
    <w:p w14:paraId="38CF2E80" w14:textId="77777777" w:rsidR="003C6D5D" w:rsidRDefault="003C6D5D" w:rsidP="003C6D5D">
      <w:pPr>
        <w:spacing w:line="480" w:lineRule="auto"/>
        <w:rPr>
          <w:sz w:val="22"/>
          <w:szCs w:val="22"/>
        </w:rPr>
      </w:pPr>
    </w:p>
    <w:p w14:paraId="7F37A89B" w14:textId="77777777" w:rsidR="003C6D5D" w:rsidRDefault="003C6D5D" w:rsidP="003C6D5D">
      <w:pPr>
        <w:spacing w:line="480" w:lineRule="auto"/>
        <w:rPr>
          <w:sz w:val="22"/>
          <w:szCs w:val="22"/>
        </w:rPr>
      </w:pPr>
      <w:r>
        <w:rPr>
          <w:sz w:val="22"/>
          <w:szCs w:val="22"/>
        </w:rPr>
        <w:t>Another cluster detected in the Bay of Plenty from 22 October to 18 November 2003 included 10 notified cases (Cluster 38, Table 3). The cluster partially matched an outbreak that had six cases which were reported from 1-12 November and was linked to a childcare center visit to a contaminated stream, where a group went swimming.</w:t>
      </w:r>
    </w:p>
    <w:p w14:paraId="154C46C9" w14:textId="77777777" w:rsidR="003C6D5D" w:rsidRDefault="003C6D5D" w:rsidP="003C6D5D">
      <w:pPr>
        <w:spacing w:line="480" w:lineRule="auto"/>
        <w:rPr>
          <w:sz w:val="22"/>
          <w:szCs w:val="22"/>
        </w:rPr>
      </w:pPr>
    </w:p>
    <w:p w14:paraId="2A4445E4" w14:textId="77777777" w:rsidR="003C6D5D" w:rsidRDefault="003C6D5D" w:rsidP="003C6D5D">
      <w:pPr>
        <w:spacing w:line="480" w:lineRule="auto"/>
        <w:rPr>
          <w:sz w:val="22"/>
          <w:szCs w:val="22"/>
        </w:rPr>
      </w:pPr>
      <w:r>
        <w:rPr>
          <w:sz w:val="22"/>
          <w:szCs w:val="22"/>
        </w:rPr>
        <w:t xml:space="preserve">Another cluster detected in the Manawatu-Wanganui region on 1 July 2013 included five notified cases (Cluster 13, Table 3). The cluster may match an outbreak that reported six cases from 28 April to 20 June 2013. While the dates don’t closely align, the outbreak was reported on 1 July 2013 and the date used for the notified cases included in the cluster analysis was the report date for the notification rather than the </w:t>
      </w:r>
      <w:r>
        <w:rPr>
          <w:sz w:val="22"/>
          <w:szCs w:val="22"/>
        </w:rPr>
        <w:lastRenderedPageBreak/>
        <w:t>onset date, which may explain the difference in dates. The outbreak was linked to a farm where cases had contact with dairy cattle. In addition, tests revealed that the water source had a low level of contamination.</w:t>
      </w:r>
    </w:p>
    <w:p w14:paraId="183A1080" w14:textId="77777777" w:rsidR="003C6D5D" w:rsidRDefault="003C6D5D" w:rsidP="003C6D5D">
      <w:pPr>
        <w:spacing w:line="480" w:lineRule="auto"/>
        <w:rPr>
          <w:sz w:val="22"/>
          <w:szCs w:val="22"/>
        </w:rPr>
      </w:pPr>
    </w:p>
    <w:p w14:paraId="0697BBB8" w14:textId="77777777" w:rsidR="003C6D5D" w:rsidRDefault="003C6D5D" w:rsidP="003C6D5D">
      <w:pPr>
        <w:spacing w:line="480" w:lineRule="auto"/>
        <w:rPr>
          <w:sz w:val="22"/>
          <w:szCs w:val="22"/>
        </w:rPr>
      </w:pPr>
      <w:r>
        <w:rPr>
          <w:sz w:val="22"/>
          <w:szCs w:val="22"/>
        </w:rPr>
        <w:t xml:space="preserve">A cluster detected in the West Coast region on 14 November 2008 included three cases (Cluster 31, Table 3) and displayed a degree of agreement with an outbreak that had four reported cases between 31 October  and 14 November, when the outbreak report was submitted. The outbreak may have been linked to the consumption of untreated drinking water, poor hygiene, or contact with animals. </w:t>
      </w:r>
    </w:p>
    <w:p w14:paraId="060944AF" w14:textId="77777777" w:rsidR="003C6D5D" w:rsidRDefault="003C6D5D" w:rsidP="003C6D5D">
      <w:pPr>
        <w:spacing w:line="480" w:lineRule="auto"/>
        <w:rPr>
          <w:b/>
          <w:sz w:val="22"/>
          <w:szCs w:val="22"/>
        </w:rPr>
      </w:pPr>
    </w:p>
    <w:p w14:paraId="55CE1FC6" w14:textId="77777777" w:rsidR="00C97518" w:rsidRDefault="00C97518"/>
    <w:sectPr w:rsidR="00C97518" w:rsidSect="009445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D5D"/>
    <w:rsid w:val="000025B5"/>
    <w:rsid w:val="000042F2"/>
    <w:rsid w:val="00015EA4"/>
    <w:rsid w:val="000170D9"/>
    <w:rsid w:val="00020A83"/>
    <w:rsid w:val="000301BD"/>
    <w:rsid w:val="00030B3A"/>
    <w:rsid w:val="000340C7"/>
    <w:rsid w:val="0003482D"/>
    <w:rsid w:val="000360AD"/>
    <w:rsid w:val="00041284"/>
    <w:rsid w:val="0004624B"/>
    <w:rsid w:val="00046C86"/>
    <w:rsid w:val="00047857"/>
    <w:rsid w:val="00050832"/>
    <w:rsid w:val="00052A23"/>
    <w:rsid w:val="00054177"/>
    <w:rsid w:val="000577BD"/>
    <w:rsid w:val="00062592"/>
    <w:rsid w:val="000652CF"/>
    <w:rsid w:val="000730BE"/>
    <w:rsid w:val="00075913"/>
    <w:rsid w:val="00076159"/>
    <w:rsid w:val="00082AE2"/>
    <w:rsid w:val="000854E2"/>
    <w:rsid w:val="000979FF"/>
    <w:rsid w:val="000A0811"/>
    <w:rsid w:val="000A380F"/>
    <w:rsid w:val="000A57BF"/>
    <w:rsid w:val="000B0DD8"/>
    <w:rsid w:val="000B62C4"/>
    <w:rsid w:val="000B7FAC"/>
    <w:rsid w:val="000C1D8E"/>
    <w:rsid w:val="000C4C5B"/>
    <w:rsid w:val="000D0A20"/>
    <w:rsid w:val="000D0E37"/>
    <w:rsid w:val="000D6A9D"/>
    <w:rsid w:val="000E2290"/>
    <w:rsid w:val="000E5DCD"/>
    <w:rsid w:val="000E72E3"/>
    <w:rsid w:val="000F1542"/>
    <w:rsid w:val="000F42D0"/>
    <w:rsid w:val="000F5769"/>
    <w:rsid w:val="000F7148"/>
    <w:rsid w:val="001001CD"/>
    <w:rsid w:val="001014CE"/>
    <w:rsid w:val="001048AC"/>
    <w:rsid w:val="00106504"/>
    <w:rsid w:val="0011113A"/>
    <w:rsid w:val="0011581F"/>
    <w:rsid w:val="0013142D"/>
    <w:rsid w:val="00132F19"/>
    <w:rsid w:val="0014234E"/>
    <w:rsid w:val="0014278A"/>
    <w:rsid w:val="0014561C"/>
    <w:rsid w:val="001502AC"/>
    <w:rsid w:val="00150566"/>
    <w:rsid w:val="00150570"/>
    <w:rsid w:val="00152448"/>
    <w:rsid w:val="00153443"/>
    <w:rsid w:val="00157848"/>
    <w:rsid w:val="001600A8"/>
    <w:rsid w:val="00161358"/>
    <w:rsid w:val="00162BD0"/>
    <w:rsid w:val="001633E4"/>
    <w:rsid w:val="00164A1E"/>
    <w:rsid w:val="00164D0D"/>
    <w:rsid w:val="00170636"/>
    <w:rsid w:val="00173463"/>
    <w:rsid w:val="00183169"/>
    <w:rsid w:val="001931DE"/>
    <w:rsid w:val="0019386D"/>
    <w:rsid w:val="001938F9"/>
    <w:rsid w:val="00194BB1"/>
    <w:rsid w:val="00195C92"/>
    <w:rsid w:val="001A1599"/>
    <w:rsid w:val="001A4BB1"/>
    <w:rsid w:val="001A74EE"/>
    <w:rsid w:val="001B6C8E"/>
    <w:rsid w:val="001C1ED3"/>
    <w:rsid w:val="001C4334"/>
    <w:rsid w:val="001C54C0"/>
    <w:rsid w:val="001D08AB"/>
    <w:rsid w:val="001D1554"/>
    <w:rsid w:val="001F2EB0"/>
    <w:rsid w:val="001F4071"/>
    <w:rsid w:val="001F7AB4"/>
    <w:rsid w:val="00200215"/>
    <w:rsid w:val="00201D2E"/>
    <w:rsid w:val="00202F77"/>
    <w:rsid w:val="0020698C"/>
    <w:rsid w:val="00213B5A"/>
    <w:rsid w:val="002145A0"/>
    <w:rsid w:val="00214787"/>
    <w:rsid w:val="00214C5F"/>
    <w:rsid w:val="00216CD9"/>
    <w:rsid w:val="002175B4"/>
    <w:rsid w:val="002175FA"/>
    <w:rsid w:val="00237C57"/>
    <w:rsid w:val="002407ED"/>
    <w:rsid w:val="0024101D"/>
    <w:rsid w:val="0024118D"/>
    <w:rsid w:val="00242349"/>
    <w:rsid w:val="002437CE"/>
    <w:rsid w:val="00257E8E"/>
    <w:rsid w:val="0027118A"/>
    <w:rsid w:val="00273E68"/>
    <w:rsid w:val="00275560"/>
    <w:rsid w:val="002757D6"/>
    <w:rsid w:val="00276933"/>
    <w:rsid w:val="00276C6F"/>
    <w:rsid w:val="002826CF"/>
    <w:rsid w:val="00286F8B"/>
    <w:rsid w:val="0028700E"/>
    <w:rsid w:val="002906A8"/>
    <w:rsid w:val="00291776"/>
    <w:rsid w:val="002A46E6"/>
    <w:rsid w:val="002B3760"/>
    <w:rsid w:val="002B40E7"/>
    <w:rsid w:val="002B451B"/>
    <w:rsid w:val="002D18BC"/>
    <w:rsid w:val="002D37E8"/>
    <w:rsid w:val="002D4321"/>
    <w:rsid w:val="002D5134"/>
    <w:rsid w:val="002D6E8A"/>
    <w:rsid w:val="002E062B"/>
    <w:rsid w:val="002E114E"/>
    <w:rsid w:val="002E2824"/>
    <w:rsid w:val="00304D17"/>
    <w:rsid w:val="0030724F"/>
    <w:rsid w:val="0030765E"/>
    <w:rsid w:val="003135B3"/>
    <w:rsid w:val="003161B5"/>
    <w:rsid w:val="003257FC"/>
    <w:rsid w:val="00331CA1"/>
    <w:rsid w:val="00332A9D"/>
    <w:rsid w:val="00341AD1"/>
    <w:rsid w:val="00342AA7"/>
    <w:rsid w:val="00344E0C"/>
    <w:rsid w:val="003454DF"/>
    <w:rsid w:val="0034670D"/>
    <w:rsid w:val="00351EF9"/>
    <w:rsid w:val="00353DD8"/>
    <w:rsid w:val="00354833"/>
    <w:rsid w:val="003646BC"/>
    <w:rsid w:val="00367C86"/>
    <w:rsid w:val="00367F1F"/>
    <w:rsid w:val="00371AA2"/>
    <w:rsid w:val="00374D5D"/>
    <w:rsid w:val="00380031"/>
    <w:rsid w:val="00385053"/>
    <w:rsid w:val="00390EB1"/>
    <w:rsid w:val="003919C3"/>
    <w:rsid w:val="00396006"/>
    <w:rsid w:val="00396334"/>
    <w:rsid w:val="003A10B8"/>
    <w:rsid w:val="003A2497"/>
    <w:rsid w:val="003A27C7"/>
    <w:rsid w:val="003A4081"/>
    <w:rsid w:val="003A44F9"/>
    <w:rsid w:val="003B0974"/>
    <w:rsid w:val="003B0EDC"/>
    <w:rsid w:val="003B4C41"/>
    <w:rsid w:val="003B5F63"/>
    <w:rsid w:val="003C11F4"/>
    <w:rsid w:val="003C6D5D"/>
    <w:rsid w:val="003C7DE1"/>
    <w:rsid w:val="003D3CA8"/>
    <w:rsid w:val="003D5E1D"/>
    <w:rsid w:val="003E0909"/>
    <w:rsid w:val="003E0E7D"/>
    <w:rsid w:val="003E1E21"/>
    <w:rsid w:val="003E3C59"/>
    <w:rsid w:val="003E4200"/>
    <w:rsid w:val="004021AA"/>
    <w:rsid w:val="004026A8"/>
    <w:rsid w:val="00403641"/>
    <w:rsid w:val="00404BB1"/>
    <w:rsid w:val="00412232"/>
    <w:rsid w:val="0041236A"/>
    <w:rsid w:val="004146FB"/>
    <w:rsid w:val="0041524A"/>
    <w:rsid w:val="00417427"/>
    <w:rsid w:val="004245D2"/>
    <w:rsid w:val="00424ADF"/>
    <w:rsid w:val="004250F5"/>
    <w:rsid w:val="00425CED"/>
    <w:rsid w:val="00426B4E"/>
    <w:rsid w:val="00434E8D"/>
    <w:rsid w:val="00434E94"/>
    <w:rsid w:val="00441CD6"/>
    <w:rsid w:val="004439C1"/>
    <w:rsid w:val="0044586F"/>
    <w:rsid w:val="00446BC8"/>
    <w:rsid w:val="004476C0"/>
    <w:rsid w:val="00451144"/>
    <w:rsid w:val="00452B88"/>
    <w:rsid w:val="0045342E"/>
    <w:rsid w:val="00455752"/>
    <w:rsid w:val="004652B3"/>
    <w:rsid w:val="00471E52"/>
    <w:rsid w:val="00473498"/>
    <w:rsid w:val="004752A1"/>
    <w:rsid w:val="00487199"/>
    <w:rsid w:val="0049217C"/>
    <w:rsid w:val="00495584"/>
    <w:rsid w:val="00495CBF"/>
    <w:rsid w:val="00496CB8"/>
    <w:rsid w:val="004A05E0"/>
    <w:rsid w:val="004A0B65"/>
    <w:rsid w:val="004A4DB2"/>
    <w:rsid w:val="004B0C7F"/>
    <w:rsid w:val="004B57C8"/>
    <w:rsid w:val="004C5D72"/>
    <w:rsid w:val="004D1607"/>
    <w:rsid w:val="004D6A3E"/>
    <w:rsid w:val="004D70AC"/>
    <w:rsid w:val="004E039C"/>
    <w:rsid w:val="004E483F"/>
    <w:rsid w:val="004F0008"/>
    <w:rsid w:val="004F072A"/>
    <w:rsid w:val="004F15CF"/>
    <w:rsid w:val="00504B02"/>
    <w:rsid w:val="005059C9"/>
    <w:rsid w:val="00514FF3"/>
    <w:rsid w:val="00527D05"/>
    <w:rsid w:val="005302BC"/>
    <w:rsid w:val="00536486"/>
    <w:rsid w:val="00536BD0"/>
    <w:rsid w:val="005414F5"/>
    <w:rsid w:val="00547581"/>
    <w:rsid w:val="00554753"/>
    <w:rsid w:val="00561370"/>
    <w:rsid w:val="0056281C"/>
    <w:rsid w:val="005656FF"/>
    <w:rsid w:val="0056615A"/>
    <w:rsid w:val="005733C5"/>
    <w:rsid w:val="00582E74"/>
    <w:rsid w:val="00582FD3"/>
    <w:rsid w:val="00583E8D"/>
    <w:rsid w:val="00584E85"/>
    <w:rsid w:val="00585161"/>
    <w:rsid w:val="00586D30"/>
    <w:rsid w:val="00594A86"/>
    <w:rsid w:val="005A3154"/>
    <w:rsid w:val="005B1C39"/>
    <w:rsid w:val="005B1FC2"/>
    <w:rsid w:val="005B5784"/>
    <w:rsid w:val="005C020E"/>
    <w:rsid w:val="005C1648"/>
    <w:rsid w:val="005C3B7F"/>
    <w:rsid w:val="005C7372"/>
    <w:rsid w:val="005E23B6"/>
    <w:rsid w:val="005E3B5F"/>
    <w:rsid w:val="005E5B2C"/>
    <w:rsid w:val="005F08BE"/>
    <w:rsid w:val="005F1F58"/>
    <w:rsid w:val="005F2005"/>
    <w:rsid w:val="005F4472"/>
    <w:rsid w:val="005F4B4A"/>
    <w:rsid w:val="005F4E23"/>
    <w:rsid w:val="006025A1"/>
    <w:rsid w:val="00602630"/>
    <w:rsid w:val="00602B89"/>
    <w:rsid w:val="00614B2A"/>
    <w:rsid w:val="006222A2"/>
    <w:rsid w:val="00625B47"/>
    <w:rsid w:val="00625B4E"/>
    <w:rsid w:val="00626D8E"/>
    <w:rsid w:val="006318F0"/>
    <w:rsid w:val="00631C52"/>
    <w:rsid w:val="006327D7"/>
    <w:rsid w:val="00632E6B"/>
    <w:rsid w:val="00636172"/>
    <w:rsid w:val="00636704"/>
    <w:rsid w:val="00637CBF"/>
    <w:rsid w:val="00640FE3"/>
    <w:rsid w:val="0064194C"/>
    <w:rsid w:val="00647D8B"/>
    <w:rsid w:val="00651B0E"/>
    <w:rsid w:val="00652F0F"/>
    <w:rsid w:val="0065353C"/>
    <w:rsid w:val="00661817"/>
    <w:rsid w:val="00662957"/>
    <w:rsid w:val="0066547D"/>
    <w:rsid w:val="0066630B"/>
    <w:rsid w:val="00671BFD"/>
    <w:rsid w:val="00675E30"/>
    <w:rsid w:val="00675FEB"/>
    <w:rsid w:val="00681D84"/>
    <w:rsid w:val="00686A60"/>
    <w:rsid w:val="00687977"/>
    <w:rsid w:val="00690C5E"/>
    <w:rsid w:val="00693D4D"/>
    <w:rsid w:val="00694CDD"/>
    <w:rsid w:val="00696AA6"/>
    <w:rsid w:val="006B0C1B"/>
    <w:rsid w:val="006B7941"/>
    <w:rsid w:val="006C4E2E"/>
    <w:rsid w:val="006E0FE7"/>
    <w:rsid w:val="006E2A71"/>
    <w:rsid w:val="006F198A"/>
    <w:rsid w:val="006F2884"/>
    <w:rsid w:val="006F331B"/>
    <w:rsid w:val="006F3B48"/>
    <w:rsid w:val="006F55FB"/>
    <w:rsid w:val="006F5EDD"/>
    <w:rsid w:val="006F66C0"/>
    <w:rsid w:val="006F721B"/>
    <w:rsid w:val="0071025E"/>
    <w:rsid w:val="007114E7"/>
    <w:rsid w:val="007147C7"/>
    <w:rsid w:val="007200C9"/>
    <w:rsid w:val="007320F5"/>
    <w:rsid w:val="007325E3"/>
    <w:rsid w:val="007379B9"/>
    <w:rsid w:val="00742F0C"/>
    <w:rsid w:val="007508D7"/>
    <w:rsid w:val="00752198"/>
    <w:rsid w:val="00766300"/>
    <w:rsid w:val="007734D7"/>
    <w:rsid w:val="0077618A"/>
    <w:rsid w:val="00781586"/>
    <w:rsid w:val="00782774"/>
    <w:rsid w:val="00783CBC"/>
    <w:rsid w:val="0078402D"/>
    <w:rsid w:val="00784A4F"/>
    <w:rsid w:val="00784EBB"/>
    <w:rsid w:val="00787019"/>
    <w:rsid w:val="00790103"/>
    <w:rsid w:val="00790C3D"/>
    <w:rsid w:val="00791BEF"/>
    <w:rsid w:val="00793CE4"/>
    <w:rsid w:val="007A2F42"/>
    <w:rsid w:val="007A5C53"/>
    <w:rsid w:val="007A677E"/>
    <w:rsid w:val="007A67E7"/>
    <w:rsid w:val="007B0D3A"/>
    <w:rsid w:val="007B63AF"/>
    <w:rsid w:val="007B75BE"/>
    <w:rsid w:val="007C375B"/>
    <w:rsid w:val="007C748F"/>
    <w:rsid w:val="007D6BB8"/>
    <w:rsid w:val="007E13C2"/>
    <w:rsid w:val="007E31BA"/>
    <w:rsid w:val="007E3376"/>
    <w:rsid w:val="007E61E9"/>
    <w:rsid w:val="007F038B"/>
    <w:rsid w:val="007F24ED"/>
    <w:rsid w:val="007F67C2"/>
    <w:rsid w:val="00800261"/>
    <w:rsid w:val="00804367"/>
    <w:rsid w:val="008043DB"/>
    <w:rsid w:val="00805425"/>
    <w:rsid w:val="00807331"/>
    <w:rsid w:val="00811EBA"/>
    <w:rsid w:val="00820541"/>
    <w:rsid w:val="00824E84"/>
    <w:rsid w:val="00825951"/>
    <w:rsid w:val="00825D76"/>
    <w:rsid w:val="0082648E"/>
    <w:rsid w:val="0082793B"/>
    <w:rsid w:val="0083290B"/>
    <w:rsid w:val="00833CEF"/>
    <w:rsid w:val="00835556"/>
    <w:rsid w:val="008377FD"/>
    <w:rsid w:val="008402E0"/>
    <w:rsid w:val="00850EE0"/>
    <w:rsid w:val="008512EF"/>
    <w:rsid w:val="0085213E"/>
    <w:rsid w:val="0085214F"/>
    <w:rsid w:val="008649C9"/>
    <w:rsid w:val="0086660E"/>
    <w:rsid w:val="00867E3E"/>
    <w:rsid w:val="008724B6"/>
    <w:rsid w:val="00874D4D"/>
    <w:rsid w:val="008A17C9"/>
    <w:rsid w:val="008A5B5B"/>
    <w:rsid w:val="008B1EB3"/>
    <w:rsid w:val="008C46F0"/>
    <w:rsid w:val="008C65D5"/>
    <w:rsid w:val="008D3709"/>
    <w:rsid w:val="008D6297"/>
    <w:rsid w:val="008E09B5"/>
    <w:rsid w:val="008E11E0"/>
    <w:rsid w:val="008E204B"/>
    <w:rsid w:val="008E27B6"/>
    <w:rsid w:val="008E359B"/>
    <w:rsid w:val="008F0177"/>
    <w:rsid w:val="0090228B"/>
    <w:rsid w:val="00903F24"/>
    <w:rsid w:val="009107F6"/>
    <w:rsid w:val="00911F3C"/>
    <w:rsid w:val="00914A0E"/>
    <w:rsid w:val="00915705"/>
    <w:rsid w:val="00915E7D"/>
    <w:rsid w:val="0091725B"/>
    <w:rsid w:val="00921D1F"/>
    <w:rsid w:val="00923256"/>
    <w:rsid w:val="009263FC"/>
    <w:rsid w:val="009320AD"/>
    <w:rsid w:val="00932B4F"/>
    <w:rsid w:val="00933E77"/>
    <w:rsid w:val="00934865"/>
    <w:rsid w:val="0094032E"/>
    <w:rsid w:val="0094248D"/>
    <w:rsid w:val="009445E9"/>
    <w:rsid w:val="00946A73"/>
    <w:rsid w:val="00946E63"/>
    <w:rsid w:val="00953284"/>
    <w:rsid w:val="00953A28"/>
    <w:rsid w:val="00953A34"/>
    <w:rsid w:val="00953BE3"/>
    <w:rsid w:val="00956D20"/>
    <w:rsid w:val="00963232"/>
    <w:rsid w:val="009737FC"/>
    <w:rsid w:val="00980E00"/>
    <w:rsid w:val="00980F67"/>
    <w:rsid w:val="00986F48"/>
    <w:rsid w:val="00990BD1"/>
    <w:rsid w:val="009955E7"/>
    <w:rsid w:val="00995C46"/>
    <w:rsid w:val="009A2EF3"/>
    <w:rsid w:val="009A714F"/>
    <w:rsid w:val="009C11B4"/>
    <w:rsid w:val="009C364E"/>
    <w:rsid w:val="009C7492"/>
    <w:rsid w:val="009D1599"/>
    <w:rsid w:val="009F1002"/>
    <w:rsid w:val="009F14F3"/>
    <w:rsid w:val="009F1738"/>
    <w:rsid w:val="009F1D75"/>
    <w:rsid w:val="009F6ACD"/>
    <w:rsid w:val="009F6C72"/>
    <w:rsid w:val="00A012C5"/>
    <w:rsid w:val="00A044C6"/>
    <w:rsid w:val="00A058CF"/>
    <w:rsid w:val="00A06713"/>
    <w:rsid w:val="00A06F50"/>
    <w:rsid w:val="00A107E5"/>
    <w:rsid w:val="00A11ED8"/>
    <w:rsid w:val="00A13E5A"/>
    <w:rsid w:val="00A13F69"/>
    <w:rsid w:val="00A14A93"/>
    <w:rsid w:val="00A15CE4"/>
    <w:rsid w:val="00A17A51"/>
    <w:rsid w:val="00A2286E"/>
    <w:rsid w:val="00A2326B"/>
    <w:rsid w:val="00A242A7"/>
    <w:rsid w:val="00A27866"/>
    <w:rsid w:val="00A30910"/>
    <w:rsid w:val="00A32F83"/>
    <w:rsid w:val="00A3745F"/>
    <w:rsid w:val="00A40D8D"/>
    <w:rsid w:val="00A40FE2"/>
    <w:rsid w:val="00A41703"/>
    <w:rsid w:val="00A54C23"/>
    <w:rsid w:val="00A60121"/>
    <w:rsid w:val="00A62E6E"/>
    <w:rsid w:val="00A630E8"/>
    <w:rsid w:val="00A64253"/>
    <w:rsid w:val="00A66D54"/>
    <w:rsid w:val="00A70702"/>
    <w:rsid w:val="00A7254A"/>
    <w:rsid w:val="00A73CC5"/>
    <w:rsid w:val="00A758BF"/>
    <w:rsid w:val="00A815E4"/>
    <w:rsid w:val="00A81C8F"/>
    <w:rsid w:val="00A820ED"/>
    <w:rsid w:val="00A83619"/>
    <w:rsid w:val="00A83FA2"/>
    <w:rsid w:val="00A84585"/>
    <w:rsid w:val="00A92CCE"/>
    <w:rsid w:val="00A932AB"/>
    <w:rsid w:val="00A953A6"/>
    <w:rsid w:val="00A96907"/>
    <w:rsid w:val="00A96E4E"/>
    <w:rsid w:val="00AA67AA"/>
    <w:rsid w:val="00AA7321"/>
    <w:rsid w:val="00AB4F34"/>
    <w:rsid w:val="00AB659A"/>
    <w:rsid w:val="00AC5B45"/>
    <w:rsid w:val="00AD4F48"/>
    <w:rsid w:val="00AD6A18"/>
    <w:rsid w:val="00AE25F3"/>
    <w:rsid w:val="00AF0257"/>
    <w:rsid w:val="00AF0358"/>
    <w:rsid w:val="00AF4C0F"/>
    <w:rsid w:val="00B100DE"/>
    <w:rsid w:val="00B10FE6"/>
    <w:rsid w:val="00B13FC0"/>
    <w:rsid w:val="00B15A6A"/>
    <w:rsid w:val="00B16A84"/>
    <w:rsid w:val="00B16A87"/>
    <w:rsid w:val="00B368BC"/>
    <w:rsid w:val="00B409B7"/>
    <w:rsid w:val="00B419C0"/>
    <w:rsid w:val="00B425C6"/>
    <w:rsid w:val="00B44BF2"/>
    <w:rsid w:val="00B44F39"/>
    <w:rsid w:val="00B510EE"/>
    <w:rsid w:val="00B5239D"/>
    <w:rsid w:val="00B53A94"/>
    <w:rsid w:val="00B5760B"/>
    <w:rsid w:val="00B62DB0"/>
    <w:rsid w:val="00B6711D"/>
    <w:rsid w:val="00B67E38"/>
    <w:rsid w:val="00B73167"/>
    <w:rsid w:val="00B80483"/>
    <w:rsid w:val="00B81413"/>
    <w:rsid w:val="00B8225D"/>
    <w:rsid w:val="00B843DE"/>
    <w:rsid w:val="00B8514F"/>
    <w:rsid w:val="00B8745F"/>
    <w:rsid w:val="00B97099"/>
    <w:rsid w:val="00BA0CBF"/>
    <w:rsid w:val="00BA17F7"/>
    <w:rsid w:val="00BA3656"/>
    <w:rsid w:val="00BB1BCB"/>
    <w:rsid w:val="00BB302B"/>
    <w:rsid w:val="00BB3AC7"/>
    <w:rsid w:val="00BB4E76"/>
    <w:rsid w:val="00BB5E45"/>
    <w:rsid w:val="00BB7BF0"/>
    <w:rsid w:val="00BC6DB9"/>
    <w:rsid w:val="00BC75A1"/>
    <w:rsid w:val="00BC781C"/>
    <w:rsid w:val="00BD202F"/>
    <w:rsid w:val="00BD739C"/>
    <w:rsid w:val="00BE30FF"/>
    <w:rsid w:val="00BE7B4D"/>
    <w:rsid w:val="00BF1771"/>
    <w:rsid w:val="00BF22E8"/>
    <w:rsid w:val="00BF3EA5"/>
    <w:rsid w:val="00BF458E"/>
    <w:rsid w:val="00BF5D63"/>
    <w:rsid w:val="00BF7037"/>
    <w:rsid w:val="00C13573"/>
    <w:rsid w:val="00C13B74"/>
    <w:rsid w:val="00C20E5C"/>
    <w:rsid w:val="00C217C3"/>
    <w:rsid w:val="00C228B6"/>
    <w:rsid w:val="00C37BE8"/>
    <w:rsid w:val="00C41CB8"/>
    <w:rsid w:val="00C44CE8"/>
    <w:rsid w:val="00C52BAC"/>
    <w:rsid w:val="00C530C7"/>
    <w:rsid w:val="00C53484"/>
    <w:rsid w:val="00C56DAD"/>
    <w:rsid w:val="00C57B0B"/>
    <w:rsid w:val="00C57E28"/>
    <w:rsid w:val="00C6259C"/>
    <w:rsid w:val="00C67CD9"/>
    <w:rsid w:val="00C70195"/>
    <w:rsid w:val="00C7230D"/>
    <w:rsid w:val="00C75733"/>
    <w:rsid w:val="00C852F6"/>
    <w:rsid w:val="00C8672B"/>
    <w:rsid w:val="00C91540"/>
    <w:rsid w:val="00C92D48"/>
    <w:rsid w:val="00C948E0"/>
    <w:rsid w:val="00C97518"/>
    <w:rsid w:val="00CA10B0"/>
    <w:rsid w:val="00CA34CD"/>
    <w:rsid w:val="00CA60C5"/>
    <w:rsid w:val="00CB0813"/>
    <w:rsid w:val="00CB200C"/>
    <w:rsid w:val="00CB322C"/>
    <w:rsid w:val="00CB7D41"/>
    <w:rsid w:val="00CC1DE9"/>
    <w:rsid w:val="00CD1202"/>
    <w:rsid w:val="00CE5AF4"/>
    <w:rsid w:val="00CE7BDD"/>
    <w:rsid w:val="00CE7FD0"/>
    <w:rsid w:val="00CF0082"/>
    <w:rsid w:val="00D00872"/>
    <w:rsid w:val="00D05C35"/>
    <w:rsid w:val="00D07B0A"/>
    <w:rsid w:val="00D108C6"/>
    <w:rsid w:val="00D161FA"/>
    <w:rsid w:val="00D20BB3"/>
    <w:rsid w:val="00D2141D"/>
    <w:rsid w:val="00D21554"/>
    <w:rsid w:val="00D2545C"/>
    <w:rsid w:val="00D26A94"/>
    <w:rsid w:val="00D35755"/>
    <w:rsid w:val="00D42FCF"/>
    <w:rsid w:val="00D470DF"/>
    <w:rsid w:val="00D500B4"/>
    <w:rsid w:val="00D5378F"/>
    <w:rsid w:val="00D66556"/>
    <w:rsid w:val="00D746BB"/>
    <w:rsid w:val="00D80BE2"/>
    <w:rsid w:val="00D80F48"/>
    <w:rsid w:val="00D82A12"/>
    <w:rsid w:val="00D938FD"/>
    <w:rsid w:val="00D9567A"/>
    <w:rsid w:val="00DA0971"/>
    <w:rsid w:val="00DB342F"/>
    <w:rsid w:val="00DC26EC"/>
    <w:rsid w:val="00DC6552"/>
    <w:rsid w:val="00DD46BE"/>
    <w:rsid w:val="00DD67F4"/>
    <w:rsid w:val="00DD7EBB"/>
    <w:rsid w:val="00DE5B5B"/>
    <w:rsid w:val="00DE5FCB"/>
    <w:rsid w:val="00DE7CDE"/>
    <w:rsid w:val="00DF4E1F"/>
    <w:rsid w:val="00E007BE"/>
    <w:rsid w:val="00E00AD3"/>
    <w:rsid w:val="00E0188C"/>
    <w:rsid w:val="00E019B9"/>
    <w:rsid w:val="00E02F78"/>
    <w:rsid w:val="00E03993"/>
    <w:rsid w:val="00E14967"/>
    <w:rsid w:val="00E161EA"/>
    <w:rsid w:val="00E21955"/>
    <w:rsid w:val="00E236F1"/>
    <w:rsid w:val="00E30D85"/>
    <w:rsid w:val="00E33017"/>
    <w:rsid w:val="00E447D1"/>
    <w:rsid w:val="00E46992"/>
    <w:rsid w:val="00E53257"/>
    <w:rsid w:val="00E542C0"/>
    <w:rsid w:val="00E54F7D"/>
    <w:rsid w:val="00E60D2A"/>
    <w:rsid w:val="00E70E64"/>
    <w:rsid w:val="00E778ED"/>
    <w:rsid w:val="00E77FE8"/>
    <w:rsid w:val="00E91B46"/>
    <w:rsid w:val="00E92150"/>
    <w:rsid w:val="00E92EE7"/>
    <w:rsid w:val="00E93420"/>
    <w:rsid w:val="00E94136"/>
    <w:rsid w:val="00E94D02"/>
    <w:rsid w:val="00E950D4"/>
    <w:rsid w:val="00E965B1"/>
    <w:rsid w:val="00EA3CE1"/>
    <w:rsid w:val="00EA46E8"/>
    <w:rsid w:val="00EB1052"/>
    <w:rsid w:val="00EB39CE"/>
    <w:rsid w:val="00EC048D"/>
    <w:rsid w:val="00EC1590"/>
    <w:rsid w:val="00EC20D0"/>
    <w:rsid w:val="00EC3733"/>
    <w:rsid w:val="00EC724B"/>
    <w:rsid w:val="00ED46DD"/>
    <w:rsid w:val="00ED5F7D"/>
    <w:rsid w:val="00EE3EC2"/>
    <w:rsid w:val="00EE47CB"/>
    <w:rsid w:val="00EF30F2"/>
    <w:rsid w:val="00EF6F97"/>
    <w:rsid w:val="00F14028"/>
    <w:rsid w:val="00F162E5"/>
    <w:rsid w:val="00F167A8"/>
    <w:rsid w:val="00F244EE"/>
    <w:rsid w:val="00F35EE7"/>
    <w:rsid w:val="00F36344"/>
    <w:rsid w:val="00F42BAF"/>
    <w:rsid w:val="00F42EB0"/>
    <w:rsid w:val="00F43618"/>
    <w:rsid w:val="00F45A32"/>
    <w:rsid w:val="00F46BD6"/>
    <w:rsid w:val="00F50461"/>
    <w:rsid w:val="00F50E19"/>
    <w:rsid w:val="00F54DA6"/>
    <w:rsid w:val="00F57406"/>
    <w:rsid w:val="00F579D6"/>
    <w:rsid w:val="00F602D9"/>
    <w:rsid w:val="00F61B17"/>
    <w:rsid w:val="00F656C4"/>
    <w:rsid w:val="00F65BF9"/>
    <w:rsid w:val="00F72854"/>
    <w:rsid w:val="00F768BC"/>
    <w:rsid w:val="00F77A17"/>
    <w:rsid w:val="00F804BB"/>
    <w:rsid w:val="00F82D64"/>
    <w:rsid w:val="00F846C2"/>
    <w:rsid w:val="00F86E7A"/>
    <w:rsid w:val="00F938AB"/>
    <w:rsid w:val="00F94A8F"/>
    <w:rsid w:val="00F94B65"/>
    <w:rsid w:val="00F95851"/>
    <w:rsid w:val="00FA0A7E"/>
    <w:rsid w:val="00FA3352"/>
    <w:rsid w:val="00FA71CA"/>
    <w:rsid w:val="00FA7279"/>
    <w:rsid w:val="00FA736A"/>
    <w:rsid w:val="00FB6210"/>
    <w:rsid w:val="00FC0ECA"/>
    <w:rsid w:val="00FC158A"/>
    <w:rsid w:val="00FC416F"/>
    <w:rsid w:val="00FD4D7F"/>
    <w:rsid w:val="00FD5587"/>
    <w:rsid w:val="00FD63E6"/>
    <w:rsid w:val="00FE2A11"/>
    <w:rsid w:val="00FE43F8"/>
    <w:rsid w:val="00FF5D2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765E3"/>
  <w15:chartTrackingRefBased/>
  <w15:docId w15:val="{56C15773-4E08-134A-B331-096E15665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D5D"/>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699</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Grout</dc:creator>
  <cp:keywords/>
  <dc:description/>
  <cp:lastModifiedBy>Grout, Leah</cp:lastModifiedBy>
  <cp:revision>6</cp:revision>
  <dcterms:created xsi:type="dcterms:W3CDTF">2023-01-06T20:58:00Z</dcterms:created>
  <dcterms:modified xsi:type="dcterms:W3CDTF">2023-01-13T16:23:00Z</dcterms:modified>
</cp:coreProperties>
</file>