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75D8A" w14:textId="1E06C9DF" w:rsidR="00FA7CAF" w:rsidRDefault="00FA7CAF" w:rsidP="008670C9">
      <w:pPr>
        <w:pStyle w:val="Otsikko1"/>
        <w:rPr>
          <w:rFonts w:asciiTheme="minorHAnsi" w:hAnsiTheme="minorHAnsi" w:cstheme="minorHAnsi"/>
          <w:b/>
          <w:bCs/>
          <w:color w:val="000000" w:themeColor="text1"/>
          <w:lang w:val="en-US"/>
        </w:rPr>
      </w:pPr>
      <w:r w:rsidRPr="00CD3790">
        <w:rPr>
          <w:rFonts w:asciiTheme="minorHAnsi" w:hAnsiTheme="minorHAnsi" w:cstheme="minorHAnsi"/>
          <w:b/>
          <w:bCs/>
          <w:color w:val="000000" w:themeColor="text1"/>
          <w:lang w:val="en-US"/>
        </w:rPr>
        <w:t>Supplemental materials</w:t>
      </w:r>
    </w:p>
    <w:p w14:paraId="1BD4629C" w14:textId="77777777" w:rsidR="00220F05" w:rsidRDefault="00220F05" w:rsidP="00220F05">
      <w:pPr>
        <w:rPr>
          <w:lang w:val="en-US"/>
        </w:rPr>
      </w:pPr>
    </w:p>
    <w:p w14:paraId="384C3B3C" w14:textId="5F8942F6" w:rsidR="0034570C" w:rsidRPr="0034570C" w:rsidRDefault="00073685" w:rsidP="0034570C">
      <w:pPr>
        <w:pStyle w:val="Otsikko2"/>
        <w:rPr>
          <w:b/>
          <w:bCs/>
          <w:color w:val="000000" w:themeColor="text1"/>
          <w:sz w:val="28"/>
          <w:szCs w:val="28"/>
          <w:lang w:val="en-US"/>
        </w:rPr>
      </w:pPr>
      <w:r w:rsidRPr="0034570C">
        <w:rPr>
          <w:b/>
          <w:bCs/>
          <w:color w:val="000000" w:themeColor="text1"/>
          <w:sz w:val="28"/>
          <w:szCs w:val="28"/>
          <w:lang w:val="en-US"/>
        </w:rPr>
        <w:t>Methods</w:t>
      </w:r>
    </w:p>
    <w:p w14:paraId="31DECC71" w14:textId="77777777" w:rsidR="0034570C" w:rsidRPr="0034570C" w:rsidRDefault="0034570C" w:rsidP="0034570C">
      <w:pPr>
        <w:rPr>
          <w:lang w:val="en-US"/>
        </w:rPr>
      </w:pPr>
    </w:p>
    <w:p w14:paraId="472A0B5E" w14:textId="35DE0A41" w:rsidR="00073685" w:rsidRDefault="00073685" w:rsidP="007A78A9">
      <w:pPr>
        <w:spacing w:line="480" w:lineRule="auto"/>
        <w:rPr>
          <w:b/>
          <w:bCs/>
          <w:color w:val="000000" w:themeColor="text1"/>
          <w:lang w:val="en-US"/>
        </w:rPr>
      </w:pPr>
      <w:r w:rsidRPr="00D34CFB">
        <w:rPr>
          <w:b/>
          <w:bCs/>
          <w:color w:val="000000" w:themeColor="text1"/>
          <w:lang w:val="en-US"/>
        </w:rPr>
        <w:t>The coders, who were clinical psychologists or advanced psychology students, received an intense training about Lab-TAB coding principles and they had to achieve 80% reliability with the master coding videos before allowed to conduct independent coding. Additionally, they were supervised throughout the coding in case of problems and questions, and 10% of all videos were coded twice for reliability.</w:t>
      </w:r>
    </w:p>
    <w:p w14:paraId="2A9951F7" w14:textId="77777777" w:rsidR="000F6436" w:rsidRPr="00846C32" w:rsidRDefault="000F6436" w:rsidP="0034570C">
      <w:pPr>
        <w:pStyle w:val="BodyText1"/>
        <w:spacing w:before="60" w:after="60" w:line="480" w:lineRule="auto"/>
        <w:ind w:firstLine="1304"/>
        <w:jc w:val="both"/>
        <w:rPr>
          <w:rFonts w:cs="Times New Roman"/>
          <w:b/>
          <w:bCs/>
        </w:rPr>
      </w:pPr>
      <w:r w:rsidRPr="0034570C">
        <w:rPr>
          <w:rFonts w:cs="Times New Roman"/>
          <w:b/>
          <w:bCs/>
        </w:rPr>
        <w:t>Bacterial DNA was extracted from the samples using GXT Stool Extraction Kit VER 2.0 (Hain Lifescience GmbH, Nehren, Germany) as previously described.  DNA concentrations were measured using Qubit dsDNA HS Assay kit and Qubit 2.0 fluorometer (Thermo Fisher Scientific, Waltham, MA, USA). The variable region V4 of 16S rRNA was amplified using in-house generated primers, and the prepared gene libraries were sequenced using the MiSeq platform as previously described</w:t>
      </w:r>
      <w:r w:rsidRPr="0034570C">
        <w:rPr>
          <w:rFonts w:cs="Times New Roman"/>
          <w:b/>
          <w:bCs/>
          <w:vertAlign w:val="superscript"/>
        </w:rPr>
        <w:t xml:space="preserve"> </w:t>
      </w:r>
      <w:r w:rsidRPr="0034570C">
        <w:rPr>
          <w:rFonts w:cs="Times New Roman"/>
          <w:b/>
          <w:bCs/>
          <w:vertAlign w:val="superscript"/>
        </w:rPr>
        <w:fldChar w:fldCharType="begin"/>
      </w:r>
      <w:r w:rsidRPr="0034570C">
        <w:rPr>
          <w:rFonts w:cs="Times New Roman"/>
          <w:b/>
          <w:bCs/>
          <w:vertAlign w:val="superscript"/>
        </w:rPr>
        <w:instrText xml:space="preserve"> ADDIN ZOTERO_ITEM CSL_CITATION {"citationID":"pLeZfeT0","properties":{"formattedCitation":"(Rintala et al., 2018)","plainCitation":"(Rintala et al., 2018)","noteIndex":0},"citationItems":[{"id":194,"uris":["http://zotero.org/users/local/ITwPK4Tg/items/4XY7S7BV"],"itemData":{"id":194,"type":"article-journal","abstract":"Objectives: Several studies have reported that the intestinal microbiota composition of celiac disease (CD) patients differs from healthy individuals. The possible role of gut microbiota in the pathogenesis of the disease is, however, not known. Here, we aimed to assess the possible differences in early fecal microbiota composition between children that later developed CD and healthy controls matched for age, sex and HLA risk genotype.Materials and methods: We used 16S rRNA gene sequencing to examine the fecal microbiota of 27 children with high genetic risk of developing CD. Nine of these children developed the disease by the age of 4 years. Stool samples were collected at the age of 9 and 12 months, before any of the children had developed CD. The fecal microbiota composition of children who later developed the disease was compared with the microbiota of the children who did not have CD or associated autoantibodies at the age of 4 years. Delivery mode, early nutrition, and use of antibiotics were taken into account in the analyses.Results: No statistically significant differences in the fecal microbiota composition were found between children who later developed CD (n = 9) and the control children without disease or associated autoantibodies (n = 18).Conclusions: Based on our results, the fecal microbiota composition at the age of 9 and 12 months is not associated with the development of CD. Our results, however, do not exclude the possibility of duodenal microbiota changes or a later microbiota-related trigger for the disease.","container-title":"Scandinavian Journal of Gastroenterology","DOI":"10.1080/00365521.2018.1444788","ISSN":"0036-5521","issue":"4","note":"publisher: Taylor &amp; Francis\n_eprint: https://doi.org/10.1080/00365521.2018.1444788\nPMID: 29504486","page":"403-409","source":"Taylor and Francis+NEJM","title":"Early fecal microbiota composition in children who later develop celiac disease and associated autoimmunity","volume":"53","author":[{"family":"Rintala","given":"Anniina"},{"family":"Riikonen","given":"Iiris"},{"family":"Toivonen","given":"Anne"},{"family":"Pietilä","given":"Sami"},{"family":"Munukka","given":"Eveliina"},{"family":"Pursiheimo","given":"Juha-Pekka"},{"family":"Elo","given":"Laura L."},{"family":"Arikoski","given":"Pekka"},{"family":"Luopajärvi","given":"Kristiina"},{"family":"Schwab","given":"Ursula"},{"family":"Uusitupa","given":"Matti"},{"family":"Heinonen","given":"Seppo"},{"family":"Savilahti","given":"Erkki"},{"family":"Eerola","given":"Erkki"},{"family":"Ilonen","given":"Jorma"}],"issued":{"date-parts":[["2018",4,3]]}}}],"schema":"https://github.com/citation-style-language/schema/raw/master/csl-citation.json"} </w:instrText>
      </w:r>
      <w:r w:rsidRPr="0034570C">
        <w:rPr>
          <w:rFonts w:cs="Times New Roman"/>
          <w:b/>
          <w:bCs/>
          <w:vertAlign w:val="superscript"/>
        </w:rPr>
        <w:fldChar w:fldCharType="separate"/>
      </w:r>
      <w:r w:rsidRPr="0034570C">
        <w:rPr>
          <w:rFonts w:cs="Times New Roman"/>
          <w:b/>
          <w:bCs/>
          <w:noProof/>
        </w:rPr>
        <w:t>(Rintala et al., 2018)</w:t>
      </w:r>
      <w:r w:rsidRPr="0034570C">
        <w:rPr>
          <w:rFonts w:cs="Times New Roman"/>
          <w:b/>
          <w:bCs/>
          <w:vertAlign w:val="superscript"/>
        </w:rPr>
        <w:fldChar w:fldCharType="end"/>
      </w:r>
      <w:r w:rsidRPr="0034570C">
        <w:rPr>
          <w:rFonts w:cs="Times New Roman"/>
          <w:b/>
          <w:bCs/>
        </w:rPr>
        <w:t>.</w:t>
      </w:r>
      <w:r w:rsidRPr="0034570C">
        <w:rPr>
          <w:rFonts w:eastAsia="Times New Roman" w:cs="Times New Roman"/>
          <w:b/>
          <w:bCs/>
        </w:rPr>
        <w:t xml:space="preserve"> Negative and positive controls were included in the sequencing</w:t>
      </w:r>
      <w:r w:rsidRPr="0034570C">
        <w:rPr>
          <w:rFonts w:eastAsia="Calibri" w:cs="Times New Roman"/>
          <w:b/>
          <w:bCs/>
        </w:rPr>
        <w:t xml:space="preserve">: </w:t>
      </w:r>
      <w:r w:rsidRPr="0034570C">
        <w:rPr>
          <w:rFonts w:cs="Times New Roman"/>
          <w:b/>
          <w:bCs/>
        </w:rPr>
        <w:t xml:space="preserve">Extracted aqua samples were used as negative controls, while in-house generated plasmid mixes containing </w:t>
      </w:r>
      <w:r w:rsidRPr="0034570C">
        <w:rPr>
          <w:rFonts w:cs="Times New Roman"/>
          <w:b/>
          <w:bCs/>
          <w:i/>
          <w:iCs/>
        </w:rPr>
        <w:t xml:space="preserve">Lactobacillus acidophilus, Bifidobacterium adolescentis, Enterococcus faecalis, Staphylococcus epidermidis, Streptococcus pyogenes, Escherichia coli, </w:t>
      </w:r>
      <w:r w:rsidRPr="0034570C">
        <w:rPr>
          <w:rFonts w:cs="Times New Roman"/>
          <w:b/>
          <w:bCs/>
        </w:rPr>
        <w:t>and</w:t>
      </w:r>
      <w:r w:rsidRPr="0034570C">
        <w:rPr>
          <w:rFonts w:cs="Times New Roman"/>
          <w:b/>
          <w:bCs/>
          <w:i/>
          <w:iCs/>
        </w:rPr>
        <w:t xml:space="preserve"> Faecalibacterium prausnitzii </w:t>
      </w:r>
      <w:r w:rsidRPr="0034570C">
        <w:rPr>
          <w:rFonts w:cs="Times New Roman"/>
          <w:b/>
          <w:bCs/>
        </w:rPr>
        <w:t>were used as mock community positive controls</w:t>
      </w:r>
      <w:r w:rsidRPr="0034570C">
        <w:rPr>
          <w:rFonts w:cs="Times New Roman"/>
          <w:b/>
          <w:bCs/>
          <w:i/>
          <w:iCs/>
        </w:rPr>
        <w:t>.</w:t>
      </w:r>
      <w:r w:rsidRPr="0034570C">
        <w:rPr>
          <w:rFonts w:cs="Times New Roman"/>
          <w:b/>
          <w:bCs/>
        </w:rPr>
        <w:t xml:space="preserve">  Sequencing data was pre-processed with DADA2 pipeline</w:t>
      </w:r>
      <w:r w:rsidRPr="0034570C">
        <w:rPr>
          <w:rFonts w:cs="Times New Roman"/>
          <w:b/>
          <w:bCs/>
          <w:vertAlign w:val="superscript"/>
        </w:rPr>
        <w:t xml:space="preserve"> </w:t>
      </w:r>
      <w:r w:rsidRPr="0034570C">
        <w:rPr>
          <w:rFonts w:cs="Times New Roman"/>
          <w:b/>
          <w:bCs/>
          <w:vertAlign w:val="superscript"/>
        </w:rPr>
        <w:fldChar w:fldCharType="begin"/>
      </w:r>
      <w:r w:rsidRPr="0034570C">
        <w:rPr>
          <w:rFonts w:cs="Times New Roman"/>
          <w:b/>
          <w:bCs/>
          <w:vertAlign w:val="superscript"/>
        </w:rPr>
        <w:instrText xml:space="preserve"> ADDIN ZOTERO_ITEM CSL_CITATION {"citationID":"3dv1CTlD","properties":{"formattedCitation":"(Callahan et al., 2016)","plainCitation":"(Callahan et al., 2016)","noteIndex":0},"citationItems":[{"id":196,"uris":["http://zotero.org/users/local/ITwPK4Tg/items/R3Z54INI"],"itemData":{"id":196,"type":"article-journal","abstract":"DADA2 is an open-source software package that denoises and removes sequencing errors from Illumina amplicon sequence data to distinguish microbial sample sequences differing by as little as a single nucleotide.","container-title":"Nature Methods","DOI":"10.1038/nmeth.3869","ISSN":"1548-7105","issue":"7","journalAbbreviation":"Nat Methods","language":"en","license":"2016 Nature Publishing Group, a division of Macmillan Publishers Limited. All Rights Reserved.","note":"number: 7\npublisher: Nature Publishing Group","page":"581-583","source":"www.nature.com","title":"DADA2: High-resolution sample inference from Illumina amplicon data","title-short":"DADA2","volume":"13","author":[{"family":"Callahan","given":"Benjamin J."},{"family":"McMurdie","given":"Paul J."},{"family":"Rosen","given":"Michael J."},{"family":"Han","given":"Andrew W."},{"family":"Johnson","given":"Amy Jo A."},{"family":"Holmes","given":"Susan P."}],"issued":{"date-parts":[["2016",7]]}}}],"schema":"https://github.com/citation-style-language/schema/raw/master/csl-citation.json"} </w:instrText>
      </w:r>
      <w:r w:rsidRPr="0034570C">
        <w:rPr>
          <w:rFonts w:cs="Times New Roman"/>
          <w:b/>
          <w:bCs/>
          <w:vertAlign w:val="superscript"/>
        </w:rPr>
        <w:fldChar w:fldCharType="separate"/>
      </w:r>
      <w:r w:rsidRPr="0034570C">
        <w:rPr>
          <w:rFonts w:cs="Times New Roman"/>
          <w:b/>
          <w:bCs/>
          <w:noProof/>
        </w:rPr>
        <w:t>(Callahan et al., 2016)</w:t>
      </w:r>
      <w:r w:rsidRPr="0034570C">
        <w:rPr>
          <w:rFonts w:cs="Times New Roman"/>
          <w:b/>
          <w:bCs/>
          <w:vertAlign w:val="superscript"/>
        </w:rPr>
        <w:fldChar w:fldCharType="end"/>
      </w:r>
      <w:r w:rsidRPr="0034570C">
        <w:rPr>
          <w:rFonts w:cs="Times New Roman"/>
          <w:b/>
          <w:bCs/>
        </w:rPr>
        <w:t xml:space="preserve"> using SILVA as the taxonomy reference database as previously described</w:t>
      </w:r>
      <w:r w:rsidRPr="0034570C">
        <w:rPr>
          <w:rFonts w:cs="Times New Roman"/>
          <w:b/>
          <w:bCs/>
          <w:vertAlign w:val="superscript"/>
        </w:rPr>
        <w:t xml:space="preserve"> </w:t>
      </w:r>
      <w:r w:rsidRPr="0034570C">
        <w:rPr>
          <w:rFonts w:cs="Times New Roman"/>
          <w:b/>
          <w:bCs/>
          <w:vertAlign w:val="superscript"/>
        </w:rPr>
        <w:fldChar w:fldCharType="begin"/>
      </w:r>
      <w:r w:rsidRPr="0034570C">
        <w:rPr>
          <w:rFonts w:cs="Times New Roman"/>
          <w:b/>
          <w:bCs/>
          <w:vertAlign w:val="superscript"/>
        </w:rPr>
        <w:instrText xml:space="preserve"> ADDIN ZOTERO_ITEM CSL_CITATION {"citationID":"j5idtTso","properties":{"formattedCitation":"(Keskitalo et al., 2021)","plainCitation":"(Keskitalo et al., 2021)","noteIndex":0},"citationItems":[{"id":198,"uris":["http://zotero.org/users/local/ITwPK4Tg/items/C5AWWY9K"],"itemData":{"id":198,"type":"article-journal","abstract":"Human brain and intestinal microbes reportedly maintain a constant bidirectional connection through diverse neural, endocrine, immune, and metabolic pathways. Increasing evidence indicates that this communication system, referred to as microbiota-gut-brain axis, enables the gut microbes to influence several aspects of brain function and behavior, including hypothalamic-pituitary-adrenal (HPA) axis stress responses, and on the other hand, stress can affect gut microbiota. However, the role of gut microbiota in the HPA axis functioning in humans remains to be specified especially in early life. This study aimed at identifying the potential link between the cortisol stress response and the gut microbiota at the age of 2.5 months. Fecal microbiota profiles were acquired by 16S rRNA gene sequencing, while salivary cortisol responses after an exposure to a mild acute stressor represented the HPA axis reactivity. We observed that a blunted cortisol stress response was weakly associated with a diverse gut microbiota diversity at the age of 2.5 months. Gut microbiota composition was not associated with cortisol stress responsiveness, but rather with covariates, i.e. factors that influence gut microbiota composition and colonization.LAY SUMMARYThis exploratory study aimed at identifying possible links between cortisol stress responses and fecal microbiota composition in early infancy. In a well-characterized study population of 2.5-month-old infants, we observed that an attenuated cortisol stress responsiveness after a mild stressor was weakly associated with a diverse fecal microbiota. Our results suggest that the gut microbiota composition is associated with environmental factors, such as delivery mode and number of siblings, rather than with cortisol stress responsiveness, in this age group.","container-title":"Stress","DOI":"10.1080/10253890.2021.1895110","ISSN":"1025-3890","issue":"5","note":"publisher: Taylor &amp; Francis\n_eprint: https://doi.org/10.1080/10253890.2021.1895110\nPMID: 33729084","page":"551-560","source":"Taylor and Francis+NEJM","title":"Gut microbiota diversity but not composition is related to saliva cortisol stress response at the age of 2.5 months","volume":"24","author":[{"family":"Keskitalo","given":"Anniina"},{"family":"Aatsinki","given":"Anna-Katariina"},{"family":"Kortesluoma","given":"Susanna"},{"family":"Pelto","given":"Juho"},{"family":"Korhonen","given":"Laura"},{"family":"Lahti","given":"Leo"},{"family":"Lukkarinen","given":"Minna"},{"family":"Munukka","given":"Eveliina"},{"family":"Karlsson","given":"Hasse"},{"family":"Karlsson","given":"Linnea"}],"issued":{"date-parts":[["2021",9,3]]}}}],"schema":"https://github.com/citation-style-language/schema/raw/master/csl-citation.json"} </w:instrText>
      </w:r>
      <w:r w:rsidRPr="0034570C">
        <w:rPr>
          <w:rFonts w:cs="Times New Roman"/>
          <w:b/>
          <w:bCs/>
          <w:vertAlign w:val="superscript"/>
        </w:rPr>
        <w:fldChar w:fldCharType="separate"/>
      </w:r>
      <w:r w:rsidRPr="0034570C">
        <w:rPr>
          <w:rFonts w:cs="Times New Roman"/>
          <w:b/>
          <w:bCs/>
          <w:noProof/>
        </w:rPr>
        <w:t>(Keskitalo et al., 2021)</w:t>
      </w:r>
      <w:r w:rsidRPr="0034570C">
        <w:rPr>
          <w:rFonts w:cs="Times New Roman"/>
          <w:b/>
          <w:bCs/>
          <w:vertAlign w:val="superscript"/>
        </w:rPr>
        <w:fldChar w:fldCharType="end"/>
      </w:r>
      <w:r w:rsidRPr="0034570C">
        <w:rPr>
          <w:rFonts w:cs="Times New Roman"/>
          <w:b/>
          <w:bCs/>
        </w:rPr>
        <w:t xml:space="preserve">. The runs were monitored for low read counts in the negative controls and matching mock community composition (Supplemental Figure 8). </w:t>
      </w:r>
      <w:r w:rsidRPr="0034570C">
        <w:rPr>
          <w:rFonts w:cs="Times New Roman"/>
          <w:b/>
          <w:bCs/>
          <w:color w:val="212121"/>
          <w:shd w:val="clear" w:color="auto" w:fill="FFFFFF"/>
        </w:rPr>
        <w:t>The</w:t>
      </w:r>
      <w:r w:rsidRPr="00846C32">
        <w:rPr>
          <w:rFonts w:cs="Times New Roman"/>
          <w:b/>
          <w:bCs/>
          <w:color w:val="212121"/>
          <w:shd w:val="clear" w:color="auto" w:fill="FFFFFF"/>
        </w:rPr>
        <w:t xml:space="preserve"> resulting data set had on average 177166 reads (33401-1051913).</w:t>
      </w:r>
    </w:p>
    <w:p w14:paraId="466CDF62" w14:textId="77777777" w:rsidR="0034570C" w:rsidRDefault="000F6436" w:rsidP="0034570C">
      <w:pPr>
        <w:spacing w:line="480" w:lineRule="auto"/>
        <w:ind w:firstLine="1304"/>
        <w:jc w:val="both"/>
        <w:rPr>
          <w:b/>
          <w:bCs/>
          <w:color w:val="000000" w:themeColor="text1"/>
          <w:lang w:val="en-US"/>
        </w:rPr>
      </w:pPr>
      <w:r w:rsidRPr="0034570C">
        <w:rPr>
          <w:b/>
          <w:bCs/>
          <w:lang w:val="en-US"/>
        </w:rPr>
        <w:t xml:space="preserve">Analysis of SCFA was performed on fecal homogenate crashed with methanol 1:10 weight: volume (feces: solvent). Samples were first vortexed for 1 min, followed by filtration </w:t>
      </w:r>
      <w:r w:rsidRPr="0034570C">
        <w:rPr>
          <w:b/>
          <w:bCs/>
          <w:lang w:val="en-US"/>
        </w:rPr>
        <w:lastRenderedPageBreak/>
        <w:t xml:space="preserve">using 96-Well protein precipitation filter plate </w:t>
      </w:r>
      <w:r w:rsidRPr="0034570C">
        <w:rPr>
          <w:b/>
          <w:bCs/>
          <w:color w:val="000000" w:themeColor="text1"/>
          <w:lang w:val="en-US"/>
        </w:rPr>
        <w:t>(Sigma-Aldrich, 55263-U) and the obtained aliquot was used for GC-MS analysis.  GC separation was performed on a Phenomenex Zebron ZB-WAXplus column (30 m × 250 μm × 0.25 μm). A sample volume of 1 μl was injected into a split/splitless inlet at 285°C using split mode at 2:1 split ratio. Septum purge flow and split flow were set to 13 ml min</w:t>
      </w:r>
      <w:r w:rsidRPr="0034570C">
        <w:rPr>
          <w:b/>
          <w:bCs/>
          <w:color w:val="000000" w:themeColor="text1"/>
          <w:vertAlign w:val="superscript"/>
          <w:lang w:val="en-US"/>
        </w:rPr>
        <w:t>-1</w:t>
      </w:r>
      <w:r w:rsidRPr="0034570C">
        <w:rPr>
          <w:b/>
          <w:bCs/>
          <w:color w:val="000000" w:themeColor="text1"/>
          <w:lang w:val="en-US"/>
        </w:rPr>
        <w:t xml:space="preserve"> and 3.2 ml min</w:t>
      </w:r>
      <w:r w:rsidRPr="0034570C">
        <w:rPr>
          <w:b/>
          <w:bCs/>
          <w:color w:val="000000" w:themeColor="text1"/>
          <w:vertAlign w:val="superscript"/>
          <w:lang w:val="en-US"/>
        </w:rPr>
        <w:t>-1</w:t>
      </w:r>
      <w:r w:rsidRPr="0034570C">
        <w:rPr>
          <w:b/>
          <w:bCs/>
          <w:color w:val="000000" w:themeColor="text1"/>
          <w:lang w:val="en-US"/>
        </w:rPr>
        <w:t>, respectively. Helium was used as carrier gas, at a constant flow rate of 1.6 ml min</w:t>
      </w:r>
      <w:r w:rsidRPr="0034570C">
        <w:rPr>
          <w:b/>
          <w:bCs/>
          <w:color w:val="000000" w:themeColor="text1"/>
          <w:vertAlign w:val="superscript"/>
          <w:lang w:val="en-US"/>
        </w:rPr>
        <w:t>-1</w:t>
      </w:r>
      <w:r w:rsidRPr="0034570C">
        <w:rPr>
          <w:b/>
          <w:bCs/>
          <w:color w:val="000000" w:themeColor="text1"/>
          <w:lang w:val="en-US"/>
        </w:rPr>
        <w:t>. The GC oven program was as follows: initial temperature 50°C, equilibration time 1.0 min, heat up to 150°C at the rate of 10°C min</w:t>
      </w:r>
      <w:r w:rsidRPr="0034570C">
        <w:rPr>
          <w:b/>
          <w:bCs/>
          <w:color w:val="000000" w:themeColor="text1"/>
          <w:vertAlign w:val="superscript"/>
          <w:lang w:val="en-US"/>
        </w:rPr>
        <w:t>-1</w:t>
      </w:r>
      <w:r w:rsidRPr="0034570C">
        <w:rPr>
          <w:b/>
          <w:bCs/>
          <w:color w:val="000000" w:themeColor="text1"/>
          <w:lang w:val="en-US"/>
        </w:rPr>
        <w:t>, then heat at the rate of 40°C min</w:t>
      </w:r>
      <w:r w:rsidRPr="0034570C">
        <w:rPr>
          <w:b/>
          <w:bCs/>
          <w:color w:val="000000" w:themeColor="text1"/>
          <w:vertAlign w:val="superscript"/>
          <w:lang w:val="en-US"/>
        </w:rPr>
        <w:t>-1</w:t>
      </w:r>
      <w:r w:rsidRPr="0034570C">
        <w:rPr>
          <w:b/>
          <w:bCs/>
          <w:color w:val="000000" w:themeColor="text1"/>
          <w:lang w:val="en-US"/>
        </w:rPr>
        <w:t xml:space="preserve"> until 230°C and hold for 2 min. Mass spectra were recorded in Selected Ion Monitoring (SIM) mode. The detector was switched off during the 1 min of solvent delay time. The transfer line, ion source and quadrupole temperatures were set to 230, 230 and 150°C, respectively. Dilution series of SCFA standards of acetic, propionic, butyric, valeric, hexanoic acid, isobutyric, and iso-valeric acid were prepared in concentrations of 0.1, 0.5, 1, 2, 5, 10, 20, 40, and 100 ppm for the construction of standard curves for quantification.</w:t>
      </w:r>
    </w:p>
    <w:p w14:paraId="60A0D741" w14:textId="7F763907" w:rsidR="007A78A9" w:rsidRDefault="007A78A9" w:rsidP="0034570C">
      <w:pPr>
        <w:spacing w:line="480" w:lineRule="auto"/>
        <w:ind w:firstLine="1304"/>
        <w:jc w:val="both"/>
        <w:rPr>
          <w:b/>
          <w:bCs/>
          <w:color w:val="000000" w:themeColor="text1"/>
          <w:lang w:val="en-US"/>
        </w:rPr>
      </w:pPr>
      <w:r w:rsidRPr="00D34CFB">
        <w:rPr>
          <w:b/>
          <w:bCs/>
          <w:color w:val="000000" w:themeColor="text1"/>
          <w:lang w:val="en-US"/>
        </w:rPr>
        <w:t xml:space="preserve">We chose to use Shannon index as a measure of alpha diversity and Bray-Curtis distance measure as a beta diversity index since they are commonly used measures of these diversities in previous research </w:t>
      </w:r>
      <w:r w:rsidRPr="00D34CFB">
        <w:rPr>
          <w:b/>
          <w:bCs/>
          <w:color w:val="000000" w:themeColor="text1"/>
          <w:lang w:val="en-US"/>
        </w:rPr>
        <w:fldChar w:fldCharType="begin"/>
      </w:r>
      <w:r w:rsidRPr="00D34CFB">
        <w:rPr>
          <w:b/>
          <w:bCs/>
          <w:color w:val="000000" w:themeColor="text1"/>
          <w:lang w:val="en-US"/>
        </w:rPr>
        <w:instrText xml:space="preserve"> ADDIN ZOTERO_ITEM CSL_CITATION {"citationID":"e8QDe4hK","properties":{"formattedCitation":"(Aatsinki et al., 2019; Christian et al., 2015; Wang et al., 2020)","plainCitation":"(Aatsinki et al., 2019; Christian et al., 2015; Wang et al., 2020)","noteIndex":0},"citationItems":[{"id":103,"uris":["http://zotero.org/users/local/ITwPK4Tg/items/YLKL5V7P"],"itemData":{"id":103,"type":"article-journal","abstract":"Background\nOne of the key behavioral phenotypes in infancy are different temperament traits, and certain early life temperament traits have been shown to precede later mental health problems. Differences in the gut microbiota composition (GMC) have been suggested to link with neurodevelopment. For example, toddler temperament traits have been found to associate with differences in GMC; however, studies in infants are lacking although infancy is a rapid period of neurodevelopment as well as GM development. Thus, we aimed to investigate association between infant GMC and temperament.\nMethods\nThe study population (n = 301, 53% boys) was drawn from the FinnBrain Birth Cohort Study. Stool samples were collected from the 2.5-month-old infants and sequenced with 16S Illumina MiSeq platform. GMC taxonomic composition (at Genus and OTU level), observed sample clusters, diversity and richness were investigated in relation to the maternal reports of Infant Behavior Questionnaire -Revised (IBQ-R) at the age of 6 months.\nResults\nThree sample clusters (Bifidobacterium/Enterobacteriaceae, Bacteroides, V. Dispar) based on GMC were identified, of which Bifidobacterium/Enterobacteriaceae–cluster presented with higher scores on the IBQ-R main dimension regulation and its subscale duration of orienting compared to Bacteroides-cluster. The clusters associated with temperament in a sex-dependent manner. The IBQ-R main dimension surgency (positive emotionality) was associated positively both with genus Bifidobacterium and Streptococcus. Alpha diversity had a negative association with negative emotionality and fear reactivity.\nConclusion\nThis is the first study demonstrating associations, but not causal connections, between GMC and temperament in young infants in a prospective design.","container-title":"Brain, Behavior, and Immunity","DOI":"10.1016/j.bbi.2019.05.035","ISSN":"0889-1591","journalAbbreviation":"Brain, Behavior, and Immunity","language":"en","page":"849-858","source":"ScienceDirect","title":"Gut microbiota composition is associated with temperament traits in infants","volume":"80","author":[{"family":"Aatsinki","given":"Anna-Katariina"},{"family":"Lahti","given":"Leo"},{"family":"Uusitupa","given":"Henna-Maria"},{"family":"Munukka","given":"Eveliina"},{"family":"Keskitalo","given":"Anniina"},{"family":"Nolvi","given":"Saara"},{"family":"O'Mahony","given":"Siobhain"},{"family":"Pietilä","given":"Sami"},{"family":"Elo","given":"Laura L."},{"family":"Eerola","given":"Erkki"},{"family":"Karlsson","given":"Hasse"},{"family":"Karlsson","given":"Linnea"}],"issued":{"date-parts":[["2019",8,1]]}}},{"id":100,"uris":["http://zotero.org/users/local/ITwPK4Tg/items/4D7F37E4"],"itemData":{"id":100,"type":"article-journal","abstract":"Background: Understanding the dynamics of the gut–brain axis has clinical implications for physical and mental health conditions, including obesity and anxiety. As such disorders have early life antecedents, it is of value to determine if associations between the gut microbiome and behavior are present in early life in humans. Methods: We used next generation pyrosequencing to examine associations between the community structure of the gut microbiome and maternal ratings of child temperament in 77 children at 18–27months of age. It was hypothesized that children would differ in their gut microbial structure, as indicated by measures of alpha and beta diversity, based on their temperamental characteristics. Results: Among both boys and girls, greater Surgency/Extraversion was associated greater phylogenetic diversity. In addition, among boys only, subscales loading on this composite scale were associated with differences in phylogenetic diversity, the Shannon Diversity index (SDI), beta diversity, and differences in abundances of Dialister, Rikenellaceae, Ruminococcaceae, and Parabacteroides. In girls only, higher Effortful Control was associated with a lower SDI score and differences in both beta diversity and Rikenellaceae were observed in relation to Fear. Some differences in dietary patterns were observed in relation to temperament, but these did not account for the observed differences in the microbiome. Conclusions: Differences in gut microbiome composition, including alpha diversity, beta diversity, and abundances of specific bacterial species, were observed in association with temperament in toddlers. This study was cross-sectional and observational and, therefore, does not permit determination of the causal direction of effects. However, if bidirectional brain–gut relationships are present in humans in early life, this may represent an opportunity for intervention relevant to physical as well as mental health disorders.","container-title":"Brain, Behavior, and Immunity","DOI":"10.1016/j.bbi.2014.10.018","ISSN":"0889-1591","journalAbbreviation":"Brain, Behavior, and Immunity","language":"en","page":"118-127","source":"ScienceDirect","title":"Gut microbiome composition is associated with temperament during early childhood","volume":"45","author":[{"family":"Christian","given":"Lisa M."},{"family":"Galley","given":"Jeffrey D."},{"family":"Hade","given":"Erinn M."},{"family":"Schoppe-Sullivan","given":"Sarah"},{"family":"Kamp Dush","given":"Claire"},{"family":"Bailey","given":"Michael T."}],"issued":{"date-parts":[["2015",3,1]]}}},{"id":106,"uris":["http://zotero.org/users/local/ITwPK4Tg/items/L4WNNZSF"],"itemData":{"id":106,"type":"article-journal","abstract":"Infant temperament characteristics play a critical role in children’s developmental pathways and can predict adulthood psychopathology. The diversity and composition of the gut microbiota are associated with human temperament in both adults and young children. However, the relationship between the gut microbiota and temperament in 12-month-old infants is rarely studied; this developmental period is when temperament reaches a relatively stable stage. We used high-throughput sequencing methods to explore whether temperament characteristics were associated with gut microbiota diversity and composition. Infants’ fecal samples were collected at 12 months of age for the gut microbiota analysis. Based on the primary caregivers’ reports, infants’ temperaments were measured using the Infant Behavior Questionnaire-revised (IBQ-R). This study included 51 infants, including 20 boys and 31 girls, with a mean age of 12.25 months. Results showed that soothability was positively correlated with maternal education level (β = 0.29, p = 0.043, adjust p = 0.025) and the abundance of Bifidobacterium genera (β = 0.62, p = 0.004, adjust p = 0.002). Conversely, cuddliness was negatively correlated with the abundance of Hungatella genera. There was no significant difference in temperament based on gender. This study demonstrated that gut microbiota composition was associated with temperament in 12-month-old infants. These results point to the importance of gut microbiota balance. Future studies on the mechanisms behind the gut microbiota affecting temperament are warranted.","container-title":"Microorganisms","DOI":"10.3390/microorganisms8050753","ISSN":"2076-2607","issue":"5","language":"en","license":"http://creativecommons.org/licenses/by/3.0/","note":"number: 5\npublisher: Multidisciplinary Digital Publishing Institute","page":"753","source":"www.mdpi.com","title":"Association between Gut Microbiota and Infant’s Temperament in the First Year of Life in a Chinese Birth Cohort","volume":"8","author":[{"family":"Wang","given":"Ying"},{"family":"Chen","given":"Xiaoli"},{"family":"Yu","given":"Yun"},{"family":"Liu","given":"Yanqun"},{"family":"Zhang","given":"Qing"},{"family":"Bai","given":"Jinbing"}],"issued":{"date-parts":[["2020",5]]}}}],"schema":"https://github.com/citation-style-language/schema/raw/master/csl-citation.json"} </w:instrText>
      </w:r>
      <w:r w:rsidRPr="00D34CFB">
        <w:rPr>
          <w:b/>
          <w:bCs/>
          <w:color w:val="000000" w:themeColor="text1"/>
          <w:lang w:val="en-US"/>
        </w:rPr>
        <w:fldChar w:fldCharType="separate"/>
      </w:r>
      <w:r w:rsidRPr="00D34CFB">
        <w:rPr>
          <w:b/>
          <w:bCs/>
          <w:noProof/>
          <w:color w:val="000000" w:themeColor="text1"/>
          <w:lang w:val="en-US"/>
        </w:rPr>
        <w:t>(Aatsinki et al., 2019; Christian et al., 2015; Wang et al., 2020)</w:t>
      </w:r>
      <w:r w:rsidRPr="00D34CFB">
        <w:rPr>
          <w:b/>
          <w:bCs/>
          <w:color w:val="000000" w:themeColor="text1"/>
          <w:lang w:val="en-US"/>
        </w:rPr>
        <w:fldChar w:fldCharType="end"/>
      </w:r>
      <w:r w:rsidRPr="00D34CFB">
        <w:rPr>
          <w:b/>
          <w:bCs/>
          <w:color w:val="000000" w:themeColor="text1"/>
          <w:lang w:val="en-US"/>
        </w:rPr>
        <w:t>. In addition, we checked the associations by adding sensitivity analyses where we used Gini-Simpson, inverse Simpson and richness measures as an alpha diversity index as well as Unifrac and weighted Unifrac measures as a beta diversity index.</w:t>
      </w:r>
      <w:r w:rsidR="002B1A6C">
        <w:rPr>
          <w:b/>
          <w:bCs/>
          <w:color w:val="000000" w:themeColor="text1"/>
          <w:lang w:val="en-US"/>
        </w:rPr>
        <w:t xml:space="preserve"> </w:t>
      </w:r>
      <w:r w:rsidR="002B1A6C" w:rsidRPr="00306C5E">
        <w:rPr>
          <w:b/>
          <w:bCs/>
          <w:color w:val="000000" w:themeColor="text1"/>
          <w:lang w:val="en-US"/>
        </w:rPr>
        <w:t>Whereas richness focuses only on the estimated number of unique taxonomic groups, the diversity measures also take into account the evenness of their abundance distribution, and to what extent the community is dominated by a few taxa. Shannon diversity gives more emphasis for less abundant taxa tha</w:t>
      </w:r>
      <w:r w:rsidR="002B1A6C">
        <w:rPr>
          <w:b/>
          <w:bCs/>
          <w:color w:val="000000" w:themeColor="text1"/>
          <w:lang w:val="en-US"/>
        </w:rPr>
        <w:t>n</w:t>
      </w:r>
      <w:r w:rsidR="002B1A6C" w:rsidRPr="00306C5E">
        <w:rPr>
          <w:b/>
          <w:bCs/>
          <w:color w:val="000000" w:themeColor="text1"/>
          <w:lang w:val="en-US"/>
        </w:rPr>
        <w:t xml:space="preserve"> the inverse Simpson index, which emphasizes primarily the distribution of the most abundant taxonomic groups </w:t>
      </w:r>
      <w:r w:rsidR="002B1A6C" w:rsidRPr="00306C5E">
        <w:rPr>
          <w:b/>
          <w:bCs/>
          <w:color w:val="000000" w:themeColor="text1"/>
          <w:lang w:val="en-US"/>
        </w:rPr>
        <w:fldChar w:fldCharType="begin"/>
      </w:r>
      <w:r w:rsidR="002B1A6C" w:rsidRPr="00306C5E">
        <w:rPr>
          <w:b/>
          <w:bCs/>
          <w:color w:val="000000" w:themeColor="text1"/>
          <w:lang w:val="en-US"/>
        </w:rPr>
        <w:instrText xml:space="preserve"> ADDIN ZOTERO_ITEM CSL_CITATION {"citationID":"YqQSEJHg","properties":{"formattedCitation":"(Hill, 1973)","plainCitation":"(Hill, 1973)","noteIndex":0},"citationItems":[{"id":377,"uris":["http://zotero.org/users/local/ITwPK4Tg/items/T6WDHAIK"],"itemData":{"id":377,"type":"article-journal","abstract":"Three commonly used measures of diversity, Simpson's index, Shannon's entropy, and the total number of species, are related to Renyi's definition of a generalized entropy. A unified concept of diversity is presented, according to which there is a continuum of possible diversity measures. In a sense which becomes apparent, these measures provide estimates of the effective number of species present, and differ only in their tendency to include or to ignore the relatively rarer species. The notion of the diversity of a community as opposed to that of a sample is examined, and is related to the asymptotic form of the species-abundance curve. A new and plausible definition of evenness is derived.","container-title":"Ecology","DOI":"10.2307/1934352","ISSN":"0012-9658","issue":"2","note":"publisher: Ecological Society of America","page":"427-432","source":"JSTOR","title":"Diversity and Evenness: A Unifying Notation and Its Consequences","title-short":"Diversity and Evenness","volume":"54","author":[{"family":"Hill","given":"M. O."}],"issued":{"date-parts":[["1973"]]}}}],"schema":"https://github.com/citation-style-language/schema/raw/master/csl-citation.json"} </w:instrText>
      </w:r>
      <w:r w:rsidR="002B1A6C" w:rsidRPr="00306C5E">
        <w:rPr>
          <w:b/>
          <w:bCs/>
          <w:color w:val="000000" w:themeColor="text1"/>
          <w:lang w:val="en-US"/>
        </w:rPr>
        <w:fldChar w:fldCharType="separate"/>
      </w:r>
      <w:r w:rsidR="002B1A6C" w:rsidRPr="00306C5E">
        <w:rPr>
          <w:b/>
          <w:bCs/>
          <w:noProof/>
          <w:color w:val="000000" w:themeColor="text1"/>
          <w:lang w:val="en-US"/>
        </w:rPr>
        <w:t>(Hill, 1973)</w:t>
      </w:r>
      <w:r w:rsidR="002B1A6C" w:rsidRPr="00306C5E">
        <w:rPr>
          <w:b/>
          <w:bCs/>
          <w:color w:val="000000" w:themeColor="text1"/>
          <w:lang w:val="en-US"/>
        </w:rPr>
        <w:fldChar w:fldCharType="end"/>
      </w:r>
      <w:r w:rsidR="002B1A6C" w:rsidRPr="00306C5E">
        <w:rPr>
          <w:b/>
          <w:bCs/>
          <w:color w:val="000000" w:themeColor="text1"/>
          <w:lang w:val="en-US"/>
        </w:rPr>
        <w:t>. This distinction applies to Gini-Simpson as well in relation to Shannon index.</w:t>
      </w:r>
    </w:p>
    <w:p w14:paraId="29F9FACE" w14:textId="77777777" w:rsidR="007A78A9" w:rsidRPr="00D34CFB" w:rsidRDefault="007A78A9" w:rsidP="007A78A9">
      <w:pPr>
        <w:rPr>
          <w:b/>
          <w:bCs/>
          <w:lang w:val="en-US"/>
        </w:rPr>
      </w:pPr>
    </w:p>
    <w:p w14:paraId="1F116F77" w14:textId="196A9C46" w:rsidR="00DC1407" w:rsidRPr="0034570C" w:rsidRDefault="00220F05" w:rsidP="0034570C">
      <w:pPr>
        <w:pStyle w:val="Otsikko2"/>
        <w:rPr>
          <w:b/>
          <w:bCs/>
          <w:color w:val="000000" w:themeColor="text1"/>
          <w:sz w:val="28"/>
          <w:szCs w:val="28"/>
          <w:lang w:val="en-US"/>
        </w:rPr>
      </w:pPr>
      <w:r w:rsidRPr="0034570C">
        <w:rPr>
          <w:b/>
          <w:bCs/>
          <w:color w:val="000000" w:themeColor="text1"/>
          <w:sz w:val="28"/>
          <w:szCs w:val="28"/>
          <w:lang w:val="en-US"/>
        </w:rPr>
        <w:t>Covariates</w:t>
      </w:r>
    </w:p>
    <w:p w14:paraId="7E362E99" w14:textId="77777777" w:rsidR="007A78A9" w:rsidRPr="00D34CFB" w:rsidRDefault="007A78A9" w:rsidP="007A78A9">
      <w:pPr>
        <w:rPr>
          <w:b/>
          <w:bCs/>
          <w:lang w:val="en-US"/>
        </w:rPr>
      </w:pPr>
    </w:p>
    <w:p w14:paraId="33514C08" w14:textId="1EEB86D1" w:rsidR="0034570C" w:rsidRDefault="00220F05" w:rsidP="00370A84">
      <w:pPr>
        <w:pStyle w:val="BodyText1"/>
        <w:spacing w:before="60" w:after="60" w:line="480" w:lineRule="auto"/>
        <w:jc w:val="both"/>
        <w:rPr>
          <w:b/>
          <w:bCs/>
        </w:rPr>
      </w:pPr>
      <w:r w:rsidRPr="00D34CFB">
        <w:rPr>
          <w:b/>
          <w:bCs/>
        </w:rPr>
        <w:t xml:space="preserve">First, associations between the independent and dependent variables and the covariates were investigated using t-test, Wilcoxon’s rank sum tests, Kruskal-Wallis test, Spearman’s rank correlation coefficient and Chi square tests depending on the characteristics of each covariate. All analyses controlled for potential </w:t>
      </w:r>
      <w:r w:rsidR="001F0890" w:rsidRPr="00D34CFB">
        <w:rPr>
          <w:b/>
          <w:bCs/>
        </w:rPr>
        <w:t>covariates</w:t>
      </w:r>
      <w:r w:rsidRPr="00D34CFB">
        <w:rPr>
          <w:b/>
          <w:bCs/>
        </w:rPr>
        <w:t xml:space="preserve"> chosen based on the association testing </w:t>
      </w:r>
      <w:r w:rsidR="001F0890" w:rsidRPr="00D34CFB">
        <w:rPr>
          <w:b/>
          <w:bCs/>
        </w:rPr>
        <w:t>and theoretical framework. B</w:t>
      </w:r>
      <w:r w:rsidRPr="00D34CFB">
        <w:rPr>
          <w:b/>
          <w:bCs/>
        </w:rPr>
        <w:t xml:space="preserve">ackground factors with statistically significant p-values </w:t>
      </w:r>
      <w:r w:rsidR="001F0890" w:rsidRPr="00D34CFB">
        <w:rPr>
          <w:b/>
          <w:bCs/>
        </w:rPr>
        <w:t xml:space="preserve">and or strong theoretical framework </w:t>
      </w:r>
      <w:r w:rsidRPr="00D34CFB">
        <w:rPr>
          <w:b/>
          <w:bCs/>
        </w:rPr>
        <w:t>were included in the further analysis as covariates.</w:t>
      </w:r>
      <w:r w:rsidR="001F0890" w:rsidRPr="00D34CFB">
        <w:rPr>
          <w:b/>
          <w:bCs/>
        </w:rPr>
        <w:t xml:space="preserve"> Covariates that were chosen based on theoretical framework were delivery mode and sex for observed sample since delivery mode has been found to affect gut microbiota composition in infancy</w:t>
      </w:r>
      <w:r w:rsidR="00EE2E92" w:rsidRPr="00D34CFB">
        <w:rPr>
          <w:b/>
          <w:bCs/>
        </w:rPr>
        <w:t xml:space="preserve"> </w:t>
      </w:r>
      <w:r w:rsidR="00EE2E92" w:rsidRPr="00D34CFB">
        <w:rPr>
          <w:b/>
          <w:bCs/>
        </w:rPr>
        <w:fldChar w:fldCharType="begin"/>
      </w:r>
      <w:r w:rsidR="00EE2E92" w:rsidRPr="00D34CFB">
        <w:rPr>
          <w:b/>
          <w:bCs/>
        </w:rPr>
        <w:instrText xml:space="preserve"> ADDIN ZOTERO_ITEM CSL_CITATION {"citationID":"PqQXRWbo","properties":{"formattedCitation":"(Dominguez-Bello et al., 2010)","plainCitation":"(Dominguez-Bello et al., 2010)","noteIndex":0},"citationItems":[{"id":338,"uris":["http://zotero.org/users/local/ITwPK4Tg/items/7A6KLVZK"],"itemData":{"id":338,"type":"article-journal","abstract":"Upon delivery, the neonate is exposed for the first time to a wide array of microbes from a variety of sources, including maternal bacteria. Although prior studies have suggested that delivery mode shapes the microbiota's establishment and, subsequently, its role in child health, most researchers have focused on specific bacterial taxa or on a single body habitat, the gut. Thus, the initiation stage of human microbiome development remains obscure. The goal of the present study was to obtain a community-wide perspective on the influence of delivery mode and body habitat on the neonate's first microbiota. We used multiplexed 16S rRNA gene pyrosequencing to characterize bacterial communities from mothers and their newborn babies, four born vaginally and six born via Cesarean section. Mothers’ skin, oral mucosa, and vagina were sampled 1 h before delivery, and neonates’ skin, oral mucosa, and nasopharyngeal aspirate were sampled &lt;5 min, and meconium &lt;24 h, after delivery. We found that in direct contrast to the highly differentiated communities of their mothers, neonates harbored bacterial communities that were undifferentiated across multiple body habitats, regardless of delivery mode. Our results also show that vaginally delivered infants acquired bacterial communities resembling their own mother's vaginal microbiota, dominated by\n              Lactobacillus\n              ,\n              Prevotella,\n              or\n              Sneathia\n              spp., and C-section infants harbored bacterial communities similar to those found on the skin surface, dominated by\n              Staphylococcus\n              ,\n              Corynebacterium\n              , and\n              Propionibacterium\n              spp. These findings establish an important baseline for studies tracking the human microbiome's successional development in different body habitats following different delivery modes, and their associated effects on infant health.","container-title":"Proceedings of the National Academy of Sciences","DOI":"10.1073/pnas.1002601107","ISSN":"0027-8424, 1091-6490","issue":"26","journalAbbreviation":"Proc. Natl. Acad. Sci. U.S.A.","language":"en","page":"11971-11975","source":"DOI.org (Crossref)","title":"Delivery mode shapes the acquisition and structure of the initial microbiota across multiple body habitats in newborns","volume":"107","author":[{"family":"Dominguez-Bello","given":"Maria G."},{"family":"Costello","given":"Elizabeth K."},{"family":"Contreras","given":"Monica"},{"family":"Magris","given":"Magda"},{"family":"Hidalgo","given":"Glida"},{"family":"Fierer","given":"Noah"},{"family":"Knight","given":"Rob"}],"issued":{"date-parts":[["2010",6,29]]}}}],"schema":"https://github.com/citation-style-language/schema/raw/master/csl-citation.json"} </w:instrText>
      </w:r>
      <w:r w:rsidR="00EE2E92" w:rsidRPr="00D34CFB">
        <w:rPr>
          <w:b/>
          <w:bCs/>
        </w:rPr>
        <w:fldChar w:fldCharType="separate"/>
      </w:r>
      <w:r w:rsidR="00EE2E92" w:rsidRPr="00D34CFB">
        <w:rPr>
          <w:b/>
          <w:bCs/>
          <w:noProof/>
        </w:rPr>
        <w:t>(Dominguez-Bello et al., 2010)</w:t>
      </w:r>
      <w:r w:rsidR="00EE2E92" w:rsidRPr="00D34CFB">
        <w:rPr>
          <w:b/>
          <w:bCs/>
        </w:rPr>
        <w:fldChar w:fldCharType="end"/>
      </w:r>
      <w:r w:rsidR="001F0890" w:rsidRPr="00D34CFB">
        <w:rPr>
          <w:b/>
          <w:bCs/>
        </w:rPr>
        <w:t xml:space="preserve"> and sex differences were important study question in this paper.</w:t>
      </w:r>
      <w:r w:rsidRPr="00D34CFB">
        <w:rPr>
          <w:b/>
          <w:bCs/>
        </w:rPr>
        <w:t xml:space="preserve"> </w:t>
      </w:r>
      <w:r w:rsidR="001F0890" w:rsidRPr="00D34CFB">
        <w:rPr>
          <w:b/>
          <w:bCs/>
        </w:rPr>
        <w:t>In addition to that, f</w:t>
      </w:r>
      <w:r w:rsidRPr="00D34CFB">
        <w:rPr>
          <w:b/>
          <w:bCs/>
        </w:rPr>
        <w:t xml:space="preserve">or observed sample, breastfeeding status showed significant association with community composition. However, some studies suggest that infants who are perceived as having higher negative reactivity, or ‘difficult’ temperament by mothers are be introduced to bottled milk or solid foods before infants that are perceived having higher positive reactivity </w:t>
      </w:r>
      <w:r w:rsidRPr="00D34CFB">
        <w:rPr>
          <w:b/>
          <w:bCs/>
        </w:rPr>
        <w:fldChar w:fldCharType="begin"/>
      </w:r>
      <w:r w:rsidRPr="00D34CFB">
        <w:rPr>
          <w:b/>
          <w:bCs/>
        </w:rPr>
        <w:instrText xml:space="preserve"> ADDIN ZOTERO_ITEM CSL_CITATION {"citationID":"P4yqZTor","properties":{"formattedCitation":"(Aminabadi et al., 2014; Wasser et al., 2011)","plainCitation":"(Aminabadi et al., 2014; Wasser et al., 2011)","noteIndex":0},"citationItems":[{"id":211,"uris":["http://zotero.org/users/local/ITwPK4Tg/items/HSMZSUKD"],"itemData":{"id":211,"type":"article-journal","abstract":"Beyond the biological risk factors of early childhood caries (ECC) is child temperament. This study aimed to investigate the relationship of ECC to different traits of child temperament, directly and indirectly through the nutritional and oral hygiene habits. Through a multi-stage sampling, 373 kindergarten children aged 18-36 months participated in this study. The primary caregivers filled in the Early Childhood Behaviour Questionnaire (ECBQ) and a checklist containing demographic data and the dietary and oral hygiene habits of the children. Children were examined for dental caries. The frequency of ECC was 41.14%. With 18 aspects of a child's temperament under consideration, attentional shifting, fear, frustration, low-intensity pleasure, sadness and shyness were significantly higher in the ECC group. Cuddliness, perceptual sensitivity, positive anticipation and soothability were significantly higher in caries-free children. Attentional shifting (p = 0.02), frustration (p = 0.02) and shyness (p = 0.03) were risk factors and cuddliness (p &lt; 0.001) was a protecting factor for ECC. In the multiple regression model regarding nutritional and oral hygiene habits, easily soothable children were 0.69 times less likely to use sweetened liquids frequently [odds ratio (OR) 0.69, 95% confidence interval (CI) 0.49-0.97, p = 0.03], while sad children were 0.58 times less likely to brush (OR 0.58, 95% CI 0.36-0.94, p = 0.02). Considering temperament traits along with socioeconomic status, positive anticipation was the most significant determinant of ECC (OR 1.57, 95% CI 1.13-2.19, p = 0.007). However, considering temperament, socioeconomic measures and child habits among ECC risk factors, the most significant was the initiation of brushing habits (OR 5.41, 95% CI 2.81-12.98, p = 0.002).","container-title":"Caries Research","DOI":"10.1159/000351636","ISSN":"0008-6568, 1421-976X","issue":"1","journalAbbreviation":"Caries Res","language":"en","page":"3-12","source":"DOI.org (Crossref)","title":"Can Child Temperament Be Related to Early Childhood Caries?","volume":"48","author":[{"family":"Aminabadi","given":"N.A."},{"family":"Ghoreishizadeh","given":"A."},{"family":"Ghoreishizadeh","given":"M."},{"family":"Oskouei","given":"S. Ghertasi"},{"family":"Ghojazadeh","given":"M."}],"issued":{"date-parts":[["2014"]]}}},{"id":214,"uris":["http://zotero.org/users/local/ITwPK4Tg/items/2FVE8MK4"],"itemData":{"id":214,"type":"article-journal","abstract":"OBJECTIVE:\n              Our purpose was to assess early infant-feeding patterns in a cohort of low-income black mothers and to examine associations between maternal perception of infant temperament and complementary feeding (CF) before 4 months.\n            \n            \n              METHODS:\n              We used cross-sectional data from the 3-month visit (n = 217) of the Infant Care, Feeding and Risk of Obesity Study to assess relationships between early feeding of solids or juice and 6 dimensions of perceived infant temperament. Descriptive statistics were used to assess infant-feeding patterns, and logistic regression models were fit for each diet-temperament relationship found significant in the bivariate analyses.\n            \n            \n              RESULTS:\n              Seventy-seven percent of the infants were fed solid foods at 3 months, 25% were fed juice, and 6% were exclusively breastfed. In multivariable analyses, 2 dimensions of perceived infant temperament were associated with early feeding of solid foods (distress-to-limitations odds ratio [OR]: 1.97 [95% confidence interval (CI): 1.12–3.44]; activity-level OR: 1.75 [95% CI: 1.07–2.85]), whereas 1 dimension, low-intensity pleasure, was associated with early feeding of juice (OR: 0.51 [95% CI: 0.34–0.78]). Maternal characteristics significantly associated with early CF included breastfeeding, obesity, and depressive symptoms.\n            \n            \n              CONCLUSIONS:\n              Low-income black mothers may represent a priority population for interventions aimed at improving adherence to optimal infant feeding recommendations. That maternal perceptions of several domains of perceived infant temperament are related to early CF suggests that this is an important factor to include in future observational research and in the design of interventions.","container-title":"Pediatrics","DOI":"10.1542/peds.2010-0166","ISSN":"0031-4005, 1098-4275","issue":"2","language":"en","page":"229-237","source":"DOI.org (Crossref)","title":"Infants Perceived as “Fussy” Are More Likely to Receive Complementary Foods Before 4 Months","volume":"127","author":[{"family":"Wasser","given":"Heather"},{"family":"Bentley","given":"Margaret"},{"family":"Borja","given":"Judith"},{"family":"Davis Goldman","given":"Barbara"},{"family":"Thompson","given":"Amanda"},{"family":"Slining","given":"Meghan"},{"family":"Adair","given":"Linda"}],"issued":{"date-parts":[["2011",2,1]]}}}],"schema":"https://github.com/citation-style-language/schema/raw/master/csl-citation.json"} </w:instrText>
      </w:r>
      <w:r w:rsidRPr="00D34CFB">
        <w:rPr>
          <w:b/>
          <w:bCs/>
        </w:rPr>
        <w:fldChar w:fldCharType="separate"/>
      </w:r>
      <w:r w:rsidRPr="00D34CFB">
        <w:rPr>
          <w:b/>
          <w:bCs/>
          <w:noProof/>
        </w:rPr>
        <w:t>(Aminabadi et al., 2014; Wasser et al., 2011)</w:t>
      </w:r>
      <w:r w:rsidRPr="00D34CFB">
        <w:rPr>
          <w:b/>
          <w:bCs/>
        </w:rPr>
        <w:fldChar w:fldCharType="end"/>
      </w:r>
      <w:r w:rsidRPr="00D34CFB">
        <w:rPr>
          <w:b/>
          <w:bCs/>
        </w:rPr>
        <w:t>. On the contrary, there are studies suggesting the opposite: infants at 3 months of age who appear to have more negative reactivity are breastfed for longer</w:t>
      </w:r>
      <w:r w:rsidRPr="00D34CFB">
        <w:rPr>
          <w:b/>
          <w:bCs/>
          <w:vertAlign w:val="superscript"/>
        </w:rPr>
        <w:t>67</w:t>
      </w:r>
      <w:r w:rsidRPr="00D34CFB">
        <w:rPr>
          <w:b/>
          <w:bCs/>
        </w:rPr>
        <w:t xml:space="preserve"> and similar results are found on neonates as well </w:t>
      </w:r>
      <w:r w:rsidRPr="00D34CFB">
        <w:rPr>
          <w:b/>
          <w:bCs/>
        </w:rPr>
        <w:fldChar w:fldCharType="begin"/>
      </w:r>
      <w:r w:rsidRPr="00D34CFB">
        <w:rPr>
          <w:b/>
          <w:bCs/>
        </w:rPr>
        <w:instrText xml:space="preserve"> ADDIN ZOTERO_ITEM CSL_CITATION {"citationID":"3KZ5xHjY","properties":{"formattedCitation":"(di Pietro et al., 1987)","plainCitation":"(di Pietro et al., 1987)","noteIndex":0},"citationItems":[{"id":218,"uris":["http://zotero.org/users/local/ITwPK4Tg/items/6RP3D8RW"],"itemData":{"id":218,"type":"article-journal","abstract":"Behavioral and physiological differences between 61 breast-fed and 39 bottle-fed neonates were assessed between 17 and 56 hr postpartum (M age = 37 hr). Ten minutes of baseline heart rate pattern and respiration data were recorded during sleep, and the Neonatal Behavioral Assessment Scale (NBAS) was administered subsequently. Perinatal and demographic information was collected by maternal interview and delivery records. Results indicate that breast-fed infants had significantly longer heart periods, elevated heart period variability, and higher vagal tone than bottle-fed infants. Behaviorally, breast-fed infants were significantly more irritable, more difficult to console, and more often unable to complete the alert orientation portion of the assessment. These results could not be attributed to perinatal status or maternal variables. These findings suggest that breast-feeding is associated not only with more optimal physiological organization in the early neonatal period, but also with increased irritable reactivity. The relevance of several nutritional and interactional factors is evaluated. The data indicate that method of feeding should be considered an important dimension in studies of neonatal functioning. (PsycINFO Database Record (c) 2016 APA, all rights reserved)","container-title":"Developmental Psychology","DOI":"10.1037/0012-1649.23.4.467","ISSN":"1939-0599","note":"publisher-place: US\npublisher: American Psychological Association","page":"467-474","source":"APA PsycNet","title":"Behavioral and heart rate pattern differences between breast-fed and bottle-fed neonates","volume":"23","author":[{"family":"Pietro","given":"Janet A.","non-dropping-particle":"di"},{"family":"Larson","given":"Sandra K."},{"family":"Porges","given":"Stephen W."}],"issued":{"date-parts":[["1987"]]}}}],"schema":"https://github.com/citation-style-language/schema/raw/master/csl-citation.json"} </w:instrText>
      </w:r>
      <w:r w:rsidRPr="00D34CFB">
        <w:rPr>
          <w:b/>
          <w:bCs/>
        </w:rPr>
        <w:fldChar w:fldCharType="separate"/>
      </w:r>
      <w:r w:rsidRPr="00D34CFB">
        <w:rPr>
          <w:b/>
          <w:bCs/>
          <w:noProof/>
        </w:rPr>
        <w:t>(di Pietro et al., 1987)</w:t>
      </w:r>
      <w:r w:rsidRPr="00D34CFB">
        <w:rPr>
          <w:b/>
          <w:bCs/>
        </w:rPr>
        <w:fldChar w:fldCharType="end"/>
      </w:r>
      <w:r w:rsidRPr="00D34CFB">
        <w:rPr>
          <w:b/>
          <w:bCs/>
        </w:rPr>
        <w:t xml:space="preserve">. Hence, breastfeeding may be a mediator and lead to spurious findings when included as a covariate. On the other hand, variation in breastmilk composition has been shown to associate with both fear reactivity </w:t>
      </w:r>
      <w:r w:rsidRPr="00D34CFB">
        <w:rPr>
          <w:b/>
          <w:bCs/>
        </w:rPr>
        <w:fldChar w:fldCharType="begin"/>
      </w:r>
      <w:r w:rsidRPr="00D34CFB">
        <w:rPr>
          <w:b/>
          <w:bCs/>
        </w:rPr>
        <w:instrText xml:space="preserve"> ADDIN ZOTERO_ITEM CSL_CITATION {"citationID":"2IdAq1iA","properties":{"formattedCitation":"(Nolvi et al., 2018)","plainCitation":"(Nolvi et al., 2018)","noteIndex":0},"citationItems":[{"id":221,"uris":["http://zotero.org/users/local/ITwPK4Tg/items/24K26TUR"],"itemData":{"id":221,"type":"article-journal","abstract":"Little consideration has been given to the possibility of human infant development being shaped via lactocrine programming, and by breast milk cortisol levels specifically. Despite animal models indicating that glucocorticoid (GC) exposure via lactation might modify brain development and behavior, only one study has reported that milk cortisol levels were positively associated with infant negative affectivity, especially fearfulness and sadness—early emerging risk factors for internalizing difficulties such as anxiety. The aim of the current study was to investigate whether human milk cortisol is associated with mother-reported fearfulness and experimentally induced infant fear reactivity. Mother-infant dyads (n = 65) enrolled in the FinnBrain Cohort Study participated. Breast milk samples were obtained 2.5 months postpartum, and milk cortisol concentrations were ascertained using validated luminescence immunoassay methodology. Infant fear reactivity was assessed using maternal reports 6 months postpartum and in a laboratory 8 months postpartum. There was a significant interaction between infant sex and milk cortisol such that higher milk cortisol was related to higher infant fear reactivity in a laboratory setting in girls (β = 0.36, p = .04) but not in boys (β = −0.15, p = .40). Milk cortisol was not associated with mother-reported infant fearfulness. Results suggest that higher human milk cortisol concentrations are associated with elevated experimentally induced fear in infancy. Findings support lactocrine programming, and suggest that mothers may “communicate” vital information about stressful environments via cortisol contained in breast milk, shaping girls' early emotional reactivity.","container-title":"Developmental Science","DOI":"10.1111/desc.12625","ISSN":"1467-7687","issue":"4","language":"en","note":"_eprint: https://onlinelibrary.wiley.com/doi/pdf/10.1111/desc.12625","page":"e12625","source":"Wiley Online Library","title":"Human milk cortisol concentration predicts experimentally induced infant fear reactivity: moderation by infant sex","title-short":"Human milk cortisol concentration predicts experimentally induced infant fear reactivity","volume":"21","author":[{"family":"Nolvi","given":"Saara"},{"family":"Uusitupa","given":"Henna-Maria"},{"family":"Bridgett","given":"David J."},{"family":"Pesonen","given":"Henri"},{"family":"Aatsinki","given":"Anna-Katariina"},{"family":"Kataja","given":"Eeva-Leena"},{"family":"Korja","given":"Riikka"},{"family":"Karlsson","given":"Hasse"},{"family":"Karlsson","given":"Linnea"}],"issued":{"date-parts":[["2018"]]}}}],"schema":"https://github.com/citation-style-language/schema/raw/master/csl-citation.json"} </w:instrText>
      </w:r>
      <w:r w:rsidRPr="00D34CFB">
        <w:rPr>
          <w:b/>
          <w:bCs/>
        </w:rPr>
        <w:fldChar w:fldCharType="separate"/>
      </w:r>
      <w:r w:rsidRPr="00D34CFB">
        <w:rPr>
          <w:b/>
          <w:bCs/>
          <w:noProof/>
        </w:rPr>
        <w:t>(Nolvi et al., 2018)</w:t>
      </w:r>
      <w:r w:rsidRPr="00D34CFB">
        <w:rPr>
          <w:b/>
          <w:bCs/>
        </w:rPr>
        <w:fldChar w:fldCharType="end"/>
      </w:r>
      <w:r w:rsidRPr="00D34CFB">
        <w:rPr>
          <w:b/>
          <w:bCs/>
        </w:rPr>
        <w:t xml:space="preserve"> and gut microbiota composition</w:t>
      </w:r>
      <w:r w:rsidRPr="00D34CFB">
        <w:rPr>
          <w:b/>
          <w:bCs/>
          <w:vertAlign w:val="superscript"/>
        </w:rPr>
        <w:t xml:space="preserve"> </w:t>
      </w:r>
      <w:r w:rsidRPr="00D34CFB">
        <w:rPr>
          <w:b/>
          <w:bCs/>
          <w:vertAlign w:val="superscript"/>
        </w:rPr>
        <w:fldChar w:fldCharType="begin"/>
      </w:r>
      <w:r w:rsidRPr="00D34CFB">
        <w:rPr>
          <w:b/>
          <w:bCs/>
          <w:vertAlign w:val="superscript"/>
        </w:rPr>
        <w:instrText xml:space="preserve"> ADDIN ZOTERO_ITEM CSL_CITATION {"citationID":"IVfUBXGy","properties":{"formattedCitation":"(Borewicz et al., 2020)","plainCitation":"(Borewicz et al., 2020)","noteIndex":0},"citationItems":[{"id":226,"uris":["http://zotero.org/users/local/ITwPK4Tg/items/IPQY7L8K"],"itemData":{"id":226,"type":"article-journal","abstract":"Abstract\n            \n              Several factors affect gut microbiota development in early life, among which breastfeeding plays a key role. We followed 24 mother-infant pairs to investigate the associations between concentrations of selected human milk oligosaccharides (HMOs) in breastmilk, infant faeces, and the faecal microbiota composition in healthy, breastfed infants at two, six and 12 weeks of age. Lactation duration had a significant effect on breastmilk HMO content, which decreased with time, except for 3-fucosyllactose (3FL) and Lacto-\n              N\n              -fucopentaose III (LNFP III). We confirmed that microbiota composition was strongly influenced by infant a</w:instrText>
      </w:r>
      <w:r w:rsidRPr="00D34CFB">
        <w:rPr>
          <w:rFonts w:hint="eastAsia"/>
          <w:b/>
          <w:bCs/>
          <w:vertAlign w:val="superscript"/>
        </w:rPr>
        <w:instrText>ge and was associated with mode of delivery and breastmilk LNFP III concentration at two weeks, with infant sex, delivery mode, and concentrations of 3</w:instrText>
      </w:r>
      <w:r w:rsidRPr="00D34CFB">
        <w:rPr>
          <w:rFonts w:hint="eastAsia"/>
          <w:b/>
          <w:bCs/>
          <w:vertAlign w:val="superscript"/>
        </w:rPr>
        <w:instrText>′</w:instrText>
      </w:r>
      <w:r w:rsidRPr="00D34CFB">
        <w:rPr>
          <w:rFonts w:hint="eastAsia"/>
          <w:b/>
          <w:bCs/>
          <w:vertAlign w:val="superscript"/>
        </w:rPr>
        <w:instrText>sialyllactose (3</w:instrText>
      </w:r>
      <w:r w:rsidRPr="00D34CFB">
        <w:rPr>
          <w:rFonts w:hint="eastAsia"/>
          <w:b/>
          <w:bCs/>
          <w:vertAlign w:val="superscript"/>
        </w:rPr>
        <w:instrText>′</w:instrText>
      </w:r>
      <w:r w:rsidRPr="00D34CFB">
        <w:rPr>
          <w:rFonts w:hint="eastAsia"/>
          <w:b/>
          <w:bCs/>
          <w:vertAlign w:val="superscript"/>
        </w:rPr>
        <w:instrText>SL) in milk at six weeks, and infant sex and Lacto-\n              N\n              -h</w:instrText>
      </w:r>
      <w:r w:rsidRPr="00D34CFB">
        <w:rPr>
          <w:b/>
          <w:bCs/>
          <w:vertAlign w:val="superscript"/>
        </w:rPr>
        <w:instrText xml:space="preserve">exaose (LNH) in milk at 12 weeks of age. Correlations between levels of individual breastmilk HMOs and relative abundance of OTUs found in infant faeces, including the most predominant\n              Bifidobacterium\n              OTUs, were weak and varied with age. The faecal concentration of HMOs decreased with age and were strongly and negatively correlated with relative abundance of OTUs within genera\n              Bifidobacterium, Parabacteroides\n              ,\n              Escherichia-Shigella, Bacteroides, Actinomyces, Veillonella\n              , Lachnospiraceae\n              Incertae Sedis\n              , and Erysipelotrichaceae\n              Incertae Sedis\n              , indicating the likely importance of these taxa for HMO metabolism\n              in vivo\n              .","container-title":"Scientific Reports","DOI":"10.1038/s41598-020-61024-z","ISSN":"2045-2322","issue":"1","journalAbbreviation":"Sci Rep","language":"en","page":"4270","source":"DOI.org (Crossref)","title":"The association between breastmilk oligosaccharides and faecal microbiota in healthy breastfed infants at two, six, and twelve weeks of age","volume":"10","author":[{"family":"Borewicz","given":"Klaudyna"},{"family":"Gu","given":"Fangjie"},{"family":"Saccenti","given":"Edoardo"},{"family":"Hechler","given":"Christine"},{"family":"Beijers","given":"Roseriet"},{"family":"Weerth","given":"Carolina","non-dropping-particle":"de"},{"family":"Leeuwen","given":"Sander S.","non-dropping-particle":"van"},{"family":"Schols","given":"Henk A."},{"family":"Smidt","given":"Hauke"}],"issued":{"date-parts":[["2020",3,6]]}}}],"schema":"https://github.com/citation-style-language/schema/raw/master/csl-citation.json"} </w:instrText>
      </w:r>
      <w:r w:rsidRPr="00D34CFB">
        <w:rPr>
          <w:b/>
          <w:bCs/>
          <w:vertAlign w:val="superscript"/>
        </w:rPr>
        <w:fldChar w:fldCharType="separate"/>
      </w:r>
      <w:r w:rsidRPr="00D34CFB">
        <w:rPr>
          <w:b/>
          <w:bCs/>
          <w:noProof/>
        </w:rPr>
        <w:t>(Borewicz et al., 2020)</w:t>
      </w:r>
      <w:r w:rsidRPr="00D34CFB">
        <w:rPr>
          <w:b/>
          <w:bCs/>
          <w:vertAlign w:val="superscript"/>
        </w:rPr>
        <w:fldChar w:fldCharType="end"/>
      </w:r>
      <w:r w:rsidRPr="00D34CFB">
        <w:rPr>
          <w:b/>
          <w:bCs/>
        </w:rPr>
        <w:t>. Taken all this together, breastfeeding status was excluded from the primary analyses for its potential mediating effect between negative reactivity and diversity for being affected by child temperament. The robustness of the association for covariate selection was tested by including breastfeeding as a covariate.</w:t>
      </w:r>
    </w:p>
    <w:p w14:paraId="21D3D911" w14:textId="06C35AD2" w:rsidR="001C24A0" w:rsidRPr="002D5D50" w:rsidRDefault="003C5278" w:rsidP="00DB788F">
      <w:pPr>
        <w:pStyle w:val="Tablecaptiontext"/>
        <w:rPr>
          <w:b/>
          <w:bCs/>
        </w:rPr>
      </w:pPr>
      <w:r w:rsidRPr="002D5D50">
        <w:rPr>
          <w:rFonts w:cs="Arial"/>
          <w:b/>
          <w:bCs/>
        </w:rPr>
        <w:lastRenderedPageBreak/>
        <w:t xml:space="preserve">Table 1. </w:t>
      </w:r>
      <w:r w:rsidR="00DB788F" w:rsidRPr="002D5D50">
        <w:rPr>
          <w:b/>
          <w:bCs/>
        </w:rPr>
        <w:t xml:space="preserve">Linear regression models for alpha diversity and negative/fear reactivity variables for the whole study population and for girls and boys separately with breastfeeding </w:t>
      </w:r>
      <w:r w:rsidR="002A5400" w:rsidRPr="002D5D50">
        <w:rPr>
          <w:b/>
          <w:bCs/>
        </w:rPr>
        <w:t xml:space="preserve">status </w:t>
      </w:r>
      <w:r w:rsidR="00DB788F" w:rsidRPr="002D5D50">
        <w:rPr>
          <w:b/>
          <w:bCs/>
        </w:rPr>
        <w:t>added as a covariate.</w:t>
      </w:r>
    </w:p>
    <w:tbl>
      <w:tblPr>
        <w:tblW w:w="8800" w:type="dxa"/>
        <w:tblCellMar>
          <w:left w:w="70" w:type="dxa"/>
          <w:right w:w="70" w:type="dxa"/>
        </w:tblCellMar>
        <w:tblLook w:val="04A0" w:firstRow="1" w:lastRow="0" w:firstColumn="1" w:lastColumn="0" w:noHBand="0" w:noVBand="1"/>
      </w:tblPr>
      <w:tblGrid>
        <w:gridCol w:w="640"/>
        <w:gridCol w:w="1300"/>
        <w:gridCol w:w="1300"/>
        <w:gridCol w:w="1140"/>
        <w:gridCol w:w="1060"/>
        <w:gridCol w:w="1060"/>
        <w:gridCol w:w="1260"/>
        <w:gridCol w:w="1040"/>
      </w:tblGrid>
      <w:tr w:rsidR="00055C38" w14:paraId="25CFB957" w14:textId="77777777" w:rsidTr="00055C38">
        <w:trPr>
          <w:trHeight w:val="320"/>
        </w:trPr>
        <w:tc>
          <w:tcPr>
            <w:tcW w:w="640" w:type="dxa"/>
            <w:tcBorders>
              <w:top w:val="single" w:sz="8" w:space="0" w:color="000000"/>
              <w:left w:val="nil"/>
              <w:bottom w:val="nil"/>
              <w:right w:val="nil"/>
            </w:tcBorders>
            <w:shd w:val="clear" w:color="auto" w:fill="auto"/>
            <w:vAlign w:val="center"/>
            <w:hideMark/>
          </w:tcPr>
          <w:p w14:paraId="45B85EC6" w14:textId="77777777" w:rsidR="00055C38" w:rsidRPr="00615EEC" w:rsidRDefault="00055C38" w:rsidP="003C5278">
            <w:pPr>
              <w:rPr>
                <w:rFonts w:ascii="Calibri" w:hAnsi="Calibri" w:cs="Calibri"/>
                <w:color w:val="000000"/>
                <w:sz w:val="18"/>
                <w:szCs w:val="18"/>
                <w:lang w:val="en-US"/>
              </w:rPr>
            </w:pPr>
            <w:r w:rsidRPr="00615EEC">
              <w:rPr>
                <w:rFonts w:ascii="Calibri" w:hAnsi="Calibri" w:cs="Calibri"/>
                <w:color w:val="000000"/>
                <w:sz w:val="18"/>
                <w:szCs w:val="18"/>
                <w:lang w:val="en-US"/>
              </w:rPr>
              <w:t> </w:t>
            </w:r>
          </w:p>
        </w:tc>
        <w:tc>
          <w:tcPr>
            <w:tcW w:w="1300" w:type="dxa"/>
            <w:tcBorders>
              <w:top w:val="single" w:sz="8" w:space="0" w:color="000000"/>
              <w:left w:val="nil"/>
              <w:bottom w:val="nil"/>
              <w:right w:val="nil"/>
            </w:tcBorders>
            <w:shd w:val="clear" w:color="auto" w:fill="auto"/>
            <w:vAlign w:val="center"/>
            <w:hideMark/>
          </w:tcPr>
          <w:p w14:paraId="4D18AE2A" w14:textId="77777777" w:rsidR="00055C38" w:rsidRPr="00615EEC" w:rsidRDefault="00055C38" w:rsidP="003C5278">
            <w:pPr>
              <w:rPr>
                <w:rFonts w:ascii="Calibri" w:hAnsi="Calibri" w:cs="Calibri"/>
                <w:color w:val="000000"/>
                <w:sz w:val="18"/>
                <w:szCs w:val="18"/>
                <w:lang w:val="en-US"/>
              </w:rPr>
            </w:pPr>
            <w:r w:rsidRPr="00615EEC">
              <w:rPr>
                <w:rFonts w:ascii="Calibri" w:hAnsi="Calibri" w:cs="Calibri"/>
                <w:color w:val="000000"/>
                <w:sz w:val="18"/>
                <w:szCs w:val="18"/>
                <w:lang w:val="en-US"/>
              </w:rPr>
              <w:t> </w:t>
            </w:r>
          </w:p>
        </w:tc>
        <w:tc>
          <w:tcPr>
            <w:tcW w:w="1300" w:type="dxa"/>
            <w:tcBorders>
              <w:top w:val="single" w:sz="8" w:space="0" w:color="000000"/>
              <w:left w:val="nil"/>
              <w:bottom w:val="nil"/>
              <w:right w:val="nil"/>
            </w:tcBorders>
            <w:shd w:val="clear" w:color="auto" w:fill="auto"/>
            <w:vAlign w:val="center"/>
            <w:hideMark/>
          </w:tcPr>
          <w:p w14:paraId="46DE721A" w14:textId="77777777" w:rsidR="00055C38" w:rsidRPr="00615EEC" w:rsidRDefault="00055C38" w:rsidP="003C5278">
            <w:pPr>
              <w:rPr>
                <w:rFonts w:ascii="Calibri" w:hAnsi="Calibri" w:cs="Calibri"/>
                <w:color w:val="000000"/>
                <w:sz w:val="18"/>
                <w:szCs w:val="18"/>
                <w:lang w:val="en-US"/>
              </w:rPr>
            </w:pPr>
            <w:r w:rsidRPr="00615EEC">
              <w:rPr>
                <w:rFonts w:ascii="Calibri" w:hAnsi="Calibri" w:cs="Calibri"/>
                <w:color w:val="000000"/>
                <w:sz w:val="18"/>
                <w:szCs w:val="18"/>
                <w:lang w:val="en-US"/>
              </w:rPr>
              <w:t> </w:t>
            </w:r>
          </w:p>
        </w:tc>
        <w:tc>
          <w:tcPr>
            <w:tcW w:w="2200" w:type="dxa"/>
            <w:gridSpan w:val="2"/>
            <w:tcBorders>
              <w:top w:val="single" w:sz="8" w:space="0" w:color="000000"/>
              <w:left w:val="nil"/>
              <w:bottom w:val="nil"/>
              <w:right w:val="nil"/>
            </w:tcBorders>
            <w:shd w:val="clear" w:color="auto" w:fill="auto"/>
            <w:vAlign w:val="center"/>
            <w:hideMark/>
          </w:tcPr>
          <w:p w14:paraId="5ECC180D" w14:textId="77777777" w:rsidR="00055C38" w:rsidRDefault="00055C38" w:rsidP="003C5278">
            <w:pPr>
              <w:jc w:val="center"/>
              <w:rPr>
                <w:rFonts w:ascii="Calibri" w:hAnsi="Calibri" w:cs="Calibri"/>
                <w:color w:val="000000"/>
                <w:sz w:val="18"/>
                <w:szCs w:val="18"/>
              </w:rPr>
            </w:pPr>
            <w:r>
              <w:rPr>
                <w:rFonts w:ascii="Calibri" w:hAnsi="Calibri" w:cs="Calibri"/>
                <w:color w:val="000000"/>
                <w:sz w:val="18"/>
                <w:szCs w:val="18"/>
              </w:rPr>
              <w:t>Reported sample</w:t>
            </w:r>
          </w:p>
        </w:tc>
        <w:tc>
          <w:tcPr>
            <w:tcW w:w="3360" w:type="dxa"/>
            <w:gridSpan w:val="3"/>
            <w:tcBorders>
              <w:top w:val="single" w:sz="8" w:space="0" w:color="000000"/>
              <w:left w:val="nil"/>
              <w:bottom w:val="nil"/>
              <w:right w:val="nil"/>
            </w:tcBorders>
            <w:shd w:val="clear" w:color="auto" w:fill="auto"/>
            <w:vAlign w:val="center"/>
            <w:hideMark/>
          </w:tcPr>
          <w:p w14:paraId="56C384EF" w14:textId="77777777" w:rsidR="00055C38" w:rsidRPr="002A5400" w:rsidRDefault="00055C38" w:rsidP="003C5278">
            <w:pPr>
              <w:jc w:val="center"/>
              <w:rPr>
                <w:rFonts w:ascii="Calibri" w:hAnsi="Calibri" w:cs="Calibri"/>
                <w:color w:val="000000" w:themeColor="text1"/>
                <w:sz w:val="18"/>
                <w:szCs w:val="18"/>
              </w:rPr>
            </w:pPr>
            <w:r w:rsidRPr="002A5400">
              <w:rPr>
                <w:rFonts w:ascii="Calibri" w:hAnsi="Calibri" w:cs="Calibri"/>
                <w:color w:val="000000" w:themeColor="text1"/>
                <w:sz w:val="18"/>
                <w:szCs w:val="18"/>
              </w:rPr>
              <w:t>Observed sample</w:t>
            </w:r>
          </w:p>
        </w:tc>
      </w:tr>
      <w:tr w:rsidR="00055C38" w14:paraId="732A1700" w14:textId="77777777" w:rsidTr="00055C38">
        <w:trPr>
          <w:trHeight w:val="1060"/>
        </w:trPr>
        <w:tc>
          <w:tcPr>
            <w:tcW w:w="640" w:type="dxa"/>
            <w:tcBorders>
              <w:top w:val="nil"/>
              <w:left w:val="nil"/>
              <w:bottom w:val="single" w:sz="8" w:space="0" w:color="000000"/>
              <w:right w:val="nil"/>
            </w:tcBorders>
            <w:shd w:val="clear" w:color="auto" w:fill="auto"/>
            <w:vAlign w:val="center"/>
            <w:hideMark/>
          </w:tcPr>
          <w:p w14:paraId="2D060364" w14:textId="77777777" w:rsidR="00055C38" w:rsidRDefault="00055C38">
            <w:pPr>
              <w:rPr>
                <w:rFonts w:ascii="Calibri" w:hAnsi="Calibri" w:cs="Calibri"/>
                <w:color w:val="000000"/>
                <w:sz w:val="18"/>
                <w:szCs w:val="18"/>
              </w:rPr>
            </w:pPr>
            <w:r>
              <w:rPr>
                <w:rFonts w:ascii="Calibri" w:hAnsi="Calibri" w:cs="Calibri"/>
                <w:color w:val="000000"/>
                <w:sz w:val="18"/>
                <w:szCs w:val="18"/>
              </w:rPr>
              <w:t> </w:t>
            </w:r>
          </w:p>
        </w:tc>
        <w:tc>
          <w:tcPr>
            <w:tcW w:w="1300" w:type="dxa"/>
            <w:tcBorders>
              <w:top w:val="nil"/>
              <w:left w:val="nil"/>
              <w:bottom w:val="single" w:sz="8" w:space="0" w:color="000000"/>
              <w:right w:val="nil"/>
            </w:tcBorders>
            <w:shd w:val="clear" w:color="auto" w:fill="auto"/>
            <w:vAlign w:val="center"/>
            <w:hideMark/>
          </w:tcPr>
          <w:p w14:paraId="5ABCE36D" w14:textId="77777777" w:rsidR="00055C38" w:rsidRDefault="00055C38">
            <w:pPr>
              <w:rPr>
                <w:rFonts w:ascii="Calibri" w:hAnsi="Calibri" w:cs="Calibri"/>
                <w:color w:val="000000"/>
                <w:sz w:val="18"/>
                <w:szCs w:val="18"/>
              </w:rPr>
            </w:pPr>
            <w:r>
              <w:rPr>
                <w:rFonts w:ascii="Calibri" w:hAnsi="Calibri" w:cs="Calibri"/>
                <w:color w:val="000000"/>
                <w:sz w:val="18"/>
                <w:szCs w:val="18"/>
              </w:rPr>
              <w:t>Model</w:t>
            </w:r>
          </w:p>
        </w:tc>
        <w:tc>
          <w:tcPr>
            <w:tcW w:w="1300" w:type="dxa"/>
            <w:tcBorders>
              <w:top w:val="nil"/>
              <w:left w:val="nil"/>
              <w:bottom w:val="single" w:sz="8" w:space="0" w:color="000000"/>
              <w:right w:val="nil"/>
            </w:tcBorders>
            <w:shd w:val="clear" w:color="auto" w:fill="auto"/>
            <w:vAlign w:val="center"/>
            <w:hideMark/>
          </w:tcPr>
          <w:p w14:paraId="1B6DAD1C" w14:textId="77777777" w:rsidR="00055C38" w:rsidRDefault="00055C38">
            <w:pPr>
              <w:rPr>
                <w:rFonts w:ascii="Calibri" w:hAnsi="Calibri" w:cs="Calibri"/>
                <w:color w:val="000000"/>
                <w:sz w:val="18"/>
                <w:szCs w:val="18"/>
              </w:rPr>
            </w:pPr>
            <w:r>
              <w:rPr>
                <w:rFonts w:ascii="Calibri" w:hAnsi="Calibri" w:cs="Calibri"/>
                <w:color w:val="000000"/>
                <w:sz w:val="18"/>
                <w:szCs w:val="18"/>
              </w:rPr>
              <w:t> </w:t>
            </w:r>
          </w:p>
        </w:tc>
        <w:tc>
          <w:tcPr>
            <w:tcW w:w="1140" w:type="dxa"/>
            <w:tcBorders>
              <w:top w:val="nil"/>
              <w:left w:val="nil"/>
              <w:bottom w:val="single" w:sz="8" w:space="0" w:color="000000"/>
              <w:right w:val="nil"/>
            </w:tcBorders>
            <w:shd w:val="clear" w:color="auto" w:fill="auto"/>
            <w:vAlign w:val="center"/>
            <w:hideMark/>
          </w:tcPr>
          <w:p w14:paraId="5996BCD9" w14:textId="77777777" w:rsidR="00055C38" w:rsidRDefault="00055C38">
            <w:pPr>
              <w:rPr>
                <w:rFonts w:ascii="Calibri" w:hAnsi="Calibri" w:cs="Calibri"/>
                <w:color w:val="000000"/>
                <w:sz w:val="18"/>
                <w:szCs w:val="18"/>
              </w:rPr>
            </w:pPr>
            <w:r>
              <w:rPr>
                <w:rFonts w:ascii="Calibri" w:hAnsi="Calibri" w:cs="Calibri"/>
                <w:color w:val="000000"/>
                <w:sz w:val="18"/>
                <w:szCs w:val="18"/>
              </w:rPr>
              <w:t>Reported negative reactivity</w:t>
            </w:r>
          </w:p>
        </w:tc>
        <w:tc>
          <w:tcPr>
            <w:tcW w:w="1060" w:type="dxa"/>
            <w:tcBorders>
              <w:top w:val="nil"/>
              <w:left w:val="nil"/>
              <w:bottom w:val="single" w:sz="8" w:space="0" w:color="000000"/>
              <w:right w:val="nil"/>
            </w:tcBorders>
            <w:shd w:val="clear" w:color="auto" w:fill="auto"/>
            <w:vAlign w:val="center"/>
            <w:hideMark/>
          </w:tcPr>
          <w:p w14:paraId="06D7BB16" w14:textId="77777777" w:rsidR="00055C38" w:rsidRDefault="00055C38">
            <w:pPr>
              <w:rPr>
                <w:rFonts w:ascii="Calibri" w:hAnsi="Calibri" w:cs="Calibri"/>
                <w:color w:val="000000"/>
                <w:sz w:val="18"/>
                <w:szCs w:val="18"/>
              </w:rPr>
            </w:pPr>
            <w:r>
              <w:rPr>
                <w:rFonts w:ascii="Calibri" w:hAnsi="Calibri" w:cs="Calibri"/>
                <w:color w:val="000000"/>
                <w:sz w:val="18"/>
                <w:szCs w:val="18"/>
              </w:rPr>
              <w:t>Reported fear reactivity</w:t>
            </w:r>
          </w:p>
        </w:tc>
        <w:tc>
          <w:tcPr>
            <w:tcW w:w="1060" w:type="dxa"/>
            <w:tcBorders>
              <w:top w:val="nil"/>
              <w:left w:val="nil"/>
              <w:bottom w:val="single" w:sz="8" w:space="0" w:color="000000"/>
              <w:right w:val="nil"/>
            </w:tcBorders>
            <w:shd w:val="clear" w:color="auto" w:fill="auto"/>
            <w:vAlign w:val="center"/>
            <w:hideMark/>
          </w:tcPr>
          <w:p w14:paraId="1D30DDD6" w14:textId="77777777" w:rsidR="00055C38" w:rsidRPr="002A5400" w:rsidRDefault="00055C38">
            <w:pPr>
              <w:rPr>
                <w:rFonts w:ascii="Calibri" w:hAnsi="Calibri" w:cs="Calibri"/>
                <w:color w:val="000000" w:themeColor="text1"/>
                <w:sz w:val="18"/>
                <w:szCs w:val="18"/>
              </w:rPr>
            </w:pPr>
            <w:r w:rsidRPr="002A5400">
              <w:rPr>
                <w:rFonts w:ascii="Calibri" w:hAnsi="Calibri" w:cs="Calibri"/>
                <w:color w:val="000000" w:themeColor="text1"/>
                <w:sz w:val="18"/>
                <w:szCs w:val="18"/>
              </w:rPr>
              <w:t>Observed negative reactivity</w:t>
            </w:r>
          </w:p>
        </w:tc>
        <w:tc>
          <w:tcPr>
            <w:tcW w:w="1260" w:type="dxa"/>
            <w:tcBorders>
              <w:top w:val="nil"/>
              <w:left w:val="nil"/>
              <w:bottom w:val="single" w:sz="8" w:space="0" w:color="000000"/>
              <w:right w:val="nil"/>
            </w:tcBorders>
            <w:shd w:val="clear" w:color="auto" w:fill="auto"/>
            <w:vAlign w:val="center"/>
            <w:hideMark/>
          </w:tcPr>
          <w:p w14:paraId="76BB1FF9" w14:textId="77777777" w:rsidR="00055C38" w:rsidRPr="002A5400" w:rsidRDefault="00055C38">
            <w:pPr>
              <w:rPr>
                <w:rFonts w:ascii="Calibri" w:hAnsi="Calibri" w:cs="Calibri"/>
                <w:color w:val="000000" w:themeColor="text1"/>
                <w:sz w:val="18"/>
                <w:szCs w:val="18"/>
                <w:lang w:val="en-US"/>
              </w:rPr>
            </w:pPr>
            <w:r w:rsidRPr="002A5400">
              <w:rPr>
                <w:rFonts w:ascii="Calibri" w:hAnsi="Calibri" w:cs="Calibri"/>
                <w:color w:val="000000" w:themeColor="text1"/>
                <w:sz w:val="18"/>
                <w:szCs w:val="18"/>
                <w:lang w:val="en-US"/>
              </w:rPr>
              <w:t>Observed negative reactivity with breastfeeding</w:t>
            </w:r>
          </w:p>
        </w:tc>
        <w:tc>
          <w:tcPr>
            <w:tcW w:w="1040" w:type="dxa"/>
            <w:tcBorders>
              <w:top w:val="nil"/>
              <w:left w:val="nil"/>
              <w:bottom w:val="single" w:sz="8" w:space="0" w:color="000000"/>
              <w:right w:val="nil"/>
            </w:tcBorders>
            <w:shd w:val="clear" w:color="auto" w:fill="auto"/>
            <w:vAlign w:val="center"/>
            <w:hideMark/>
          </w:tcPr>
          <w:p w14:paraId="03C68D5F" w14:textId="77777777" w:rsidR="00055C38" w:rsidRDefault="00055C38">
            <w:pPr>
              <w:rPr>
                <w:rFonts w:ascii="Calibri" w:hAnsi="Calibri" w:cs="Calibri"/>
                <w:color w:val="000000"/>
                <w:sz w:val="18"/>
                <w:szCs w:val="18"/>
              </w:rPr>
            </w:pPr>
            <w:r>
              <w:rPr>
                <w:rFonts w:ascii="Calibri" w:hAnsi="Calibri" w:cs="Calibri"/>
                <w:color w:val="000000"/>
                <w:sz w:val="18"/>
                <w:szCs w:val="18"/>
              </w:rPr>
              <w:t>Observed fear reactivity</w:t>
            </w:r>
          </w:p>
        </w:tc>
      </w:tr>
      <w:tr w:rsidR="00055C38" w14:paraId="3FB937F6" w14:textId="77777777" w:rsidTr="00055C38">
        <w:trPr>
          <w:trHeight w:val="320"/>
        </w:trPr>
        <w:tc>
          <w:tcPr>
            <w:tcW w:w="640" w:type="dxa"/>
            <w:vMerge w:val="restart"/>
            <w:tcBorders>
              <w:top w:val="nil"/>
              <w:left w:val="nil"/>
              <w:bottom w:val="single" w:sz="8" w:space="0" w:color="FFFFFF"/>
              <w:right w:val="nil"/>
            </w:tcBorders>
            <w:shd w:val="clear" w:color="auto" w:fill="auto"/>
            <w:vAlign w:val="center"/>
            <w:hideMark/>
          </w:tcPr>
          <w:p w14:paraId="30C1629F" w14:textId="77777777" w:rsidR="00055C38" w:rsidRDefault="00055C38">
            <w:pPr>
              <w:rPr>
                <w:rFonts w:ascii="Calibri" w:hAnsi="Calibri" w:cs="Calibri"/>
                <w:color w:val="000000"/>
                <w:sz w:val="18"/>
                <w:szCs w:val="18"/>
              </w:rPr>
            </w:pPr>
            <w:r>
              <w:rPr>
                <w:rFonts w:ascii="Calibri" w:hAnsi="Calibri" w:cs="Calibri"/>
                <w:color w:val="000000"/>
                <w:sz w:val="18"/>
                <w:szCs w:val="18"/>
              </w:rPr>
              <w:t>All</w:t>
            </w:r>
          </w:p>
        </w:tc>
        <w:tc>
          <w:tcPr>
            <w:tcW w:w="1300" w:type="dxa"/>
            <w:vMerge w:val="restart"/>
            <w:tcBorders>
              <w:top w:val="nil"/>
              <w:left w:val="nil"/>
              <w:bottom w:val="single" w:sz="8" w:space="0" w:color="FFFFFF"/>
              <w:right w:val="nil"/>
            </w:tcBorders>
            <w:shd w:val="clear" w:color="auto" w:fill="auto"/>
            <w:vAlign w:val="center"/>
            <w:hideMark/>
          </w:tcPr>
          <w:p w14:paraId="05F13EEA" w14:textId="77777777" w:rsidR="00055C38" w:rsidRDefault="00055C38">
            <w:pPr>
              <w:rPr>
                <w:rFonts w:ascii="Calibri" w:hAnsi="Calibri" w:cs="Calibri"/>
                <w:color w:val="000000"/>
                <w:sz w:val="18"/>
                <w:szCs w:val="18"/>
              </w:rPr>
            </w:pPr>
            <w:r>
              <w:rPr>
                <w:rFonts w:ascii="Calibri" w:hAnsi="Calibri" w:cs="Calibri"/>
                <w:color w:val="000000"/>
                <w:sz w:val="18"/>
                <w:szCs w:val="18"/>
              </w:rPr>
              <w:t>α diversity</w:t>
            </w:r>
          </w:p>
        </w:tc>
        <w:tc>
          <w:tcPr>
            <w:tcW w:w="1300" w:type="dxa"/>
            <w:tcBorders>
              <w:top w:val="nil"/>
              <w:left w:val="nil"/>
              <w:bottom w:val="nil"/>
              <w:right w:val="nil"/>
            </w:tcBorders>
            <w:shd w:val="clear" w:color="auto" w:fill="auto"/>
            <w:vAlign w:val="center"/>
            <w:hideMark/>
          </w:tcPr>
          <w:p w14:paraId="13073F9F" w14:textId="77777777" w:rsidR="00055C38" w:rsidRDefault="00055C38">
            <w:pPr>
              <w:rPr>
                <w:rFonts w:ascii="Calibri" w:hAnsi="Calibri" w:cs="Calibri"/>
                <w:color w:val="000000"/>
                <w:sz w:val="18"/>
                <w:szCs w:val="18"/>
              </w:rPr>
            </w:pPr>
            <w:r>
              <w:rPr>
                <w:rFonts w:ascii="Calibri" w:hAnsi="Calibri" w:cs="Calibri"/>
                <w:color w:val="000000"/>
                <w:sz w:val="18"/>
                <w:szCs w:val="18"/>
              </w:rPr>
              <w:t>adj. R</w:t>
            </w:r>
            <w:r>
              <w:rPr>
                <w:rFonts w:ascii="Calibri" w:hAnsi="Calibri" w:cs="Calibri"/>
                <w:color w:val="000000"/>
                <w:sz w:val="18"/>
                <w:szCs w:val="18"/>
                <w:vertAlign w:val="superscript"/>
              </w:rPr>
              <w:t>2</w:t>
            </w:r>
          </w:p>
        </w:tc>
        <w:tc>
          <w:tcPr>
            <w:tcW w:w="1140" w:type="dxa"/>
            <w:tcBorders>
              <w:top w:val="nil"/>
              <w:left w:val="nil"/>
              <w:bottom w:val="nil"/>
              <w:right w:val="nil"/>
            </w:tcBorders>
            <w:shd w:val="clear" w:color="auto" w:fill="auto"/>
            <w:vAlign w:val="center"/>
            <w:hideMark/>
          </w:tcPr>
          <w:p w14:paraId="18207B79" w14:textId="77777777" w:rsidR="00055C38" w:rsidRDefault="00055C38">
            <w:pPr>
              <w:rPr>
                <w:rFonts w:ascii="Calibri" w:hAnsi="Calibri" w:cs="Calibri"/>
                <w:color w:val="000000"/>
                <w:sz w:val="18"/>
                <w:szCs w:val="18"/>
              </w:rPr>
            </w:pPr>
            <w:r>
              <w:rPr>
                <w:rFonts w:ascii="Calibri" w:hAnsi="Calibri" w:cs="Calibri"/>
                <w:color w:val="000000"/>
                <w:sz w:val="18"/>
                <w:szCs w:val="18"/>
              </w:rPr>
              <w:t>&lt;.01</w:t>
            </w:r>
          </w:p>
        </w:tc>
        <w:tc>
          <w:tcPr>
            <w:tcW w:w="1060" w:type="dxa"/>
            <w:tcBorders>
              <w:top w:val="nil"/>
              <w:left w:val="nil"/>
              <w:bottom w:val="nil"/>
              <w:right w:val="nil"/>
            </w:tcBorders>
            <w:shd w:val="clear" w:color="auto" w:fill="auto"/>
            <w:vAlign w:val="center"/>
            <w:hideMark/>
          </w:tcPr>
          <w:p w14:paraId="312D9A17" w14:textId="77777777" w:rsidR="00055C38" w:rsidRDefault="00055C38">
            <w:pPr>
              <w:rPr>
                <w:rFonts w:ascii="Calibri" w:hAnsi="Calibri" w:cs="Calibri"/>
                <w:color w:val="000000"/>
                <w:sz w:val="18"/>
                <w:szCs w:val="18"/>
              </w:rPr>
            </w:pPr>
            <w:r>
              <w:rPr>
                <w:rFonts w:ascii="Calibri" w:hAnsi="Calibri" w:cs="Calibri"/>
                <w:color w:val="000000"/>
                <w:sz w:val="18"/>
                <w:szCs w:val="18"/>
              </w:rPr>
              <w:t>&lt;-.01</w:t>
            </w:r>
          </w:p>
        </w:tc>
        <w:tc>
          <w:tcPr>
            <w:tcW w:w="1060" w:type="dxa"/>
            <w:tcBorders>
              <w:top w:val="nil"/>
              <w:left w:val="nil"/>
              <w:bottom w:val="nil"/>
              <w:right w:val="nil"/>
            </w:tcBorders>
            <w:shd w:val="clear" w:color="auto" w:fill="auto"/>
            <w:vAlign w:val="center"/>
            <w:hideMark/>
          </w:tcPr>
          <w:p w14:paraId="3D7D229F" w14:textId="77777777" w:rsidR="00055C38" w:rsidRPr="002A5400" w:rsidRDefault="00055C38">
            <w:pPr>
              <w:rPr>
                <w:rFonts w:ascii="Calibri" w:hAnsi="Calibri" w:cs="Calibri"/>
                <w:color w:val="000000" w:themeColor="text1"/>
                <w:sz w:val="18"/>
                <w:szCs w:val="18"/>
              </w:rPr>
            </w:pPr>
            <w:r w:rsidRPr="002A5400">
              <w:rPr>
                <w:rFonts w:ascii="Calibri" w:hAnsi="Calibri" w:cs="Calibri"/>
                <w:color w:val="000000" w:themeColor="text1"/>
                <w:sz w:val="18"/>
                <w:szCs w:val="18"/>
              </w:rPr>
              <w:t>-.01</w:t>
            </w:r>
          </w:p>
        </w:tc>
        <w:tc>
          <w:tcPr>
            <w:tcW w:w="1260" w:type="dxa"/>
            <w:tcBorders>
              <w:top w:val="nil"/>
              <w:left w:val="nil"/>
              <w:bottom w:val="nil"/>
              <w:right w:val="nil"/>
            </w:tcBorders>
            <w:shd w:val="clear" w:color="auto" w:fill="auto"/>
            <w:vAlign w:val="center"/>
            <w:hideMark/>
          </w:tcPr>
          <w:p w14:paraId="04A6056F" w14:textId="77777777" w:rsidR="00055C38" w:rsidRPr="002A5400" w:rsidRDefault="00055C38">
            <w:pPr>
              <w:rPr>
                <w:rFonts w:ascii="Calibri" w:hAnsi="Calibri" w:cs="Calibri"/>
                <w:color w:val="000000" w:themeColor="text1"/>
                <w:sz w:val="18"/>
                <w:szCs w:val="18"/>
              </w:rPr>
            </w:pPr>
          </w:p>
        </w:tc>
        <w:tc>
          <w:tcPr>
            <w:tcW w:w="1040" w:type="dxa"/>
            <w:tcBorders>
              <w:top w:val="nil"/>
              <w:left w:val="nil"/>
              <w:bottom w:val="nil"/>
              <w:right w:val="nil"/>
            </w:tcBorders>
            <w:shd w:val="clear" w:color="auto" w:fill="auto"/>
            <w:vAlign w:val="center"/>
            <w:hideMark/>
          </w:tcPr>
          <w:p w14:paraId="702B145D" w14:textId="77777777" w:rsidR="00055C38" w:rsidRDefault="00055C38">
            <w:pPr>
              <w:rPr>
                <w:rFonts w:ascii="Calibri" w:hAnsi="Calibri" w:cs="Calibri"/>
                <w:color w:val="000000"/>
                <w:sz w:val="18"/>
                <w:szCs w:val="18"/>
              </w:rPr>
            </w:pPr>
            <w:r>
              <w:rPr>
                <w:rFonts w:ascii="Calibri" w:hAnsi="Calibri" w:cs="Calibri"/>
                <w:color w:val="000000"/>
                <w:sz w:val="18"/>
                <w:szCs w:val="18"/>
              </w:rPr>
              <w:t>&lt;-.01</w:t>
            </w:r>
          </w:p>
        </w:tc>
      </w:tr>
      <w:tr w:rsidR="00055C38" w14:paraId="1A1AF810" w14:textId="77777777" w:rsidTr="00055C38">
        <w:trPr>
          <w:trHeight w:val="320"/>
        </w:trPr>
        <w:tc>
          <w:tcPr>
            <w:tcW w:w="640" w:type="dxa"/>
            <w:vMerge/>
            <w:tcBorders>
              <w:top w:val="nil"/>
              <w:left w:val="nil"/>
              <w:bottom w:val="single" w:sz="8" w:space="0" w:color="FFFFFF"/>
              <w:right w:val="nil"/>
            </w:tcBorders>
            <w:vAlign w:val="center"/>
            <w:hideMark/>
          </w:tcPr>
          <w:p w14:paraId="3FA49BBA" w14:textId="77777777" w:rsidR="00055C38" w:rsidRDefault="00055C38">
            <w:pPr>
              <w:rPr>
                <w:rFonts w:ascii="Calibri" w:hAnsi="Calibri" w:cs="Calibri"/>
                <w:color w:val="000000"/>
                <w:sz w:val="18"/>
                <w:szCs w:val="18"/>
              </w:rPr>
            </w:pPr>
          </w:p>
        </w:tc>
        <w:tc>
          <w:tcPr>
            <w:tcW w:w="1300" w:type="dxa"/>
            <w:vMerge/>
            <w:tcBorders>
              <w:top w:val="nil"/>
              <w:left w:val="nil"/>
              <w:bottom w:val="single" w:sz="8" w:space="0" w:color="FFFFFF"/>
              <w:right w:val="nil"/>
            </w:tcBorders>
            <w:vAlign w:val="center"/>
            <w:hideMark/>
          </w:tcPr>
          <w:p w14:paraId="28F713BA" w14:textId="77777777" w:rsidR="00055C38" w:rsidRDefault="00055C38">
            <w:pPr>
              <w:rPr>
                <w:rFonts w:ascii="Calibri" w:hAnsi="Calibri" w:cs="Calibri"/>
                <w:color w:val="000000"/>
                <w:sz w:val="18"/>
                <w:szCs w:val="18"/>
              </w:rPr>
            </w:pPr>
          </w:p>
        </w:tc>
        <w:tc>
          <w:tcPr>
            <w:tcW w:w="1300" w:type="dxa"/>
            <w:tcBorders>
              <w:top w:val="nil"/>
              <w:left w:val="nil"/>
              <w:bottom w:val="nil"/>
              <w:right w:val="nil"/>
            </w:tcBorders>
            <w:shd w:val="clear" w:color="auto" w:fill="auto"/>
            <w:vAlign w:val="center"/>
            <w:hideMark/>
          </w:tcPr>
          <w:p w14:paraId="29BC824A" w14:textId="77777777" w:rsidR="00055C38" w:rsidRDefault="00055C38">
            <w:pPr>
              <w:rPr>
                <w:rFonts w:ascii="Calibri" w:hAnsi="Calibri" w:cs="Calibri"/>
                <w:color w:val="000000"/>
                <w:sz w:val="18"/>
                <w:szCs w:val="18"/>
              </w:rPr>
            </w:pPr>
            <w:r>
              <w:rPr>
                <w:rFonts w:ascii="Calibri" w:hAnsi="Calibri" w:cs="Calibri"/>
                <w:color w:val="000000"/>
                <w:sz w:val="18"/>
                <w:szCs w:val="18"/>
              </w:rPr>
              <w:t>β</w:t>
            </w:r>
          </w:p>
        </w:tc>
        <w:tc>
          <w:tcPr>
            <w:tcW w:w="1140" w:type="dxa"/>
            <w:tcBorders>
              <w:top w:val="nil"/>
              <w:left w:val="nil"/>
              <w:bottom w:val="nil"/>
              <w:right w:val="nil"/>
            </w:tcBorders>
            <w:shd w:val="clear" w:color="auto" w:fill="auto"/>
            <w:vAlign w:val="center"/>
            <w:hideMark/>
          </w:tcPr>
          <w:p w14:paraId="3FDF21CE" w14:textId="77777777" w:rsidR="00055C38" w:rsidRDefault="00055C38">
            <w:pPr>
              <w:rPr>
                <w:rFonts w:ascii="Calibri" w:hAnsi="Calibri" w:cs="Calibri"/>
                <w:color w:val="000000"/>
                <w:sz w:val="18"/>
                <w:szCs w:val="18"/>
              </w:rPr>
            </w:pPr>
            <w:r>
              <w:rPr>
                <w:rFonts w:ascii="Calibri" w:hAnsi="Calibri" w:cs="Calibri"/>
                <w:color w:val="000000"/>
                <w:sz w:val="18"/>
                <w:szCs w:val="18"/>
              </w:rPr>
              <w:t>0.12</w:t>
            </w:r>
          </w:p>
        </w:tc>
        <w:tc>
          <w:tcPr>
            <w:tcW w:w="1060" w:type="dxa"/>
            <w:tcBorders>
              <w:top w:val="nil"/>
              <w:left w:val="nil"/>
              <w:bottom w:val="nil"/>
              <w:right w:val="nil"/>
            </w:tcBorders>
            <w:shd w:val="clear" w:color="auto" w:fill="auto"/>
            <w:vAlign w:val="center"/>
            <w:hideMark/>
          </w:tcPr>
          <w:p w14:paraId="6E20BC44" w14:textId="77777777" w:rsidR="00055C38" w:rsidRDefault="00055C38">
            <w:pPr>
              <w:rPr>
                <w:rFonts w:ascii="Calibri" w:hAnsi="Calibri" w:cs="Calibri"/>
                <w:color w:val="000000"/>
                <w:sz w:val="18"/>
                <w:szCs w:val="18"/>
              </w:rPr>
            </w:pPr>
            <w:r>
              <w:rPr>
                <w:rFonts w:ascii="Calibri" w:hAnsi="Calibri" w:cs="Calibri"/>
                <w:color w:val="000000"/>
                <w:sz w:val="18"/>
                <w:szCs w:val="18"/>
              </w:rPr>
              <w:t>0.15</w:t>
            </w:r>
          </w:p>
        </w:tc>
        <w:tc>
          <w:tcPr>
            <w:tcW w:w="1060" w:type="dxa"/>
            <w:tcBorders>
              <w:top w:val="nil"/>
              <w:left w:val="nil"/>
              <w:bottom w:val="nil"/>
              <w:right w:val="nil"/>
            </w:tcBorders>
            <w:shd w:val="clear" w:color="auto" w:fill="auto"/>
            <w:vAlign w:val="center"/>
            <w:hideMark/>
          </w:tcPr>
          <w:p w14:paraId="78E37423" w14:textId="77777777" w:rsidR="00055C38" w:rsidRPr="002A5400" w:rsidRDefault="00055C38">
            <w:pPr>
              <w:rPr>
                <w:rFonts w:ascii="Calibri" w:hAnsi="Calibri" w:cs="Calibri"/>
                <w:color w:val="000000" w:themeColor="text1"/>
                <w:sz w:val="18"/>
                <w:szCs w:val="18"/>
              </w:rPr>
            </w:pPr>
            <w:r w:rsidRPr="002A5400">
              <w:rPr>
                <w:rFonts w:ascii="Calibri" w:hAnsi="Calibri" w:cs="Calibri"/>
                <w:color w:val="000000" w:themeColor="text1"/>
                <w:sz w:val="18"/>
                <w:szCs w:val="18"/>
              </w:rPr>
              <w:t>-0.06</w:t>
            </w:r>
          </w:p>
        </w:tc>
        <w:tc>
          <w:tcPr>
            <w:tcW w:w="1260" w:type="dxa"/>
            <w:tcBorders>
              <w:top w:val="nil"/>
              <w:left w:val="nil"/>
              <w:bottom w:val="nil"/>
              <w:right w:val="nil"/>
            </w:tcBorders>
            <w:shd w:val="clear" w:color="auto" w:fill="auto"/>
            <w:vAlign w:val="center"/>
            <w:hideMark/>
          </w:tcPr>
          <w:p w14:paraId="48EB513C" w14:textId="77777777" w:rsidR="00055C38" w:rsidRPr="002A5400" w:rsidRDefault="00055C38">
            <w:pPr>
              <w:rPr>
                <w:rFonts w:ascii="Calibri" w:hAnsi="Calibri" w:cs="Calibri"/>
                <w:color w:val="000000" w:themeColor="text1"/>
                <w:sz w:val="18"/>
                <w:szCs w:val="18"/>
              </w:rPr>
            </w:pPr>
          </w:p>
        </w:tc>
        <w:tc>
          <w:tcPr>
            <w:tcW w:w="1040" w:type="dxa"/>
            <w:tcBorders>
              <w:top w:val="nil"/>
              <w:left w:val="nil"/>
              <w:bottom w:val="nil"/>
              <w:right w:val="nil"/>
            </w:tcBorders>
            <w:shd w:val="clear" w:color="auto" w:fill="auto"/>
            <w:vAlign w:val="center"/>
            <w:hideMark/>
          </w:tcPr>
          <w:p w14:paraId="069841A5" w14:textId="77777777" w:rsidR="00055C38" w:rsidRDefault="00055C38">
            <w:pPr>
              <w:rPr>
                <w:rFonts w:ascii="Calibri" w:hAnsi="Calibri" w:cs="Calibri"/>
                <w:color w:val="000000"/>
                <w:sz w:val="18"/>
                <w:szCs w:val="18"/>
              </w:rPr>
            </w:pPr>
            <w:r>
              <w:rPr>
                <w:rFonts w:ascii="Calibri" w:hAnsi="Calibri" w:cs="Calibri"/>
                <w:color w:val="000000"/>
                <w:sz w:val="18"/>
                <w:szCs w:val="18"/>
              </w:rPr>
              <w:t>0.13</w:t>
            </w:r>
          </w:p>
        </w:tc>
      </w:tr>
      <w:tr w:rsidR="00055C38" w14:paraId="4D41F12F" w14:textId="77777777" w:rsidTr="00055C38">
        <w:trPr>
          <w:trHeight w:val="340"/>
        </w:trPr>
        <w:tc>
          <w:tcPr>
            <w:tcW w:w="640" w:type="dxa"/>
            <w:vMerge/>
            <w:tcBorders>
              <w:top w:val="nil"/>
              <w:left w:val="nil"/>
              <w:bottom w:val="single" w:sz="8" w:space="0" w:color="FFFFFF"/>
              <w:right w:val="nil"/>
            </w:tcBorders>
            <w:vAlign w:val="center"/>
            <w:hideMark/>
          </w:tcPr>
          <w:p w14:paraId="17AB3C3B" w14:textId="77777777" w:rsidR="00055C38" w:rsidRDefault="00055C38">
            <w:pPr>
              <w:rPr>
                <w:rFonts w:ascii="Calibri" w:hAnsi="Calibri" w:cs="Calibri"/>
                <w:color w:val="000000"/>
                <w:sz w:val="18"/>
                <w:szCs w:val="18"/>
              </w:rPr>
            </w:pPr>
          </w:p>
        </w:tc>
        <w:tc>
          <w:tcPr>
            <w:tcW w:w="1300" w:type="dxa"/>
            <w:vMerge/>
            <w:tcBorders>
              <w:top w:val="nil"/>
              <w:left w:val="nil"/>
              <w:bottom w:val="single" w:sz="8" w:space="0" w:color="FFFFFF"/>
              <w:right w:val="nil"/>
            </w:tcBorders>
            <w:vAlign w:val="center"/>
            <w:hideMark/>
          </w:tcPr>
          <w:p w14:paraId="1F3262AD" w14:textId="77777777" w:rsidR="00055C38" w:rsidRDefault="00055C38">
            <w:pPr>
              <w:rPr>
                <w:rFonts w:ascii="Calibri" w:hAnsi="Calibri" w:cs="Calibri"/>
                <w:color w:val="000000"/>
                <w:sz w:val="18"/>
                <w:szCs w:val="18"/>
              </w:rPr>
            </w:pPr>
          </w:p>
        </w:tc>
        <w:tc>
          <w:tcPr>
            <w:tcW w:w="1300" w:type="dxa"/>
            <w:tcBorders>
              <w:top w:val="nil"/>
              <w:left w:val="nil"/>
              <w:bottom w:val="nil"/>
              <w:right w:val="nil"/>
            </w:tcBorders>
            <w:shd w:val="clear" w:color="auto" w:fill="auto"/>
            <w:vAlign w:val="center"/>
            <w:hideMark/>
          </w:tcPr>
          <w:p w14:paraId="6B004603" w14:textId="77777777" w:rsidR="00055C38" w:rsidRDefault="00055C38">
            <w:pPr>
              <w:rPr>
                <w:rFonts w:ascii="Calibri" w:hAnsi="Calibri" w:cs="Calibri"/>
                <w:color w:val="000000"/>
                <w:sz w:val="18"/>
                <w:szCs w:val="18"/>
              </w:rPr>
            </w:pPr>
            <w:r>
              <w:rPr>
                <w:rFonts w:ascii="Calibri" w:hAnsi="Calibri" w:cs="Calibri"/>
                <w:color w:val="000000"/>
                <w:sz w:val="18"/>
                <w:szCs w:val="18"/>
              </w:rPr>
              <w:t>p</w:t>
            </w:r>
          </w:p>
        </w:tc>
        <w:tc>
          <w:tcPr>
            <w:tcW w:w="1140" w:type="dxa"/>
            <w:tcBorders>
              <w:top w:val="nil"/>
              <w:left w:val="nil"/>
              <w:bottom w:val="nil"/>
              <w:right w:val="nil"/>
            </w:tcBorders>
            <w:shd w:val="clear" w:color="auto" w:fill="auto"/>
            <w:vAlign w:val="center"/>
            <w:hideMark/>
          </w:tcPr>
          <w:p w14:paraId="048ABFA7" w14:textId="77777777" w:rsidR="00055C38" w:rsidRDefault="00055C38">
            <w:pPr>
              <w:rPr>
                <w:rFonts w:ascii="Calibri" w:hAnsi="Calibri" w:cs="Calibri"/>
                <w:color w:val="000000"/>
                <w:sz w:val="18"/>
                <w:szCs w:val="18"/>
              </w:rPr>
            </w:pPr>
            <w:r>
              <w:rPr>
                <w:rFonts w:ascii="Calibri" w:hAnsi="Calibri" w:cs="Calibri"/>
                <w:color w:val="000000"/>
                <w:sz w:val="18"/>
                <w:szCs w:val="18"/>
              </w:rPr>
              <w:t>.25</w:t>
            </w:r>
          </w:p>
        </w:tc>
        <w:tc>
          <w:tcPr>
            <w:tcW w:w="1060" w:type="dxa"/>
            <w:tcBorders>
              <w:top w:val="nil"/>
              <w:left w:val="nil"/>
              <w:bottom w:val="nil"/>
              <w:right w:val="nil"/>
            </w:tcBorders>
            <w:shd w:val="clear" w:color="auto" w:fill="auto"/>
            <w:vAlign w:val="center"/>
            <w:hideMark/>
          </w:tcPr>
          <w:p w14:paraId="59E72622" w14:textId="77777777" w:rsidR="00055C38" w:rsidRDefault="00055C38">
            <w:pPr>
              <w:rPr>
                <w:rFonts w:ascii="Calibri" w:hAnsi="Calibri" w:cs="Calibri"/>
                <w:color w:val="000000"/>
                <w:sz w:val="18"/>
                <w:szCs w:val="18"/>
              </w:rPr>
            </w:pPr>
            <w:r>
              <w:rPr>
                <w:rFonts w:ascii="Calibri" w:hAnsi="Calibri" w:cs="Calibri"/>
                <w:color w:val="000000"/>
                <w:sz w:val="18"/>
                <w:szCs w:val="18"/>
              </w:rPr>
              <w:t>.35</w:t>
            </w:r>
          </w:p>
        </w:tc>
        <w:tc>
          <w:tcPr>
            <w:tcW w:w="1060" w:type="dxa"/>
            <w:tcBorders>
              <w:top w:val="nil"/>
              <w:left w:val="nil"/>
              <w:bottom w:val="nil"/>
              <w:right w:val="nil"/>
            </w:tcBorders>
            <w:shd w:val="clear" w:color="auto" w:fill="auto"/>
            <w:vAlign w:val="center"/>
            <w:hideMark/>
          </w:tcPr>
          <w:p w14:paraId="13AED699" w14:textId="77777777" w:rsidR="00055C38" w:rsidRPr="002A5400" w:rsidRDefault="00055C38">
            <w:pPr>
              <w:rPr>
                <w:rFonts w:ascii="Calibri" w:hAnsi="Calibri" w:cs="Calibri"/>
                <w:color w:val="000000" w:themeColor="text1"/>
                <w:sz w:val="18"/>
                <w:szCs w:val="18"/>
              </w:rPr>
            </w:pPr>
            <w:r w:rsidRPr="002A5400">
              <w:rPr>
                <w:rFonts w:ascii="Calibri" w:hAnsi="Calibri" w:cs="Calibri"/>
                <w:color w:val="000000" w:themeColor="text1"/>
                <w:sz w:val="18"/>
                <w:szCs w:val="18"/>
              </w:rPr>
              <w:t>.68</w:t>
            </w:r>
          </w:p>
        </w:tc>
        <w:tc>
          <w:tcPr>
            <w:tcW w:w="1260" w:type="dxa"/>
            <w:tcBorders>
              <w:top w:val="nil"/>
              <w:left w:val="nil"/>
              <w:bottom w:val="nil"/>
              <w:right w:val="nil"/>
            </w:tcBorders>
            <w:shd w:val="clear" w:color="auto" w:fill="auto"/>
            <w:vAlign w:val="center"/>
            <w:hideMark/>
          </w:tcPr>
          <w:p w14:paraId="356B62CE" w14:textId="77777777" w:rsidR="00055C38" w:rsidRPr="002A5400" w:rsidRDefault="00055C38">
            <w:pPr>
              <w:rPr>
                <w:rFonts w:ascii="Calibri" w:hAnsi="Calibri" w:cs="Calibri"/>
                <w:color w:val="000000" w:themeColor="text1"/>
                <w:sz w:val="18"/>
                <w:szCs w:val="18"/>
              </w:rPr>
            </w:pPr>
          </w:p>
        </w:tc>
        <w:tc>
          <w:tcPr>
            <w:tcW w:w="1040" w:type="dxa"/>
            <w:tcBorders>
              <w:top w:val="nil"/>
              <w:left w:val="nil"/>
              <w:bottom w:val="nil"/>
              <w:right w:val="nil"/>
            </w:tcBorders>
            <w:shd w:val="clear" w:color="auto" w:fill="auto"/>
            <w:vAlign w:val="center"/>
            <w:hideMark/>
          </w:tcPr>
          <w:p w14:paraId="73BA4DA7" w14:textId="77777777" w:rsidR="00055C38" w:rsidRDefault="00055C38">
            <w:pPr>
              <w:rPr>
                <w:rFonts w:ascii="Calibri" w:hAnsi="Calibri" w:cs="Calibri"/>
                <w:color w:val="000000"/>
                <w:sz w:val="18"/>
                <w:szCs w:val="18"/>
              </w:rPr>
            </w:pPr>
            <w:r>
              <w:rPr>
                <w:rFonts w:ascii="Calibri" w:hAnsi="Calibri" w:cs="Calibri"/>
                <w:color w:val="000000"/>
                <w:sz w:val="18"/>
                <w:szCs w:val="18"/>
              </w:rPr>
              <w:t>.35</w:t>
            </w:r>
          </w:p>
        </w:tc>
      </w:tr>
      <w:tr w:rsidR="00055C38" w14:paraId="3E57857D" w14:textId="77777777" w:rsidTr="00055C38">
        <w:trPr>
          <w:trHeight w:val="320"/>
        </w:trPr>
        <w:tc>
          <w:tcPr>
            <w:tcW w:w="640" w:type="dxa"/>
            <w:vMerge/>
            <w:tcBorders>
              <w:top w:val="nil"/>
              <w:left w:val="nil"/>
              <w:bottom w:val="single" w:sz="8" w:space="0" w:color="FFFFFF"/>
              <w:right w:val="nil"/>
            </w:tcBorders>
            <w:vAlign w:val="center"/>
            <w:hideMark/>
          </w:tcPr>
          <w:p w14:paraId="75CE791A" w14:textId="77777777" w:rsidR="00055C38" w:rsidRDefault="00055C38">
            <w:pPr>
              <w:rPr>
                <w:rFonts w:ascii="Calibri" w:hAnsi="Calibri" w:cs="Calibri"/>
                <w:color w:val="000000"/>
                <w:sz w:val="18"/>
                <w:szCs w:val="18"/>
              </w:rPr>
            </w:pPr>
          </w:p>
        </w:tc>
        <w:tc>
          <w:tcPr>
            <w:tcW w:w="1300" w:type="dxa"/>
            <w:vMerge w:val="restart"/>
            <w:tcBorders>
              <w:top w:val="nil"/>
              <w:left w:val="nil"/>
              <w:bottom w:val="single" w:sz="8" w:space="0" w:color="FFFFFF"/>
              <w:right w:val="nil"/>
            </w:tcBorders>
            <w:shd w:val="clear" w:color="auto" w:fill="auto"/>
            <w:vAlign w:val="center"/>
            <w:hideMark/>
          </w:tcPr>
          <w:p w14:paraId="0D08E345" w14:textId="77777777" w:rsidR="00055C38" w:rsidRDefault="00055C38">
            <w:pPr>
              <w:rPr>
                <w:rFonts w:ascii="Calibri" w:hAnsi="Calibri" w:cs="Calibri"/>
                <w:color w:val="000000"/>
                <w:sz w:val="18"/>
                <w:szCs w:val="18"/>
              </w:rPr>
            </w:pPr>
            <w:r>
              <w:rPr>
                <w:rFonts w:ascii="Calibri" w:hAnsi="Calibri" w:cs="Calibri"/>
                <w:color w:val="000000"/>
                <w:sz w:val="18"/>
                <w:szCs w:val="18"/>
              </w:rPr>
              <w:t>α diversity, adjusted</w:t>
            </w:r>
          </w:p>
        </w:tc>
        <w:tc>
          <w:tcPr>
            <w:tcW w:w="1300" w:type="dxa"/>
            <w:tcBorders>
              <w:top w:val="nil"/>
              <w:left w:val="nil"/>
              <w:bottom w:val="nil"/>
              <w:right w:val="nil"/>
            </w:tcBorders>
            <w:shd w:val="clear" w:color="auto" w:fill="auto"/>
            <w:vAlign w:val="center"/>
            <w:hideMark/>
          </w:tcPr>
          <w:p w14:paraId="29037541" w14:textId="77777777" w:rsidR="00055C38" w:rsidRDefault="00055C38">
            <w:pPr>
              <w:rPr>
                <w:rFonts w:ascii="Calibri" w:hAnsi="Calibri" w:cs="Calibri"/>
                <w:color w:val="000000"/>
                <w:sz w:val="18"/>
                <w:szCs w:val="18"/>
              </w:rPr>
            </w:pPr>
            <w:r>
              <w:rPr>
                <w:rFonts w:ascii="Calibri" w:hAnsi="Calibri" w:cs="Calibri"/>
                <w:color w:val="000000"/>
                <w:sz w:val="18"/>
                <w:szCs w:val="18"/>
              </w:rPr>
              <w:t>adj. R</w:t>
            </w:r>
            <w:r>
              <w:rPr>
                <w:rFonts w:ascii="Calibri" w:hAnsi="Calibri" w:cs="Calibri"/>
                <w:color w:val="000000"/>
                <w:sz w:val="18"/>
                <w:szCs w:val="18"/>
                <w:vertAlign w:val="superscript"/>
              </w:rPr>
              <w:t>2</w:t>
            </w:r>
          </w:p>
        </w:tc>
        <w:tc>
          <w:tcPr>
            <w:tcW w:w="1140" w:type="dxa"/>
            <w:tcBorders>
              <w:top w:val="nil"/>
              <w:left w:val="nil"/>
              <w:bottom w:val="nil"/>
              <w:right w:val="nil"/>
            </w:tcBorders>
            <w:shd w:val="clear" w:color="auto" w:fill="auto"/>
            <w:vAlign w:val="center"/>
            <w:hideMark/>
          </w:tcPr>
          <w:p w14:paraId="04B61862" w14:textId="77777777" w:rsidR="00055C38" w:rsidRDefault="00055C38">
            <w:pPr>
              <w:rPr>
                <w:rFonts w:ascii="Calibri" w:hAnsi="Calibri" w:cs="Calibri"/>
                <w:color w:val="000000"/>
                <w:sz w:val="18"/>
                <w:szCs w:val="18"/>
              </w:rPr>
            </w:pPr>
            <w:r>
              <w:rPr>
                <w:rFonts w:ascii="Calibri" w:hAnsi="Calibri" w:cs="Calibri"/>
                <w:color w:val="000000"/>
                <w:sz w:val="18"/>
                <w:szCs w:val="18"/>
              </w:rPr>
              <w:t>.03</w:t>
            </w:r>
          </w:p>
        </w:tc>
        <w:tc>
          <w:tcPr>
            <w:tcW w:w="1060" w:type="dxa"/>
            <w:tcBorders>
              <w:top w:val="nil"/>
              <w:left w:val="nil"/>
              <w:bottom w:val="nil"/>
              <w:right w:val="nil"/>
            </w:tcBorders>
            <w:shd w:val="clear" w:color="auto" w:fill="auto"/>
            <w:vAlign w:val="center"/>
            <w:hideMark/>
          </w:tcPr>
          <w:p w14:paraId="58D20BF1" w14:textId="77777777" w:rsidR="00055C38" w:rsidRDefault="00055C38">
            <w:pPr>
              <w:rPr>
                <w:rFonts w:ascii="Calibri" w:hAnsi="Calibri" w:cs="Calibri"/>
                <w:color w:val="000000"/>
                <w:sz w:val="18"/>
                <w:szCs w:val="18"/>
              </w:rPr>
            </w:pPr>
            <w:r>
              <w:rPr>
                <w:rFonts w:ascii="Calibri" w:hAnsi="Calibri" w:cs="Calibri"/>
                <w:color w:val="000000"/>
                <w:sz w:val="18"/>
                <w:szCs w:val="18"/>
              </w:rPr>
              <w:t>.06</w:t>
            </w:r>
          </w:p>
        </w:tc>
        <w:tc>
          <w:tcPr>
            <w:tcW w:w="1060" w:type="dxa"/>
            <w:tcBorders>
              <w:top w:val="nil"/>
              <w:left w:val="nil"/>
              <w:bottom w:val="nil"/>
              <w:right w:val="nil"/>
            </w:tcBorders>
            <w:shd w:val="clear" w:color="auto" w:fill="auto"/>
            <w:vAlign w:val="center"/>
            <w:hideMark/>
          </w:tcPr>
          <w:p w14:paraId="0D20FA11" w14:textId="77777777" w:rsidR="00055C38" w:rsidRPr="002A5400" w:rsidRDefault="00055C38">
            <w:pPr>
              <w:rPr>
                <w:rFonts w:ascii="Calibri" w:hAnsi="Calibri" w:cs="Calibri"/>
                <w:color w:val="000000" w:themeColor="text1"/>
                <w:sz w:val="18"/>
                <w:szCs w:val="18"/>
              </w:rPr>
            </w:pPr>
            <w:r w:rsidRPr="002A5400">
              <w:rPr>
                <w:rFonts w:ascii="Calibri" w:hAnsi="Calibri" w:cs="Calibri"/>
                <w:color w:val="000000" w:themeColor="text1"/>
                <w:sz w:val="18"/>
                <w:szCs w:val="18"/>
              </w:rPr>
              <w:t>-.03</w:t>
            </w:r>
          </w:p>
        </w:tc>
        <w:tc>
          <w:tcPr>
            <w:tcW w:w="1260" w:type="dxa"/>
            <w:tcBorders>
              <w:top w:val="nil"/>
              <w:left w:val="nil"/>
              <w:bottom w:val="nil"/>
              <w:right w:val="nil"/>
            </w:tcBorders>
            <w:shd w:val="clear" w:color="auto" w:fill="auto"/>
            <w:vAlign w:val="center"/>
            <w:hideMark/>
          </w:tcPr>
          <w:p w14:paraId="452605AA" w14:textId="4A1765F6" w:rsidR="00055C38" w:rsidRPr="002A5400" w:rsidRDefault="00A208ED">
            <w:pPr>
              <w:rPr>
                <w:rFonts w:ascii="Calibri" w:hAnsi="Calibri" w:cs="Calibri"/>
                <w:color w:val="000000" w:themeColor="text1"/>
                <w:sz w:val="18"/>
                <w:szCs w:val="18"/>
              </w:rPr>
            </w:pPr>
            <w:r w:rsidRPr="002A5400">
              <w:rPr>
                <w:rFonts w:ascii="Calibri" w:hAnsi="Calibri" w:cs="Calibri"/>
                <w:color w:val="000000" w:themeColor="text1"/>
                <w:sz w:val="18"/>
                <w:szCs w:val="18"/>
              </w:rPr>
              <w:t>-.02</w:t>
            </w:r>
          </w:p>
        </w:tc>
        <w:tc>
          <w:tcPr>
            <w:tcW w:w="1040" w:type="dxa"/>
            <w:tcBorders>
              <w:top w:val="nil"/>
              <w:left w:val="nil"/>
              <w:bottom w:val="nil"/>
              <w:right w:val="nil"/>
            </w:tcBorders>
            <w:shd w:val="clear" w:color="auto" w:fill="auto"/>
            <w:vAlign w:val="center"/>
            <w:hideMark/>
          </w:tcPr>
          <w:p w14:paraId="5EB41A08" w14:textId="77777777" w:rsidR="00055C38" w:rsidRDefault="00055C38">
            <w:pPr>
              <w:rPr>
                <w:rFonts w:ascii="Calibri" w:hAnsi="Calibri" w:cs="Calibri"/>
                <w:color w:val="000000"/>
                <w:sz w:val="18"/>
                <w:szCs w:val="18"/>
              </w:rPr>
            </w:pPr>
            <w:r>
              <w:rPr>
                <w:rFonts w:ascii="Calibri" w:hAnsi="Calibri" w:cs="Calibri"/>
                <w:color w:val="000000"/>
                <w:sz w:val="18"/>
                <w:szCs w:val="18"/>
              </w:rPr>
              <w:t>.04</w:t>
            </w:r>
          </w:p>
        </w:tc>
      </w:tr>
      <w:tr w:rsidR="00055C38" w14:paraId="29CDB3B0" w14:textId="77777777" w:rsidTr="00055C38">
        <w:trPr>
          <w:trHeight w:val="320"/>
        </w:trPr>
        <w:tc>
          <w:tcPr>
            <w:tcW w:w="640" w:type="dxa"/>
            <w:vMerge/>
            <w:tcBorders>
              <w:top w:val="nil"/>
              <w:left w:val="nil"/>
              <w:bottom w:val="single" w:sz="8" w:space="0" w:color="FFFFFF"/>
              <w:right w:val="nil"/>
            </w:tcBorders>
            <w:vAlign w:val="center"/>
            <w:hideMark/>
          </w:tcPr>
          <w:p w14:paraId="3EA8EB6B" w14:textId="77777777" w:rsidR="00055C38" w:rsidRDefault="00055C38">
            <w:pPr>
              <w:rPr>
                <w:rFonts w:ascii="Calibri" w:hAnsi="Calibri" w:cs="Calibri"/>
                <w:color w:val="000000"/>
                <w:sz w:val="18"/>
                <w:szCs w:val="18"/>
              </w:rPr>
            </w:pPr>
          </w:p>
        </w:tc>
        <w:tc>
          <w:tcPr>
            <w:tcW w:w="1300" w:type="dxa"/>
            <w:vMerge/>
            <w:tcBorders>
              <w:top w:val="nil"/>
              <w:left w:val="nil"/>
              <w:bottom w:val="single" w:sz="8" w:space="0" w:color="FFFFFF"/>
              <w:right w:val="nil"/>
            </w:tcBorders>
            <w:vAlign w:val="center"/>
            <w:hideMark/>
          </w:tcPr>
          <w:p w14:paraId="715C4DFF" w14:textId="77777777" w:rsidR="00055C38" w:rsidRDefault="00055C38">
            <w:pPr>
              <w:rPr>
                <w:rFonts w:ascii="Calibri" w:hAnsi="Calibri" w:cs="Calibri"/>
                <w:color w:val="000000"/>
                <w:sz w:val="18"/>
                <w:szCs w:val="18"/>
              </w:rPr>
            </w:pPr>
          </w:p>
        </w:tc>
        <w:tc>
          <w:tcPr>
            <w:tcW w:w="1300" w:type="dxa"/>
            <w:tcBorders>
              <w:top w:val="nil"/>
              <w:left w:val="nil"/>
              <w:bottom w:val="nil"/>
              <w:right w:val="nil"/>
            </w:tcBorders>
            <w:shd w:val="clear" w:color="auto" w:fill="auto"/>
            <w:vAlign w:val="center"/>
            <w:hideMark/>
          </w:tcPr>
          <w:p w14:paraId="7D291F94" w14:textId="77777777" w:rsidR="00055C38" w:rsidRDefault="00055C38">
            <w:pPr>
              <w:rPr>
                <w:rFonts w:ascii="Calibri" w:hAnsi="Calibri" w:cs="Calibri"/>
                <w:color w:val="000000"/>
                <w:sz w:val="18"/>
                <w:szCs w:val="18"/>
              </w:rPr>
            </w:pPr>
            <w:r>
              <w:rPr>
                <w:rFonts w:ascii="Calibri" w:hAnsi="Calibri" w:cs="Calibri"/>
                <w:color w:val="000000"/>
                <w:sz w:val="18"/>
                <w:szCs w:val="18"/>
              </w:rPr>
              <w:t>β</w:t>
            </w:r>
          </w:p>
        </w:tc>
        <w:tc>
          <w:tcPr>
            <w:tcW w:w="1140" w:type="dxa"/>
            <w:tcBorders>
              <w:top w:val="nil"/>
              <w:left w:val="nil"/>
              <w:bottom w:val="nil"/>
              <w:right w:val="nil"/>
            </w:tcBorders>
            <w:shd w:val="clear" w:color="auto" w:fill="auto"/>
            <w:vAlign w:val="center"/>
            <w:hideMark/>
          </w:tcPr>
          <w:p w14:paraId="2DAD58FE" w14:textId="77777777" w:rsidR="00055C38" w:rsidRDefault="00055C38">
            <w:pPr>
              <w:rPr>
                <w:rFonts w:ascii="Calibri" w:hAnsi="Calibri" w:cs="Calibri"/>
                <w:color w:val="000000"/>
                <w:sz w:val="18"/>
                <w:szCs w:val="18"/>
              </w:rPr>
            </w:pPr>
            <w:r>
              <w:rPr>
                <w:rFonts w:ascii="Calibri" w:hAnsi="Calibri" w:cs="Calibri"/>
                <w:color w:val="000000"/>
                <w:sz w:val="18"/>
                <w:szCs w:val="18"/>
              </w:rPr>
              <w:t>0.11</w:t>
            </w:r>
          </w:p>
        </w:tc>
        <w:tc>
          <w:tcPr>
            <w:tcW w:w="1060" w:type="dxa"/>
            <w:tcBorders>
              <w:top w:val="nil"/>
              <w:left w:val="nil"/>
              <w:bottom w:val="nil"/>
              <w:right w:val="nil"/>
            </w:tcBorders>
            <w:shd w:val="clear" w:color="auto" w:fill="auto"/>
            <w:vAlign w:val="center"/>
            <w:hideMark/>
          </w:tcPr>
          <w:p w14:paraId="6E3BD539" w14:textId="77777777" w:rsidR="00055C38" w:rsidRDefault="00055C38">
            <w:pPr>
              <w:rPr>
                <w:rFonts w:ascii="Calibri" w:hAnsi="Calibri" w:cs="Calibri"/>
                <w:color w:val="000000"/>
                <w:sz w:val="18"/>
                <w:szCs w:val="18"/>
              </w:rPr>
            </w:pPr>
            <w:r>
              <w:rPr>
                <w:rFonts w:ascii="Calibri" w:hAnsi="Calibri" w:cs="Calibri"/>
                <w:color w:val="000000"/>
                <w:sz w:val="18"/>
                <w:szCs w:val="18"/>
              </w:rPr>
              <w:t>0.13</w:t>
            </w:r>
          </w:p>
        </w:tc>
        <w:tc>
          <w:tcPr>
            <w:tcW w:w="1060" w:type="dxa"/>
            <w:tcBorders>
              <w:top w:val="nil"/>
              <w:left w:val="nil"/>
              <w:bottom w:val="nil"/>
              <w:right w:val="nil"/>
            </w:tcBorders>
            <w:shd w:val="clear" w:color="auto" w:fill="auto"/>
            <w:vAlign w:val="center"/>
            <w:hideMark/>
          </w:tcPr>
          <w:p w14:paraId="086FDA74" w14:textId="77777777" w:rsidR="00055C38" w:rsidRPr="002A5400" w:rsidRDefault="00055C38">
            <w:pPr>
              <w:rPr>
                <w:rFonts w:ascii="Calibri" w:hAnsi="Calibri" w:cs="Calibri"/>
                <w:color w:val="000000" w:themeColor="text1"/>
                <w:sz w:val="18"/>
                <w:szCs w:val="18"/>
              </w:rPr>
            </w:pPr>
            <w:r w:rsidRPr="002A5400">
              <w:rPr>
                <w:rFonts w:ascii="Calibri" w:hAnsi="Calibri" w:cs="Calibri"/>
                <w:color w:val="000000" w:themeColor="text1"/>
                <w:sz w:val="18"/>
                <w:szCs w:val="18"/>
              </w:rPr>
              <w:t>-0.07</w:t>
            </w:r>
          </w:p>
        </w:tc>
        <w:tc>
          <w:tcPr>
            <w:tcW w:w="1260" w:type="dxa"/>
            <w:tcBorders>
              <w:top w:val="nil"/>
              <w:left w:val="nil"/>
              <w:bottom w:val="nil"/>
              <w:right w:val="nil"/>
            </w:tcBorders>
            <w:shd w:val="clear" w:color="auto" w:fill="auto"/>
            <w:vAlign w:val="center"/>
            <w:hideMark/>
          </w:tcPr>
          <w:p w14:paraId="461C5999" w14:textId="36C7BFEA" w:rsidR="00055C38" w:rsidRPr="002A5400" w:rsidRDefault="00A208ED">
            <w:pPr>
              <w:rPr>
                <w:rFonts w:ascii="Calibri" w:hAnsi="Calibri" w:cs="Calibri"/>
                <w:color w:val="000000" w:themeColor="text1"/>
                <w:sz w:val="18"/>
                <w:szCs w:val="18"/>
              </w:rPr>
            </w:pPr>
            <w:r w:rsidRPr="002A5400">
              <w:rPr>
                <w:rFonts w:ascii="Calibri" w:hAnsi="Calibri" w:cs="Calibri"/>
                <w:color w:val="000000" w:themeColor="text1"/>
                <w:sz w:val="18"/>
                <w:szCs w:val="18"/>
              </w:rPr>
              <w:t>-0.10</w:t>
            </w:r>
          </w:p>
        </w:tc>
        <w:tc>
          <w:tcPr>
            <w:tcW w:w="1040" w:type="dxa"/>
            <w:tcBorders>
              <w:top w:val="nil"/>
              <w:left w:val="nil"/>
              <w:bottom w:val="nil"/>
              <w:right w:val="nil"/>
            </w:tcBorders>
            <w:shd w:val="clear" w:color="auto" w:fill="auto"/>
            <w:vAlign w:val="center"/>
            <w:hideMark/>
          </w:tcPr>
          <w:p w14:paraId="48A62B08" w14:textId="77777777" w:rsidR="00055C38" w:rsidRDefault="00055C38">
            <w:pPr>
              <w:rPr>
                <w:rFonts w:ascii="Calibri" w:hAnsi="Calibri" w:cs="Calibri"/>
                <w:color w:val="000000"/>
                <w:sz w:val="18"/>
                <w:szCs w:val="18"/>
              </w:rPr>
            </w:pPr>
            <w:r>
              <w:rPr>
                <w:rFonts w:ascii="Calibri" w:hAnsi="Calibri" w:cs="Calibri"/>
                <w:color w:val="000000"/>
                <w:sz w:val="18"/>
                <w:szCs w:val="18"/>
              </w:rPr>
              <w:t>0.11</w:t>
            </w:r>
          </w:p>
        </w:tc>
      </w:tr>
      <w:tr w:rsidR="00055C38" w14:paraId="45FC4355" w14:textId="77777777" w:rsidTr="00055C38">
        <w:trPr>
          <w:trHeight w:val="340"/>
        </w:trPr>
        <w:tc>
          <w:tcPr>
            <w:tcW w:w="640" w:type="dxa"/>
            <w:vMerge/>
            <w:tcBorders>
              <w:top w:val="nil"/>
              <w:left w:val="nil"/>
              <w:bottom w:val="single" w:sz="8" w:space="0" w:color="FFFFFF"/>
              <w:right w:val="nil"/>
            </w:tcBorders>
            <w:vAlign w:val="center"/>
            <w:hideMark/>
          </w:tcPr>
          <w:p w14:paraId="53734259" w14:textId="77777777" w:rsidR="00055C38" w:rsidRDefault="00055C38">
            <w:pPr>
              <w:rPr>
                <w:rFonts w:ascii="Calibri" w:hAnsi="Calibri" w:cs="Calibri"/>
                <w:color w:val="000000"/>
                <w:sz w:val="18"/>
                <w:szCs w:val="18"/>
              </w:rPr>
            </w:pPr>
          </w:p>
        </w:tc>
        <w:tc>
          <w:tcPr>
            <w:tcW w:w="1300" w:type="dxa"/>
            <w:vMerge/>
            <w:tcBorders>
              <w:top w:val="nil"/>
              <w:left w:val="nil"/>
              <w:bottom w:val="single" w:sz="8" w:space="0" w:color="FFFFFF"/>
              <w:right w:val="nil"/>
            </w:tcBorders>
            <w:vAlign w:val="center"/>
            <w:hideMark/>
          </w:tcPr>
          <w:p w14:paraId="07C54141" w14:textId="77777777" w:rsidR="00055C38" w:rsidRDefault="00055C38">
            <w:pPr>
              <w:rPr>
                <w:rFonts w:ascii="Calibri" w:hAnsi="Calibri" w:cs="Calibri"/>
                <w:color w:val="000000"/>
                <w:sz w:val="18"/>
                <w:szCs w:val="18"/>
              </w:rPr>
            </w:pPr>
          </w:p>
        </w:tc>
        <w:tc>
          <w:tcPr>
            <w:tcW w:w="1300" w:type="dxa"/>
            <w:tcBorders>
              <w:top w:val="nil"/>
              <w:left w:val="nil"/>
              <w:bottom w:val="nil"/>
              <w:right w:val="nil"/>
            </w:tcBorders>
            <w:shd w:val="clear" w:color="auto" w:fill="auto"/>
            <w:vAlign w:val="center"/>
            <w:hideMark/>
          </w:tcPr>
          <w:p w14:paraId="356503D3" w14:textId="77777777" w:rsidR="00055C38" w:rsidRDefault="00055C38">
            <w:pPr>
              <w:rPr>
                <w:rFonts w:ascii="Calibri" w:hAnsi="Calibri" w:cs="Calibri"/>
                <w:color w:val="000000"/>
                <w:sz w:val="18"/>
                <w:szCs w:val="18"/>
              </w:rPr>
            </w:pPr>
            <w:r>
              <w:rPr>
                <w:rFonts w:ascii="Calibri" w:hAnsi="Calibri" w:cs="Calibri"/>
                <w:color w:val="000000"/>
                <w:sz w:val="18"/>
                <w:szCs w:val="18"/>
              </w:rPr>
              <w:t>p</w:t>
            </w:r>
          </w:p>
        </w:tc>
        <w:tc>
          <w:tcPr>
            <w:tcW w:w="1140" w:type="dxa"/>
            <w:tcBorders>
              <w:top w:val="nil"/>
              <w:left w:val="nil"/>
              <w:bottom w:val="nil"/>
              <w:right w:val="nil"/>
            </w:tcBorders>
            <w:shd w:val="clear" w:color="auto" w:fill="auto"/>
            <w:vAlign w:val="center"/>
            <w:hideMark/>
          </w:tcPr>
          <w:p w14:paraId="7F508BBE" w14:textId="77777777" w:rsidR="00055C38" w:rsidRDefault="00055C38">
            <w:pPr>
              <w:rPr>
                <w:rFonts w:ascii="Calibri" w:hAnsi="Calibri" w:cs="Calibri"/>
                <w:color w:val="000000"/>
                <w:sz w:val="18"/>
                <w:szCs w:val="18"/>
              </w:rPr>
            </w:pPr>
            <w:r>
              <w:rPr>
                <w:rFonts w:ascii="Calibri" w:hAnsi="Calibri" w:cs="Calibri"/>
                <w:color w:val="000000"/>
                <w:sz w:val="18"/>
                <w:szCs w:val="18"/>
              </w:rPr>
              <w:t>.26</w:t>
            </w:r>
          </w:p>
        </w:tc>
        <w:tc>
          <w:tcPr>
            <w:tcW w:w="1060" w:type="dxa"/>
            <w:tcBorders>
              <w:top w:val="nil"/>
              <w:left w:val="nil"/>
              <w:bottom w:val="nil"/>
              <w:right w:val="nil"/>
            </w:tcBorders>
            <w:shd w:val="clear" w:color="auto" w:fill="auto"/>
            <w:vAlign w:val="center"/>
            <w:hideMark/>
          </w:tcPr>
          <w:p w14:paraId="500DECE9" w14:textId="77777777" w:rsidR="00055C38" w:rsidRDefault="00055C38">
            <w:pPr>
              <w:rPr>
                <w:rFonts w:ascii="Calibri" w:hAnsi="Calibri" w:cs="Calibri"/>
                <w:color w:val="000000"/>
                <w:sz w:val="18"/>
                <w:szCs w:val="18"/>
              </w:rPr>
            </w:pPr>
            <w:r>
              <w:rPr>
                <w:rFonts w:ascii="Calibri" w:hAnsi="Calibri" w:cs="Calibri"/>
                <w:color w:val="000000"/>
                <w:sz w:val="18"/>
                <w:szCs w:val="18"/>
              </w:rPr>
              <w:t>.39</w:t>
            </w:r>
          </w:p>
        </w:tc>
        <w:tc>
          <w:tcPr>
            <w:tcW w:w="1060" w:type="dxa"/>
            <w:tcBorders>
              <w:top w:val="nil"/>
              <w:left w:val="nil"/>
              <w:bottom w:val="nil"/>
              <w:right w:val="nil"/>
            </w:tcBorders>
            <w:shd w:val="clear" w:color="auto" w:fill="auto"/>
            <w:vAlign w:val="center"/>
            <w:hideMark/>
          </w:tcPr>
          <w:p w14:paraId="41468E45" w14:textId="77777777" w:rsidR="00055C38" w:rsidRPr="002A5400" w:rsidRDefault="00055C38">
            <w:pPr>
              <w:rPr>
                <w:rFonts w:ascii="Calibri" w:hAnsi="Calibri" w:cs="Calibri"/>
                <w:color w:val="000000" w:themeColor="text1"/>
                <w:sz w:val="18"/>
                <w:szCs w:val="18"/>
              </w:rPr>
            </w:pPr>
            <w:r w:rsidRPr="002A5400">
              <w:rPr>
                <w:rFonts w:ascii="Calibri" w:hAnsi="Calibri" w:cs="Calibri"/>
                <w:color w:val="000000" w:themeColor="text1"/>
                <w:sz w:val="18"/>
                <w:szCs w:val="18"/>
              </w:rPr>
              <w:t>.64</w:t>
            </w:r>
          </w:p>
        </w:tc>
        <w:tc>
          <w:tcPr>
            <w:tcW w:w="1260" w:type="dxa"/>
            <w:tcBorders>
              <w:top w:val="nil"/>
              <w:left w:val="nil"/>
              <w:bottom w:val="nil"/>
              <w:right w:val="nil"/>
            </w:tcBorders>
            <w:shd w:val="clear" w:color="auto" w:fill="auto"/>
            <w:vAlign w:val="center"/>
            <w:hideMark/>
          </w:tcPr>
          <w:p w14:paraId="4ACCCEEC" w14:textId="6E0F6806" w:rsidR="00055C38" w:rsidRPr="002A5400" w:rsidRDefault="00A208ED">
            <w:pPr>
              <w:rPr>
                <w:rFonts w:ascii="Calibri" w:hAnsi="Calibri" w:cs="Calibri"/>
                <w:color w:val="000000" w:themeColor="text1"/>
                <w:sz w:val="18"/>
                <w:szCs w:val="18"/>
              </w:rPr>
            </w:pPr>
            <w:r w:rsidRPr="002A5400">
              <w:rPr>
                <w:rFonts w:ascii="Calibri" w:hAnsi="Calibri" w:cs="Calibri"/>
                <w:color w:val="000000" w:themeColor="text1"/>
                <w:sz w:val="18"/>
                <w:szCs w:val="18"/>
              </w:rPr>
              <w:t>.50</w:t>
            </w:r>
          </w:p>
        </w:tc>
        <w:tc>
          <w:tcPr>
            <w:tcW w:w="1040" w:type="dxa"/>
            <w:tcBorders>
              <w:top w:val="nil"/>
              <w:left w:val="nil"/>
              <w:bottom w:val="nil"/>
              <w:right w:val="nil"/>
            </w:tcBorders>
            <w:shd w:val="clear" w:color="auto" w:fill="auto"/>
            <w:vAlign w:val="center"/>
            <w:hideMark/>
          </w:tcPr>
          <w:p w14:paraId="2E2B161E" w14:textId="77777777" w:rsidR="00055C38" w:rsidRDefault="00055C38">
            <w:pPr>
              <w:rPr>
                <w:rFonts w:ascii="Calibri" w:hAnsi="Calibri" w:cs="Calibri"/>
                <w:color w:val="000000"/>
                <w:sz w:val="18"/>
                <w:szCs w:val="18"/>
              </w:rPr>
            </w:pPr>
            <w:r>
              <w:rPr>
                <w:rFonts w:ascii="Calibri" w:hAnsi="Calibri" w:cs="Calibri"/>
                <w:color w:val="000000"/>
                <w:sz w:val="18"/>
                <w:szCs w:val="18"/>
              </w:rPr>
              <w:t>.44</w:t>
            </w:r>
          </w:p>
        </w:tc>
      </w:tr>
      <w:tr w:rsidR="00055C38" w14:paraId="01E3CB0D" w14:textId="77777777" w:rsidTr="00055C38">
        <w:trPr>
          <w:trHeight w:val="380"/>
        </w:trPr>
        <w:tc>
          <w:tcPr>
            <w:tcW w:w="640" w:type="dxa"/>
            <w:vMerge/>
            <w:tcBorders>
              <w:top w:val="nil"/>
              <w:left w:val="nil"/>
              <w:bottom w:val="single" w:sz="8" w:space="0" w:color="FFFFFF"/>
              <w:right w:val="nil"/>
            </w:tcBorders>
            <w:vAlign w:val="center"/>
            <w:hideMark/>
          </w:tcPr>
          <w:p w14:paraId="79AFE3D3" w14:textId="77777777" w:rsidR="00055C38" w:rsidRDefault="00055C38">
            <w:pPr>
              <w:rPr>
                <w:rFonts w:ascii="Calibri" w:hAnsi="Calibri" w:cs="Calibri"/>
                <w:color w:val="000000"/>
                <w:sz w:val="18"/>
                <w:szCs w:val="18"/>
              </w:rPr>
            </w:pPr>
          </w:p>
        </w:tc>
        <w:tc>
          <w:tcPr>
            <w:tcW w:w="1300" w:type="dxa"/>
            <w:vMerge w:val="restart"/>
            <w:tcBorders>
              <w:top w:val="nil"/>
              <w:left w:val="nil"/>
              <w:bottom w:val="single" w:sz="8" w:space="0" w:color="FFFFFF"/>
              <w:right w:val="nil"/>
            </w:tcBorders>
            <w:shd w:val="clear" w:color="auto" w:fill="auto"/>
            <w:vAlign w:val="center"/>
            <w:hideMark/>
          </w:tcPr>
          <w:p w14:paraId="6BC40E96" w14:textId="77777777" w:rsidR="00055C38" w:rsidRPr="00570F79" w:rsidRDefault="00055C38">
            <w:pPr>
              <w:rPr>
                <w:rFonts w:ascii="Calibri" w:hAnsi="Calibri" w:cs="Calibri"/>
                <w:color w:val="000000"/>
                <w:sz w:val="18"/>
                <w:szCs w:val="18"/>
                <w:lang w:val="en-US"/>
              </w:rPr>
            </w:pPr>
            <w:r w:rsidRPr="00570F79">
              <w:rPr>
                <w:rFonts w:ascii="Calibri" w:hAnsi="Calibri" w:cs="Calibri"/>
                <w:color w:val="000000"/>
                <w:sz w:val="18"/>
                <w:szCs w:val="18"/>
                <w:lang w:val="en-US"/>
              </w:rPr>
              <w:t>interaction term (diversity x sex)</w:t>
            </w:r>
          </w:p>
        </w:tc>
        <w:tc>
          <w:tcPr>
            <w:tcW w:w="1300" w:type="dxa"/>
            <w:tcBorders>
              <w:top w:val="nil"/>
              <w:left w:val="nil"/>
              <w:bottom w:val="nil"/>
              <w:right w:val="nil"/>
            </w:tcBorders>
            <w:shd w:val="clear" w:color="auto" w:fill="auto"/>
            <w:vAlign w:val="center"/>
            <w:hideMark/>
          </w:tcPr>
          <w:p w14:paraId="5B7070EC" w14:textId="77777777" w:rsidR="00055C38" w:rsidRDefault="00055C38">
            <w:pPr>
              <w:rPr>
                <w:rFonts w:ascii="Calibri" w:hAnsi="Calibri" w:cs="Calibri"/>
                <w:color w:val="000000"/>
                <w:sz w:val="18"/>
                <w:szCs w:val="18"/>
              </w:rPr>
            </w:pPr>
            <w:r>
              <w:rPr>
                <w:rFonts w:ascii="Calibri" w:hAnsi="Calibri" w:cs="Calibri"/>
                <w:color w:val="000000"/>
                <w:sz w:val="18"/>
                <w:szCs w:val="18"/>
              </w:rPr>
              <w:t>adj. R</w:t>
            </w:r>
            <w:r>
              <w:rPr>
                <w:rFonts w:ascii="Calibri" w:hAnsi="Calibri" w:cs="Calibri"/>
                <w:color w:val="000000"/>
                <w:sz w:val="18"/>
                <w:szCs w:val="18"/>
                <w:vertAlign w:val="superscript"/>
              </w:rPr>
              <w:t>2</w:t>
            </w:r>
          </w:p>
        </w:tc>
        <w:tc>
          <w:tcPr>
            <w:tcW w:w="1140" w:type="dxa"/>
            <w:tcBorders>
              <w:top w:val="nil"/>
              <w:left w:val="nil"/>
              <w:bottom w:val="nil"/>
              <w:right w:val="nil"/>
            </w:tcBorders>
            <w:shd w:val="clear" w:color="auto" w:fill="auto"/>
            <w:vAlign w:val="center"/>
            <w:hideMark/>
          </w:tcPr>
          <w:p w14:paraId="03A90540" w14:textId="77777777" w:rsidR="00055C38" w:rsidRDefault="00055C38">
            <w:pPr>
              <w:rPr>
                <w:rFonts w:ascii="Calibri" w:hAnsi="Calibri" w:cs="Calibri"/>
                <w:color w:val="000000"/>
                <w:sz w:val="18"/>
                <w:szCs w:val="18"/>
              </w:rPr>
            </w:pPr>
            <w:r>
              <w:rPr>
                <w:rFonts w:ascii="Calibri" w:hAnsi="Calibri" w:cs="Calibri"/>
                <w:color w:val="000000"/>
                <w:sz w:val="18"/>
                <w:szCs w:val="18"/>
              </w:rPr>
              <w:t>.03</w:t>
            </w:r>
          </w:p>
        </w:tc>
        <w:tc>
          <w:tcPr>
            <w:tcW w:w="1060" w:type="dxa"/>
            <w:tcBorders>
              <w:top w:val="nil"/>
              <w:left w:val="nil"/>
              <w:bottom w:val="nil"/>
              <w:right w:val="nil"/>
            </w:tcBorders>
            <w:shd w:val="clear" w:color="auto" w:fill="auto"/>
            <w:vAlign w:val="center"/>
            <w:hideMark/>
          </w:tcPr>
          <w:p w14:paraId="063B10DD" w14:textId="77777777" w:rsidR="00055C38" w:rsidRDefault="00055C38">
            <w:pPr>
              <w:rPr>
                <w:rFonts w:ascii="Calibri" w:hAnsi="Calibri" w:cs="Calibri"/>
                <w:color w:val="000000"/>
                <w:sz w:val="18"/>
                <w:szCs w:val="18"/>
              </w:rPr>
            </w:pPr>
            <w:r>
              <w:rPr>
                <w:rFonts w:ascii="Calibri" w:hAnsi="Calibri" w:cs="Calibri"/>
                <w:color w:val="000000"/>
                <w:sz w:val="18"/>
                <w:szCs w:val="18"/>
              </w:rPr>
              <w:t>.07</w:t>
            </w:r>
          </w:p>
        </w:tc>
        <w:tc>
          <w:tcPr>
            <w:tcW w:w="1060" w:type="dxa"/>
            <w:tcBorders>
              <w:top w:val="nil"/>
              <w:left w:val="nil"/>
              <w:bottom w:val="nil"/>
              <w:right w:val="nil"/>
            </w:tcBorders>
            <w:shd w:val="clear" w:color="auto" w:fill="auto"/>
            <w:vAlign w:val="center"/>
            <w:hideMark/>
          </w:tcPr>
          <w:p w14:paraId="2302B2FF" w14:textId="77777777" w:rsidR="00055C38" w:rsidRPr="002A5400" w:rsidRDefault="00055C38">
            <w:pPr>
              <w:rPr>
                <w:rFonts w:ascii="Calibri" w:hAnsi="Calibri" w:cs="Calibri"/>
                <w:color w:val="000000" w:themeColor="text1"/>
                <w:sz w:val="18"/>
                <w:szCs w:val="18"/>
              </w:rPr>
            </w:pPr>
            <w:r w:rsidRPr="002A5400">
              <w:rPr>
                <w:rFonts w:ascii="Calibri" w:hAnsi="Calibri" w:cs="Calibri"/>
                <w:color w:val="000000" w:themeColor="text1"/>
                <w:sz w:val="18"/>
                <w:szCs w:val="18"/>
              </w:rPr>
              <w:t>&lt;.01</w:t>
            </w:r>
          </w:p>
        </w:tc>
        <w:tc>
          <w:tcPr>
            <w:tcW w:w="1260" w:type="dxa"/>
            <w:tcBorders>
              <w:top w:val="nil"/>
              <w:left w:val="nil"/>
              <w:bottom w:val="nil"/>
              <w:right w:val="nil"/>
            </w:tcBorders>
            <w:shd w:val="clear" w:color="auto" w:fill="auto"/>
            <w:vAlign w:val="center"/>
            <w:hideMark/>
          </w:tcPr>
          <w:p w14:paraId="3999A9C4" w14:textId="77777777" w:rsidR="00055C38" w:rsidRPr="002A5400" w:rsidRDefault="00055C38">
            <w:pPr>
              <w:rPr>
                <w:rFonts w:ascii="Calibri" w:hAnsi="Calibri" w:cs="Calibri"/>
                <w:color w:val="000000" w:themeColor="text1"/>
                <w:sz w:val="18"/>
                <w:szCs w:val="18"/>
              </w:rPr>
            </w:pPr>
            <w:r w:rsidRPr="002A5400">
              <w:rPr>
                <w:rFonts w:ascii="Calibri" w:hAnsi="Calibri" w:cs="Calibri"/>
                <w:color w:val="000000" w:themeColor="text1"/>
                <w:sz w:val="18"/>
                <w:szCs w:val="18"/>
              </w:rPr>
              <w:t>&lt;.01</w:t>
            </w:r>
          </w:p>
        </w:tc>
        <w:tc>
          <w:tcPr>
            <w:tcW w:w="1040" w:type="dxa"/>
            <w:tcBorders>
              <w:top w:val="nil"/>
              <w:left w:val="nil"/>
              <w:bottom w:val="nil"/>
              <w:right w:val="nil"/>
            </w:tcBorders>
            <w:shd w:val="clear" w:color="auto" w:fill="auto"/>
            <w:vAlign w:val="center"/>
            <w:hideMark/>
          </w:tcPr>
          <w:p w14:paraId="5712A8D5" w14:textId="77777777" w:rsidR="00055C38" w:rsidRDefault="00055C38">
            <w:pPr>
              <w:rPr>
                <w:rFonts w:ascii="Calibri" w:hAnsi="Calibri" w:cs="Calibri"/>
                <w:color w:val="000000"/>
                <w:sz w:val="18"/>
                <w:szCs w:val="18"/>
              </w:rPr>
            </w:pPr>
            <w:r>
              <w:rPr>
                <w:rFonts w:ascii="Calibri" w:hAnsi="Calibri" w:cs="Calibri"/>
                <w:color w:val="000000"/>
                <w:sz w:val="18"/>
                <w:szCs w:val="18"/>
              </w:rPr>
              <w:t>.03</w:t>
            </w:r>
          </w:p>
        </w:tc>
      </w:tr>
      <w:tr w:rsidR="00055C38" w14:paraId="19970EA7" w14:textId="77777777" w:rsidTr="00055C38">
        <w:trPr>
          <w:trHeight w:val="320"/>
        </w:trPr>
        <w:tc>
          <w:tcPr>
            <w:tcW w:w="640" w:type="dxa"/>
            <w:vMerge/>
            <w:tcBorders>
              <w:top w:val="nil"/>
              <w:left w:val="nil"/>
              <w:bottom w:val="single" w:sz="8" w:space="0" w:color="FFFFFF"/>
              <w:right w:val="nil"/>
            </w:tcBorders>
            <w:vAlign w:val="center"/>
            <w:hideMark/>
          </w:tcPr>
          <w:p w14:paraId="1AF152C5" w14:textId="77777777" w:rsidR="00055C38" w:rsidRDefault="00055C38">
            <w:pPr>
              <w:rPr>
                <w:rFonts w:ascii="Calibri" w:hAnsi="Calibri" w:cs="Calibri"/>
                <w:color w:val="000000"/>
                <w:sz w:val="18"/>
                <w:szCs w:val="18"/>
              </w:rPr>
            </w:pPr>
          </w:p>
        </w:tc>
        <w:tc>
          <w:tcPr>
            <w:tcW w:w="1300" w:type="dxa"/>
            <w:vMerge/>
            <w:tcBorders>
              <w:top w:val="nil"/>
              <w:left w:val="nil"/>
              <w:bottom w:val="single" w:sz="8" w:space="0" w:color="FFFFFF"/>
              <w:right w:val="nil"/>
            </w:tcBorders>
            <w:vAlign w:val="center"/>
            <w:hideMark/>
          </w:tcPr>
          <w:p w14:paraId="37010704" w14:textId="77777777" w:rsidR="00055C38" w:rsidRDefault="00055C38">
            <w:pPr>
              <w:rPr>
                <w:rFonts w:ascii="Calibri" w:hAnsi="Calibri" w:cs="Calibri"/>
                <w:color w:val="000000"/>
                <w:sz w:val="18"/>
                <w:szCs w:val="18"/>
              </w:rPr>
            </w:pPr>
          </w:p>
        </w:tc>
        <w:tc>
          <w:tcPr>
            <w:tcW w:w="1300" w:type="dxa"/>
            <w:tcBorders>
              <w:top w:val="nil"/>
              <w:left w:val="nil"/>
              <w:bottom w:val="nil"/>
              <w:right w:val="nil"/>
            </w:tcBorders>
            <w:shd w:val="clear" w:color="auto" w:fill="auto"/>
            <w:vAlign w:val="center"/>
            <w:hideMark/>
          </w:tcPr>
          <w:p w14:paraId="3D76FED1" w14:textId="77777777" w:rsidR="00055C38" w:rsidRDefault="00055C38">
            <w:pPr>
              <w:rPr>
                <w:rFonts w:ascii="Calibri" w:hAnsi="Calibri" w:cs="Calibri"/>
                <w:color w:val="000000"/>
                <w:sz w:val="18"/>
                <w:szCs w:val="18"/>
              </w:rPr>
            </w:pPr>
            <w:r>
              <w:rPr>
                <w:rFonts w:ascii="Calibri" w:hAnsi="Calibri" w:cs="Calibri"/>
                <w:color w:val="000000"/>
                <w:sz w:val="18"/>
                <w:szCs w:val="18"/>
              </w:rPr>
              <w:t>β</w:t>
            </w:r>
          </w:p>
        </w:tc>
        <w:tc>
          <w:tcPr>
            <w:tcW w:w="1140" w:type="dxa"/>
            <w:tcBorders>
              <w:top w:val="nil"/>
              <w:left w:val="nil"/>
              <w:bottom w:val="nil"/>
              <w:right w:val="nil"/>
            </w:tcBorders>
            <w:shd w:val="clear" w:color="auto" w:fill="auto"/>
            <w:vAlign w:val="center"/>
            <w:hideMark/>
          </w:tcPr>
          <w:p w14:paraId="191A7404" w14:textId="77777777" w:rsidR="00055C38" w:rsidRDefault="00055C38">
            <w:pPr>
              <w:rPr>
                <w:rFonts w:ascii="Calibri" w:hAnsi="Calibri" w:cs="Calibri"/>
                <w:color w:val="000000"/>
                <w:sz w:val="18"/>
                <w:szCs w:val="18"/>
              </w:rPr>
            </w:pPr>
            <w:r>
              <w:rPr>
                <w:rFonts w:ascii="Calibri" w:hAnsi="Calibri" w:cs="Calibri"/>
                <w:color w:val="000000"/>
                <w:sz w:val="18"/>
                <w:szCs w:val="18"/>
              </w:rPr>
              <w:t>-0.29</w:t>
            </w:r>
          </w:p>
        </w:tc>
        <w:tc>
          <w:tcPr>
            <w:tcW w:w="1060" w:type="dxa"/>
            <w:tcBorders>
              <w:top w:val="nil"/>
              <w:left w:val="nil"/>
              <w:bottom w:val="nil"/>
              <w:right w:val="nil"/>
            </w:tcBorders>
            <w:shd w:val="clear" w:color="auto" w:fill="auto"/>
            <w:vAlign w:val="center"/>
            <w:hideMark/>
          </w:tcPr>
          <w:p w14:paraId="26E179FF" w14:textId="77777777" w:rsidR="00055C38" w:rsidRDefault="00055C38">
            <w:pPr>
              <w:rPr>
                <w:rFonts w:ascii="Calibri" w:hAnsi="Calibri" w:cs="Calibri"/>
                <w:b/>
                <w:bCs/>
                <w:color w:val="000000"/>
                <w:sz w:val="18"/>
                <w:szCs w:val="18"/>
              </w:rPr>
            </w:pPr>
            <w:r>
              <w:rPr>
                <w:rFonts w:ascii="Calibri" w:hAnsi="Calibri" w:cs="Calibri"/>
                <w:b/>
                <w:bCs/>
                <w:color w:val="000000"/>
                <w:sz w:val="18"/>
                <w:szCs w:val="18"/>
              </w:rPr>
              <w:t>-0.62</w:t>
            </w:r>
          </w:p>
        </w:tc>
        <w:tc>
          <w:tcPr>
            <w:tcW w:w="1060" w:type="dxa"/>
            <w:tcBorders>
              <w:top w:val="nil"/>
              <w:left w:val="nil"/>
              <w:bottom w:val="nil"/>
              <w:right w:val="nil"/>
            </w:tcBorders>
            <w:shd w:val="clear" w:color="auto" w:fill="auto"/>
            <w:vAlign w:val="center"/>
            <w:hideMark/>
          </w:tcPr>
          <w:p w14:paraId="3311FC7C" w14:textId="77777777" w:rsidR="00055C38" w:rsidRPr="002A5400" w:rsidRDefault="00055C38">
            <w:pPr>
              <w:rPr>
                <w:rFonts w:ascii="Calibri" w:hAnsi="Calibri" w:cs="Calibri"/>
                <w:b/>
                <w:bCs/>
                <w:color w:val="000000" w:themeColor="text1"/>
                <w:sz w:val="18"/>
                <w:szCs w:val="18"/>
              </w:rPr>
            </w:pPr>
            <w:r w:rsidRPr="002A5400">
              <w:rPr>
                <w:rFonts w:ascii="Calibri" w:hAnsi="Calibri" w:cs="Calibri"/>
                <w:b/>
                <w:bCs/>
                <w:color w:val="000000" w:themeColor="text1"/>
                <w:sz w:val="18"/>
                <w:szCs w:val="18"/>
              </w:rPr>
              <w:t>-0.68</w:t>
            </w:r>
          </w:p>
        </w:tc>
        <w:tc>
          <w:tcPr>
            <w:tcW w:w="1260" w:type="dxa"/>
            <w:tcBorders>
              <w:top w:val="nil"/>
              <w:left w:val="nil"/>
              <w:bottom w:val="nil"/>
              <w:right w:val="nil"/>
            </w:tcBorders>
            <w:shd w:val="clear" w:color="auto" w:fill="auto"/>
            <w:vAlign w:val="center"/>
            <w:hideMark/>
          </w:tcPr>
          <w:p w14:paraId="540FFA83" w14:textId="77777777" w:rsidR="00055C38" w:rsidRPr="002A5400" w:rsidRDefault="00055C38">
            <w:pPr>
              <w:rPr>
                <w:rFonts w:ascii="Calibri" w:hAnsi="Calibri" w:cs="Calibri"/>
                <w:b/>
                <w:bCs/>
                <w:color w:val="000000" w:themeColor="text1"/>
                <w:sz w:val="18"/>
                <w:szCs w:val="18"/>
              </w:rPr>
            </w:pPr>
            <w:r w:rsidRPr="002A5400">
              <w:rPr>
                <w:rFonts w:ascii="Calibri" w:hAnsi="Calibri" w:cs="Calibri"/>
                <w:b/>
                <w:bCs/>
                <w:color w:val="000000" w:themeColor="text1"/>
                <w:sz w:val="18"/>
                <w:szCs w:val="18"/>
              </w:rPr>
              <w:t>-0.72</w:t>
            </w:r>
          </w:p>
        </w:tc>
        <w:tc>
          <w:tcPr>
            <w:tcW w:w="1040" w:type="dxa"/>
            <w:tcBorders>
              <w:top w:val="nil"/>
              <w:left w:val="nil"/>
              <w:bottom w:val="nil"/>
              <w:right w:val="nil"/>
            </w:tcBorders>
            <w:shd w:val="clear" w:color="auto" w:fill="auto"/>
            <w:vAlign w:val="center"/>
            <w:hideMark/>
          </w:tcPr>
          <w:p w14:paraId="040A48CA" w14:textId="77777777" w:rsidR="00055C38" w:rsidRDefault="00055C38">
            <w:pPr>
              <w:rPr>
                <w:rFonts w:ascii="Calibri" w:hAnsi="Calibri" w:cs="Calibri"/>
                <w:color w:val="000000"/>
                <w:sz w:val="18"/>
                <w:szCs w:val="18"/>
              </w:rPr>
            </w:pPr>
            <w:r>
              <w:rPr>
                <w:rFonts w:ascii="Calibri" w:hAnsi="Calibri" w:cs="Calibri"/>
                <w:color w:val="000000"/>
                <w:sz w:val="18"/>
                <w:szCs w:val="18"/>
              </w:rPr>
              <w:t>0.05</w:t>
            </w:r>
          </w:p>
        </w:tc>
      </w:tr>
      <w:tr w:rsidR="00055C38" w14:paraId="6CAF04E3" w14:textId="77777777" w:rsidTr="00055C38">
        <w:trPr>
          <w:trHeight w:val="340"/>
        </w:trPr>
        <w:tc>
          <w:tcPr>
            <w:tcW w:w="640" w:type="dxa"/>
            <w:vMerge/>
            <w:tcBorders>
              <w:top w:val="nil"/>
              <w:left w:val="nil"/>
              <w:bottom w:val="single" w:sz="8" w:space="0" w:color="FFFFFF"/>
              <w:right w:val="nil"/>
            </w:tcBorders>
            <w:vAlign w:val="center"/>
            <w:hideMark/>
          </w:tcPr>
          <w:p w14:paraId="5319E905" w14:textId="77777777" w:rsidR="00055C38" w:rsidRDefault="00055C38">
            <w:pPr>
              <w:rPr>
                <w:rFonts w:ascii="Calibri" w:hAnsi="Calibri" w:cs="Calibri"/>
                <w:color w:val="000000"/>
                <w:sz w:val="18"/>
                <w:szCs w:val="18"/>
              </w:rPr>
            </w:pPr>
          </w:p>
        </w:tc>
        <w:tc>
          <w:tcPr>
            <w:tcW w:w="1300" w:type="dxa"/>
            <w:vMerge/>
            <w:tcBorders>
              <w:top w:val="nil"/>
              <w:left w:val="nil"/>
              <w:bottom w:val="single" w:sz="8" w:space="0" w:color="FFFFFF"/>
              <w:right w:val="nil"/>
            </w:tcBorders>
            <w:vAlign w:val="center"/>
            <w:hideMark/>
          </w:tcPr>
          <w:p w14:paraId="240D422E" w14:textId="77777777" w:rsidR="00055C38" w:rsidRDefault="00055C38">
            <w:pPr>
              <w:rPr>
                <w:rFonts w:ascii="Calibri" w:hAnsi="Calibri" w:cs="Calibri"/>
                <w:color w:val="000000"/>
                <w:sz w:val="18"/>
                <w:szCs w:val="18"/>
              </w:rPr>
            </w:pPr>
          </w:p>
        </w:tc>
        <w:tc>
          <w:tcPr>
            <w:tcW w:w="1300" w:type="dxa"/>
            <w:tcBorders>
              <w:top w:val="nil"/>
              <w:left w:val="nil"/>
              <w:bottom w:val="nil"/>
              <w:right w:val="nil"/>
            </w:tcBorders>
            <w:shd w:val="clear" w:color="auto" w:fill="auto"/>
            <w:vAlign w:val="center"/>
            <w:hideMark/>
          </w:tcPr>
          <w:p w14:paraId="2BB09EA0" w14:textId="77777777" w:rsidR="00055C38" w:rsidRDefault="00055C38">
            <w:pPr>
              <w:rPr>
                <w:rFonts w:ascii="Calibri" w:hAnsi="Calibri" w:cs="Calibri"/>
                <w:color w:val="000000"/>
                <w:sz w:val="18"/>
                <w:szCs w:val="18"/>
              </w:rPr>
            </w:pPr>
            <w:r>
              <w:rPr>
                <w:rFonts w:ascii="Calibri" w:hAnsi="Calibri" w:cs="Calibri"/>
                <w:color w:val="000000"/>
                <w:sz w:val="18"/>
                <w:szCs w:val="18"/>
              </w:rPr>
              <w:t>p</w:t>
            </w:r>
          </w:p>
        </w:tc>
        <w:tc>
          <w:tcPr>
            <w:tcW w:w="1140" w:type="dxa"/>
            <w:tcBorders>
              <w:top w:val="nil"/>
              <w:left w:val="nil"/>
              <w:bottom w:val="nil"/>
              <w:right w:val="nil"/>
            </w:tcBorders>
            <w:shd w:val="clear" w:color="auto" w:fill="auto"/>
            <w:vAlign w:val="center"/>
            <w:hideMark/>
          </w:tcPr>
          <w:p w14:paraId="31C237A4" w14:textId="77777777" w:rsidR="00055C38" w:rsidRDefault="00055C38">
            <w:pPr>
              <w:rPr>
                <w:rFonts w:ascii="Calibri" w:hAnsi="Calibri" w:cs="Calibri"/>
                <w:color w:val="000000"/>
                <w:sz w:val="18"/>
                <w:szCs w:val="18"/>
              </w:rPr>
            </w:pPr>
            <w:r>
              <w:rPr>
                <w:rFonts w:ascii="Calibri" w:hAnsi="Calibri" w:cs="Calibri"/>
                <w:color w:val="000000"/>
                <w:sz w:val="18"/>
                <w:szCs w:val="18"/>
              </w:rPr>
              <w:t>.15</w:t>
            </w:r>
          </w:p>
        </w:tc>
        <w:tc>
          <w:tcPr>
            <w:tcW w:w="1060" w:type="dxa"/>
            <w:tcBorders>
              <w:top w:val="nil"/>
              <w:left w:val="nil"/>
              <w:bottom w:val="nil"/>
              <w:right w:val="nil"/>
            </w:tcBorders>
            <w:shd w:val="clear" w:color="auto" w:fill="auto"/>
            <w:vAlign w:val="center"/>
            <w:hideMark/>
          </w:tcPr>
          <w:p w14:paraId="02DD6E6A" w14:textId="77777777" w:rsidR="00055C38" w:rsidRDefault="00055C38">
            <w:pPr>
              <w:rPr>
                <w:rFonts w:ascii="Calibri" w:hAnsi="Calibri" w:cs="Calibri"/>
                <w:b/>
                <w:bCs/>
                <w:color w:val="000000"/>
                <w:sz w:val="18"/>
                <w:szCs w:val="18"/>
              </w:rPr>
            </w:pPr>
            <w:r>
              <w:rPr>
                <w:rFonts w:ascii="Calibri" w:hAnsi="Calibri" w:cs="Calibri"/>
                <w:b/>
                <w:bCs/>
                <w:color w:val="000000"/>
                <w:sz w:val="18"/>
                <w:szCs w:val="18"/>
              </w:rPr>
              <w:t>.05*</w:t>
            </w:r>
          </w:p>
        </w:tc>
        <w:tc>
          <w:tcPr>
            <w:tcW w:w="1060" w:type="dxa"/>
            <w:tcBorders>
              <w:top w:val="nil"/>
              <w:left w:val="nil"/>
              <w:bottom w:val="nil"/>
              <w:right w:val="nil"/>
            </w:tcBorders>
            <w:shd w:val="clear" w:color="auto" w:fill="auto"/>
            <w:vAlign w:val="center"/>
            <w:hideMark/>
          </w:tcPr>
          <w:p w14:paraId="03E19833" w14:textId="77777777" w:rsidR="00055C38" w:rsidRPr="002A5400" w:rsidRDefault="00055C38">
            <w:pPr>
              <w:rPr>
                <w:rFonts w:ascii="Calibri" w:hAnsi="Calibri" w:cs="Calibri"/>
                <w:b/>
                <w:bCs/>
                <w:color w:val="000000" w:themeColor="text1"/>
                <w:sz w:val="18"/>
                <w:szCs w:val="18"/>
              </w:rPr>
            </w:pPr>
            <w:r w:rsidRPr="002A5400">
              <w:rPr>
                <w:rFonts w:ascii="Calibri" w:hAnsi="Calibri" w:cs="Calibri"/>
                <w:b/>
                <w:bCs/>
                <w:color w:val="000000" w:themeColor="text1"/>
                <w:sz w:val="18"/>
                <w:szCs w:val="18"/>
              </w:rPr>
              <w:t>.02*</w:t>
            </w:r>
          </w:p>
        </w:tc>
        <w:tc>
          <w:tcPr>
            <w:tcW w:w="1260" w:type="dxa"/>
            <w:tcBorders>
              <w:top w:val="nil"/>
              <w:left w:val="nil"/>
              <w:bottom w:val="nil"/>
              <w:right w:val="nil"/>
            </w:tcBorders>
            <w:shd w:val="clear" w:color="auto" w:fill="auto"/>
            <w:vAlign w:val="center"/>
            <w:hideMark/>
          </w:tcPr>
          <w:p w14:paraId="00989F25" w14:textId="77777777" w:rsidR="00055C38" w:rsidRPr="002A5400" w:rsidRDefault="00055C38">
            <w:pPr>
              <w:rPr>
                <w:rFonts w:ascii="Calibri" w:hAnsi="Calibri" w:cs="Calibri"/>
                <w:b/>
                <w:bCs/>
                <w:color w:val="000000" w:themeColor="text1"/>
                <w:sz w:val="18"/>
                <w:szCs w:val="18"/>
              </w:rPr>
            </w:pPr>
            <w:r w:rsidRPr="002A5400">
              <w:rPr>
                <w:rFonts w:ascii="Calibri" w:hAnsi="Calibri" w:cs="Calibri"/>
                <w:b/>
                <w:bCs/>
                <w:color w:val="000000" w:themeColor="text1"/>
                <w:sz w:val="18"/>
                <w:szCs w:val="18"/>
              </w:rPr>
              <w:t>.01*</w:t>
            </w:r>
          </w:p>
        </w:tc>
        <w:tc>
          <w:tcPr>
            <w:tcW w:w="1040" w:type="dxa"/>
            <w:tcBorders>
              <w:top w:val="nil"/>
              <w:left w:val="nil"/>
              <w:bottom w:val="nil"/>
              <w:right w:val="nil"/>
            </w:tcBorders>
            <w:shd w:val="clear" w:color="auto" w:fill="auto"/>
            <w:vAlign w:val="center"/>
            <w:hideMark/>
          </w:tcPr>
          <w:p w14:paraId="7A1E04E7" w14:textId="77777777" w:rsidR="00055C38" w:rsidRDefault="00055C38">
            <w:pPr>
              <w:rPr>
                <w:rFonts w:ascii="Calibri" w:hAnsi="Calibri" w:cs="Calibri"/>
                <w:color w:val="000000"/>
                <w:sz w:val="18"/>
                <w:szCs w:val="18"/>
              </w:rPr>
            </w:pPr>
            <w:r>
              <w:rPr>
                <w:rFonts w:ascii="Calibri" w:hAnsi="Calibri" w:cs="Calibri"/>
                <w:color w:val="000000"/>
                <w:sz w:val="18"/>
                <w:szCs w:val="18"/>
              </w:rPr>
              <w:t>.85</w:t>
            </w:r>
          </w:p>
        </w:tc>
      </w:tr>
      <w:tr w:rsidR="00055C38" w14:paraId="4992948B" w14:textId="77777777" w:rsidTr="00055C38">
        <w:trPr>
          <w:trHeight w:val="320"/>
        </w:trPr>
        <w:tc>
          <w:tcPr>
            <w:tcW w:w="640" w:type="dxa"/>
            <w:vMerge w:val="restart"/>
            <w:tcBorders>
              <w:top w:val="nil"/>
              <w:left w:val="nil"/>
              <w:bottom w:val="nil"/>
              <w:right w:val="nil"/>
            </w:tcBorders>
            <w:shd w:val="clear" w:color="auto" w:fill="auto"/>
            <w:vAlign w:val="center"/>
            <w:hideMark/>
          </w:tcPr>
          <w:p w14:paraId="115B5767" w14:textId="77777777" w:rsidR="00055C38" w:rsidRDefault="00055C38">
            <w:pPr>
              <w:rPr>
                <w:rFonts w:ascii="Calibri" w:hAnsi="Calibri" w:cs="Calibri"/>
                <w:color w:val="000000"/>
                <w:sz w:val="18"/>
                <w:szCs w:val="18"/>
              </w:rPr>
            </w:pPr>
            <w:r>
              <w:rPr>
                <w:rFonts w:ascii="Calibri" w:hAnsi="Calibri" w:cs="Calibri"/>
                <w:color w:val="000000"/>
                <w:sz w:val="18"/>
                <w:szCs w:val="18"/>
              </w:rPr>
              <w:t>Girls</w:t>
            </w:r>
          </w:p>
        </w:tc>
        <w:tc>
          <w:tcPr>
            <w:tcW w:w="1300" w:type="dxa"/>
            <w:vMerge w:val="restart"/>
            <w:tcBorders>
              <w:top w:val="nil"/>
              <w:left w:val="nil"/>
              <w:bottom w:val="single" w:sz="8" w:space="0" w:color="FFFFFF"/>
              <w:right w:val="nil"/>
            </w:tcBorders>
            <w:shd w:val="clear" w:color="auto" w:fill="auto"/>
            <w:vAlign w:val="center"/>
            <w:hideMark/>
          </w:tcPr>
          <w:p w14:paraId="7834C349" w14:textId="77777777" w:rsidR="00055C38" w:rsidRDefault="00055C38">
            <w:pPr>
              <w:rPr>
                <w:rFonts w:ascii="Calibri" w:hAnsi="Calibri" w:cs="Calibri"/>
                <w:color w:val="000000"/>
                <w:sz w:val="18"/>
                <w:szCs w:val="18"/>
              </w:rPr>
            </w:pPr>
            <w:r>
              <w:rPr>
                <w:rFonts w:ascii="Calibri" w:hAnsi="Calibri" w:cs="Calibri"/>
                <w:color w:val="000000"/>
                <w:sz w:val="18"/>
                <w:szCs w:val="18"/>
              </w:rPr>
              <w:t>α diversity</w:t>
            </w:r>
          </w:p>
        </w:tc>
        <w:tc>
          <w:tcPr>
            <w:tcW w:w="1300" w:type="dxa"/>
            <w:tcBorders>
              <w:top w:val="nil"/>
              <w:left w:val="nil"/>
              <w:bottom w:val="nil"/>
              <w:right w:val="nil"/>
            </w:tcBorders>
            <w:shd w:val="clear" w:color="auto" w:fill="auto"/>
            <w:vAlign w:val="center"/>
            <w:hideMark/>
          </w:tcPr>
          <w:p w14:paraId="1B34C28E" w14:textId="77777777" w:rsidR="00055C38" w:rsidRDefault="00055C38">
            <w:pPr>
              <w:rPr>
                <w:rFonts w:ascii="Calibri" w:hAnsi="Calibri" w:cs="Calibri"/>
                <w:color w:val="000000"/>
                <w:sz w:val="18"/>
                <w:szCs w:val="18"/>
              </w:rPr>
            </w:pPr>
            <w:r>
              <w:rPr>
                <w:rFonts w:ascii="Calibri" w:hAnsi="Calibri" w:cs="Calibri"/>
                <w:color w:val="000000"/>
                <w:sz w:val="18"/>
                <w:szCs w:val="18"/>
              </w:rPr>
              <w:t>adj. R</w:t>
            </w:r>
            <w:r>
              <w:rPr>
                <w:rFonts w:ascii="Calibri" w:hAnsi="Calibri" w:cs="Calibri"/>
                <w:color w:val="000000"/>
                <w:sz w:val="18"/>
                <w:szCs w:val="18"/>
                <w:vertAlign w:val="superscript"/>
              </w:rPr>
              <w:t>2</w:t>
            </w:r>
          </w:p>
        </w:tc>
        <w:tc>
          <w:tcPr>
            <w:tcW w:w="1140" w:type="dxa"/>
            <w:tcBorders>
              <w:top w:val="nil"/>
              <w:left w:val="nil"/>
              <w:bottom w:val="nil"/>
              <w:right w:val="nil"/>
            </w:tcBorders>
            <w:shd w:val="clear" w:color="auto" w:fill="auto"/>
            <w:vAlign w:val="center"/>
            <w:hideMark/>
          </w:tcPr>
          <w:p w14:paraId="52187EF4" w14:textId="77777777" w:rsidR="00055C38" w:rsidRDefault="00055C38">
            <w:pPr>
              <w:rPr>
                <w:rFonts w:ascii="Calibri" w:hAnsi="Calibri" w:cs="Calibri"/>
                <w:color w:val="000000"/>
                <w:sz w:val="18"/>
                <w:szCs w:val="18"/>
              </w:rPr>
            </w:pPr>
            <w:r>
              <w:rPr>
                <w:rFonts w:ascii="Calibri" w:hAnsi="Calibri" w:cs="Calibri"/>
                <w:color w:val="000000"/>
                <w:sz w:val="18"/>
                <w:szCs w:val="18"/>
              </w:rPr>
              <w:t>-.01</w:t>
            </w:r>
          </w:p>
        </w:tc>
        <w:tc>
          <w:tcPr>
            <w:tcW w:w="1060" w:type="dxa"/>
            <w:tcBorders>
              <w:top w:val="nil"/>
              <w:left w:val="nil"/>
              <w:bottom w:val="nil"/>
              <w:right w:val="nil"/>
            </w:tcBorders>
            <w:shd w:val="clear" w:color="auto" w:fill="auto"/>
            <w:vAlign w:val="center"/>
            <w:hideMark/>
          </w:tcPr>
          <w:p w14:paraId="10CB276B" w14:textId="77777777" w:rsidR="00055C38" w:rsidRDefault="00055C38">
            <w:pPr>
              <w:rPr>
                <w:rFonts w:ascii="Calibri" w:hAnsi="Calibri" w:cs="Calibri"/>
                <w:color w:val="000000"/>
                <w:sz w:val="18"/>
                <w:szCs w:val="18"/>
              </w:rPr>
            </w:pPr>
            <w:r>
              <w:rPr>
                <w:rFonts w:ascii="Calibri" w:hAnsi="Calibri" w:cs="Calibri"/>
                <w:color w:val="000000"/>
                <w:sz w:val="18"/>
                <w:szCs w:val="18"/>
              </w:rPr>
              <w:t>&lt;.01</w:t>
            </w:r>
          </w:p>
        </w:tc>
        <w:tc>
          <w:tcPr>
            <w:tcW w:w="1060" w:type="dxa"/>
            <w:tcBorders>
              <w:top w:val="nil"/>
              <w:left w:val="nil"/>
              <w:bottom w:val="nil"/>
              <w:right w:val="nil"/>
            </w:tcBorders>
            <w:shd w:val="clear" w:color="auto" w:fill="auto"/>
            <w:vAlign w:val="center"/>
            <w:hideMark/>
          </w:tcPr>
          <w:p w14:paraId="5CB3E001" w14:textId="77777777" w:rsidR="00055C38" w:rsidRPr="002A5400" w:rsidRDefault="00055C38">
            <w:pPr>
              <w:rPr>
                <w:rFonts w:ascii="Calibri" w:hAnsi="Calibri" w:cs="Calibri"/>
                <w:color w:val="000000" w:themeColor="text1"/>
                <w:sz w:val="18"/>
                <w:szCs w:val="18"/>
              </w:rPr>
            </w:pPr>
            <w:r w:rsidRPr="002A5400">
              <w:rPr>
                <w:rFonts w:ascii="Calibri" w:hAnsi="Calibri" w:cs="Calibri"/>
                <w:color w:val="000000" w:themeColor="text1"/>
                <w:sz w:val="18"/>
                <w:szCs w:val="18"/>
              </w:rPr>
              <w:t>.03</w:t>
            </w:r>
          </w:p>
        </w:tc>
        <w:tc>
          <w:tcPr>
            <w:tcW w:w="1260" w:type="dxa"/>
            <w:tcBorders>
              <w:top w:val="nil"/>
              <w:left w:val="nil"/>
              <w:bottom w:val="nil"/>
              <w:right w:val="nil"/>
            </w:tcBorders>
            <w:shd w:val="clear" w:color="auto" w:fill="auto"/>
            <w:vAlign w:val="center"/>
            <w:hideMark/>
          </w:tcPr>
          <w:p w14:paraId="7BA55FAD" w14:textId="77777777" w:rsidR="00055C38" w:rsidRPr="002A5400" w:rsidRDefault="00055C38">
            <w:pPr>
              <w:rPr>
                <w:rFonts w:ascii="Calibri" w:hAnsi="Calibri" w:cs="Calibri"/>
                <w:color w:val="000000" w:themeColor="text1"/>
                <w:sz w:val="18"/>
                <w:szCs w:val="18"/>
              </w:rPr>
            </w:pPr>
          </w:p>
        </w:tc>
        <w:tc>
          <w:tcPr>
            <w:tcW w:w="1040" w:type="dxa"/>
            <w:tcBorders>
              <w:top w:val="nil"/>
              <w:left w:val="nil"/>
              <w:bottom w:val="nil"/>
              <w:right w:val="nil"/>
            </w:tcBorders>
            <w:shd w:val="clear" w:color="auto" w:fill="auto"/>
            <w:vAlign w:val="center"/>
            <w:hideMark/>
          </w:tcPr>
          <w:p w14:paraId="12545D79" w14:textId="77777777" w:rsidR="00055C38" w:rsidRDefault="00055C38">
            <w:pPr>
              <w:rPr>
                <w:rFonts w:ascii="Calibri" w:hAnsi="Calibri" w:cs="Calibri"/>
                <w:color w:val="000000"/>
                <w:sz w:val="18"/>
                <w:szCs w:val="18"/>
              </w:rPr>
            </w:pPr>
            <w:r>
              <w:rPr>
                <w:rFonts w:ascii="Calibri" w:hAnsi="Calibri" w:cs="Calibri"/>
                <w:color w:val="000000"/>
                <w:sz w:val="18"/>
                <w:szCs w:val="18"/>
              </w:rPr>
              <w:t>-.01</w:t>
            </w:r>
          </w:p>
        </w:tc>
      </w:tr>
      <w:tr w:rsidR="00055C38" w14:paraId="04772A33" w14:textId="77777777" w:rsidTr="00055C38">
        <w:trPr>
          <w:trHeight w:val="320"/>
        </w:trPr>
        <w:tc>
          <w:tcPr>
            <w:tcW w:w="640" w:type="dxa"/>
            <w:vMerge/>
            <w:tcBorders>
              <w:top w:val="nil"/>
              <w:left w:val="nil"/>
              <w:bottom w:val="nil"/>
              <w:right w:val="nil"/>
            </w:tcBorders>
            <w:vAlign w:val="center"/>
            <w:hideMark/>
          </w:tcPr>
          <w:p w14:paraId="17596B12" w14:textId="77777777" w:rsidR="00055C38" w:rsidRDefault="00055C38">
            <w:pPr>
              <w:rPr>
                <w:rFonts w:ascii="Calibri" w:hAnsi="Calibri" w:cs="Calibri"/>
                <w:color w:val="000000"/>
                <w:sz w:val="18"/>
                <w:szCs w:val="18"/>
              </w:rPr>
            </w:pPr>
          </w:p>
        </w:tc>
        <w:tc>
          <w:tcPr>
            <w:tcW w:w="1300" w:type="dxa"/>
            <w:vMerge/>
            <w:tcBorders>
              <w:top w:val="nil"/>
              <w:left w:val="nil"/>
              <w:bottom w:val="single" w:sz="8" w:space="0" w:color="FFFFFF"/>
              <w:right w:val="nil"/>
            </w:tcBorders>
            <w:vAlign w:val="center"/>
            <w:hideMark/>
          </w:tcPr>
          <w:p w14:paraId="5C6D4B75" w14:textId="77777777" w:rsidR="00055C38" w:rsidRDefault="00055C38">
            <w:pPr>
              <w:rPr>
                <w:rFonts w:ascii="Calibri" w:hAnsi="Calibri" w:cs="Calibri"/>
                <w:color w:val="000000"/>
                <w:sz w:val="18"/>
                <w:szCs w:val="18"/>
              </w:rPr>
            </w:pPr>
          </w:p>
        </w:tc>
        <w:tc>
          <w:tcPr>
            <w:tcW w:w="1300" w:type="dxa"/>
            <w:tcBorders>
              <w:top w:val="nil"/>
              <w:left w:val="nil"/>
              <w:bottom w:val="nil"/>
              <w:right w:val="nil"/>
            </w:tcBorders>
            <w:shd w:val="clear" w:color="auto" w:fill="auto"/>
            <w:vAlign w:val="center"/>
            <w:hideMark/>
          </w:tcPr>
          <w:p w14:paraId="67F4B100" w14:textId="77777777" w:rsidR="00055C38" w:rsidRDefault="00055C38">
            <w:pPr>
              <w:rPr>
                <w:rFonts w:ascii="Calibri" w:hAnsi="Calibri" w:cs="Calibri"/>
                <w:color w:val="000000"/>
                <w:sz w:val="18"/>
                <w:szCs w:val="18"/>
              </w:rPr>
            </w:pPr>
            <w:r>
              <w:rPr>
                <w:rFonts w:ascii="Calibri" w:hAnsi="Calibri" w:cs="Calibri"/>
                <w:color w:val="000000"/>
                <w:sz w:val="18"/>
                <w:szCs w:val="18"/>
              </w:rPr>
              <w:t>β</w:t>
            </w:r>
          </w:p>
        </w:tc>
        <w:tc>
          <w:tcPr>
            <w:tcW w:w="1140" w:type="dxa"/>
            <w:tcBorders>
              <w:top w:val="nil"/>
              <w:left w:val="nil"/>
              <w:bottom w:val="nil"/>
              <w:right w:val="nil"/>
            </w:tcBorders>
            <w:shd w:val="clear" w:color="auto" w:fill="auto"/>
            <w:vAlign w:val="center"/>
            <w:hideMark/>
          </w:tcPr>
          <w:p w14:paraId="3137439D" w14:textId="77777777" w:rsidR="00055C38" w:rsidRDefault="00055C38">
            <w:pPr>
              <w:rPr>
                <w:rFonts w:ascii="Calibri" w:hAnsi="Calibri" w:cs="Calibri"/>
                <w:color w:val="000000"/>
                <w:sz w:val="18"/>
                <w:szCs w:val="18"/>
              </w:rPr>
            </w:pPr>
            <w:r>
              <w:rPr>
                <w:rFonts w:ascii="Calibri" w:hAnsi="Calibri" w:cs="Calibri"/>
                <w:color w:val="000000"/>
                <w:sz w:val="18"/>
                <w:szCs w:val="18"/>
              </w:rPr>
              <w:t>-0.06</w:t>
            </w:r>
          </w:p>
        </w:tc>
        <w:tc>
          <w:tcPr>
            <w:tcW w:w="1060" w:type="dxa"/>
            <w:tcBorders>
              <w:top w:val="nil"/>
              <w:left w:val="nil"/>
              <w:bottom w:val="nil"/>
              <w:right w:val="nil"/>
            </w:tcBorders>
            <w:shd w:val="clear" w:color="auto" w:fill="auto"/>
            <w:vAlign w:val="center"/>
            <w:hideMark/>
          </w:tcPr>
          <w:p w14:paraId="3029A61E" w14:textId="77777777" w:rsidR="00055C38" w:rsidRDefault="00055C38">
            <w:pPr>
              <w:rPr>
                <w:rFonts w:ascii="Calibri" w:hAnsi="Calibri" w:cs="Calibri"/>
                <w:color w:val="000000"/>
                <w:sz w:val="18"/>
                <w:szCs w:val="18"/>
              </w:rPr>
            </w:pPr>
            <w:r>
              <w:rPr>
                <w:rFonts w:ascii="Calibri" w:hAnsi="Calibri" w:cs="Calibri"/>
                <w:color w:val="000000"/>
                <w:sz w:val="18"/>
                <w:szCs w:val="18"/>
              </w:rPr>
              <w:t>-0.26</w:t>
            </w:r>
          </w:p>
        </w:tc>
        <w:tc>
          <w:tcPr>
            <w:tcW w:w="1060" w:type="dxa"/>
            <w:tcBorders>
              <w:top w:val="nil"/>
              <w:left w:val="nil"/>
              <w:bottom w:val="nil"/>
              <w:right w:val="nil"/>
            </w:tcBorders>
            <w:shd w:val="clear" w:color="auto" w:fill="auto"/>
            <w:vAlign w:val="center"/>
            <w:hideMark/>
          </w:tcPr>
          <w:p w14:paraId="48D69CB2" w14:textId="77777777" w:rsidR="00055C38" w:rsidRPr="002A5400" w:rsidRDefault="00055C38">
            <w:pPr>
              <w:rPr>
                <w:rFonts w:ascii="Calibri" w:hAnsi="Calibri" w:cs="Calibri"/>
                <w:color w:val="000000" w:themeColor="text1"/>
                <w:sz w:val="18"/>
                <w:szCs w:val="18"/>
              </w:rPr>
            </w:pPr>
            <w:r w:rsidRPr="002A5400">
              <w:rPr>
                <w:rFonts w:ascii="Calibri" w:hAnsi="Calibri" w:cs="Calibri"/>
                <w:color w:val="000000" w:themeColor="text1"/>
                <w:sz w:val="18"/>
                <w:szCs w:val="18"/>
              </w:rPr>
              <w:t>-0.37</w:t>
            </w:r>
          </w:p>
        </w:tc>
        <w:tc>
          <w:tcPr>
            <w:tcW w:w="1260" w:type="dxa"/>
            <w:tcBorders>
              <w:top w:val="nil"/>
              <w:left w:val="nil"/>
              <w:bottom w:val="nil"/>
              <w:right w:val="nil"/>
            </w:tcBorders>
            <w:shd w:val="clear" w:color="auto" w:fill="auto"/>
            <w:vAlign w:val="center"/>
            <w:hideMark/>
          </w:tcPr>
          <w:p w14:paraId="6C4643A9" w14:textId="77777777" w:rsidR="00055C38" w:rsidRPr="002A5400" w:rsidRDefault="00055C38">
            <w:pPr>
              <w:rPr>
                <w:rFonts w:ascii="Calibri" w:hAnsi="Calibri" w:cs="Calibri"/>
                <w:color w:val="000000" w:themeColor="text1"/>
                <w:sz w:val="18"/>
                <w:szCs w:val="18"/>
              </w:rPr>
            </w:pPr>
          </w:p>
        </w:tc>
        <w:tc>
          <w:tcPr>
            <w:tcW w:w="1040" w:type="dxa"/>
            <w:tcBorders>
              <w:top w:val="nil"/>
              <w:left w:val="nil"/>
              <w:bottom w:val="nil"/>
              <w:right w:val="nil"/>
            </w:tcBorders>
            <w:shd w:val="clear" w:color="auto" w:fill="auto"/>
            <w:vAlign w:val="center"/>
            <w:hideMark/>
          </w:tcPr>
          <w:p w14:paraId="5E9E92EB" w14:textId="77777777" w:rsidR="00055C38" w:rsidRDefault="00055C38">
            <w:pPr>
              <w:rPr>
                <w:rFonts w:ascii="Calibri" w:hAnsi="Calibri" w:cs="Calibri"/>
                <w:color w:val="000000"/>
                <w:sz w:val="18"/>
                <w:szCs w:val="18"/>
              </w:rPr>
            </w:pPr>
            <w:r>
              <w:rPr>
                <w:rFonts w:ascii="Calibri" w:hAnsi="Calibri" w:cs="Calibri"/>
                <w:color w:val="000000"/>
                <w:sz w:val="18"/>
                <w:szCs w:val="18"/>
              </w:rPr>
              <w:t>0.09</w:t>
            </w:r>
          </w:p>
        </w:tc>
      </w:tr>
      <w:tr w:rsidR="00055C38" w14:paraId="29C8EB94" w14:textId="77777777" w:rsidTr="00055C38">
        <w:trPr>
          <w:trHeight w:val="340"/>
        </w:trPr>
        <w:tc>
          <w:tcPr>
            <w:tcW w:w="640" w:type="dxa"/>
            <w:vMerge/>
            <w:tcBorders>
              <w:top w:val="nil"/>
              <w:left w:val="nil"/>
              <w:bottom w:val="nil"/>
              <w:right w:val="nil"/>
            </w:tcBorders>
            <w:vAlign w:val="center"/>
            <w:hideMark/>
          </w:tcPr>
          <w:p w14:paraId="6A9A9E6C" w14:textId="77777777" w:rsidR="00055C38" w:rsidRDefault="00055C38">
            <w:pPr>
              <w:rPr>
                <w:rFonts w:ascii="Calibri" w:hAnsi="Calibri" w:cs="Calibri"/>
                <w:color w:val="000000"/>
                <w:sz w:val="18"/>
                <w:szCs w:val="18"/>
              </w:rPr>
            </w:pPr>
          </w:p>
        </w:tc>
        <w:tc>
          <w:tcPr>
            <w:tcW w:w="1300" w:type="dxa"/>
            <w:vMerge/>
            <w:tcBorders>
              <w:top w:val="nil"/>
              <w:left w:val="nil"/>
              <w:bottom w:val="single" w:sz="8" w:space="0" w:color="FFFFFF"/>
              <w:right w:val="nil"/>
            </w:tcBorders>
            <w:vAlign w:val="center"/>
            <w:hideMark/>
          </w:tcPr>
          <w:p w14:paraId="48BC8268" w14:textId="77777777" w:rsidR="00055C38" w:rsidRDefault="00055C38">
            <w:pPr>
              <w:rPr>
                <w:rFonts w:ascii="Calibri" w:hAnsi="Calibri" w:cs="Calibri"/>
                <w:color w:val="000000"/>
                <w:sz w:val="18"/>
                <w:szCs w:val="18"/>
              </w:rPr>
            </w:pPr>
          </w:p>
        </w:tc>
        <w:tc>
          <w:tcPr>
            <w:tcW w:w="1300" w:type="dxa"/>
            <w:tcBorders>
              <w:top w:val="nil"/>
              <w:left w:val="nil"/>
              <w:bottom w:val="nil"/>
              <w:right w:val="nil"/>
            </w:tcBorders>
            <w:shd w:val="clear" w:color="auto" w:fill="auto"/>
            <w:vAlign w:val="center"/>
            <w:hideMark/>
          </w:tcPr>
          <w:p w14:paraId="02E39C36" w14:textId="77777777" w:rsidR="00055C38" w:rsidRDefault="00055C38">
            <w:pPr>
              <w:rPr>
                <w:rFonts w:ascii="Calibri" w:hAnsi="Calibri" w:cs="Calibri"/>
                <w:color w:val="000000"/>
                <w:sz w:val="18"/>
                <w:szCs w:val="18"/>
              </w:rPr>
            </w:pPr>
            <w:r>
              <w:rPr>
                <w:rFonts w:ascii="Calibri" w:hAnsi="Calibri" w:cs="Calibri"/>
                <w:color w:val="000000"/>
                <w:sz w:val="18"/>
                <w:szCs w:val="18"/>
              </w:rPr>
              <w:t>p</w:t>
            </w:r>
          </w:p>
        </w:tc>
        <w:tc>
          <w:tcPr>
            <w:tcW w:w="1140" w:type="dxa"/>
            <w:tcBorders>
              <w:top w:val="nil"/>
              <w:left w:val="nil"/>
              <w:bottom w:val="nil"/>
              <w:right w:val="nil"/>
            </w:tcBorders>
            <w:shd w:val="clear" w:color="auto" w:fill="auto"/>
            <w:vAlign w:val="center"/>
            <w:hideMark/>
          </w:tcPr>
          <w:p w14:paraId="70EC8195" w14:textId="77777777" w:rsidR="00055C38" w:rsidRDefault="00055C38">
            <w:pPr>
              <w:rPr>
                <w:rFonts w:ascii="Calibri" w:hAnsi="Calibri" w:cs="Calibri"/>
                <w:color w:val="000000"/>
                <w:sz w:val="18"/>
                <w:szCs w:val="18"/>
              </w:rPr>
            </w:pPr>
            <w:r>
              <w:rPr>
                <w:rFonts w:ascii="Calibri" w:hAnsi="Calibri" w:cs="Calibri"/>
                <w:color w:val="000000"/>
                <w:sz w:val="18"/>
                <w:szCs w:val="18"/>
              </w:rPr>
              <w:t>.68</w:t>
            </w:r>
          </w:p>
        </w:tc>
        <w:tc>
          <w:tcPr>
            <w:tcW w:w="1060" w:type="dxa"/>
            <w:tcBorders>
              <w:top w:val="nil"/>
              <w:left w:val="nil"/>
              <w:bottom w:val="nil"/>
              <w:right w:val="nil"/>
            </w:tcBorders>
            <w:shd w:val="clear" w:color="auto" w:fill="auto"/>
            <w:vAlign w:val="center"/>
            <w:hideMark/>
          </w:tcPr>
          <w:p w14:paraId="3C34134A" w14:textId="77777777" w:rsidR="00055C38" w:rsidRDefault="00055C38">
            <w:pPr>
              <w:rPr>
                <w:rFonts w:ascii="Calibri" w:hAnsi="Calibri" w:cs="Calibri"/>
                <w:color w:val="000000"/>
                <w:sz w:val="18"/>
                <w:szCs w:val="18"/>
              </w:rPr>
            </w:pPr>
            <w:r>
              <w:rPr>
                <w:rFonts w:ascii="Calibri" w:hAnsi="Calibri" w:cs="Calibri"/>
                <w:color w:val="000000"/>
                <w:sz w:val="18"/>
                <w:szCs w:val="18"/>
              </w:rPr>
              <w:t>.28</w:t>
            </w:r>
          </w:p>
        </w:tc>
        <w:tc>
          <w:tcPr>
            <w:tcW w:w="1060" w:type="dxa"/>
            <w:tcBorders>
              <w:top w:val="nil"/>
              <w:left w:val="nil"/>
              <w:bottom w:val="nil"/>
              <w:right w:val="nil"/>
            </w:tcBorders>
            <w:shd w:val="clear" w:color="auto" w:fill="auto"/>
            <w:vAlign w:val="center"/>
            <w:hideMark/>
          </w:tcPr>
          <w:p w14:paraId="34D4C67D" w14:textId="77777777" w:rsidR="00055C38" w:rsidRPr="002A5400" w:rsidRDefault="00055C38">
            <w:pPr>
              <w:rPr>
                <w:rFonts w:ascii="Calibri" w:hAnsi="Calibri" w:cs="Calibri"/>
                <w:color w:val="000000" w:themeColor="text1"/>
                <w:sz w:val="18"/>
                <w:szCs w:val="18"/>
              </w:rPr>
            </w:pPr>
            <w:r w:rsidRPr="002A5400">
              <w:rPr>
                <w:rFonts w:ascii="Calibri" w:hAnsi="Calibri" w:cs="Calibri"/>
                <w:color w:val="000000" w:themeColor="text1"/>
                <w:sz w:val="18"/>
                <w:szCs w:val="18"/>
              </w:rPr>
              <w:t>.07</w:t>
            </w:r>
          </w:p>
        </w:tc>
        <w:tc>
          <w:tcPr>
            <w:tcW w:w="1260" w:type="dxa"/>
            <w:tcBorders>
              <w:top w:val="nil"/>
              <w:left w:val="nil"/>
              <w:bottom w:val="nil"/>
              <w:right w:val="nil"/>
            </w:tcBorders>
            <w:shd w:val="clear" w:color="auto" w:fill="auto"/>
            <w:vAlign w:val="center"/>
            <w:hideMark/>
          </w:tcPr>
          <w:p w14:paraId="61CF839F" w14:textId="77777777" w:rsidR="00055C38" w:rsidRPr="002A5400" w:rsidRDefault="00055C38">
            <w:pPr>
              <w:rPr>
                <w:rFonts w:ascii="Calibri" w:hAnsi="Calibri" w:cs="Calibri"/>
                <w:color w:val="000000" w:themeColor="text1"/>
                <w:sz w:val="18"/>
                <w:szCs w:val="18"/>
              </w:rPr>
            </w:pPr>
          </w:p>
        </w:tc>
        <w:tc>
          <w:tcPr>
            <w:tcW w:w="1040" w:type="dxa"/>
            <w:tcBorders>
              <w:top w:val="nil"/>
              <w:left w:val="nil"/>
              <w:bottom w:val="nil"/>
              <w:right w:val="nil"/>
            </w:tcBorders>
            <w:shd w:val="clear" w:color="auto" w:fill="auto"/>
            <w:vAlign w:val="center"/>
            <w:hideMark/>
          </w:tcPr>
          <w:p w14:paraId="70F95F46" w14:textId="77777777" w:rsidR="00055C38" w:rsidRDefault="00055C38">
            <w:pPr>
              <w:rPr>
                <w:rFonts w:ascii="Calibri" w:hAnsi="Calibri" w:cs="Calibri"/>
                <w:color w:val="000000"/>
                <w:sz w:val="18"/>
                <w:szCs w:val="18"/>
              </w:rPr>
            </w:pPr>
            <w:r>
              <w:rPr>
                <w:rFonts w:ascii="Calibri" w:hAnsi="Calibri" w:cs="Calibri"/>
                <w:color w:val="000000"/>
                <w:sz w:val="18"/>
                <w:szCs w:val="18"/>
              </w:rPr>
              <w:t>.67</w:t>
            </w:r>
          </w:p>
        </w:tc>
      </w:tr>
      <w:tr w:rsidR="00055C38" w14:paraId="57E23DBA" w14:textId="77777777" w:rsidTr="00055C38">
        <w:trPr>
          <w:trHeight w:val="320"/>
        </w:trPr>
        <w:tc>
          <w:tcPr>
            <w:tcW w:w="640" w:type="dxa"/>
            <w:vMerge/>
            <w:tcBorders>
              <w:top w:val="nil"/>
              <w:left w:val="nil"/>
              <w:bottom w:val="nil"/>
              <w:right w:val="nil"/>
            </w:tcBorders>
            <w:vAlign w:val="center"/>
            <w:hideMark/>
          </w:tcPr>
          <w:p w14:paraId="1C025D04" w14:textId="77777777" w:rsidR="00055C38" w:rsidRDefault="00055C38">
            <w:pPr>
              <w:rPr>
                <w:rFonts w:ascii="Calibri" w:hAnsi="Calibri" w:cs="Calibri"/>
                <w:color w:val="000000"/>
                <w:sz w:val="18"/>
                <w:szCs w:val="18"/>
              </w:rPr>
            </w:pPr>
          </w:p>
        </w:tc>
        <w:tc>
          <w:tcPr>
            <w:tcW w:w="1300" w:type="dxa"/>
            <w:vMerge w:val="restart"/>
            <w:tcBorders>
              <w:top w:val="nil"/>
              <w:left w:val="nil"/>
              <w:bottom w:val="nil"/>
              <w:right w:val="nil"/>
            </w:tcBorders>
            <w:shd w:val="clear" w:color="auto" w:fill="auto"/>
            <w:vAlign w:val="center"/>
            <w:hideMark/>
          </w:tcPr>
          <w:p w14:paraId="21B72A89" w14:textId="77777777" w:rsidR="00055C38" w:rsidRDefault="00055C38">
            <w:pPr>
              <w:rPr>
                <w:rFonts w:ascii="Calibri" w:hAnsi="Calibri" w:cs="Calibri"/>
                <w:color w:val="000000"/>
                <w:sz w:val="18"/>
                <w:szCs w:val="18"/>
              </w:rPr>
            </w:pPr>
            <w:r>
              <w:rPr>
                <w:rFonts w:ascii="Calibri" w:hAnsi="Calibri" w:cs="Calibri"/>
                <w:color w:val="000000"/>
                <w:sz w:val="18"/>
                <w:szCs w:val="18"/>
              </w:rPr>
              <w:t>α diversity, adjusted</w:t>
            </w:r>
          </w:p>
        </w:tc>
        <w:tc>
          <w:tcPr>
            <w:tcW w:w="1300" w:type="dxa"/>
            <w:tcBorders>
              <w:top w:val="nil"/>
              <w:left w:val="nil"/>
              <w:bottom w:val="nil"/>
              <w:right w:val="nil"/>
            </w:tcBorders>
            <w:shd w:val="clear" w:color="auto" w:fill="auto"/>
            <w:vAlign w:val="center"/>
            <w:hideMark/>
          </w:tcPr>
          <w:p w14:paraId="0AE79992" w14:textId="77777777" w:rsidR="00055C38" w:rsidRDefault="00055C38">
            <w:pPr>
              <w:rPr>
                <w:rFonts w:ascii="Calibri" w:hAnsi="Calibri" w:cs="Calibri"/>
                <w:color w:val="000000"/>
                <w:sz w:val="18"/>
                <w:szCs w:val="18"/>
              </w:rPr>
            </w:pPr>
            <w:r>
              <w:rPr>
                <w:rFonts w:ascii="Calibri" w:hAnsi="Calibri" w:cs="Calibri"/>
                <w:color w:val="000000"/>
                <w:sz w:val="18"/>
                <w:szCs w:val="18"/>
              </w:rPr>
              <w:t>adj. R</w:t>
            </w:r>
            <w:r>
              <w:rPr>
                <w:rFonts w:ascii="Calibri" w:hAnsi="Calibri" w:cs="Calibri"/>
                <w:color w:val="000000"/>
                <w:sz w:val="18"/>
                <w:szCs w:val="18"/>
                <w:vertAlign w:val="superscript"/>
              </w:rPr>
              <w:t>2</w:t>
            </w:r>
          </w:p>
        </w:tc>
        <w:tc>
          <w:tcPr>
            <w:tcW w:w="1140" w:type="dxa"/>
            <w:tcBorders>
              <w:top w:val="nil"/>
              <w:left w:val="nil"/>
              <w:bottom w:val="nil"/>
              <w:right w:val="nil"/>
            </w:tcBorders>
            <w:shd w:val="clear" w:color="auto" w:fill="auto"/>
            <w:vAlign w:val="center"/>
            <w:hideMark/>
          </w:tcPr>
          <w:p w14:paraId="71FB3AAC" w14:textId="77777777" w:rsidR="00055C38" w:rsidRDefault="00055C38">
            <w:pPr>
              <w:rPr>
                <w:rFonts w:ascii="Calibri" w:hAnsi="Calibri" w:cs="Calibri"/>
                <w:color w:val="000000"/>
                <w:sz w:val="18"/>
                <w:szCs w:val="18"/>
              </w:rPr>
            </w:pPr>
            <w:r>
              <w:rPr>
                <w:rFonts w:ascii="Calibri" w:hAnsi="Calibri" w:cs="Calibri"/>
                <w:color w:val="000000"/>
                <w:sz w:val="18"/>
                <w:szCs w:val="18"/>
              </w:rPr>
              <w:t>.02</w:t>
            </w:r>
          </w:p>
        </w:tc>
        <w:tc>
          <w:tcPr>
            <w:tcW w:w="1060" w:type="dxa"/>
            <w:tcBorders>
              <w:top w:val="nil"/>
              <w:left w:val="nil"/>
              <w:bottom w:val="nil"/>
              <w:right w:val="nil"/>
            </w:tcBorders>
            <w:shd w:val="clear" w:color="auto" w:fill="auto"/>
            <w:vAlign w:val="center"/>
            <w:hideMark/>
          </w:tcPr>
          <w:p w14:paraId="4E06C102" w14:textId="77777777" w:rsidR="00055C38" w:rsidRDefault="00055C38">
            <w:pPr>
              <w:rPr>
                <w:rFonts w:ascii="Calibri" w:hAnsi="Calibri" w:cs="Calibri"/>
                <w:color w:val="000000"/>
                <w:sz w:val="18"/>
                <w:szCs w:val="18"/>
              </w:rPr>
            </w:pPr>
            <w:r>
              <w:rPr>
                <w:rFonts w:ascii="Calibri" w:hAnsi="Calibri" w:cs="Calibri"/>
                <w:color w:val="000000"/>
                <w:sz w:val="18"/>
                <w:szCs w:val="18"/>
              </w:rPr>
              <w:t>.02</w:t>
            </w:r>
          </w:p>
        </w:tc>
        <w:tc>
          <w:tcPr>
            <w:tcW w:w="1060" w:type="dxa"/>
            <w:tcBorders>
              <w:top w:val="nil"/>
              <w:left w:val="nil"/>
              <w:bottom w:val="nil"/>
              <w:right w:val="nil"/>
            </w:tcBorders>
            <w:shd w:val="clear" w:color="auto" w:fill="auto"/>
            <w:vAlign w:val="center"/>
            <w:hideMark/>
          </w:tcPr>
          <w:p w14:paraId="7427528C" w14:textId="77777777" w:rsidR="00055C38" w:rsidRPr="002A5400" w:rsidRDefault="00055C38">
            <w:pPr>
              <w:rPr>
                <w:rFonts w:ascii="Calibri" w:hAnsi="Calibri" w:cs="Calibri"/>
                <w:color w:val="000000" w:themeColor="text1"/>
                <w:sz w:val="18"/>
                <w:szCs w:val="18"/>
              </w:rPr>
            </w:pPr>
            <w:r w:rsidRPr="002A5400">
              <w:rPr>
                <w:rFonts w:ascii="Calibri" w:hAnsi="Calibri" w:cs="Calibri"/>
                <w:color w:val="000000" w:themeColor="text1"/>
                <w:sz w:val="18"/>
                <w:szCs w:val="18"/>
              </w:rPr>
              <w:t>.02</w:t>
            </w:r>
          </w:p>
        </w:tc>
        <w:tc>
          <w:tcPr>
            <w:tcW w:w="1260" w:type="dxa"/>
            <w:tcBorders>
              <w:top w:val="nil"/>
              <w:left w:val="nil"/>
              <w:bottom w:val="nil"/>
              <w:right w:val="nil"/>
            </w:tcBorders>
            <w:shd w:val="clear" w:color="auto" w:fill="auto"/>
            <w:vAlign w:val="center"/>
            <w:hideMark/>
          </w:tcPr>
          <w:p w14:paraId="2396C97C" w14:textId="689D425F" w:rsidR="00055C38" w:rsidRPr="002A5400" w:rsidRDefault="00A208ED">
            <w:pPr>
              <w:rPr>
                <w:rFonts w:ascii="Calibri" w:hAnsi="Calibri" w:cs="Calibri"/>
                <w:color w:val="000000" w:themeColor="text1"/>
                <w:sz w:val="18"/>
                <w:szCs w:val="18"/>
              </w:rPr>
            </w:pPr>
            <w:r w:rsidRPr="002A5400">
              <w:rPr>
                <w:rFonts w:ascii="Calibri" w:hAnsi="Calibri" w:cs="Calibri"/>
                <w:color w:val="000000" w:themeColor="text1"/>
                <w:sz w:val="18"/>
                <w:szCs w:val="18"/>
              </w:rPr>
              <w:t>.03</w:t>
            </w:r>
          </w:p>
        </w:tc>
        <w:tc>
          <w:tcPr>
            <w:tcW w:w="1040" w:type="dxa"/>
            <w:tcBorders>
              <w:top w:val="nil"/>
              <w:left w:val="nil"/>
              <w:bottom w:val="nil"/>
              <w:right w:val="nil"/>
            </w:tcBorders>
            <w:shd w:val="clear" w:color="auto" w:fill="auto"/>
            <w:vAlign w:val="center"/>
            <w:hideMark/>
          </w:tcPr>
          <w:p w14:paraId="6ABC6100" w14:textId="77777777" w:rsidR="00055C38" w:rsidRDefault="00055C38">
            <w:pPr>
              <w:rPr>
                <w:rFonts w:ascii="Calibri" w:hAnsi="Calibri" w:cs="Calibri"/>
                <w:color w:val="000000"/>
                <w:sz w:val="18"/>
                <w:szCs w:val="18"/>
              </w:rPr>
            </w:pPr>
            <w:r>
              <w:rPr>
                <w:rFonts w:ascii="Calibri" w:hAnsi="Calibri" w:cs="Calibri"/>
                <w:color w:val="000000"/>
                <w:sz w:val="18"/>
                <w:szCs w:val="18"/>
              </w:rPr>
              <w:t>-.03</w:t>
            </w:r>
          </w:p>
        </w:tc>
      </w:tr>
      <w:tr w:rsidR="00055C38" w14:paraId="032BAE66" w14:textId="77777777" w:rsidTr="00055C38">
        <w:trPr>
          <w:trHeight w:val="320"/>
        </w:trPr>
        <w:tc>
          <w:tcPr>
            <w:tcW w:w="640" w:type="dxa"/>
            <w:vMerge/>
            <w:tcBorders>
              <w:top w:val="nil"/>
              <w:left w:val="nil"/>
              <w:bottom w:val="nil"/>
              <w:right w:val="nil"/>
            </w:tcBorders>
            <w:vAlign w:val="center"/>
            <w:hideMark/>
          </w:tcPr>
          <w:p w14:paraId="1D66E4A9" w14:textId="77777777" w:rsidR="00055C38" w:rsidRDefault="00055C38">
            <w:pPr>
              <w:rPr>
                <w:rFonts w:ascii="Calibri" w:hAnsi="Calibri" w:cs="Calibri"/>
                <w:color w:val="000000"/>
                <w:sz w:val="18"/>
                <w:szCs w:val="18"/>
              </w:rPr>
            </w:pPr>
          </w:p>
        </w:tc>
        <w:tc>
          <w:tcPr>
            <w:tcW w:w="1300" w:type="dxa"/>
            <w:vMerge/>
            <w:tcBorders>
              <w:top w:val="nil"/>
              <w:left w:val="nil"/>
              <w:bottom w:val="nil"/>
              <w:right w:val="nil"/>
            </w:tcBorders>
            <w:vAlign w:val="center"/>
            <w:hideMark/>
          </w:tcPr>
          <w:p w14:paraId="0F5EE3F1" w14:textId="77777777" w:rsidR="00055C38" w:rsidRDefault="00055C38">
            <w:pPr>
              <w:rPr>
                <w:rFonts w:ascii="Calibri" w:hAnsi="Calibri" w:cs="Calibri"/>
                <w:color w:val="000000"/>
                <w:sz w:val="18"/>
                <w:szCs w:val="18"/>
              </w:rPr>
            </w:pPr>
          </w:p>
        </w:tc>
        <w:tc>
          <w:tcPr>
            <w:tcW w:w="1300" w:type="dxa"/>
            <w:tcBorders>
              <w:top w:val="nil"/>
              <w:left w:val="nil"/>
              <w:bottom w:val="nil"/>
              <w:right w:val="nil"/>
            </w:tcBorders>
            <w:shd w:val="clear" w:color="auto" w:fill="auto"/>
            <w:vAlign w:val="center"/>
            <w:hideMark/>
          </w:tcPr>
          <w:p w14:paraId="465B3F09" w14:textId="77777777" w:rsidR="00055C38" w:rsidRDefault="00055C38">
            <w:pPr>
              <w:rPr>
                <w:rFonts w:ascii="Calibri" w:hAnsi="Calibri" w:cs="Calibri"/>
                <w:color w:val="000000"/>
                <w:sz w:val="18"/>
                <w:szCs w:val="18"/>
              </w:rPr>
            </w:pPr>
            <w:r>
              <w:rPr>
                <w:rFonts w:ascii="Calibri" w:hAnsi="Calibri" w:cs="Calibri"/>
                <w:color w:val="000000"/>
                <w:sz w:val="18"/>
                <w:szCs w:val="18"/>
              </w:rPr>
              <w:t>β</w:t>
            </w:r>
          </w:p>
        </w:tc>
        <w:tc>
          <w:tcPr>
            <w:tcW w:w="1140" w:type="dxa"/>
            <w:tcBorders>
              <w:top w:val="nil"/>
              <w:left w:val="nil"/>
              <w:bottom w:val="nil"/>
              <w:right w:val="nil"/>
            </w:tcBorders>
            <w:shd w:val="clear" w:color="auto" w:fill="auto"/>
            <w:vAlign w:val="center"/>
            <w:hideMark/>
          </w:tcPr>
          <w:p w14:paraId="358E15BC" w14:textId="77777777" w:rsidR="00055C38" w:rsidRDefault="00055C38">
            <w:pPr>
              <w:rPr>
                <w:rFonts w:ascii="Calibri" w:hAnsi="Calibri" w:cs="Calibri"/>
                <w:color w:val="000000"/>
                <w:sz w:val="18"/>
                <w:szCs w:val="18"/>
              </w:rPr>
            </w:pPr>
            <w:r>
              <w:rPr>
                <w:rFonts w:ascii="Calibri" w:hAnsi="Calibri" w:cs="Calibri"/>
                <w:color w:val="000000"/>
                <w:sz w:val="18"/>
                <w:szCs w:val="18"/>
              </w:rPr>
              <w:t>-0.04</w:t>
            </w:r>
          </w:p>
        </w:tc>
        <w:tc>
          <w:tcPr>
            <w:tcW w:w="1060" w:type="dxa"/>
            <w:tcBorders>
              <w:top w:val="nil"/>
              <w:left w:val="nil"/>
              <w:bottom w:val="nil"/>
              <w:right w:val="nil"/>
            </w:tcBorders>
            <w:shd w:val="clear" w:color="auto" w:fill="auto"/>
            <w:vAlign w:val="center"/>
            <w:hideMark/>
          </w:tcPr>
          <w:p w14:paraId="26E4A27E" w14:textId="77777777" w:rsidR="00055C38" w:rsidRDefault="00055C38">
            <w:pPr>
              <w:rPr>
                <w:rFonts w:ascii="Calibri" w:hAnsi="Calibri" w:cs="Calibri"/>
                <w:color w:val="000000"/>
                <w:sz w:val="18"/>
                <w:szCs w:val="18"/>
              </w:rPr>
            </w:pPr>
            <w:r>
              <w:rPr>
                <w:rFonts w:ascii="Calibri" w:hAnsi="Calibri" w:cs="Calibri"/>
                <w:color w:val="000000"/>
                <w:sz w:val="18"/>
                <w:szCs w:val="18"/>
              </w:rPr>
              <w:t>-0.21</w:t>
            </w:r>
          </w:p>
        </w:tc>
        <w:tc>
          <w:tcPr>
            <w:tcW w:w="1060" w:type="dxa"/>
            <w:tcBorders>
              <w:top w:val="nil"/>
              <w:left w:val="nil"/>
              <w:bottom w:val="nil"/>
              <w:right w:val="nil"/>
            </w:tcBorders>
            <w:shd w:val="clear" w:color="auto" w:fill="auto"/>
            <w:vAlign w:val="center"/>
            <w:hideMark/>
          </w:tcPr>
          <w:p w14:paraId="2C3A8368" w14:textId="77777777" w:rsidR="00055C38" w:rsidRPr="002A5400" w:rsidRDefault="00055C38">
            <w:pPr>
              <w:rPr>
                <w:rFonts w:ascii="Calibri" w:hAnsi="Calibri" w:cs="Calibri"/>
                <w:color w:val="000000" w:themeColor="text1"/>
                <w:sz w:val="18"/>
                <w:szCs w:val="18"/>
              </w:rPr>
            </w:pPr>
            <w:r w:rsidRPr="002A5400">
              <w:rPr>
                <w:rFonts w:ascii="Calibri" w:hAnsi="Calibri" w:cs="Calibri"/>
                <w:color w:val="000000" w:themeColor="text1"/>
                <w:sz w:val="18"/>
                <w:szCs w:val="18"/>
              </w:rPr>
              <w:t>-0.34</w:t>
            </w:r>
          </w:p>
        </w:tc>
        <w:tc>
          <w:tcPr>
            <w:tcW w:w="1260" w:type="dxa"/>
            <w:tcBorders>
              <w:top w:val="nil"/>
              <w:left w:val="nil"/>
              <w:bottom w:val="nil"/>
              <w:right w:val="nil"/>
            </w:tcBorders>
            <w:shd w:val="clear" w:color="auto" w:fill="auto"/>
            <w:vAlign w:val="center"/>
            <w:hideMark/>
          </w:tcPr>
          <w:p w14:paraId="5BCFF922" w14:textId="4922D650" w:rsidR="00055C38" w:rsidRPr="002A5400" w:rsidRDefault="00A208ED">
            <w:pPr>
              <w:rPr>
                <w:rFonts w:ascii="Calibri" w:hAnsi="Calibri" w:cs="Calibri"/>
                <w:color w:val="000000" w:themeColor="text1"/>
                <w:sz w:val="18"/>
                <w:szCs w:val="18"/>
              </w:rPr>
            </w:pPr>
            <w:r w:rsidRPr="002A5400">
              <w:rPr>
                <w:rFonts w:ascii="Calibri" w:hAnsi="Calibri" w:cs="Calibri"/>
                <w:color w:val="000000" w:themeColor="text1"/>
                <w:sz w:val="18"/>
                <w:szCs w:val="18"/>
              </w:rPr>
              <w:t>-0.41</w:t>
            </w:r>
          </w:p>
        </w:tc>
        <w:tc>
          <w:tcPr>
            <w:tcW w:w="1040" w:type="dxa"/>
            <w:tcBorders>
              <w:top w:val="nil"/>
              <w:left w:val="nil"/>
              <w:bottom w:val="nil"/>
              <w:right w:val="nil"/>
            </w:tcBorders>
            <w:shd w:val="clear" w:color="auto" w:fill="auto"/>
            <w:vAlign w:val="center"/>
            <w:hideMark/>
          </w:tcPr>
          <w:p w14:paraId="54956AB6" w14:textId="77777777" w:rsidR="00055C38" w:rsidRDefault="00055C38">
            <w:pPr>
              <w:rPr>
                <w:rFonts w:ascii="Calibri" w:hAnsi="Calibri" w:cs="Calibri"/>
                <w:color w:val="000000"/>
                <w:sz w:val="18"/>
                <w:szCs w:val="18"/>
              </w:rPr>
            </w:pPr>
            <w:r>
              <w:rPr>
                <w:rFonts w:ascii="Calibri" w:hAnsi="Calibri" w:cs="Calibri"/>
                <w:color w:val="000000"/>
                <w:sz w:val="18"/>
                <w:szCs w:val="18"/>
              </w:rPr>
              <w:t>0.09</w:t>
            </w:r>
          </w:p>
        </w:tc>
      </w:tr>
      <w:tr w:rsidR="00055C38" w14:paraId="7745E7A3" w14:textId="77777777" w:rsidTr="00055C38">
        <w:trPr>
          <w:trHeight w:val="320"/>
        </w:trPr>
        <w:tc>
          <w:tcPr>
            <w:tcW w:w="640" w:type="dxa"/>
            <w:vMerge/>
            <w:tcBorders>
              <w:top w:val="nil"/>
              <w:left w:val="nil"/>
              <w:bottom w:val="nil"/>
              <w:right w:val="nil"/>
            </w:tcBorders>
            <w:vAlign w:val="center"/>
            <w:hideMark/>
          </w:tcPr>
          <w:p w14:paraId="3DCE3035" w14:textId="77777777" w:rsidR="00055C38" w:rsidRDefault="00055C38">
            <w:pPr>
              <w:rPr>
                <w:rFonts w:ascii="Calibri" w:hAnsi="Calibri" w:cs="Calibri"/>
                <w:color w:val="000000"/>
                <w:sz w:val="18"/>
                <w:szCs w:val="18"/>
              </w:rPr>
            </w:pPr>
          </w:p>
        </w:tc>
        <w:tc>
          <w:tcPr>
            <w:tcW w:w="1300" w:type="dxa"/>
            <w:vMerge/>
            <w:tcBorders>
              <w:top w:val="nil"/>
              <w:left w:val="nil"/>
              <w:bottom w:val="nil"/>
              <w:right w:val="nil"/>
            </w:tcBorders>
            <w:vAlign w:val="center"/>
            <w:hideMark/>
          </w:tcPr>
          <w:p w14:paraId="2A1C4117" w14:textId="77777777" w:rsidR="00055C38" w:rsidRDefault="00055C38">
            <w:pPr>
              <w:rPr>
                <w:rFonts w:ascii="Calibri" w:hAnsi="Calibri" w:cs="Calibri"/>
                <w:color w:val="000000"/>
                <w:sz w:val="18"/>
                <w:szCs w:val="18"/>
              </w:rPr>
            </w:pPr>
          </w:p>
        </w:tc>
        <w:tc>
          <w:tcPr>
            <w:tcW w:w="1300" w:type="dxa"/>
            <w:tcBorders>
              <w:top w:val="nil"/>
              <w:left w:val="nil"/>
              <w:bottom w:val="nil"/>
              <w:right w:val="nil"/>
            </w:tcBorders>
            <w:shd w:val="clear" w:color="auto" w:fill="auto"/>
            <w:vAlign w:val="center"/>
            <w:hideMark/>
          </w:tcPr>
          <w:p w14:paraId="18F9E60D" w14:textId="77777777" w:rsidR="00055C38" w:rsidRDefault="00055C38">
            <w:pPr>
              <w:rPr>
                <w:rFonts w:ascii="Calibri" w:hAnsi="Calibri" w:cs="Calibri"/>
                <w:color w:val="000000"/>
                <w:sz w:val="18"/>
                <w:szCs w:val="18"/>
              </w:rPr>
            </w:pPr>
            <w:r>
              <w:rPr>
                <w:rFonts w:ascii="Calibri" w:hAnsi="Calibri" w:cs="Calibri"/>
                <w:color w:val="000000"/>
                <w:sz w:val="18"/>
                <w:szCs w:val="18"/>
              </w:rPr>
              <w:t>p</w:t>
            </w:r>
          </w:p>
        </w:tc>
        <w:tc>
          <w:tcPr>
            <w:tcW w:w="1140" w:type="dxa"/>
            <w:tcBorders>
              <w:top w:val="nil"/>
              <w:left w:val="nil"/>
              <w:bottom w:val="nil"/>
              <w:right w:val="nil"/>
            </w:tcBorders>
            <w:shd w:val="clear" w:color="auto" w:fill="auto"/>
            <w:vAlign w:val="center"/>
            <w:hideMark/>
          </w:tcPr>
          <w:p w14:paraId="45FB3A44" w14:textId="77777777" w:rsidR="00055C38" w:rsidRDefault="00055C38">
            <w:pPr>
              <w:rPr>
                <w:rFonts w:ascii="Calibri" w:hAnsi="Calibri" w:cs="Calibri"/>
                <w:color w:val="000000"/>
                <w:sz w:val="18"/>
                <w:szCs w:val="18"/>
              </w:rPr>
            </w:pPr>
            <w:r>
              <w:rPr>
                <w:rFonts w:ascii="Calibri" w:hAnsi="Calibri" w:cs="Calibri"/>
                <w:color w:val="000000"/>
                <w:sz w:val="18"/>
                <w:szCs w:val="18"/>
              </w:rPr>
              <w:t>.78</w:t>
            </w:r>
          </w:p>
        </w:tc>
        <w:tc>
          <w:tcPr>
            <w:tcW w:w="1060" w:type="dxa"/>
            <w:tcBorders>
              <w:top w:val="nil"/>
              <w:left w:val="nil"/>
              <w:bottom w:val="nil"/>
              <w:right w:val="nil"/>
            </w:tcBorders>
            <w:shd w:val="clear" w:color="auto" w:fill="auto"/>
            <w:vAlign w:val="center"/>
            <w:hideMark/>
          </w:tcPr>
          <w:p w14:paraId="51F72FB9" w14:textId="77777777" w:rsidR="00055C38" w:rsidRDefault="00055C38">
            <w:pPr>
              <w:rPr>
                <w:rFonts w:ascii="Calibri" w:hAnsi="Calibri" w:cs="Calibri"/>
                <w:color w:val="000000"/>
                <w:sz w:val="18"/>
                <w:szCs w:val="18"/>
              </w:rPr>
            </w:pPr>
            <w:r>
              <w:rPr>
                <w:rFonts w:ascii="Calibri" w:hAnsi="Calibri" w:cs="Calibri"/>
                <w:color w:val="000000"/>
                <w:sz w:val="18"/>
                <w:szCs w:val="18"/>
              </w:rPr>
              <w:t>.38</w:t>
            </w:r>
          </w:p>
        </w:tc>
        <w:tc>
          <w:tcPr>
            <w:tcW w:w="1060" w:type="dxa"/>
            <w:tcBorders>
              <w:top w:val="nil"/>
              <w:left w:val="nil"/>
              <w:bottom w:val="nil"/>
              <w:right w:val="nil"/>
            </w:tcBorders>
            <w:shd w:val="clear" w:color="auto" w:fill="auto"/>
            <w:vAlign w:val="center"/>
            <w:hideMark/>
          </w:tcPr>
          <w:p w14:paraId="12EEB110" w14:textId="77777777" w:rsidR="00055C38" w:rsidRPr="002A5400" w:rsidRDefault="00055C38">
            <w:pPr>
              <w:rPr>
                <w:rFonts w:ascii="Calibri" w:hAnsi="Calibri" w:cs="Calibri"/>
                <w:color w:val="000000" w:themeColor="text1"/>
                <w:sz w:val="18"/>
                <w:szCs w:val="18"/>
              </w:rPr>
            </w:pPr>
            <w:r w:rsidRPr="002A5400">
              <w:rPr>
                <w:rFonts w:ascii="Calibri" w:hAnsi="Calibri" w:cs="Calibri"/>
                <w:color w:val="000000" w:themeColor="text1"/>
                <w:sz w:val="18"/>
                <w:szCs w:val="18"/>
              </w:rPr>
              <w:t>.11</w:t>
            </w:r>
          </w:p>
        </w:tc>
        <w:tc>
          <w:tcPr>
            <w:tcW w:w="1260" w:type="dxa"/>
            <w:tcBorders>
              <w:top w:val="nil"/>
              <w:left w:val="nil"/>
              <w:bottom w:val="nil"/>
              <w:right w:val="nil"/>
            </w:tcBorders>
            <w:shd w:val="clear" w:color="auto" w:fill="auto"/>
            <w:vAlign w:val="center"/>
            <w:hideMark/>
          </w:tcPr>
          <w:p w14:paraId="6A0B7905" w14:textId="6ACD84BD" w:rsidR="00055C38" w:rsidRPr="002A5400" w:rsidRDefault="00A208ED">
            <w:pPr>
              <w:rPr>
                <w:rFonts w:ascii="Calibri" w:hAnsi="Calibri" w:cs="Calibri"/>
                <w:color w:val="000000" w:themeColor="text1"/>
                <w:sz w:val="18"/>
                <w:szCs w:val="18"/>
              </w:rPr>
            </w:pPr>
            <w:r w:rsidRPr="002A5400">
              <w:rPr>
                <w:rFonts w:ascii="Calibri" w:hAnsi="Calibri" w:cs="Calibri"/>
                <w:color w:val="000000" w:themeColor="text1"/>
                <w:sz w:val="18"/>
                <w:szCs w:val="18"/>
              </w:rPr>
              <w:t>.06</w:t>
            </w:r>
          </w:p>
        </w:tc>
        <w:tc>
          <w:tcPr>
            <w:tcW w:w="1040" w:type="dxa"/>
            <w:tcBorders>
              <w:top w:val="nil"/>
              <w:left w:val="nil"/>
              <w:bottom w:val="nil"/>
              <w:right w:val="nil"/>
            </w:tcBorders>
            <w:shd w:val="clear" w:color="auto" w:fill="auto"/>
            <w:vAlign w:val="center"/>
            <w:hideMark/>
          </w:tcPr>
          <w:p w14:paraId="552E9639" w14:textId="77777777" w:rsidR="00055C38" w:rsidRDefault="00055C38">
            <w:pPr>
              <w:rPr>
                <w:rFonts w:ascii="Calibri" w:hAnsi="Calibri" w:cs="Calibri"/>
                <w:color w:val="000000"/>
                <w:sz w:val="18"/>
                <w:szCs w:val="18"/>
              </w:rPr>
            </w:pPr>
            <w:r>
              <w:rPr>
                <w:rFonts w:ascii="Calibri" w:hAnsi="Calibri" w:cs="Calibri"/>
                <w:color w:val="000000"/>
                <w:sz w:val="18"/>
                <w:szCs w:val="18"/>
              </w:rPr>
              <w:t>.68</w:t>
            </w:r>
          </w:p>
        </w:tc>
      </w:tr>
      <w:tr w:rsidR="00055C38" w14:paraId="6133E4C8" w14:textId="77777777" w:rsidTr="00055C38">
        <w:trPr>
          <w:trHeight w:val="320"/>
        </w:trPr>
        <w:tc>
          <w:tcPr>
            <w:tcW w:w="640" w:type="dxa"/>
            <w:vMerge w:val="restart"/>
            <w:tcBorders>
              <w:top w:val="nil"/>
              <w:left w:val="nil"/>
              <w:bottom w:val="single" w:sz="8" w:space="0" w:color="000000"/>
              <w:right w:val="nil"/>
            </w:tcBorders>
            <w:shd w:val="clear" w:color="auto" w:fill="auto"/>
            <w:vAlign w:val="center"/>
            <w:hideMark/>
          </w:tcPr>
          <w:p w14:paraId="4FD45DBD" w14:textId="77777777" w:rsidR="00055C38" w:rsidRDefault="00055C38">
            <w:pPr>
              <w:rPr>
                <w:rFonts w:ascii="Calibri" w:hAnsi="Calibri" w:cs="Calibri"/>
                <w:color w:val="000000"/>
                <w:sz w:val="18"/>
                <w:szCs w:val="18"/>
              </w:rPr>
            </w:pPr>
            <w:r>
              <w:rPr>
                <w:rFonts w:ascii="Calibri" w:hAnsi="Calibri" w:cs="Calibri"/>
                <w:color w:val="000000"/>
                <w:sz w:val="18"/>
                <w:szCs w:val="18"/>
              </w:rPr>
              <w:t>Boys</w:t>
            </w:r>
          </w:p>
        </w:tc>
        <w:tc>
          <w:tcPr>
            <w:tcW w:w="1300" w:type="dxa"/>
            <w:vMerge w:val="restart"/>
            <w:tcBorders>
              <w:top w:val="nil"/>
              <w:left w:val="nil"/>
              <w:bottom w:val="nil"/>
              <w:right w:val="nil"/>
            </w:tcBorders>
            <w:shd w:val="clear" w:color="auto" w:fill="auto"/>
            <w:vAlign w:val="center"/>
            <w:hideMark/>
          </w:tcPr>
          <w:p w14:paraId="211CE983" w14:textId="77777777" w:rsidR="00055C38" w:rsidRDefault="00055C38">
            <w:pPr>
              <w:rPr>
                <w:rFonts w:ascii="Calibri" w:hAnsi="Calibri" w:cs="Calibri"/>
                <w:color w:val="000000"/>
                <w:sz w:val="18"/>
                <w:szCs w:val="18"/>
              </w:rPr>
            </w:pPr>
            <w:r>
              <w:rPr>
                <w:rFonts w:ascii="Calibri" w:hAnsi="Calibri" w:cs="Calibri"/>
                <w:color w:val="000000"/>
                <w:sz w:val="18"/>
                <w:szCs w:val="18"/>
              </w:rPr>
              <w:t>α diversity</w:t>
            </w:r>
          </w:p>
        </w:tc>
        <w:tc>
          <w:tcPr>
            <w:tcW w:w="1300" w:type="dxa"/>
            <w:tcBorders>
              <w:top w:val="nil"/>
              <w:left w:val="nil"/>
              <w:bottom w:val="nil"/>
              <w:right w:val="nil"/>
            </w:tcBorders>
            <w:shd w:val="clear" w:color="auto" w:fill="auto"/>
            <w:vAlign w:val="center"/>
            <w:hideMark/>
          </w:tcPr>
          <w:p w14:paraId="6D3715DD" w14:textId="77777777" w:rsidR="00055C38" w:rsidRDefault="00055C38">
            <w:pPr>
              <w:rPr>
                <w:rFonts w:ascii="Calibri" w:hAnsi="Calibri" w:cs="Calibri"/>
                <w:color w:val="000000"/>
                <w:sz w:val="18"/>
                <w:szCs w:val="18"/>
              </w:rPr>
            </w:pPr>
            <w:r>
              <w:rPr>
                <w:rFonts w:ascii="Calibri" w:hAnsi="Calibri" w:cs="Calibri"/>
                <w:color w:val="000000"/>
                <w:sz w:val="18"/>
                <w:szCs w:val="18"/>
              </w:rPr>
              <w:t>adj. R</w:t>
            </w:r>
            <w:r>
              <w:rPr>
                <w:rFonts w:ascii="Calibri" w:hAnsi="Calibri" w:cs="Calibri"/>
                <w:color w:val="000000"/>
                <w:sz w:val="18"/>
                <w:szCs w:val="18"/>
                <w:vertAlign w:val="superscript"/>
              </w:rPr>
              <w:t>2</w:t>
            </w:r>
          </w:p>
        </w:tc>
        <w:tc>
          <w:tcPr>
            <w:tcW w:w="1140" w:type="dxa"/>
            <w:tcBorders>
              <w:top w:val="nil"/>
              <w:left w:val="nil"/>
              <w:bottom w:val="nil"/>
              <w:right w:val="nil"/>
            </w:tcBorders>
            <w:shd w:val="clear" w:color="auto" w:fill="auto"/>
            <w:vAlign w:val="center"/>
            <w:hideMark/>
          </w:tcPr>
          <w:p w14:paraId="754E9FDD" w14:textId="77777777" w:rsidR="00055C38" w:rsidRDefault="00055C38">
            <w:pPr>
              <w:rPr>
                <w:rFonts w:ascii="Calibri" w:hAnsi="Calibri" w:cs="Calibri"/>
                <w:color w:val="000000"/>
                <w:sz w:val="18"/>
                <w:szCs w:val="18"/>
              </w:rPr>
            </w:pPr>
            <w:r>
              <w:rPr>
                <w:rFonts w:ascii="Calibri" w:hAnsi="Calibri" w:cs="Calibri"/>
                <w:color w:val="000000"/>
                <w:sz w:val="18"/>
                <w:szCs w:val="18"/>
              </w:rPr>
              <w:t>.02</w:t>
            </w:r>
          </w:p>
        </w:tc>
        <w:tc>
          <w:tcPr>
            <w:tcW w:w="1060" w:type="dxa"/>
            <w:tcBorders>
              <w:top w:val="nil"/>
              <w:left w:val="nil"/>
              <w:bottom w:val="nil"/>
              <w:right w:val="nil"/>
            </w:tcBorders>
            <w:shd w:val="clear" w:color="auto" w:fill="auto"/>
            <w:vAlign w:val="center"/>
            <w:hideMark/>
          </w:tcPr>
          <w:p w14:paraId="6457E6BB" w14:textId="77777777" w:rsidR="00055C38" w:rsidRDefault="00055C38">
            <w:pPr>
              <w:rPr>
                <w:rFonts w:ascii="Calibri" w:hAnsi="Calibri" w:cs="Calibri"/>
                <w:color w:val="000000"/>
                <w:sz w:val="18"/>
                <w:szCs w:val="18"/>
              </w:rPr>
            </w:pPr>
            <w:r>
              <w:rPr>
                <w:rFonts w:ascii="Calibri" w:hAnsi="Calibri" w:cs="Calibri"/>
                <w:color w:val="000000"/>
                <w:sz w:val="18"/>
                <w:szCs w:val="18"/>
              </w:rPr>
              <w:t>.02</w:t>
            </w:r>
          </w:p>
        </w:tc>
        <w:tc>
          <w:tcPr>
            <w:tcW w:w="1060" w:type="dxa"/>
            <w:tcBorders>
              <w:top w:val="nil"/>
              <w:left w:val="nil"/>
              <w:bottom w:val="nil"/>
              <w:right w:val="nil"/>
            </w:tcBorders>
            <w:shd w:val="clear" w:color="auto" w:fill="auto"/>
            <w:vAlign w:val="center"/>
            <w:hideMark/>
          </w:tcPr>
          <w:p w14:paraId="1B3B811B" w14:textId="77777777" w:rsidR="00055C38" w:rsidRPr="002A5400" w:rsidRDefault="00055C38">
            <w:pPr>
              <w:rPr>
                <w:rFonts w:ascii="Calibri" w:hAnsi="Calibri" w:cs="Calibri"/>
                <w:color w:val="000000" w:themeColor="text1"/>
                <w:sz w:val="18"/>
                <w:szCs w:val="18"/>
              </w:rPr>
            </w:pPr>
            <w:r w:rsidRPr="002A5400">
              <w:rPr>
                <w:rFonts w:ascii="Calibri" w:hAnsi="Calibri" w:cs="Calibri"/>
                <w:color w:val="000000" w:themeColor="text1"/>
                <w:sz w:val="18"/>
                <w:szCs w:val="18"/>
              </w:rPr>
              <w:t>.02</w:t>
            </w:r>
          </w:p>
        </w:tc>
        <w:tc>
          <w:tcPr>
            <w:tcW w:w="1260" w:type="dxa"/>
            <w:tcBorders>
              <w:top w:val="nil"/>
              <w:left w:val="nil"/>
              <w:bottom w:val="nil"/>
              <w:right w:val="nil"/>
            </w:tcBorders>
            <w:shd w:val="clear" w:color="auto" w:fill="auto"/>
            <w:vAlign w:val="center"/>
            <w:hideMark/>
          </w:tcPr>
          <w:p w14:paraId="54D4B53C" w14:textId="77777777" w:rsidR="00055C38" w:rsidRPr="002A5400" w:rsidRDefault="00055C38">
            <w:pPr>
              <w:rPr>
                <w:rFonts w:ascii="Calibri" w:hAnsi="Calibri" w:cs="Calibri"/>
                <w:color w:val="000000" w:themeColor="text1"/>
                <w:sz w:val="18"/>
                <w:szCs w:val="18"/>
              </w:rPr>
            </w:pPr>
          </w:p>
        </w:tc>
        <w:tc>
          <w:tcPr>
            <w:tcW w:w="1040" w:type="dxa"/>
            <w:tcBorders>
              <w:top w:val="nil"/>
              <w:left w:val="nil"/>
              <w:bottom w:val="nil"/>
              <w:right w:val="nil"/>
            </w:tcBorders>
            <w:shd w:val="clear" w:color="auto" w:fill="auto"/>
            <w:vAlign w:val="center"/>
            <w:hideMark/>
          </w:tcPr>
          <w:p w14:paraId="7F39A31F" w14:textId="77777777" w:rsidR="00055C38" w:rsidRDefault="00055C38">
            <w:pPr>
              <w:rPr>
                <w:rFonts w:ascii="Calibri" w:hAnsi="Calibri" w:cs="Calibri"/>
                <w:color w:val="000000"/>
                <w:sz w:val="18"/>
                <w:szCs w:val="18"/>
              </w:rPr>
            </w:pPr>
            <w:r>
              <w:rPr>
                <w:rFonts w:ascii="Calibri" w:hAnsi="Calibri" w:cs="Calibri"/>
                <w:color w:val="000000"/>
                <w:sz w:val="18"/>
                <w:szCs w:val="18"/>
              </w:rPr>
              <w:t>&lt;-.01</w:t>
            </w:r>
          </w:p>
        </w:tc>
      </w:tr>
      <w:tr w:rsidR="00055C38" w14:paraId="5A48EAED" w14:textId="77777777" w:rsidTr="00055C38">
        <w:trPr>
          <w:trHeight w:val="320"/>
        </w:trPr>
        <w:tc>
          <w:tcPr>
            <w:tcW w:w="640" w:type="dxa"/>
            <w:vMerge/>
            <w:tcBorders>
              <w:top w:val="nil"/>
              <w:left w:val="nil"/>
              <w:bottom w:val="single" w:sz="8" w:space="0" w:color="000000"/>
              <w:right w:val="nil"/>
            </w:tcBorders>
            <w:vAlign w:val="center"/>
            <w:hideMark/>
          </w:tcPr>
          <w:p w14:paraId="1EDCA4B3" w14:textId="77777777" w:rsidR="00055C38" w:rsidRDefault="00055C38">
            <w:pPr>
              <w:rPr>
                <w:rFonts w:ascii="Calibri" w:hAnsi="Calibri" w:cs="Calibri"/>
                <w:color w:val="000000"/>
                <w:sz w:val="18"/>
                <w:szCs w:val="18"/>
              </w:rPr>
            </w:pPr>
          </w:p>
        </w:tc>
        <w:tc>
          <w:tcPr>
            <w:tcW w:w="1300" w:type="dxa"/>
            <w:vMerge/>
            <w:tcBorders>
              <w:top w:val="nil"/>
              <w:left w:val="nil"/>
              <w:bottom w:val="nil"/>
              <w:right w:val="nil"/>
            </w:tcBorders>
            <w:vAlign w:val="center"/>
            <w:hideMark/>
          </w:tcPr>
          <w:p w14:paraId="11A72AEA" w14:textId="77777777" w:rsidR="00055C38" w:rsidRDefault="00055C38">
            <w:pPr>
              <w:rPr>
                <w:rFonts w:ascii="Calibri" w:hAnsi="Calibri" w:cs="Calibri"/>
                <w:color w:val="000000"/>
                <w:sz w:val="18"/>
                <w:szCs w:val="18"/>
              </w:rPr>
            </w:pPr>
          </w:p>
        </w:tc>
        <w:tc>
          <w:tcPr>
            <w:tcW w:w="1300" w:type="dxa"/>
            <w:tcBorders>
              <w:top w:val="nil"/>
              <w:left w:val="nil"/>
              <w:bottom w:val="nil"/>
              <w:right w:val="nil"/>
            </w:tcBorders>
            <w:shd w:val="clear" w:color="auto" w:fill="auto"/>
            <w:vAlign w:val="center"/>
            <w:hideMark/>
          </w:tcPr>
          <w:p w14:paraId="55261C36" w14:textId="77777777" w:rsidR="00055C38" w:rsidRDefault="00055C38">
            <w:pPr>
              <w:rPr>
                <w:rFonts w:ascii="Calibri" w:hAnsi="Calibri" w:cs="Calibri"/>
                <w:color w:val="000000"/>
                <w:sz w:val="18"/>
                <w:szCs w:val="18"/>
              </w:rPr>
            </w:pPr>
            <w:r>
              <w:rPr>
                <w:rFonts w:ascii="Calibri" w:hAnsi="Calibri" w:cs="Calibri"/>
                <w:color w:val="000000"/>
                <w:sz w:val="18"/>
                <w:szCs w:val="18"/>
              </w:rPr>
              <w:t>β</w:t>
            </w:r>
          </w:p>
        </w:tc>
        <w:tc>
          <w:tcPr>
            <w:tcW w:w="1140" w:type="dxa"/>
            <w:tcBorders>
              <w:top w:val="nil"/>
              <w:left w:val="nil"/>
              <w:bottom w:val="nil"/>
              <w:right w:val="nil"/>
            </w:tcBorders>
            <w:shd w:val="clear" w:color="auto" w:fill="auto"/>
            <w:vAlign w:val="center"/>
            <w:hideMark/>
          </w:tcPr>
          <w:p w14:paraId="32152F37" w14:textId="77777777" w:rsidR="00055C38" w:rsidRDefault="00055C38">
            <w:pPr>
              <w:rPr>
                <w:rFonts w:ascii="Calibri" w:hAnsi="Calibri" w:cs="Calibri"/>
                <w:color w:val="000000"/>
                <w:sz w:val="18"/>
                <w:szCs w:val="18"/>
              </w:rPr>
            </w:pPr>
            <w:r>
              <w:rPr>
                <w:rFonts w:ascii="Calibri" w:hAnsi="Calibri" w:cs="Calibri"/>
                <w:color w:val="000000"/>
                <w:sz w:val="18"/>
                <w:szCs w:val="18"/>
              </w:rPr>
              <w:t>0.23</w:t>
            </w:r>
          </w:p>
        </w:tc>
        <w:tc>
          <w:tcPr>
            <w:tcW w:w="1060" w:type="dxa"/>
            <w:tcBorders>
              <w:top w:val="nil"/>
              <w:left w:val="nil"/>
              <w:bottom w:val="nil"/>
              <w:right w:val="nil"/>
            </w:tcBorders>
            <w:shd w:val="clear" w:color="auto" w:fill="auto"/>
            <w:vAlign w:val="center"/>
            <w:hideMark/>
          </w:tcPr>
          <w:p w14:paraId="71C12486" w14:textId="77777777" w:rsidR="00055C38" w:rsidRDefault="00055C38">
            <w:pPr>
              <w:rPr>
                <w:rFonts w:ascii="Calibri" w:hAnsi="Calibri" w:cs="Calibri"/>
                <w:b/>
                <w:bCs/>
                <w:color w:val="000000"/>
                <w:sz w:val="18"/>
                <w:szCs w:val="18"/>
              </w:rPr>
            </w:pPr>
            <w:r>
              <w:rPr>
                <w:rFonts w:ascii="Calibri" w:hAnsi="Calibri" w:cs="Calibri"/>
                <w:b/>
                <w:bCs/>
                <w:color w:val="000000"/>
                <w:sz w:val="18"/>
                <w:szCs w:val="18"/>
              </w:rPr>
              <w:t>0.42</w:t>
            </w:r>
          </w:p>
        </w:tc>
        <w:tc>
          <w:tcPr>
            <w:tcW w:w="1060" w:type="dxa"/>
            <w:tcBorders>
              <w:top w:val="nil"/>
              <w:left w:val="nil"/>
              <w:bottom w:val="nil"/>
              <w:right w:val="nil"/>
            </w:tcBorders>
            <w:shd w:val="clear" w:color="auto" w:fill="auto"/>
            <w:vAlign w:val="center"/>
            <w:hideMark/>
          </w:tcPr>
          <w:p w14:paraId="19A316D4" w14:textId="77777777" w:rsidR="00055C38" w:rsidRPr="002A5400" w:rsidRDefault="00055C38">
            <w:pPr>
              <w:rPr>
                <w:rFonts w:ascii="Calibri" w:hAnsi="Calibri" w:cs="Calibri"/>
                <w:color w:val="000000" w:themeColor="text1"/>
                <w:sz w:val="18"/>
                <w:szCs w:val="18"/>
              </w:rPr>
            </w:pPr>
            <w:r w:rsidRPr="002A5400">
              <w:rPr>
                <w:rFonts w:ascii="Calibri" w:hAnsi="Calibri" w:cs="Calibri"/>
                <w:color w:val="000000" w:themeColor="text1"/>
                <w:sz w:val="18"/>
                <w:szCs w:val="18"/>
              </w:rPr>
              <w:t>0.30</w:t>
            </w:r>
          </w:p>
        </w:tc>
        <w:tc>
          <w:tcPr>
            <w:tcW w:w="1260" w:type="dxa"/>
            <w:tcBorders>
              <w:top w:val="nil"/>
              <w:left w:val="nil"/>
              <w:bottom w:val="nil"/>
              <w:right w:val="nil"/>
            </w:tcBorders>
            <w:shd w:val="clear" w:color="auto" w:fill="auto"/>
            <w:vAlign w:val="center"/>
            <w:hideMark/>
          </w:tcPr>
          <w:p w14:paraId="20AF7718" w14:textId="77777777" w:rsidR="00055C38" w:rsidRPr="002A5400" w:rsidRDefault="00055C38">
            <w:pPr>
              <w:rPr>
                <w:rFonts w:ascii="Calibri" w:hAnsi="Calibri" w:cs="Calibri"/>
                <w:color w:val="000000" w:themeColor="text1"/>
                <w:sz w:val="18"/>
                <w:szCs w:val="18"/>
              </w:rPr>
            </w:pPr>
          </w:p>
        </w:tc>
        <w:tc>
          <w:tcPr>
            <w:tcW w:w="1040" w:type="dxa"/>
            <w:tcBorders>
              <w:top w:val="nil"/>
              <w:left w:val="nil"/>
              <w:bottom w:val="nil"/>
              <w:right w:val="nil"/>
            </w:tcBorders>
            <w:shd w:val="clear" w:color="auto" w:fill="auto"/>
            <w:vAlign w:val="center"/>
            <w:hideMark/>
          </w:tcPr>
          <w:p w14:paraId="0678906A" w14:textId="77777777" w:rsidR="00055C38" w:rsidRDefault="00055C38">
            <w:pPr>
              <w:rPr>
                <w:rFonts w:ascii="Calibri" w:hAnsi="Calibri" w:cs="Calibri"/>
                <w:color w:val="000000"/>
                <w:sz w:val="18"/>
                <w:szCs w:val="18"/>
              </w:rPr>
            </w:pPr>
            <w:r>
              <w:rPr>
                <w:rFonts w:ascii="Calibri" w:hAnsi="Calibri" w:cs="Calibri"/>
                <w:color w:val="000000"/>
                <w:sz w:val="18"/>
                <w:szCs w:val="18"/>
              </w:rPr>
              <w:t>0.19</w:t>
            </w:r>
          </w:p>
        </w:tc>
      </w:tr>
      <w:tr w:rsidR="00055C38" w14:paraId="44D5E7CE" w14:textId="77777777" w:rsidTr="00055C38">
        <w:trPr>
          <w:trHeight w:val="320"/>
        </w:trPr>
        <w:tc>
          <w:tcPr>
            <w:tcW w:w="640" w:type="dxa"/>
            <w:vMerge/>
            <w:tcBorders>
              <w:top w:val="nil"/>
              <w:left w:val="nil"/>
              <w:bottom w:val="single" w:sz="8" w:space="0" w:color="000000"/>
              <w:right w:val="nil"/>
            </w:tcBorders>
            <w:vAlign w:val="center"/>
            <w:hideMark/>
          </w:tcPr>
          <w:p w14:paraId="3A697DAF" w14:textId="77777777" w:rsidR="00055C38" w:rsidRDefault="00055C38">
            <w:pPr>
              <w:rPr>
                <w:rFonts w:ascii="Calibri" w:hAnsi="Calibri" w:cs="Calibri"/>
                <w:color w:val="000000"/>
                <w:sz w:val="18"/>
                <w:szCs w:val="18"/>
              </w:rPr>
            </w:pPr>
          </w:p>
        </w:tc>
        <w:tc>
          <w:tcPr>
            <w:tcW w:w="1300" w:type="dxa"/>
            <w:vMerge/>
            <w:tcBorders>
              <w:top w:val="nil"/>
              <w:left w:val="nil"/>
              <w:bottom w:val="nil"/>
              <w:right w:val="nil"/>
            </w:tcBorders>
            <w:vAlign w:val="center"/>
            <w:hideMark/>
          </w:tcPr>
          <w:p w14:paraId="7C077883" w14:textId="77777777" w:rsidR="00055C38" w:rsidRDefault="00055C38">
            <w:pPr>
              <w:rPr>
                <w:rFonts w:ascii="Calibri" w:hAnsi="Calibri" w:cs="Calibri"/>
                <w:color w:val="000000"/>
                <w:sz w:val="18"/>
                <w:szCs w:val="18"/>
              </w:rPr>
            </w:pPr>
          </w:p>
        </w:tc>
        <w:tc>
          <w:tcPr>
            <w:tcW w:w="1300" w:type="dxa"/>
            <w:tcBorders>
              <w:top w:val="nil"/>
              <w:left w:val="nil"/>
              <w:bottom w:val="nil"/>
              <w:right w:val="nil"/>
            </w:tcBorders>
            <w:shd w:val="clear" w:color="auto" w:fill="auto"/>
            <w:vAlign w:val="center"/>
            <w:hideMark/>
          </w:tcPr>
          <w:p w14:paraId="45A746E8" w14:textId="77777777" w:rsidR="00055C38" w:rsidRDefault="00055C38">
            <w:pPr>
              <w:rPr>
                <w:rFonts w:ascii="Calibri" w:hAnsi="Calibri" w:cs="Calibri"/>
                <w:color w:val="000000"/>
                <w:sz w:val="18"/>
                <w:szCs w:val="18"/>
              </w:rPr>
            </w:pPr>
            <w:r>
              <w:rPr>
                <w:rFonts w:ascii="Calibri" w:hAnsi="Calibri" w:cs="Calibri"/>
                <w:color w:val="000000"/>
                <w:sz w:val="18"/>
                <w:szCs w:val="18"/>
              </w:rPr>
              <w:t>p</w:t>
            </w:r>
          </w:p>
        </w:tc>
        <w:tc>
          <w:tcPr>
            <w:tcW w:w="1140" w:type="dxa"/>
            <w:tcBorders>
              <w:top w:val="nil"/>
              <w:left w:val="nil"/>
              <w:bottom w:val="nil"/>
              <w:right w:val="nil"/>
            </w:tcBorders>
            <w:shd w:val="clear" w:color="auto" w:fill="auto"/>
            <w:vAlign w:val="center"/>
            <w:hideMark/>
          </w:tcPr>
          <w:p w14:paraId="3D57FBF0" w14:textId="77777777" w:rsidR="00055C38" w:rsidRDefault="00055C38">
            <w:pPr>
              <w:rPr>
                <w:rFonts w:ascii="Calibri" w:hAnsi="Calibri" w:cs="Calibri"/>
                <w:color w:val="000000"/>
                <w:sz w:val="18"/>
                <w:szCs w:val="18"/>
              </w:rPr>
            </w:pPr>
            <w:r>
              <w:rPr>
                <w:rFonts w:ascii="Calibri" w:hAnsi="Calibri" w:cs="Calibri"/>
                <w:color w:val="000000"/>
                <w:sz w:val="18"/>
                <w:szCs w:val="18"/>
              </w:rPr>
              <w:t>.07</w:t>
            </w:r>
          </w:p>
        </w:tc>
        <w:tc>
          <w:tcPr>
            <w:tcW w:w="1060" w:type="dxa"/>
            <w:tcBorders>
              <w:top w:val="nil"/>
              <w:left w:val="nil"/>
              <w:bottom w:val="nil"/>
              <w:right w:val="nil"/>
            </w:tcBorders>
            <w:shd w:val="clear" w:color="auto" w:fill="auto"/>
            <w:vAlign w:val="center"/>
            <w:hideMark/>
          </w:tcPr>
          <w:p w14:paraId="7368EEDD" w14:textId="77777777" w:rsidR="00055C38" w:rsidRDefault="00055C38">
            <w:pPr>
              <w:rPr>
                <w:rFonts w:ascii="Calibri" w:hAnsi="Calibri" w:cs="Calibri"/>
                <w:b/>
                <w:bCs/>
                <w:color w:val="000000"/>
                <w:sz w:val="18"/>
                <w:szCs w:val="18"/>
              </w:rPr>
            </w:pPr>
            <w:r>
              <w:rPr>
                <w:rFonts w:ascii="Calibri" w:hAnsi="Calibri" w:cs="Calibri"/>
                <w:b/>
                <w:bCs/>
                <w:color w:val="000000"/>
                <w:sz w:val="18"/>
                <w:szCs w:val="18"/>
              </w:rPr>
              <w:t>.04*</w:t>
            </w:r>
          </w:p>
        </w:tc>
        <w:tc>
          <w:tcPr>
            <w:tcW w:w="1060" w:type="dxa"/>
            <w:tcBorders>
              <w:top w:val="nil"/>
              <w:left w:val="nil"/>
              <w:bottom w:val="nil"/>
              <w:right w:val="nil"/>
            </w:tcBorders>
            <w:shd w:val="clear" w:color="auto" w:fill="auto"/>
            <w:vAlign w:val="center"/>
            <w:hideMark/>
          </w:tcPr>
          <w:p w14:paraId="1BA09BD5" w14:textId="77777777" w:rsidR="00055C38" w:rsidRPr="002A5400" w:rsidRDefault="00055C38">
            <w:pPr>
              <w:rPr>
                <w:rFonts w:ascii="Calibri" w:hAnsi="Calibri" w:cs="Calibri"/>
                <w:color w:val="000000" w:themeColor="text1"/>
                <w:sz w:val="18"/>
                <w:szCs w:val="18"/>
              </w:rPr>
            </w:pPr>
            <w:r w:rsidRPr="002A5400">
              <w:rPr>
                <w:rFonts w:ascii="Calibri" w:hAnsi="Calibri" w:cs="Calibri"/>
                <w:color w:val="000000" w:themeColor="text1"/>
                <w:sz w:val="18"/>
                <w:szCs w:val="18"/>
              </w:rPr>
              <w:t>.09</w:t>
            </w:r>
          </w:p>
        </w:tc>
        <w:tc>
          <w:tcPr>
            <w:tcW w:w="1260" w:type="dxa"/>
            <w:tcBorders>
              <w:top w:val="nil"/>
              <w:left w:val="nil"/>
              <w:bottom w:val="nil"/>
              <w:right w:val="nil"/>
            </w:tcBorders>
            <w:shd w:val="clear" w:color="auto" w:fill="auto"/>
            <w:vAlign w:val="center"/>
            <w:hideMark/>
          </w:tcPr>
          <w:p w14:paraId="7B87047B" w14:textId="77777777" w:rsidR="00055C38" w:rsidRPr="002A5400" w:rsidRDefault="00055C38">
            <w:pPr>
              <w:rPr>
                <w:rFonts w:ascii="Calibri" w:hAnsi="Calibri" w:cs="Calibri"/>
                <w:color w:val="000000" w:themeColor="text1"/>
                <w:sz w:val="18"/>
                <w:szCs w:val="18"/>
              </w:rPr>
            </w:pPr>
          </w:p>
        </w:tc>
        <w:tc>
          <w:tcPr>
            <w:tcW w:w="1040" w:type="dxa"/>
            <w:tcBorders>
              <w:top w:val="nil"/>
              <w:left w:val="nil"/>
              <w:bottom w:val="nil"/>
              <w:right w:val="nil"/>
            </w:tcBorders>
            <w:shd w:val="clear" w:color="auto" w:fill="auto"/>
            <w:vAlign w:val="center"/>
            <w:hideMark/>
          </w:tcPr>
          <w:p w14:paraId="05C3D52E" w14:textId="77777777" w:rsidR="00055C38" w:rsidRDefault="00055C38">
            <w:pPr>
              <w:rPr>
                <w:rFonts w:ascii="Calibri" w:hAnsi="Calibri" w:cs="Calibri"/>
                <w:color w:val="000000"/>
                <w:sz w:val="18"/>
                <w:szCs w:val="18"/>
              </w:rPr>
            </w:pPr>
            <w:r>
              <w:rPr>
                <w:rFonts w:ascii="Calibri" w:hAnsi="Calibri" w:cs="Calibri"/>
                <w:color w:val="000000"/>
                <w:sz w:val="18"/>
                <w:szCs w:val="18"/>
              </w:rPr>
              <w:t>.32</w:t>
            </w:r>
          </w:p>
        </w:tc>
      </w:tr>
      <w:tr w:rsidR="00055C38" w14:paraId="270D0A30" w14:textId="77777777" w:rsidTr="00055C38">
        <w:trPr>
          <w:trHeight w:val="320"/>
        </w:trPr>
        <w:tc>
          <w:tcPr>
            <w:tcW w:w="640" w:type="dxa"/>
            <w:vMerge/>
            <w:tcBorders>
              <w:top w:val="nil"/>
              <w:left w:val="nil"/>
              <w:bottom w:val="single" w:sz="8" w:space="0" w:color="000000"/>
              <w:right w:val="nil"/>
            </w:tcBorders>
            <w:vAlign w:val="center"/>
            <w:hideMark/>
          </w:tcPr>
          <w:p w14:paraId="5D2A961D" w14:textId="77777777" w:rsidR="00055C38" w:rsidRDefault="00055C38">
            <w:pPr>
              <w:rPr>
                <w:rFonts w:ascii="Calibri" w:hAnsi="Calibri" w:cs="Calibri"/>
                <w:color w:val="000000"/>
                <w:sz w:val="18"/>
                <w:szCs w:val="18"/>
              </w:rPr>
            </w:pPr>
          </w:p>
        </w:tc>
        <w:tc>
          <w:tcPr>
            <w:tcW w:w="1300" w:type="dxa"/>
            <w:vMerge w:val="restart"/>
            <w:tcBorders>
              <w:top w:val="nil"/>
              <w:left w:val="nil"/>
              <w:bottom w:val="single" w:sz="8" w:space="0" w:color="000000"/>
              <w:right w:val="nil"/>
            </w:tcBorders>
            <w:shd w:val="clear" w:color="auto" w:fill="auto"/>
            <w:vAlign w:val="center"/>
            <w:hideMark/>
          </w:tcPr>
          <w:p w14:paraId="45CDACED" w14:textId="77777777" w:rsidR="00055C38" w:rsidRDefault="00055C38">
            <w:pPr>
              <w:rPr>
                <w:rFonts w:ascii="Calibri" w:hAnsi="Calibri" w:cs="Calibri"/>
                <w:color w:val="000000"/>
                <w:sz w:val="18"/>
                <w:szCs w:val="18"/>
              </w:rPr>
            </w:pPr>
            <w:r>
              <w:rPr>
                <w:rFonts w:ascii="Calibri" w:hAnsi="Calibri" w:cs="Calibri"/>
                <w:color w:val="000000"/>
                <w:sz w:val="18"/>
                <w:szCs w:val="18"/>
              </w:rPr>
              <w:t>α diversity, adjusted</w:t>
            </w:r>
          </w:p>
        </w:tc>
        <w:tc>
          <w:tcPr>
            <w:tcW w:w="1300" w:type="dxa"/>
            <w:tcBorders>
              <w:top w:val="nil"/>
              <w:left w:val="nil"/>
              <w:bottom w:val="nil"/>
              <w:right w:val="nil"/>
            </w:tcBorders>
            <w:shd w:val="clear" w:color="auto" w:fill="auto"/>
            <w:vAlign w:val="center"/>
            <w:hideMark/>
          </w:tcPr>
          <w:p w14:paraId="7E6FEA7E" w14:textId="77777777" w:rsidR="00055C38" w:rsidRDefault="00055C38">
            <w:pPr>
              <w:rPr>
                <w:rFonts w:ascii="Calibri" w:hAnsi="Calibri" w:cs="Calibri"/>
                <w:color w:val="000000"/>
                <w:sz w:val="18"/>
                <w:szCs w:val="18"/>
              </w:rPr>
            </w:pPr>
            <w:r>
              <w:rPr>
                <w:rFonts w:ascii="Calibri" w:hAnsi="Calibri" w:cs="Calibri"/>
                <w:color w:val="000000"/>
                <w:sz w:val="18"/>
                <w:szCs w:val="18"/>
              </w:rPr>
              <w:t>adj. R</w:t>
            </w:r>
            <w:r>
              <w:rPr>
                <w:rFonts w:ascii="Calibri" w:hAnsi="Calibri" w:cs="Calibri"/>
                <w:color w:val="000000"/>
                <w:sz w:val="18"/>
                <w:szCs w:val="18"/>
                <w:vertAlign w:val="superscript"/>
              </w:rPr>
              <w:t>2</w:t>
            </w:r>
          </w:p>
        </w:tc>
        <w:tc>
          <w:tcPr>
            <w:tcW w:w="1140" w:type="dxa"/>
            <w:tcBorders>
              <w:top w:val="nil"/>
              <w:left w:val="nil"/>
              <w:bottom w:val="nil"/>
              <w:right w:val="nil"/>
            </w:tcBorders>
            <w:shd w:val="clear" w:color="auto" w:fill="auto"/>
            <w:vAlign w:val="center"/>
            <w:hideMark/>
          </w:tcPr>
          <w:p w14:paraId="2683E148" w14:textId="77777777" w:rsidR="00055C38" w:rsidRDefault="00055C38">
            <w:pPr>
              <w:rPr>
                <w:rFonts w:ascii="Calibri" w:hAnsi="Calibri" w:cs="Calibri"/>
                <w:color w:val="000000"/>
                <w:sz w:val="18"/>
                <w:szCs w:val="18"/>
              </w:rPr>
            </w:pPr>
            <w:r>
              <w:rPr>
                <w:rFonts w:ascii="Calibri" w:hAnsi="Calibri" w:cs="Calibri"/>
                <w:color w:val="000000"/>
                <w:sz w:val="18"/>
                <w:szCs w:val="18"/>
              </w:rPr>
              <w:t>.01</w:t>
            </w:r>
          </w:p>
        </w:tc>
        <w:tc>
          <w:tcPr>
            <w:tcW w:w="1060" w:type="dxa"/>
            <w:tcBorders>
              <w:top w:val="nil"/>
              <w:left w:val="nil"/>
              <w:bottom w:val="nil"/>
              <w:right w:val="nil"/>
            </w:tcBorders>
            <w:shd w:val="clear" w:color="auto" w:fill="auto"/>
            <w:vAlign w:val="center"/>
            <w:hideMark/>
          </w:tcPr>
          <w:p w14:paraId="2C664439" w14:textId="77777777" w:rsidR="00055C38" w:rsidRDefault="00055C38">
            <w:pPr>
              <w:rPr>
                <w:rFonts w:ascii="Calibri" w:hAnsi="Calibri" w:cs="Calibri"/>
                <w:color w:val="000000"/>
                <w:sz w:val="18"/>
                <w:szCs w:val="18"/>
              </w:rPr>
            </w:pPr>
            <w:r>
              <w:rPr>
                <w:rFonts w:ascii="Calibri" w:hAnsi="Calibri" w:cs="Calibri"/>
                <w:color w:val="000000"/>
                <w:sz w:val="18"/>
                <w:szCs w:val="18"/>
              </w:rPr>
              <w:t>.03</w:t>
            </w:r>
          </w:p>
        </w:tc>
        <w:tc>
          <w:tcPr>
            <w:tcW w:w="1060" w:type="dxa"/>
            <w:tcBorders>
              <w:top w:val="nil"/>
              <w:left w:val="nil"/>
              <w:bottom w:val="nil"/>
              <w:right w:val="nil"/>
            </w:tcBorders>
            <w:shd w:val="clear" w:color="auto" w:fill="auto"/>
            <w:vAlign w:val="center"/>
            <w:hideMark/>
          </w:tcPr>
          <w:p w14:paraId="6A5419F8" w14:textId="77777777" w:rsidR="00055C38" w:rsidRPr="002A5400" w:rsidRDefault="00055C38">
            <w:pPr>
              <w:rPr>
                <w:rFonts w:ascii="Calibri" w:hAnsi="Calibri" w:cs="Calibri"/>
                <w:color w:val="000000" w:themeColor="text1"/>
                <w:sz w:val="18"/>
                <w:szCs w:val="18"/>
              </w:rPr>
            </w:pPr>
            <w:r w:rsidRPr="002A5400">
              <w:rPr>
                <w:rFonts w:ascii="Calibri" w:hAnsi="Calibri" w:cs="Calibri"/>
                <w:color w:val="000000" w:themeColor="text1"/>
                <w:sz w:val="18"/>
                <w:szCs w:val="18"/>
              </w:rPr>
              <w:t>.01</w:t>
            </w:r>
          </w:p>
        </w:tc>
        <w:tc>
          <w:tcPr>
            <w:tcW w:w="1260" w:type="dxa"/>
            <w:tcBorders>
              <w:top w:val="nil"/>
              <w:left w:val="nil"/>
              <w:bottom w:val="nil"/>
              <w:right w:val="nil"/>
            </w:tcBorders>
            <w:shd w:val="clear" w:color="auto" w:fill="auto"/>
            <w:vAlign w:val="center"/>
            <w:hideMark/>
          </w:tcPr>
          <w:p w14:paraId="37752213" w14:textId="1B0AD5F0" w:rsidR="00055C38" w:rsidRPr="002A5400" w:rsidRDefault="00A208ED">
            <w:pPr>
              <w:rPr>
                <w:rFonts w:ascii="Calibri" w:hAnsi="Calibri" w:cs="Calibri"/>
                <w:color w:val="000000" w:themeColor="text1"/>
                <w:sz w:val="18"/>
                <w:szCs w:val="18"/>
              </w:rPr>
            </w:pPr>
            <w:r w:rsidRPr="002A5400">
              <w:rPr>
                <w:rFonts w:ascii="Calibri" w:hAnsi="Calibri" w:cs="Calibri"/>
                <w:color w:val="000000" w:themeColor="text1"/>
                <w:sz w:val="18"/>
                <w:szCs w:val="18"/>
              </w:rPr>
              <w:t>.01</w:t>
            </w:r>
          </w:p>
        </w:tc>
        <w:tc>
          <w:tcPr>
            <w:tcW w:w="1040" w:type="dxa"/>
            <w:tcBorders>
              <w:top w:val="nil"/>
              <w:left w:val="nil"/>
              <w:bottom w:val="nil"/>
              <w:right w:val="nil"/>
            </w:tcBorders>
            <w:shd w:val="clear" w:color="auto" w:fill="auto"/>
            <w:vAlign w:val="center"/>
            <w:hideMark/>
          </w:tcPr>
          <w:p w14:paraId="23A90AB8" w14:textId="77777777" w:rsidR="00055C38" w:rsidRDefault="00055C38">
            <w:pPr>
              <w:rPr>
                <w:rFonts w:ascii="Calibri" w:hAnsi="Calibri" w:cs="Calibri"/>
                <w:color w:val="000000"/>
                <w:sz w:val="18"/>
                <w:szCs w:val="18"/>
              </w:rPr>
            </w:pPr>
            <w:r>
              <w:rPr>
                <w:rFonts w:ascii="Calibri" w:hAnsi="Calibri" w:cs="Calibri"/>
                <w:color w:val="000000"/>
                <w:sz w:val="18"/>
                <w:szCs w:val="18"/>
              </w:rPr>
              <w:t>.09</w:t>
            </w:r>
          </w:p>
        </w:tc>
      </w:tr>
      <w:tr w:rsidR="00055C38" w14:paraId="34777B9A" w14:textId="77777777" w:rsidTr="00055C38">
        <w:trPr>
          <w:trHeight w:val="320"/>
        </w:trPr>
        <w:tc>
          <w:tcPr>
            <w:tcW w:w="640" w:type="dxa"/>
            <w:vMerge/>
            <w:tcBorders>
              <w:top w:val="nil"/>
              <w:left w:val="nil"/>
              <w:bottom w:val="single" w:sz="8" w:space="0" w:color="000000"/>
              <w:right w:val="nil"/>
            </w:tcBorders>
            <w:vAlign w:val="center"/>
            <w:hideMark/>
          </w:tcPr>
          <w:p w14:paraId="3A4CA902" w14:textId="77777777" w:rsidR="00055C38" w:rsidRDefault="00055C38">
            <w:pPr>
              <w:rPr>
                <w:rFonts w:ascii="Calibri" w:hAnsi="Calibri" w:cs="Calibri"/>
                <w:color w:val="000000"/>
                <w:sz w:val="18"/>
                <w:szCs w:val="18"/>
              </w:rPr>
            </w:pPr>
          </w:p>
        </w:tc>
        <w:tc>
          <w:tcPr>
            <w:tcW w:w="1300" w:type="dxa"/>
            <w:vMerge/>
            <w:tcBorders>
              <w:top w:val="nil"/>
              <w:left w:val="nil"/>
              <w:bottom w:val="single" w:sz="8" w:space="0" w:color="000000"/>
              <w:right w:val="nil"/>
            </w:tcBorders>
            <w:vAlign w:val="center"/>
            <w:hideMark/>
          </w:tcPr>
          <w:p w14:paraId="29FC75D7" w14:textId="77777777" w:rsidR="00055C38" w:rsidRDefault="00055C38">
            <w:pPr>
              <w:rPr>
                <w:rFonts w:ascii="Calibri" w:hAnsi="Calibri" w:cs="Calibri"/>
                <w:color w:val="000000"/>
                <w:sz w:val="18"/>
                <w:szCs w:val="18"/>
              </w:rPr>
            </w:pPr>
          </w:p>
        </w:tc>
        <w:tc>
          <w:tcPr>
            <w:tcW w:w="1300" w:type="dxa"/>
            <w:tcBorders>
              <w:top w:val="nil"/>
              <w:left w:val="nil"/>
              <w:bottom w:val="nil"/>
              <w:right w:val="nil"/>
            </w:tcBorders>
            <w:shd w:val="clear" w:color="auto" w:fill="auto"/>
            <w:vAlign w:val="center"/>
            <w:hideMark/>
          </w:tcPr>
          <w:p w14:paraId="554170DA" w14:textId="77777777" w:rsidR="00055C38" w:rsidRDefault="00055C38">
            <w:pPr>
              <w:rPr>
                <w:rFonts w:ascii="Calibri" w:hAnsi="Calibri" w:cs="Calibri"/>
                <w:color w:val="000000"/>
                <w:sz w:val="18"/>
                <w:szCs w:val="18"/>
              </w:rPr>
            </w:pPr>
            <w:r>
              <w:rPr>
                <w:rFonts w:ascii="Calibri" w:hAnsi="Calibri" w:cs="Calibri"/>
                <w:color w:val="000000"/>
                <w:sz w:val="18"/>
                <w:szCs w:val="18"/>
              </w:rPr>
              <w:t>β</w:t>
            </w:r>
          </w:p>
        </w:tc>
        <w:tc>
          <w:tcPr>
            <w:tcW w:w="1140" w:type="dxa"/>
            <w:tcBorders>
              <w:top w:val="nil"/>
              <w:left w:val="nil"/>
              <w:bottom w:val="nil"/>
              <w:right w:val="nil"/>
            </w:tcBorders>
            <w:shd w:val="clear" w:color="auto" w:fill="auto"/>
            <w:vAlign w:val="center"/>
            <w:hideMark/>
          </w:tcPr>
          <w:p w14:paraId="4A933A6E" w14:textId="77777777" w:rsidR="00055C38" w:rsidRDefault="00055C38">
            <w:pPr>
              <w:rPr>
                <w:rFonts w:ascii="Calibri" w:hAnsi="Calibri" w:cs="Calibri"/>
                <w:color w:val="000000"/>
                <w:sz w:val="18"/>
                <w:szCs w:val="18"/>
              </w:rPr>
            </w:pPr>
            <w:r>
              <w:rPr>
                <w:rFonts w:ascii="Calibri" w:hAnsi="Calibri" w:cs="Calibri"/>
                <w:color w:val="000000"/>
                <w:sz w:val="18"/>
                <w:szCs w:val="18"/>
              </w:rPr>
              <w:t>0.24</w:t>
            </w:r>
          </w:p>
        </w:tc>
        <w:tc>
          <w:tcPr>
            <w:tcW w:w="1060" w:type="dxa"/>
            <w:tcBorders>
              <w:top w:val="nil"/>
              <w:left w:val="nil"/>
              <w:bottom w:val="nil"/>
              <w:right w:val="nil"/>
            </w:tcBorders>
            <w:shd w:val="clear" w:color="auto" w:fill="auto"/>
            <w:vAlign w:val="center"/>
            <w:hideMark/>
          </w:tcPr>
          <w:p w14:paraId="0D3562A2" w14:textId="77777777" w:rsidR="00055C38" w:rsidRDefault="00055C38">
            <w:pPr>
              <w:rPr>
                <w:rFonts w:ascii="Calibri" w:hAnsi="Calibri" w:cs="Calibri"/>
                <w:b/>
                <w:bCs/>
                <w:color w:val="000000"/>
                <w:sz w:val="18"/>
                <w:szCs w:val="18"/>
              </w:rPr>
            </w:pPr>
            <w:r>
              <w:rPr>
                <w:rFonts w:ascii="Calibri" w:hAnsi="Calibri" w:cs="Calibri"/>
                <w:b/>
                <w:bCs/>
                <w:color w:val="000000"/>
                <w:sz w:val="18"/>
                <w:szCs w:val="18"/>
              </w:rPr>
              <w:t>0.40</w:t>
            </w:r>
          </w:p>
        </w:tc>
        <w:tc>
          <w:tcPr>
            <w:tcW w:w="1060" w:type="dxa"/>
            <w:tcBorders>
              <w:top w:val="nil"/>
              <w:left w:val="nil"/>
              <w:bottom w:val="nil"/>
              <w:right w:val="nil"/>
            </w:tcBorders>
            <w:shd w:val="clear" w:color="auto" w:fill="auto"/>
            <w:vAlign w:val="center"/>
            <w:hideMark/>
          </w:tcPr>
          <w:p w14:paraId="54159E11" w14:textId="77777777" w:rsidR="00055C38" w:rsidRPr="002A5400" w:rsidRDefault="00055C38">
            <w:pPr>
              <w:rPr>
                <w:rFonts w:ascii="Calibri" w:hAnsi="Calibri" w:cs="Calibri"/>
                <w:color w:val="000000" w:themeColor="text1"/>
                <w:sz w:val="18"/>
                <w:szCs w:val="18"/>
              </w:rPr>
            </w:pPr>
            <w:r w:rsidRPr="002A5400">
              <w:rPr>
                <w:rFonts w:ascii="Calibri" w:hAnsi="Calibri" w:cs="Calibri"/>
                <w:color w:val="000000" w:themeColor="text1"/>
                <w:sz w:val="18"/>
                <w:szCs w:val="18"/>
              </w:rPr>
              <w:t>0.19</w:t>
            </w:r>
          </w:p>
        </w:tc>
        <w:tc>
          <w:tcPr>
            <w:tcW w:w="1260" w:type="dxa"/>
            <w:tcBorders>
              <w:top w:val="nil"/>
              <w:left w:val="nil"/>
              <w:bottom w:val="nil"/>
              <w:right w:val="nil"/>
            </w:tcBorders>
            <w:shd w:val="clear" w:color="auto" w:fill="auto"/>
            <w:vAlign w:val="center"/>
            <w:hideMark/>
          </w:tcPr>
          <w:p w14:paraId="5C5DDB60" w14:textId="616E79D4" w:rsidR="00055C38" w:rsidRPr="002A5400" w:rsidRDefault="00A208ED">
            <w:pPr>
              <w:rPr>
                <w:rFonts w:ascii="Calibri" w:hAnsi="Calibri" w:cs="Calibri"/>
                <w:color w:val="000000" w:themeColor="text1"/>
                <w:sz w:val="18"/>
                <w:szCs w:val="18"/>
              </w:rPr>
            </w:pPr>
            <w:r w:rsidRPr="002A5400">
              <w:rPr>
                <w:rFonts w:ascii="Calibri" w:hAnsi="Calibri" w:cs="Calibri"/>
                <w:color w:val="000000" w:themeColor="text1"/>
                <w:sz w:val="18"/>
                <w:szCs w:val="18"/>
              </w:rPr>
              <w:t>0.21</w:t>
            </w:r>
          </w:p>
        </w:tc>
        <w:tc>
          <w:tcPr>
            <w:tcW w:w="1040" w:type="dxa"/>
            <w:tcBorders>
              <w:top w:val="nil"/>
              <w:left w:val="nil"/>
              <w:bottom w:val="nil"/>
              <w:right w:val="nil"/>
            </w:tcBorders>
            <w:shd w:val="clear" w:color="auto" w:fill="auto"/>
            <w:vAlign w:val="center"/>
            <w:hideMark/>
          </w:tcPr>
          <w:p w14:paraId="17B5CC9E" w14:textId="77777777" w:rsidR="00055C38" w:rsidRDefault="00055C38">
            <w:pPr>
              <w:rPr>
                <w:rFonts w:ascii="Calibri" w:hAnsi="Calibri" w:cs="Calibri"/>
                <w:color w:val="000000"/>
                <w:sz w:val="18"/>
                <w:szCs w:val="18"/>
              </w:rPr>
            </w:pPr>
            <w:r>
              <w:rPr>
                <w:rFonts w:ascii="Calibri" w:hAnsi="Calibri" w:cs="Calibri"/>
                <w:color w:val="000000"/>
                <w:sz w:val="18"/>
                <w:szCs w:val="18"/>
              </w:rPr>
              <w:t>0.07</w:t>
            </w:r>
          </w:p>
        </w:tc>
      </w:tr>
      <w:tr w:rsidR="00055C38" w14:paraId="0B0913E2" w14:textId="77777777" w:rsidTr="00055C38">
        <w:trPr>
          <w:trHeight w:val="340"/>
        </w:trPr>
        <w:tc>
          <w:tcPr>
            <w:tcW w:w="640" w:type="dxa"/>
            <w:vMerge/>
            <w:tcBorders>
              <w:top w:val="nil"/>
              <w:left w:val="nil"/>
              <w:bottom w:val="single" w:sz="8" w:space="0" w:color="000000"/>
              <w:right w:val="nil"/>
            </w:tcBorders>
            <w:vAlign w:val="center"/>
            <w:hideMark/>
          </w:tcPr>
          <w:p w14:paraId="66CD913E" w14:textId="77777777" w:rsidR="00055C38" w:rsidRDefault="00055C38">
            <w:pPr>
              <w:rPr>
                <w:rFonts w:ascii="Calibri" w:hAnsi="Calibri" w:cs="Calibri"/>
                <w:color w:val="000000"/>
                <w:sz w:val="18"/>
                <w:szCs w:val="18"/>
              </w:rPr>
            </w:pPr>
          </w:p>
        </w:tc>
        <w:tc>
          <w:tcPr>
            <w:tcW w:w="1300" w:type="dxa"/>
            <w:vMerge/>
            <w:tcBorders>
              <w:top w:val="nil"/>
              <w:left w:val="nil"/>
              <w:bottom w:val="single" w:sz="8" w:space="0" w:color="000000"/>
              <w:right w:val="nil"/>
            </w:tcBorders>
            <w:vAlign w:val="center"/>
            <w:hideMark/>
          </w:tcPr>
          <w:p w14:paraId="7749F09B" w14:textId="77777777" w:rsidR="00055C38" w:rsidRDefault="00055C38">
            <w:pPr>
              <w:rPr>
                <w:rFonts w:ascii="Calibri" w:hAnsi="Calibri" w:cs="Calibri"/>
                <w:color w:val="000000"/>
                <w:sz w:val="18"/>
                <w:szCs w:val="18"/>
              </w:rPr>
            </w:pPr>
          </w:p>
        </w:tc>
        <w:tc>
          <w:tcPr>
            <w:tcW w:w="1300" w:type="dxa"/>
            <w:tcBorders>
              <w:top w:val="nil"/>
              <w:left w:val="nil"/>
              <w:bottom w:val="single" w:sz="8" w:space="0" w:color="000000"/>
              <w:right w:val="nil"/>
            </w:tcBorders>
            <w:shd w:val="clear" w:color="auto" w:fill="auto"/>
            <w:vAlign w:val="center"/>
            <w:hideMark/>
          </w:tcPr>
          <w:p w14:paraId="6AA05887" w14:textId="77777777" w:rsidR="00055C38" w:rsidRDefault="00055C38">
            <w:pPr>
              <w:rPr>
                <w:rFonts w:ascii="Calibri" w:hAnsi="Calibri" w:cs="Calibri"/>
                <w:color w:val="000000"/>
                <w:sz w:val="18"/>
                <w:szCs w:val="18"/>
              </w:rPr>
            </w:pPr>
            <w:r>
              <w:rPr>
                <w:rFonts w:ascii="Calibri" w:hAnsi="Calibri" w:cs="Calibri"/>
                <w:color w:val="000000"/>
                <w:sz w:val="18"/>
                <w:szCs w:val="18"/>
              </w:rPr>
              <w:t>p</w:t>
            </w:r>
          </w:p>
        </w:tc>
        <w:tc>
          <w:tcPr>
            <w:tcW w:w="1140" w:type="dxa"/>
            <w:tcBorders>
              <w:top w:val="nil"/>
              <w:left w:val="nil"/>
              <w:bottom w:val="single" w:sz="8" w:space="0" w:color="000000"/>
              <w:right w:val="nil"/>
            </w:tcBorders>
            <w:shd w:val="clear" w:color="auto" w:fill="auto"/>
            <w:vAlign w:val="center"/>
            <w:hideMark/>
          </w:tcPr>
          <w:p w14:paraId="24711460" w14:textId="77777777" w:rsidR="00055C38" w:rsidRDefault="00055C38">
            <w:pPr>
              <w:rPr>
                <w:rFonts w:ascii="Calibri" w:hAnsi="Calibri" w:cs="Calibri"/>
                <w:color w:val="000000"/>
                <w:sz w:val="18"/>
                <w:szCs w:val="18"/>
              </w:rPr>
            </w:pPr>
            <w:r>
              <w:rPr>
                <w:rFonts w:ascii="Calibri" w:hAnsi="Calibri" w:cs="Calibri"/>
                <w:color w:val="000000"/>
                <w:sz w:val="18"/>
                <w:szCs w:val="18"/>
              </w:rPr>
              <w:t>.07</w:t>
            </w:r>
          </w:p>
        </w:tc>
        <w:tc>
          <w:tcPr>
            <w:tcW w:w="1060" w:type="dxa"/>
            <w:tcBorders>
              <w:top w:val="nil"/>
              <w:left w:val="nil"/>
              <w:bottom w:val="single" w:sz="8" w:space="0" w:color="000000"/>
              <w:right w:val="nil"/>
            </w:tcBorders>
            <w:shd w:val="clear" w:color="auto" w:fill="auto"/>
            <w:vAlign w:val="center"/>
            <w:hideMark/>
          </w:tcPr>
          <w:p w14:paraId="21277ED8" w14:textId="77777777" w:rsidR="00055C38" w:rsidRDefault="00055C38">
            <w:pPr>
              <w:rPr>
                <w:rFonts w:ascii="Calibri" w:hAnsi="Calibri" w:cs="Calibri"/>
                <w:b/>
                <w:bCs/>
                <w:color w:val="000000"/>
                <w:sz w:val="18"/>
                <w:szCs w:val="18"/>
              </w:rPr>
            </w:pPr>
            <w:r>
              <w:rPr>
                <w:rFonts w:ascii="Calibri" w:hAnsi="Calibri" w:cs="Calibri"/>
                <w:b/>
                <w:bCs/>
                <w:color w:val="000000"/>
                <w:sz w:val="18"/>
                <w:szCs w:val="18"/>
              </w:rPr>
              <w:t>.05*</w:t>
            </w:r>
          </w:p>
        </w:tc>
        <w:tc>
          <w:tcPr>
            <w:tcW w:w="1060" w:type="dxa"/>
            <w:tcBorders>
              <w:top w:val="nil"/>
              <w:left w:val="nil"/>
              <w:bottom w:val="single" w:sz="8" w:space="0" w:color="000000"/>
              <w:right w:val="nil"/>
            </w:tcBorders>
            <w:shd w:val="clear" w:color="auto" w:fill="auto"/>
            <w:vAlign w:val="center"/>
            <w:hideMark/>
          </w:tcPr>
          <w:p w14:paraId="0339E164" w14:textId="77777777" w:rsidR="00055C38" w:rsidRPr="002A5400" w:rsidRDefault="00055C38">
            <w:pPr>
              <w:rPr>
                <w:rFonts w:ascii="Calibri" w:hAnsi="Calibri" w:cs="Calibri"/>
                <w:color w:val="000000" w:themeColor="text1"/>
                <w:sz w:val="18"/>
                <w:szCs w:val="18"/>
              </w:rPr>
            </w:pPr>
            <w:r w:rsidRPr="002A5400">
              <w:rPr>
                <w:rFonts w:ascii="Calibri" w:hAnsi="Calibri" w:cs="Calibri"/>
                <w:color w:val="000000" w:themeColor="text1"/>
                <w:sz w:val="18"/>
                <w:szCs w:val="18"/>
              </w:rPr>
              <w:t>.34</w:t>
            </w:r>
          </w:p>
        </w:tc>
        <w:tc>
          <w:tcPr>
            <w:tcW w:w="1260" w:type="dxa"/>
            <w:tcBorders>
              <w:top w:val="nil"/>
              <w:left w:val="nil"/>
              <w:bottom w:val="single" w:sz="8" w:space="0" w:color="000000"/>
              <w:right w:val="nil"/>
            </w:tcBorders>
            <w:shd w:val="clear" w:color="auto" w:fill="auto"/>
            <w:vAlign w:val="center"/>
            <w:hideMark/>
          </w:tcPr>
          <w:p w14:paraId="5E88604A" w14:textId="664498F3" w:rsidR="00055C38" w:rsidRPr="002A5400" w:rsidRDefault="00A208ED">
            <w:pPr>
              <w:rPr>
                <w:rFonts w:ascii="Calibri" w:hAnsi="Calibri" w:cs="Calibri"/>
                <w:color w:val="000000" w:themeColor="text1"/>
                <w:sz w:val="18"/>
                <w:szCs w:val="18"/>
              </w:rPr>
            </w:pPr>
            <w:r w:rsidRPr="002A5400">
              <w:rPr>
                <w:rFonts w:ascii="Calibri" w:hAnsi="Calibri" w:cs="Calibri"/>
                <w:color w:val="000000" w:themeColor="text1"/>
                <w:sz w:val="18"/>
                <w:szCs w:val="18"/>
              </w:rPr>
              <w:t>0.30</w:t>
            </w:r>
          </w:p>
        </w:tc>
        <w:tc>
          <w:tcPr>
            <w:tcW w:w="1040" w:type="dxa"/>
            <w:tcBorders>
              <w:top w:val="nil"/>
              <w:left w:val="nil"/>
              <w:bottom w:val="single" w:sz="8" w:space="0" w:color="000000"/>
              <w:right w:val="nil"/>
            </w:tcBorders>
            <w:shd w:val="clear" w:color="auto" w:fill="auto"/>
            <w:vAlign w:val="center"/>
            <w:hideMark/>
          </w:tcPr>
          <w:p w14:paraId="30E2E21C" w14:textId="77777777" w:rsidR="00055C38" w:rsidRDefault="00055C38">
            <w:pPr>
              <w:rPr>
                <w:rFonts w:ascii="Calibri" w:hAnsi="Calibri" w:cs="Calibri"/>
                <w:color w:val="000000"/>
                <w:sz w:val="18"/>
                <w:szCs w:val="18"/>
              </w:rPr>
            </w:pPr>
            <w:r>
              <w:rPr>
                <w:rFonts w:ascii="Calibri" w:hAnsi="Calibri" w:cs="Calibri"/>
                <w:color w:val="000000"/>
                <w:sz w:val="18"/>
                <w:szCs w:val="18"/>
              </w:rPr>
              <w:t>.74</w:t>
            </w:r>
          </w:p>
        </w:tc>
      </w:tr>
    </w:tbl>
    <w:p w14:paraId="3DAA7A5B" w14:textId="77777777" w:rsidR="001C24A0" w:rsidRDefault="001C24A0" w:rsidP="00DC1407">
      <w:pPr>
        <w:pStyle w:val="BodyText1"/>
        <w:spacing w:before="60" w:after="60" w:line="480" w:lineRule="auto"/>
        <w:jc w:val="both"/>
        <w:rPr>
          <w:b/>
          <w:bCs/>
        </w:rPr>
      </w:pPr>
    </w:p>
    <w:p w14:paraId="3F45870E" w14:textId="77777777" w:rsidR="00055C38" w:rsidRDefault="00055C38" w:rsidP="00DC1407">
      <w:pPr>
        <w:pStyle w:val="BodyText1"/>
        <w:spacing w:before="60" w:after="60" w:line="480" w:lineRule="auto"/>
        <w:jc w:val="both"/>
        <w:rPr>
          <w:b/>
          <w:bCs/>
        </w:rPr>
      </w:pPr>
    </w:p>
    <w:p w14:paraId="600EDE53" w14:textId="77777777" w:rsidR="00055C38" w:rsidRDefault="00055C38" w:rsidP="00DC1407">
      <w:pPr>
        <w:pStyle w:val="BodyText1"/>
        <w:spacing w:before="60" w:after="60" w:line="480" w:lineRule="auto"/>
        <w:jc w:val="both"/>
        <w:rPr>
          <w:b/>
          <w:bCs/>
        </w:rPr>
      </w:pPr>
    </w:p>
    <w:p w14:paraId="3CEFE7C1" w14:textId="77777777" w:rsidR="00055C38" w:rsidRDefault="00055C38" w:rsidP="00DC1407">
      <w:pPr>
        <w:pStyle w:val="BodyText1"/>
        <w:spacing w:before="60" w:after="60" w:line="480" w:lineRule="auto"/>
        <w:jc w:val="both"/>
        <w:rPr>
          <w:b/>
          <w:bCs/>
        </w:rPr>
      </w:pPr>
    </w:p>
    <w:p w14:paraId="76F5AFD0" w14:textId="77777777" w:rsidR="00055C38" w:rsidRDefault="00055C38" w:rsidP="00DC1407">
      <w:pPr>
        <w:pStyle w:val="BodyText1"/>
        <w:spacing w:before="60" w:after="60" w:line="480" w:lineRule="auto"/>
        <w:jc w:val="both"/>
        <w:rPr>
          <w:b/>
          <w:bCs/>
        </w:rPr>
      </w:pPr>
    </w:p>
    <w:p w14:paraId="5EEB6267" w14:textId="77777777" w:rsidR="00055C38" w:rsidRDefault="00055C38" w:rsidP="00DC1407">
      <w:pPr>
        <w:pStyle w:val="BodyText1"/>
        <w:spacing w:before="60" w:after="60" w:line="480" w:lineRule="auto"/>
        <w:jc w:val="both"/>
        <w:rPr>
          <w:b/>
          <w:bCs/>
        </w:rPr>
      </w:pPr>
    </w:p>
    <w:p w14:paraId="20338744" w14:textId="77777777" w:rsidR="00055C38" w:rsidRDefault="00055C38" w:rsidP="00DC1407">
      <w:pPr>
        <w:pStyle w:val="BodyText1"/>
        <w:spacing w:before="60" w:after="60" w:line="480" w:lineRule="auto"/>
        <w:jc w:val="both"/>
        <w:rPr>
          <w:b/>
          <w:bCs/>
        </w:rPr>
      </w:pPr>
    </w:p>
    <w:p w14:paraId="6E4321B9" w14:textId="77777777" w:rsidR="003C5278" w:rsidRDefault="003C5278" w:rsidP="00DC1407">
      <w:pPr>
        <w:pStyle w:val="BodyText1"/>
        <w:spacing w:before="60" w:after="60" w:line="480" w:lineRule="auto"/>
        <w:jc w:val="both"/>
        <w:rPr>
          <w:b/>
          <w:bCs/>
        </w:rPr>
      </w:pPr>
    </w:p>
    <w:p w14:paraId="44DA329E" w14:textId="1A1F3F0F" w:rsidR="003C5278" w:rsidRPr="002D5D50" w:rsidRDefault="003C5278" w:rsidP="002A5400">
      <w:pPr>
        <w:pStyle w:val="Tablecaptiontext"/>
        <w:rPr>
          <w:b/>
          <w:bCs/>
        </w:rPr>
      </w:pPr>
      <w:r w:rsidRPr="002D5D50">
        <w:rPr>
          <w:rFonts w:cs="Arial"/>
          <w:b/>
          <w:bCs/>
        </w:rPr>
        <w:t xml:space="preserve">Table 2. </w:t>
      </w:r>
      <w:r w:rsidR="002A5400" w:rsidRPr="002D5D50">
        <w:rPr>
          <w:b/>
          <w:bCs/>
        </w:rPr>
        <w:t xml:space="preserve">PERMANOVA results between community composition and negative/fear reactivity for the whole study samples and for girls and boys separately with breastfeeding status added as a covariate. </w:t>
      </w:r>
    </w:p>
    <w:tbl>
      <w:tblPr>
        <w:tblW w:w="10400" w:type="dxa"/>
        <w:tblCellMar>
          <w:left w:w="70" w:type="dxa"/>
          <w:right w:w="70" w:type="dxa"/>
        </w:tblCellMar>
        <w:tblLook w:val="04A0" w:firstRow="1" w:lastRow="0" w:firstColumn="1" w:lastColumn="0" w:noHBand="0" w:noVBand="1"/>
      </w:tblPr>
      <w:tblGrid>
        <w:gridCol w:w="1300"/>
        <w:gridCol w:w="1300"/>
        <w:gridCol w:w="1300"/>
        <w:gridCol w:w="1300"/>
        <w:gridCol w:w="1300"/>
        <w:gridCol w:w="1300"/>
        <w:gridCol w:w="1300"/>
        <w:gridCol w:w="1300"/>
      </w:tblGrid>
      <w:tr w:rsidR="00055C38" w14:paraId="5ABED11C" w14:textId="77777777" w:rsidTr="00055C38">
        <w:trPr>
          <w:trHeight w:val="1060"/>
        </w:trPr>
        <w:tc>
          <w:tcPr>
            <w:tcW w:w="1300" w:type="dxa"/>
            <w:tcBorders>
              <w:top w:val="single" w:sz="8" w:space="0" w:color="auto"/>
              <w:left w:val="nil"/>
              <w:bottom w:val="single" w:sz="8" w:space="0" w:color="auto"/>
              <w:right w:val="nil"/>
            </w:tcBorders>
            <w:shd w:val="clear" w:color="auto" w:fill="auto"/>
            <w:vAlign w:val="center"/>
            <w:hideMark/>
          </w:tcPr>
          <w:p w14:paraId="65A6545F" w14:textId="77777777" w:rsidR="00055C38" w:rsidRPr="002A5400" w:rsidRDefault="00055C38" w:rsidP="003C5278">
            <w:pPr>
              <w:rPr>
                <w:rFonts w:ascii="Calibri" w:hAnsi="Calibri" w:cs="Calibri"/>
                <w:color w:val="000000"/>
                <w:sz w:val="18"/>
                <w:szCs w:val="18"/>
                <w:lang w:val="en-US"/>
              </w:rPr>
            </w:pPr>
            <w:r>
              <w:rPr>
                <w:rFonts w:ascii="Calibri" w:hAnsi="Calibri" w:cs="Calibri"/>
                <w:color w:val="000000"/>
                <w:sz w:val="18"/>
                <w:szCs w:val="18"/>
                <w:lang w:val="en-US"/>
              </w:rPr>
              <w:t> </w:t>
            </w:r>
          </w:p>
        </w:tc>
        <w:tc>
          <w:tcPr>
            <w:tcW w:w="1300" w:type="dxa"/>
            <w:tcBorders>
              <w:top w:val="single" w:sz="8" w:space="0" w:color="auto"/>
              <w:left w:val="nil"/>
              <w:bottom w:val="single" w:sz="8" w:space="0" w:color="auto"/>
              <w:right w:val="nil"/>
            </w:tcBorders>
            <w:shd w:val="clear" w:color="auto" w:fill="auto"/>
            <w:vAlign w:val="center"/>
            <w:hideMark/>
          </w:tcPr>
          <w:p w14:paraId="38FFBE18" w14:textId="77777777" w:rsidR="00055C38" w:rsidRDefault="00055C38" w:rsidP="003C5278">
            <w:pPr>
              <w:rPr>
                <w:rFonts w:ascii="Calibri" w:hAnsi="Calibri" w:cs="Calibri"/>
                <w:color w:val="000000"/>
                <w:sz w:val="18"/>
                <w:szCs w:val="18"/>
              </w:rPr>
            </w:pPr>
            <w:r>
              <w:rPr>
                <w:rFonts w:ascii="Calibri" w:hAnsi="Calibri" w:cs="Calibri"/>
                <w:color w:val="000000"/>
                <w:sz w:val="18"/>
                <w:szCs w:val="18"/>
                <w:lang w:val="en-US"/>
              </w:rPr>
              <w:t>Model</w:t>
            </w:r>
          </w:p>
        </w:tc>
        <w:tc>
          <w:tcPr>
            <w:tcW w:w="1300" w:type="dxa"/>
            <w:tcBorders>
              <w:top w:val="single" w:sz="8" w:space="0" w:color="auto"/>
              <w:left w:val="nil"/>
              <w:bottom w:val="single" w:sz="8" w:space="0" w:color="auto"/>
              <w:right w:val="nil"/>
            </w:tcBorders>
            <w:shd w:val="clear" w:color="auto" w:fill="auto"/>
            <w:vAlign w:val="center"/>
            <w:hideMark/>
          </w:tcPr>
          <w:p w14:paraId="462C62AE" w14:textId="77777777" w:rsidR="00055C38" w:rsidRDefault="00055C38" w:rsidP="003C5278">
            <w:pPr>
              <w:rPr>
                <w:rFonts w:ascii="Calibri" w:hAnsi="Calibri" w:cs="Calibri"/>
                <w:color w:val="000000"/>
                <w:sz w:val="18"/>
                <w:szCs w:val="18"/>
              </w:rPr>
            </w:pPr>
            <w:r>
              <w:rPr>
                <w:rFonts w:ascii="Calibri" w:hAnsi="Calibri" w:cs="Calibri"/>
                <w:color w:val="000000"/>
                <w:sz w:val="18"/>
                <w:szCs w:val="18"/>
              </w:rPr>
              <w:t> </w:t>
            </w:r>
          </w:p>
        </w:tc>
        <w:tc>
          <w:tcPr>
            <w:tcW w:w="1300" w:type="dxa"/>
            <w:tcBorders>
              <w:top w:val="single" w:sz="8" w:space="0" w:color="auto"/>
              <w:left w:val="nil"/>
              <w:bottom w:val="single" w:sz="8" w:space="0" w:color="auto"/>
              <w:right w:val="nil"/>
            </w:tcBorders>
            <w:shd w:val="clear" w:color="auto" w:fill="auto"/>
            <w:vAlign w:val="center"/>
            <w:hideMark/>
          </w:tcPr>
          <w:p w14:paraId="2FD27D63" w14:textId="77777777" w:rsidR="00055C38" w:rsidRDefault="00055C38" w:rsidP="003C5278">
            <w:pPr>
              <w:rPr>
                <w:rFonts w:ascii="Calibri" w:hAnsi="Calibri" w:cs="Calibri"/>
                <w:color w:val="000000"/>
                <w:sz w:val="18"/>
                <w:szCs w:val="18"/>
              </w:rPr>
            </w:pPr>
            <w:r>
              <w:rPr>
                <w:rFonts w:ascii="Calibri" w:hAnsi="Calibri" w:cs="Calibri"/>
                <w:color w:val="000000"/>
                <w:sz w:val="18"/>
                <w:szCs w:val="18"/>
                <w:lang w:val="en-US"/>
              </w:rPr>
              <w:t>Reported negative reactivity</w:t>
            </w:r>
          </w:p>
        </w:tc>
        <w:tc>
          <w:tcPr>
            <w:tcW w:w="1300" w:type="dxa"/>
            <w:tcBorders>
              <w:top w:val="single" w:sz="8" w:space="0" w:color="auto"/>
              <w:left w:val="nil"/>
              <w:bottom w:val="single" w:sz="8" w:space="0" w:color="auto"/>
              <w:right w:val="nil"/>
            </w:tcBorders>
            <w:shd w:val="clear" w:color="auto" w:fill="auto"/>
            <w:vAlign w:val="center"/>
            <w:hideMark/>
          </w:tcPr>
          <w:p w14:paraId="39210014" w14:textId="77777777" w:rsidR="00055C38" w:rsidRDefault="00055C38" w:rsidP="003C5278">
            <w:pPr>
              <w:rPr>
                <w:rFonts w:ascii="Calibri" w:hAnsi="Calibri" w:cs="Calibri"/>
                <w:color w:val="000000"/>
                <w:sz w:val="18"/>
                <w:szCs w:val="18"/>
              </w:rPr>
            </w:pPr>
            <w:r>
              <w:rPr>
                <w:rFonts w:ascii="Calibri" w:hAnsi="Calibri" w:cs="Calibri"/>
                <w:color w:val="000000"/>
                <w:sz w:val="18"/>
                <w:szCs w:val="18"/>
                <w:lang w:val="en-US"/>
              </w:rPr>
              <w:t>Reported fear reactivity</w:t>
            </w:r>
          </w:p>
        </w:tc>
        <w:tc>
          <w:tcPr>
            <w:tcW w:w="1300" w:type="dxa"/>
            <w:tcBorders>
              <w:top w:val="single" w:sz="8" w:space="0" w:color="auto"/>
              <w:left w:val="nil"/>
              <w:bottom w:val="single" w:sz="8" w:space="0" w:color="auto"/>
              <w:right w:val="nil"/>
            </w:tcBorders>
            <w:shd w:val="clear" w:color="auto" w:fill="auto"/>
            <w:vAlign w:val="center"/>
            <w:hideMark/>
          </w:tcPr>
          <w:p w14:paraId="420CD32F" w14:textId="77777777" w:rsidR="00055C38" w:rsidRDefault="00055C38" w:rsidP="003C5278">
            <w:pPr>
              <w:rPr>
                <w:rFonts w:ascii="Calibri" w:hAnsi="Calibri" w:cs="Calibri"/>
                <w:color w:val="000000"/>
                <w:sz w:val="18"/>
                <w:szCs w:val="18"/>
              </w:rPr>
            </w:pPr>
            <w:r>
              <w:rPr>
                <w:rFonts w:ascii="Calibri" w:hAnsi="Calibri" w:cs="Calibri"/>
                <w:color w:val="000000"/>
                <w:sz w:val="18"/>
                <w:szCs w:val="18"/>
                <w:lang w:val="en-US"/>
              </w:rPr>
              <w:t>Observed negative reactivity</w:t>
            </w:r>
          </w:p>
        </w:tc>
        <w:tc>
          <w:tcPr>
            <w:tcW w:w="1300" w:type="dxa"/>
            <w:tcBorders>
              <w:top w:val="single" w:sz="8" w:space="0" w:color="auto"/>
              <w:left w:val="nil"/>
              <w:bottom w:val="single" w:sz="8" w:space="0" w:color="auto"/>
              <w:right w:val="nil"/>
            </w:tcBorders>
            <w:shd w:val="clear" w:color="auto" w:fill="auto"/>
            <w:vAlign w:val="center"/>
            <w:hideMark/>
          </w:tcPr>
          <w:p w14:paraId="010E9CB4" w14:textId="77777777" w:rsidR="00055C38" w:rsidRPr="00055C38" w:rsidRDefault="00055C38" w:rsidP="003C5278">
            <w:pPr>
              <w:rPr>
                <w:rFonts w:ascii="Calibri" w:hAnsi="Calibri" w:cs="Calibri"/>
                <w:color w:val="757171"/>
                <w:sz w:val="18"/>
                <w:szCs w:val="18"/>
                <w:lang w:val="en-US"/>
              </w:rPr>
            </w:pPr>
            <w:r w:rsidRPr="00055C38">
              <w:rPr>
                <w:rFonts w:ascii="Calibri" w:hAnsi="Calibri" w:cs="Calibri"/>
                <w:color w:val="757171"/>
                <w:sz w:val="18"/>
                <w:szCs w:val="18"/>
                <w:lang w:val="en-US"/>
              </w:rPr>
              <w:t>Observed negative reactivity with breastfeeding</w:t>
            </w:r>
          </w:p>
        </w:tc>
        <w:tc>
          <w:tcPr>
            <w:tcW w:w="1300" w:type="dxa"/>
            <w:tcBorders>
              <w:top w:val="single" w:sz="8" w:space="0" w:color="auto"/>
              <w:left w:val="nil"/>
              <w:bottom w:val="single" w:sz="8" w:space="0" w:color="auto"/>
              <w:right w:val="nil"/>
            </w:tcBorders>
            <w:shd w:val="clear" w:color="auto" w:fill="auto"/>
            <w:vAlign w:val="center"/>
            <w:hideMark/>
          </w:tcPr>
          <w:p w14:paraId="289E44B6" w14:textId="77777777" w:rsidR="00055C38" w:rsidRDefault="00055C38" w:rsidP="003C5278">
            <w:pPr>
              <w:rPr>
                <w:rFonts w:ascii="Calibri" w:hAnsi="Calibri" w:cs="Calibri"/>
                <w:color w:val="000000"/>
                <w:sz w:val="18"/>
                <w:szCs w:val="18"/>
              </w:rPr>
            </w:pPr>
            <w:r>
              <w:rPr>
                <w:rFonts w:ascii="Calibri" w:hAnsi="Calibri" w:cs="Calibri"/>
                <w:color w:val="000000"/>
                <w:sz w:val="18"/>
                <w:szCs w:val="18"/>
                <w:lang w:val="en-US"/>
              </w:rPr>
              <w:t>Observed fear reactivity</w:t>
            </w:r>
          </w:p>
        </w:tc>
      </w:tr>
      <w:tr w:rsidR="00055C38" w14:paraId="437C1312" w14:textId="77777777" w:rsidTr="00055C38">
        <w:trPr>
          <w:trHeight w:val="320"/>
        </w:trPr>
        <w:tc>
          <w:tcPr>
            <w:tcW w:w="1300" w:type="dxa"/>
            <w:vMerge w:val="restart"/>
            <w:tcBorders>
              <w:top w:val="nil"/>
              <w:left w:val="nil"/>
              <w:bottom w:val="nil"/>
              <w:right w:val="nil"/>
            </w:tcBorders>
            <w:shd w:val="clear" w:color="auto" w:fill="auto"/>
            <w:vAlign w:val="center"/>
            <w:hideMark/>
          </w:tcPr>
          <w:p w14:paraId="65690017"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All</w:t>
            </w:r>
          </w:p>
        </w:tc>
        <w:tc>
          <w:tcPr>
            <w:tcW w:w="1300" w:type="dxa"/>
            <w:vMerge w:val="restart"/>
            <w:tcBorders>
              <w:top w:val="nil"/>
              <w:left w:val="nil"/>
              <w:bottom w:val="nil"/>
              <w:right w:val="nil"/>
            </w:tcBorders>
            <w:shd w:val="clear" w:color="auto" w:fill="auto"/>
            <w:vAlign w:val="center"/>
            <w:hideMark/>
          </w:tcPr>
          <w:p w14:paraId="08355D82"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β diversity</w:t>
            </w:r>
          </w:p>
        </w:tc>
        <w:tc>
          <w:tcPr>
            <w:tcW w:w="1300" w:type="dxa"/>
            <w:tcBorders>
              <w:top w:val="nil"/>
              <w:left w:val="nil"/>
              <w:bottom w:val="nil"/>
              <w:right w:val="nil"/>
            </w:tcBorders>
            <w:shd w:val="clear" w:color="auto" w:fill="auto"/>
            <w:vAlign w:val="center"/>
            <w:hideMark/>
          </w:tcPr>
          <w:p w14:paraId="0250EDF7"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R</w:t>
            </w:r>
            <w:r>
              <w:rPr>
                <w:rFonts w:ascii="Calibri" w:hAnsi="Calibri" w:cs="Calibri"/>
                <w:color w:val="000000"/>
                <w:sz w:val="18"/>
                <w:szCs w:val="18"/>
                <w:vertAlign w:val="superscript"/>
                <w:lang w:val="en-US"/>
              </w:rPr>
              <w:t>2</w:t>
            </w:r>
          </w:p>
        </w:tc>
        <w:tc>
          <w:tcPr>
            <w:tcW w:w="1300" w:type="dxa"/>
            <w:tcBorders>
              <w:top w:val="nil"/>
              <w:left w:val="nil"/>
              <w:bottom w:val="nil"/>
              <w:right w:val="nil"/>
            </w:tcBorders>
            <w:shd w:val="clear" w:color="auto" w:fill="auto"/>
            <w:vAlign w:val="center"/>
            <w:hideMark/>
          </w:tcPr>
          <w:p w14:paraId="75C5D6DF"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&lt;.01</w:t>
            </w:r>
          </w:p>
        </w:tc>
        <w:tc>
          <w:tcPr>
            <w:tcW w:w="1300" w:type="dxa"/>
            <w:tcBorders>
              <w:top w:val="nil"/>
              <w:left w:val="nil"/>
              <w:bottom w:val="nil"/>
              <w:right w:val="nil"/>
            </w:tcBorders>
            <w:shd w:val="clear" w:color="auto" w:fill="auto"/>
            <w:vAlign w:val="center"/>
            <w:hideMark/>
          </w:tcPr>
          <w:p w14:paraId="41D1276B"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&lt;.01</w:t>
            </w:r>
          </w:p>
        </w:tc>
        <w:tc>
          <w:tcPr>
            <w:tcW w:w="1300" w:type="dxa"/>
            <w:tcBorders>
              <w:top w:val="nil"/>
              <w:left w:val="nil"/>
              <w:bottom w:val="nil"/>
              <w:right w:val="nil"/>
            </w:tcBorders>
            <w:shd w:val="clear" w:color="auto" w:fill="auto"/>
            <w:vAlign w:val="center"/>
            <w:hideMark/>
          </w:tcPr>
          <w:p w14:paraId="0FE20EC3"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.01</w:t>
            </w:r>
          </w:p>
        </w:tc>
        <w:tc>
          <w:tcPr>
            <w:tcW w:w="1300" w:type="dxa"/>
            <w:tcBorders>
              <w:top w:val="nil"/>
              <w:left w:val="nil"/>
              <w:bottom w:val="nil"/>
              <w:right w:val="nil"/>
            </w:tcBorders>
            <w:shd w:val="clear" w:color="auto" w:fill="auto"/>
            <w:vAlign w:val="center"/>
            <w:hideMark/>
          </w:tcPr>
          <w:p w14:paraId="6E5D0EFA" w14:textId="77777777" w:rsidR="00055C38" w:rsidRPr="003C5278" w:rsidRDefault="00055C38">
            <w:pPr>
              <w:rPr>
                <w:rFonts w:ascii="Calibri" w:hAnsi="Calibri" w:cs="Calibri"/>
                <w:color w:val="000000" w:themeColor="text1"/>
                <w:sz w:val="18"/>
                <w:szCs w:val="18"/>
              </w:rPr>
            </w:pPr>
          </w:p>
        </w:tc>
        <w:tc>
          <w:tcPr>
            <w:tcW w:w="1300" w:type="dxa"/>
            <w:tcBorders>
              <w:top w:val="nil"/>
              <w:left w:val="nil"/>
              <w:bottom w:val="nil"/>
              <w:right w:val="nil"/>
            </w:tcBorders>
            <w:shd w:val="clear" w:color="auto" w:fill="auto"/>
            <w:vAlign w:val="center"/>
            <w:hideMark/>
          </w:tcPr>
          <w:p w14:paraId="0314793F"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.01</w:t>
            </w:r>
          </w:p>
        </w:tc>
      </w:tr>
      <w:tr w:rsidR="00055C38" w14:paraId="2A987987" w14:textId="77777777" w:rsidTr="00055C38">
        <w:trPr>
          <w:trHeight w:val="320"/>
        </w:trPr>
        <w:tc>
          <w:tcPr>
            <w:tcW w:w="1300" w:type="dxa"/>
            <w:vMerge/>
            <w:tcBorders>
              <w:top w:val="nil"/>
              <w:left w:val="nil"/>
              <w:bottom w:val="nil"/>
              <w:right w:val="nil"/>
            </w:tcBorders>
            <w:vAlign w:val="center"/>
            <w:hideMark/>
          </w:tcPr>
          <w:p w14:paraId="09F46154" w14:textId="77777777" w:rsidR="00055C38" w:rsidRDefault="00055C38">
            <w:pPr>
              <w:rPr>
                <w:rFonts w:ascii="Calibri" w:hAnsi="Calibri" w:cs="Calibri"/>
                <w:color w:val="000000"/>
                <w:sz w:val="18"/>
                <w:szCs w:val="18"/>
              </w:rPr>
            </w:pPr>
          </w:p>
        </w:tc>
        <w:tc>
          <w:tcPr>
            <w:tcW w:w="1300" w:type="dxa"/>
            <w:vMerge/>
            <w:tcBorders>
              <w:top w:val="nil"/>
              <w:left w:val="nil"/>
              <w:bottom w:val="nil"/>
              <w:right w:val="nil"/>
            </w:tcBorders>
            <w:vAlign w:val="center"/>
            <w:hideMark/>
          </w:tcPr>
          <w:p w14:paraId="7F467814" w14:textId="77777777" w:rsidR="00055C38" w:rsidRDefault="00055C38">
            <w:pPr>
              <w:rPr>
                <w:rFonts w:ascii="Calibri" w:hAnsi="Calibri" w:cs="Calibri"/>
                <w:color w:val="000000"/>
                <w:sz w:val="18"/>
                <w:szCs w:val="18"/>
              </w:rPr>
            </w:pPr>
          </w:p>
        </w:tc>
        <w:tc>
          <w:tcPr>
            <w:tcW w:w="1300" w:type="dxa"/>
            <w:tcBorders>
              <w:top w:val="nil"/>
              <w:left w:val="nil"/>
              <w:bottom w:val="nil"/>
              <w:right w:val="nil"/>
            </w:tcBorders>
            <w:shd w:val="clear" w:color="auto" w:fill="auto"/>
            <w:vAlign w:val="center"/>
            <w:hideMark/>
          </w:tcPr>
          <w:p w14:paraId="4D7989AE"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F</w:t>
            </w:r>
          </w:p>
        </w:tc>
        <w:tc>
          <w:tcPr>
            <w:tcW w:w="1300" w:type="dxa"/>
            <w:tcBorders>
              <w:top w:val="nil"/>
              <w:left w:val="nil"/>
              <w:bottom w:val="nil"/>
              <w:right w:val="nil"/>
            </w:tcBorders>
            <w:shd w:val="clear" w:color="auto" w:fill="auto"/>
            <w:vAlign w:val="center"/>
            <w:hideMark/>
          </w:tcPr>
          <w:p w14:paraId="4AA3C023"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1.1</w:t>
            </w:r>
          </w:p>
        </w:tc>
        <w:tc>
          <w:tcPr>
            <w:tcW w:w="1300" w:type="dxa"/>
            <w:tcBorders>
              <w:top w:val="nil"/>
              <w:left w:val="nil"/>
              <w:bottom w:val="nil"/>
              <w:right w:val="nil"/>
            </w:tcBorders>
            <w:shd w:val="clear" w:color="auto" w:fill="auto"/>
            <w:vAlign w:val="center"/>
            <w:hideMark/>
          </w:tcPr>
          <w:p w14:paraId="070ED616"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1.1</w:t>
            </w:r>
          </w:p>
        </w:tc>
        <w:tc>
          <w:tcPr>
            <w:tcW w:w="1300" w:type="dxa"/>
            <w:tcBorders>
              <w:top w:val="nil"/>
              <w:left w:val="nil"/>
              <w:bottom w:val="nil"/>
              <w:right w:val="nil"/>
            </w:tcBorders>
            <w:shd w:val="clear" w:color="auto" w:fill="auto"/>
            <w:vAlign w:val="center"/>
            <w:hideMark/>
          </w:tcPr>
          <w:p w14:paraId="5F37B586"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1.1</w:t>
            </w:r>
          </w:p>
        </w:tc>
        <w:tc>
          <w:tcPr>
            <w:tcW w:w="1300" w:type="dxa"/>
            <w:tcBorders>
              <w:top w:val="nil"/>
              <w:left w:val="nil"/>
              <w:bottom w:val="nil"/>
              <w:right w:val="nil"/>
            </w:tcBorders>
            <w:shd w:val="clear" w:color="auto" w:fill="auto"/>
            <w:vAlign w:val="center"/>
            <w:hideMark/>
          </w:tcPr>
          <w:p w14:paraId="773BC3F9" w14:textId="77777777" w:rsidR="00055C38" w:rsidRPr="003C5278" w:rsidRDefault="00055C38">
            <w:pPr>
              <w:rPr>
                <w:rFonts w:ascii="Calibri" w:hAnsi="Calibri" w:cs="Calibri"/>
                <w:color w:val="000000" w:themeColor="text1"/>
                <w:sz w:val="18"/>
                <w:szCs w:val="18"/>
              </w:rPr>
            </w:pPr>
          </w:p>
        </w:tc>
        <w:tc>
          <w:tcPr>
            <w:tcW w:w="1300" w:type="dxa"/>
            <w:tcBorders>
              <w:top w:val="nil"/>
              <w:left w:val="nil"/>
              <w:bottom w:val="nil"/>
              <w:right w:val="nil"/>
            </w:tcBorders>
            <w:shd w:val="clear" w:color="auto" w:fill="auto"/>
            <w:vAlign w:val="center"/>
            <w:hideMark/>
          </w:tcPr>
          <w:p w14:paraId="4ADA0FAF"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1.0</w:t>
            </w:r>
          </w:p>
        </w:tc>
      </w:tr>
      <w:tr w:rsidR="00055C38" w14:paraId="110DEE8F" w14:textId="77777777" w:rsidTr="00055C38">
        <w:trPr>
          <w:trHeight w:val="320"/>
        </w:trPr>
        <w:tc>
          <w:tcPr>
            <w:tcW w:w="1300" w:type="dxa"/>
            <w:vMerge/>
            <w:tcBorders>
              <w:top w:val="nil"/>
              <w:left w:val="nil"/>
              <w:bottom w:val="nil"/>
              <w:right w:val="nil"/>
            </w:tcBorders>
            <w:vAlign w:val="center"/>
            <w:hideMark/>
          </w:tcPr>
          <w:p w14:paraId="367AF86D" w14:textId="77777777" w:rsidR="00055C38" w:rsidRDefault="00055C38">
            <w:pPr>
              <w:rPr>
                <w:rFonts w:ascii="Calibri" w:hAnsi="Calibri" w:cs="Calibri"/>
                <w:color w:val="000000"/>
                <w:sz w:val="18"/>
                <w:szCs w:val="18"/>
              </w:rPr>
            </w:pPr>
          </w:p>
        </w:tc>
        <w:tc>
          <w:tcPr>
            <w:tcW w:w="1300" w:type="dxa"/>
            <w:vMerge/>
            <w:tcBorders>
              <w:top w:val="nil"/>
              <w:left w:val="nil"/>
              <w:bottom w:val="nil"/>
              <w:right w:val="nil"/>
            </w:tcBorders>
            <w:vAlign w:val="center"/>
            <w:hideMark/>
          </w:tcPr>
          <w:p w14:paraId="269932E9" w14:textId="77777777" w:rsidR="00055C38" w:rsidRDefault="00055C38">
            <w:pPr>
              <w:rPr>
                <w:rFonts w:ascii="Calibri" w:hAnsi="Calibri" w:cs="Calibri"/>
                <w:color w:val="000000"/>
                <w:sz w:val="18"/>
                <w:szCs w:val="18"/>
              </w:rPr>
            </w:pPr>
          </w:p>
        </w:tc>
        <w:tc>
          <w:tcPr>
            <w:tcW w:w="1300" w:type="dxa"/>
            <w:tcBorders>
              <w:top w:val="nil"/>
              <w:left w:val="nil"/>
              <w:bottom w:val="nil"/>
              <w:right w:val="nil"/>
            </w:tcBorders>
            <w:shd w:val="clear" w:color="auto" w:fill="auto"/>
            <w:vAlign w:val="center"/>
            <w:hideMark/>
          </w:tcPr>
          <w:p w14:paraId="5E42C8CB"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p</w:t>
            </w:r>
          </w:p>
        </w:tc>
        <w:tc>
          <w:tcPr>
            <w:tcW w:w="1300" w:type="dxa"/>
            <w:tcBorders>
              <w:top w:val="nil"/>
              <w:left w:val="nil"/>
              <w:bottom w:val="nil"/>
              <w:right w:val="nil"/>
            </w:tcBorders>
            <w:shd w:val="clear" w:color="auto" w:fill="auto"/>
            <w:vAlign w:val="center"/>
            <w:hideMark/>
          </w:tcPr>
          <w:p w14:paraId="431DFDC5"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.36</w:t>
            </w:r>
          </w:p>
        </w:tc>
        <w:tc>
          <w:tcPr>
            <w:tcW w:w="1300" w:type="dxa"/>
            <w:tcBorders>
              <w:top w:val="nil"/>
              <w:left w:val="nil"/>
              <w:bottom w:val="nil"/>
              <w:right w:val="nil"/>
            </w:tcBorders>
            <w:shd w:val="clear" w:color="auto" w:fill="auto"/>
            <w:vAlign w:val="center"/>
            <w:hideMark/>
          </w:tcPr>
          <w:p w14:paraId="709D493A"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.41</w:t>
            </w:r>
          </w:p>
        </w:tc>
        <w:tc>
          <w:tcPr>
            <w:tcW w:w="1300" w:type="dxa"/>
            <w:tcBorders>
              <w:top w:val="nil"/>
              <w:left w:val="nil"/>
              <w:bottom w:val="nil"/>
              <w:right w:val="nil"/>
            </w:tcBorders>
            <w:shd w:val="clear" w:color="auto" w:fill="auto"/>
            <w:vAlign w:val="center"/>
            <w:hideMark/>
          </w:tcPr>
          <w:p w14:paraId="5D0F2E07"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.25</w:t>
            </w:r>
          </w:p>
        </w:tc>
        <w:tc>
          <w:tcPr>
            <w:tcW w:w="1300" w:type="dxa"/>
            <w:tcBorders>
              <w:top w:val="nil"/>
              <w:left w:val="nil"/>
              <w:bottom w:val="nil"/>
              <w:right w:val="nil"/>
            </w:tcBorders>
            <w:shd w:val="clear" w:color="auto" w:fill="auto"/>
            <w:vAlign w:val="center"/>
            <w:hideMark/>
          </w:tcPr>
          <w:p w14:paraId="2A65BB67" w14:textId="77777777" w:rsidR="00055C38" w:rsidRPr="003C5278" w:rsidRDefault="00055C38">
            <w:pPr>
              <w:rPr>
                <w:rFonts w:ascii="Calibri" w:hAnsi="Calibri" w:cs="Calibri"/>
                <w:color w:val="000000" w:themeColor="text1"/>
                <w:sz w:val="18"/>
                <w:szCs w:val="18"/>
              </w:rPr>
            </w:pPr>
          </w:p>
        </w:tc>
        <w:tc>
          <w:tcPr>
            <w:tcW w:w="1300" w:type="dxa"/>
            <w:tcBorders>
              <w:top w:val="nil"/>
              <w:left w:val="nil"/>
              <w:bottom w:val="nil"/>
              <w:right w:val="nil"/>
            </w:tcBorders>
            <w:shd w:val="clear" w:color="auto" w:fill="auto"/>
            <w:vAlign w:val="center"/>
            <w:hideMark/>
          </w:tcPr>
          <w:p w14:paraId="1BD337BC"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.45</w:t>
            </w:r>
          </w:p>
        </w:tc>
      </w:tr>
      <w:tr w:rsidR="00055C38" w14:paraId="2AA51FF6" w14:textId="77777777" w:rsidTr="00055C38">
        <w:trPr>
          <w:trHeight w:val="320"/>
        </w:trPr>
        <w:tc>
          <w:tcPr>
            <w:tcW w:w="1300" w:type="dxa"/>
            <w:vMerge/>
            <w:tcBorders>
              <w:top w:val="nil"/>
              <w:left w:val="nil"/>
              <w:bottom w:val="nil"/>
              <w:right w:val="nil"/>
            </w:tcBorders>
            <w:vAlign w:val="center"/>
            <w:hideMark/>
          </w:tcPr>
          <w:p w14:paraId="5E858D75" w14:textId="77777777" w:rsidR="00055C38" w:rsidRDefault="00055C38">
            <w:pPr>
              <w:rPr>
                <w:rFonts w:ascii="Calibri" w:hAnsi="Calibri" w:cs="Calibri"/>
                <w:color w:val="000000"/>
                <w:sz w:val="18"/>
                <w:szCs w:val="18"/>
              </w:rPr>
            </w:pPr>
          </w:p>
        </w:tc>
        <w:tc>
          <w:tcPr>
            <w:tcW w:w="1300" w:type="dxa"/>
            <w:vMerge w:val="restart"/>
            <w:tcBorders>
              <w:top w:val="nil"/>
              <w:left w:val="nil"/>
              <w:bottom w:val="nil"/>
              <w:right w:val="nil"/>
            </w:tcBorders>
            <w:shd w:val="clear" w:color="auto" w:fill="auto"/>
            <w:vAlign w:val="center"/>
            <w:hideMark/>
          </w:tcPr>
          <w:p w14:paraId="4490B378"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β diversity, adjusted</w:t>
            </w:r>
          </w:p>
        </w:tc>
        <w:tc>
          <w:tcPr>
            <w:tcW w:w="1300" w:type="dxa"/>
            <w:tcBorders>
              <w:top w:val="nil"/>
              <w:left w:val="nil"/>
              <w:bottom w:val="nil"/>
              <w:right w:val="nil"/>
            </w:tcBorders>
            <w:shd w:val="clear" w:color="auto" w:fill="auto"/>
            <w:vAlign w:val="center"/>
            <w:hideMark/>
          </w:tcPr>
          <w:p w14:paraId="7E41E6FF"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R</w:t>
            </w:r>
            <w:r>
              <w:rPr>
                <w:rFonts w:ascii="Calibri" w:hAnsi="Calibri" w:cs="Calibri"/>
                <w:color w:val="000000"/>
                <w:sz w:val="18"/>
                <w:szCs w:val="18"/>
                <w:vertAlign w:val="superscript"/>
                <w:lang w:val="en-US"/>
              </w:rPr>
              <w:t>2</w:t>
            </w:r>
          </w:p>
        </w:tc>
        <w:tc>
          <w:tcPr>
            <w:tcW w:w="1300" w:type="dxa"/>
            <w:tcBorders>
              <w:top w:val="nil"/>
              <w:left w:val="nil"/>
              <w:bottom w:val="nil"/>
              <w:right w:val="nil"/>
            </w:tcBorders>
            <w:shd w:val="clear" w:color="auto" w:fill="auto"/>
            <w:vAlign w:val="center"/>
            <w:hideMark/>
          </w:tcPr>
          <w:p w14:paraId="4147ADC3"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&lt;.01</w:t>
            </w:r>
          </w:p>
        </w:tc>
        <w:tc>
          <w:tcPr>
            <w:tcW w:w="1300" w:type="dxa"/>
            <w:tcBorders>
              <w:top w:val="nil"/>
              <w:left w:val="nil"/>
              <w:bottom w:val="nil"/>
              <w:right w:val="nil"/>
            </w:tcBorders>
            <w:shd w:val="clear" w:color="auto" w:fill="auto"/>
            <w:vAlign w:val="center"/>
            <w:hideMark/>
          </w:tcPr>
          <w:p w14:paraId="75E1E5AE"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&lt;.01</w:t>
            </w:r>
          </w:p>
        </w:tc>
        <w:tc>
          <w:tcPr>
            <w:tcW w:w="1300" w:type="dxa"/>
            <w:tcBorders>
              <w:top w:val="nil"/>
              <w:left w:val="nil"/>
              <w:bottom w:val="nil"/>
              <w:right w:val="nil"/>
            </w:tcBorders>
            <w:shd w:val="clear" w:color="auto" w:fill="auto"/>
            <w:vAlign w:val="center"/>
            <w:hideMark/>
          </w:tcPr>
          <w:p w14:paraId="76354E3A"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.01</w:t>
            </w:r>
          </w:p>
        </w:tc>
        <w:tc>
          <w:tcPr>
            <w:tcW w:w="1300" w:type="dxa"/>
            <w:tcBorders>
              <w:top w:val="nil"/>
              <w:left w:val="nil"/>
              <w:bottom w:val="nil"/>
              <w:right w:val="nil"/>
            </w:tcBorders>
            <w:shd w:val="clear" w:color="auto" w:fill="auto"/>
            <w:vAlign w:val="center"/>
            <w:hideMark/>
          </w:tcPr>
          <w:p w14:paraId="7606F763" w14:textId="351C77BE" w:rsidR="00055C38" w:rsidRPr="003C5278" w:rsidRDefault="00FE0E95">
            <w:pPr>
              <w:rPr>
                <w:rFonts w:ascii="Calibri" w:hAnsi="Calibri" w:cs="Calibri"/>
                <w:color w:val="000000" w:themeColor="text1"/>
                <w:sz w:val="18"/>
                <w:szCs w:val="18"/>
              </w:rPr>
            </w:pPr>
            <w:r w:rsidRPr="003C5278">
              <w:rPr>
                <w:rFonts w:ascii="Calibri" w:hAnsi="Calibri" w:cs="Calibri"/>
                <w:color w:val="000000" w:themeColor="text1"/>
                <w:sz w:val="18"/>
                <w:szCs w:val="18"/>
              </w:rPr>
              <w:t>.01</w:t>
            </w:r>
          </w:p>
        </w:tc>
        <w:tc>
          <w:tcPr>
            <w:tcW w:w="1300" w:type="dxa"/>
            <w:tcBorders>
              <w:top w:val="nil"/>
              <w:left w:val="nil"/>
              <w:bottom w:val="nil"/>
              <w:right w:val="nil"/>
            </w:tcBorders>
            <w:shd w:val="clear" w:color="auto" w:fill="auto"/>
            <w:vAlign w:val="center"/>
            <w:hideMark/>
          </w:tcPr>
          <w:p w14:paraId="044D7599"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.01</w:t>
            </w:r>
          </w:p>
        </w:tc>
      </w:tr>
      <w:tr w:rsidR="00055C38" w14:paraId="79D380AF" w14:textId="77777777" w:rsidTr="00055C38">
        <w:trPr>
          <w:trHeight w:val="320"/>
        </w:trPr>
        <w:tc>
          <w:tcPr>
            <w:tcW w:w="1300" w:type="dxa"/>
            <w:vMerge/>
            <w:tcBorders>
              <w:top w:val="nil"/>
              <w:left w:val="nil"/>
              <w:bottom w:val="nil"/>
              <w:right w:val="nil"/>
            </w:tcBorders>
            <w:vAlign w:val="center"/>
            <w:hideMark/>
          </w:tcPr>
          <w:p w14:paraId="1BC7EEBF" w14:textId="77777777" w:rsidR="00055C38" w:rsidRDefault="00055C38">
            <w:pPr>
              <w:rPr>
                <w:rFonts w:ascii="Calibri" w:hAnsi="Calibri" w:cs="Calibri"/>
                <w:color w:val="000000"/>
                <w:sz w:val="18"/>
                <w:szCs w:val="18"/>
              </w:rPr>
            </w:pPr>
          </w:p>
        </w:tc>
        <w:tc>
          <w:tcPr>
            <w:tcW w:w="1300" w:type="dxa"/>
            <w:vMerge/>
            <w:tcBorders>
              <w:top w:val="nil"/>
              <w:left w:val="nil"/>
              <w:bottom w:val="nil"/>
              <w:right w:val="nil"/>
            </w:tcBorders>
            <w:vAlign w:val="center"/>
            <w:hideMark/>
          </w:tcPr>
          <w:p w14:paraId="601EC8B6" w14:textId="77777777" w:rsidR="00055C38" w:rsidRDefault="00055C38">
            <w:pPr>
              <w:rPr>
                <w:rFonts w:ascii="Calibri" w:hAnsi="Calibri" w:cs="Calibri"/>
                <w:color w:val="000000"/>
                <w:sz w:val="18"/>
                <w:szCs w:val="18"/>
              </w:rPr>
            </w:pPr>
          </w:p>
        </w:tc>
        <w:tc>
          <w:tcPr>
            <w:tcW w:w="1300" w:type="dxa"/>
            <w:tcBorders>
              <w:top w:val="nil"/>
              <w:left w:val="nil"/>
              <w:bottom w:val="nil"/>
              <w:right w:val="nil"/>
            </w:tcBorders>
            <w:shd w:val="clear" w:color="auto" w:fill="auto"/>
            <w:vAlign w:val="center"/>
            <w:hideMark/>
          </w:tcPr>
          <w:p w14:paraId="1806D838"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F</w:t>
            </w:r>
          </w:p>
        </w:tc>
        <w:tc>
          <w:tcPr>
            <w:tcW w:w="1300" w:type="dxa"/>
            <w:tcBorders>
              <w:top w:val="nil"/>
              <w:left w:val="nil"/>
              <w:bottom w:val="nil"/>
              <w:right w:val="nil"/>
            </w:tcBorders>
            <w:shd w:val="clear" w:color="auto" w:fill="auto"/>
            <w:vAlign w:val="center"/>
            <w:hideMark/>
          </w:tcPr>
          <w:p w14:paraId="59A1979C"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1.2</w:t>
            </w:r>
          </w:p>
        </w:tc>
        <w:tc>
          <w:tcPr>
            <w:tcW w:w="1300" w:type="dxa"/>
            <w:tcBorders>
              <w:top w:val="nil"/>
              <w:left w:val="nil"/>
              <w:bottom w:val="nil"/>
              <w:right w:val="nil"/>
            </w:tcBorders>
            <w:shd w:val="clear" w:color="auto" w:fill="auto"/>
            <w:vAlign w:val="center"/>
            <w:hideMark/>
          </w:tcPr>
          <w:p w14:paraId="27422F83"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0.9</w:t>
            </w:r>
          </w:p>
        </w:tc>
        <w:tc>
          <w:tcPr>
            <w:tcW w:w="1300" w:type="dxa"/>
            <w:tcBorders>
              <w:top w:val="nil"/>
              <w:left w:val="nil"/>
              <w:bottom w:val="nil"/>
              <w:right w:val="nil"/>
            </w:tcBorders>
            <w:shd w:val="clear" w:color="auto" w:fill="auto"/>
            <w:vAlign w:val="center"/>
            <w:hideMark/>
          </w:tcPr>
          <w:p w14:paraId="31258763"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1.2</w:t>
            </w:r>
          </w:p>
        </w:tc>
        <w:tc>
          <w:tcPr>
            <w:tcW w:w="1300" w:type="dxa"/>
            <w:tcBorders>
              <w:top w:val="nil"/>
              <w:left w:val="nil"/>
              <w:bottom w:val="nil"/>
              <w:right w:val="nil"/>
            </w:tcBorders>
            <w:shd w:val="clear" w:color="auto" w:fill="auto"/>
            <w:vAlign w:val="center"/>
            <w:hideMark/>
          </w:tcPr>
          <w:p w14:paraId="07C7AFCB" w14:textId="1AEB493E" w:rsidR="00055C38" w:rsidRPr="003C5278" w:rsidRDefault="00FE0E95">
            <w:pPr>
              <w:rPr>
                <w:rFonts w:ascii="Calibri" w:hAnsi="Calibri" w:cs="Calibri"/>
                <w:color w:val="000000" w:themeColor="text1"/>
                <w:sz w:val="18"/>
                <w:szCs w:val="18"/>
              </w:rPr>
            </w:pPr>
            <w:r w:rsidRPr="003C5278">
              <w:rPr>
                <w:rFonts w:ascii="Calibri" w:hAnsi="Calibri" w:cs="Calibri"/>
                <w:color w:val="000000" w:themeColor="text1"/>
                <w:sz w:val="18"/>
                <w:szCs w:val="18"/>
              </w:rPr>
              <w:t>1.2</w:t>
            </w:r>
          </w:p>
        </w:tc>
        <w:tc>
          <w:tcPr>
            <w:tcW w:w="1300" w:type="dxa"/>
            <w:tcBorders>
              <w:top w:val="nil"/>
              <w:left w:val="nil"/>
              <w:bottom w:val="nil"/>
              <w:right w:val="nil"/>
            </w:tcBorders>
            <w:shd w:val="clear" w:color="auto" w:fill="auto"/>
            <w:vAlign w:val="center"/>
            <w:hideMark/>
          </w:tcPr>
          <w:p w14:paraId="12AFB586"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1.1</w:t>
            </w:r>
          </w:p>
        </w:tc>
      </w:tr>
      <w:tr w:rsidR="00055C38" w14:paraId="48C8238F" w14:textId="77777777" w:rsidTr="00055C38">
        <w:trPr>
          <w:trHeight w:val="320"/>
        </w:trPr>
        <w:tc>
          <w:tcPr>
            <w:tcW w:w="1300" w:type="dxa"/>
            <w:vMerge/>
            <w:tcBorders>
              <w:top w:val="nil"/>
              <w:left w:val="nil"/>
              <w:bottom w:val="nil"/>
              <w:right w:val="nil"/>
            </w:tcBorders>
            <w:vAlign w:val="center"/>
            <w:hideMark/>
          </w:tcPr>
          <w:p w14:paraId="41FCC3D1" w14:textId="77777777" w:rsidR="00055C38" w:rsidRDefault="00055C38">
            <w:pPr>
              <w:rPr>
                <w:rFonts w:ascii="Calibri" w:hAnsi="Calibri" w:cs="Calibri"/>
                <w:color w:val="000000"/>
                <w:sz w:val="18"/>
                <w:szCs w:val="18"/>
              </w:rPr>
            </w:pPr>
          </w:p>
        </w:tc>
        <w:tc>
          <w:tcPr>
            <w:tcW w:w="1300" w:type="dxa"/>
            <w:vMerge/>
            <w:tcBorders>
              <w:top w:val="nil"/>
              <w:left w:val="nil"/>
              <w:bottom w:val="nil"/>
              <w:right w:val="nil"/>
            </w:tcBorders>
            <w:vAlign w:val="center"/>
            <w:hideMark/>
          </w:tcPr>
          <w:p w14:paraId="18F107B6" w14:textId="77777777" w:rsidR="00055C38" w:rsidRDefault="00055C38">
            <w:pPr>
              <w:rPr>
                <w:rFonts w:ascii="Calibri" w:hAnsi="Calibri" w:cs="Calibri"/>
                <w:color w:val="000000"/>
                <w:sz w:val="18"/>
                <w:szCs w:val="18"/>
              </w:rPr>
            </w:pPr>
          </w:p>
        </w:tc>
        <w:tc>
          <w:tcPr>
            <w:tcW w:w="1300" w:type="dxa"/>
            <w:tcBorders>
              <w:top w:val="nil"/>
              <w:left w:val="nil"/>
              <w:bottom w:val="nil"/>
              <w:right w:val="nil"/>
            </w:tcBorders>
            <w:shd w:val="clear" w:color="auto" w:fill="auto"/>
            <w:vAlign w:val="center"/>
            <w:hideMark/>
          </w:tcPr>
          <w:p w14:paraId="71C1A256"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p</w:t>
            </w:r>
          </w:p>
        </w:tc>
        <w:tc>
          <w:tcPr>
            <w:tcW w:w="1300" w:type="dxa"/>
            <w:tcBorders>
              <w:top w:val="nil"/>
              <w:left w:val="nil"/>
              <w:bottom w:val="nil"/>
              <w:right w:val="nil"/>
            </w:tcBorders>
            <w:shd w:val="clear" w:color="auto" w:fill="auto"/>
            <w:vAlign w:val="center"/>
            <w:hideMark/>
          </w:tcPr>
          <w:p w14:paraId="2C7DB98D"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.28</w:t>
            </w:r>
          </w:p>
        </w:tc>
        <w:tc>
          <w:tcPr>
            <w:tcW w:w="1300" w:type="dxa"/>
            <w:tcBorders>
              <w:top w:val="nil"/>
              <w:left w:val="nil"/>
              <w:bottom w:val="nil"/>
              <w:right w:val="nil"/>
            </w:tcBorders>
            <w:shd w:val="clear" w:color="auto" w:fill="auto"/>
            <w:vAlign w:val="center"/>
            <w:hideMark/>
          </w:tcPr>
          <w:p w14:paraId="6E4416E2"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.68</w:t>
            </w:r>
          </w:p>
        </w:tc>
        <w:tc>
          <w:tcPr>
            <w:tcW w:w="1300" w:type="dxa"/>
            <w:tcBorders>
              <w:top w:val="nil"/>
              <w:left w:val="nil"/>
              <w:bottom w:val="nil"/>
              <w:right w:val="nil"/>
            </w:tcBorders>
            <w:shd w:val="clear" w:color="auto" w:fill="auto"/>
            <w:vAlign w:val="center"/>
            <w:hideMark/>
          </w:tcPr>
          <w:p w14:paraId="452ED2F0"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.21</w:t>
            </w:r>
          </w:p>
        </w:tc>
        <w:tc>
          <w:tcPr>
            <w:tcW w:w="1300" w:type="dxa"/>
            <w:tcBorders>
              <w:top w:val="nil"/>
              <w:left w:val="nil"/>
              <w:bottom w:val="nil"/>
              <w:right w:val="nil"/>
            </w:tcBorders>
            <w:shd w:val="clear" w:color="auto" w:fill="auto"/>
            <w:vAlign w:val="center"/>
            <w:hideMark/>
          </w:tcPr>
          <w:p w14:paraId="305F1E53" w14:textId="46E43F0F" w:rsidR="00055C38" w:rsidRPr="003C5278" w:rsidRDefault="00FE0E95">
            <w:pPr>
              <w:rPr>
                <w:rFonts w:ascii="Calibri" w:hAnsi="Calibri" w:cs="Calibri"/>
                <w:color w:val="000000" w:themeColor="text1"/>
                <w:sz w:val="18"/>
                <w:szCs w:val="18"/>
              </w:rPr>
            </w:pPr>
            <w:r w:rsidRPr="003C5278">
              <w:rPr>
                <w:rFonts w:ascii="Calibri" w:hAnsi="Calibri" w:cs="Calibri"/>
                <w:color w:val="000000" w:themeColor="text1"/>
                <w:sz w:val="18"/>
                <w:szCs w:val="18"/>
              </w:rPr>
              <w:t>.26</w:t>
            </w:r>
          </w:p>
        </w:tc>
        <w:tc>
          <w:tcPr>
            <w:tcW w:w="1300" w:type="dxa"/>
            <w:tcBorders>
              <w:top w:val="nil"/>
              <w:left w:val="nil"/>
              <w:bottom w:val="nil"/>
              <w:right w:val="nil"/>
            </w:tcBorders>
            <w:shd w:val="clear" w:color="auto" w:fill="auto"/>
            <w:vAlign w:val="center"/>
            <w:hideMark/>
          </w:tcPr>
          <w:p w14:paraId="4C1B2786"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.34</w:t>
            </w:r>
          </w:p>
        </w:tc>
      </w:tr>
      <w:tr w:rsidR="00055C38" w14:paraId="257DCA66" w14:textId="77777777" w:rsidTr="00055C38">
        <w:trPr>
          <w:trHeight w:val="320"/>
        </w:trPr>
        <w:tc>
          <w:tcPr>
            <w:tcW w:w="1300" w:type="dxa"/>
            <w:vMerge w:val="restart"/>
            <w:tcBorders>
              <w:top w:val="nil"/>
              <w:left w:val="nil"/>
              <w:bottom w:val="nil"/>
              <w:right w:val="nil"/>
            </w:tcBorders>
            <w:shd w:val="clear" w:color="auto" w:fill="auto"/>
            <w:vAlign w:val="center"/>
            <w:hideMark/>
          </w:tcPr>
          <w:p w14:paraId="410903A9"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Girls</w:t>
            </w:r>
          </w:p>
        </w:tc>
        <w:tc>
          <w:tcPr>
            <w:tcW w:w="1300" w:type="dxa"/>
            <w:vMerge w:val="restart"/>
            <w:tcBorders>
              <w:top w:val="nil"/>
              <w:left w:val="nil"/>
              <w:bottom w:val="nil"/>
              <w:right w:val="nil"/>
            </w:tcBorders>
            <w:shd w:val="clear" w:color="auto" w:fill="auto"/>
            <w:vAlign w:val="center"/>
            <w:hideMark/>
          </w:tcPr>
          <w:p w14:paraId="11DE34A7"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β diversity unadjusted</w:t>
            </w:r>
          </w:p>
        </w:tc>
        <w:tc>
          <w:tcPr>
            <w:tcW w:w="1300" w:type="dxa"/>
            <w:tcBorders>
              <w:top w:val="nil"/>
              <w:left w:val="nil"/>
              <w:bottom w:val="nil"/>
              <w:right w:val="nil"/>
            </w:tcBorders>
            <w:shd w:val="clear" w:color="auto" w:fill="auto"/>
            <w:vAlign w:val="center"/>
            <w:hideMark/>
          </w:tcPr>
          <w:p w14:paraId="14969E5F"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R</w:t>
            </w:r>
            <w:r>
              <w:rPr>
                <w:rFonts w:ascii="Calibri" w:hAnsi="Calibri" w:cs="Calibri"/>
                <w:color w:val="000000"/>
                <w:sz w:val="18"/>
                <w:szCs w:val="18"/>
                <w:vertAlign w:val="superscript"/>
                <w:lang w:val="en-US"/>
              </w:rPr>
              <w:t>2</w:t>
            </w:r>
          </w:p>
        </w:tc>
        <w:tc>
          <w:tcPr>
            <w:tcW w:w="1300" w:type="dxa"/>
            <w:tcBorders>
              <w:top w:val="nil"/>
              <w:left w:val="nil"/>
              <w:bottom w:val="nil"/>
              <w:right w:val="nil"/>
            </w:tcBorders>
            <w:shd w:val="clear" w:color="auto" w:fill="auto"/>
            <w:vAlign w:val="center"/>
            <w:hideMark/>
          </w:tcPr>
          <w:p w14:paraId="714662B9"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.01</w:t>
            </w:r>
          </w:p>
        </w:tc>
        <w:tc>
          <w:tcPr>
            <w:tcW w:w="1300" w:type="dxa"/>
            <w:tcBorders>
              <w:top w:val="nil"/>
              <w:left w:val="nil"/>
              <w:bottom w:val="nil"/>
              <w:right w:val="nil"/>
            </w:tcBorders>
            <w:shd w:val="clear" w:color="auto" w:fill="auto"/>
            <w:vAlign w:val="center"/>
            <w:hideMark/>
          </w:tcPr>
          <w:p w14:paraId="34464699"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.01</w:t>
            </w:r>
          </w:p>
        </w:tc>
        <w:tc>
          <w:tcPr>
            <w:tcW w:w="1300" w:type="dxa"/>
            <w:tcBorders>
              <w:top w:val="nil"/>
              <w:left w:val="nil"/>
              <w:bottom w:val="nil"/>
              <w:right w:val="nil"/>
            </w:tcBorders>
            <w:shd w:val="clear" w:color="auto" w:fill="auto"/>
            <w:vAlign w:val="center"/>
            <w:hideMark/>
          </w:tcPr>
          <w:p w14:paraId="070F2AEF"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.01</w:t>
            </w:r>
          </w:p>
        </w:tc>
        <w:tc>
          <w:tcPr>
            <w:tcW w:w="1300" w:type="dxa"/>
            <w:tcBorders>
              <w:top w:val="nil"/>
              <w:left w:val="nil"/>
              <w:bottom w:val="nil"/>
              <w:right w:val="nil"/>
            </w:tcBorders>
            <w:shd w:val="clear" w:color="auto" w:fill="auto"/>
            <w:vAlign w:val="center"/>
            <w:hideMark/>
          </w:tcPr>
          <w:p w14:paraId="6BEED402" w14:textId="77777777" w:rsidR="00055C38" w:rsidRPr="003C5278" w:rsidRDefault="00055C38">
            <w:pPr>
              <w:rPr>
                <w:rFonts w:ascii="Calibri" w:hAnsi="Calibri" w:cs="Calibri"/>
                <w:color w:val="000000" w:themeColor="text1"/>
                <w:sz w:val="18"/>
                <w:szCs w:val="18"/>
              </w:rPr>
            </w:pPr>
          </w:p>
        </w:tc>
        <w:tc>
          <w:tcPr>
            <w:tcW w:w="1300" w:type="dxa"/>
            <w:tcBorders>
              <w:top w:val="nil"/>
              <w:left w:val="nil"/>
              <w:bottom w:val="nil"/>
              <w:right w:val="nil"/>
            </w:tcBorders>
            <w:shd w:val="clear" w:color="auto" w:fill="auto"/>
            <w:vAlign w:val="center"/>
            <w:hideMark/>
          </w:tcPr>
          <w:p w14:paraId="444851FA"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.02</w:t>
            </w:r>
          </w:p>
        </w:tc>
      </w:tr>
      <w:tr w:rsidR="00055C38" w14:paraId="7B1ED0D4" w14:textId="77777777" w:rsidTr="00055C38">
        <w:trPr>
          <w:trHeight w:val="320"/>
        </w:trPr>
        <w:tc>
          <w:tcPr>
            <w:tcW w:w="1300" w:type="dxa"/>
            <w:vMerge/>
            <w:tcBorders>
              <w:top w:val="nil"/>
              <w:left w:val="nil"/>
              <w:bottom w:val="nil"/>
              <w:right w:val="nil"/>
            </w:tcBorders>
            <w:vAlign w:val="center"/>
            <w:hideMark/>
          </w:tcPr>
          <w:p w14:paraId="65CA7814" w14:textId="77777777" w:rsidR="00055C38" w:rsidRDefault="00055C38">
            <w:pPr>
              <w:rPr>
                <w:rFonts w:ascii="Calibri" w:hAnsi="Calibri" w:cs="Calibri"/>
                <w:color w:val="000000"/>
                <w:sz w:val="18"/>
                <w:szCs w:val="18"/>
              </w:rPr>
            </w:pPr>
          </w:p>
        </w:tc>
        <w:tc>
          <w:tcPr>
            <w:tcW w:w="1300" w:type="dxa"/>
            <w:vMerge/>
            <w:tcBorders>
              <w:top w:val="nil"/>
              <w:left w:val="nil"/>
              <w:bottom w:val="nil"/>
              <w:right w:val="nil"/>
            </w:tcBorders>
            <w:vAlign w:val="center"/>
            <w:hideMark/>
          </w:tcPr>
          <w:p w14:paraId="236D8CFB" w14:textId="77777777" w:rsidR="00055C38" w:rsidRDefault="00055C38">
            <w:pPr>
              <w:rPr>
                <w:rFonts w:ascii="Calibri" w:hAnsi="Calibri" w:cs="Calibri"/>
                <w:color w:val="000000"/>
                <w:sz w:val="18"/>
                <w:szCs w:val="18"/>
              </w:rPr>
            </w:pPr>
          </w:p>
        </w:tc>
        <w:tc>
          <w:tcPr>
            <w:tcW w:w="1300" w:type="dxa"/>
            <w:tcBorders>
              <w:top w:val="nil"/>
              <w:left w:val="nil"/>
              <w:bottom w:val="nil"/>
              <w:right w:val="nil"/>
            </w:tcBorders>
            <w:shd w:val="clear" w:color="auto" w:fill="auto"/>
            <w:vAlign w:val="center"/>
            <w:hideMark/>
          </w:tcPr>
          <w:p w14:paraId="3CC63A5F"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F</w:t>
            </w:r>
          </w:p>
        </w:tc>
        <w:tc>
          <w:tcPr>
            <w:tcW w:w="1300" w:type="dxa"/>
            <w:tcBorders>
              <w:top w:val="nil"/>
              <w:left w:val="nil"/>
              <w:bottom w:val="nil"/>
              <w:right w:val="nil"/>
            </w:tcBorders>
            <w:shd w:val="clear" w:color="auto" w:fill="auto"/>
            <w:vAlign w:val="center"/>
            <w:hideMark/>
          </w:tcPr>
          <w:p w14:paraId="1BBA2967"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1.4</w:t>
            </w:r>
          </w:p>
        </w:tc>
        <w:tc>
          <w:tcPr>
            <w:tcW w:w="1300" w:type="dxa"/>
            <w:tcBorders>
              <w:top w:val="nil"/>
              <w:left w:val="nil"/>
              <w:bottom w:val="nil"/>
              <w:right w:val="nil"/>
            </w:tcBorders>
            <w:shd w:val="clear" w:color="auto" w:fill="auto"/>
            <w:vAlign w:val="center"/>
            <w:hideMark/>
          </w:tcPr>
          <w:p w14:paraId="4FD3148E"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1.3</w:t>
            </w:r>
          </w:p>
        </w:tc>
        <w:tc>
          <w:tcPr>
            <w:tcW w:w="1300" w:type="dxa"/>
            <w:tcBorders>
              <w:top w:val="nil"/>
              <w:left w:val="nil"/>
              <w:bottom w:val="nil"/>
              <w:right w:val="nil"/>
            </w:tcBorders>
            <w:shd w:val="clear" w:color="auto" w:fill="auto"/>
            <w:vAlign w:val="center"/>
            <w:hideMark/>
          </w:tcPr>
          <w:p w14:paraId="6FC87801"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0.6</w:t>
            </w:r>
          </w:p>
        </w:tc>
        <w:tc>
          <w:tcPr>
            <w:tcW w:w="1300" w:type="dxa"/>
            <w:tcBorders>
              <w:top w:val="nil"/>
              <w:left w:val="nil"/>
              <w:bottom w:val="nil"/>
              <w:right w:val="nil"/>
            </w:tcBorders>
            <w:shd w:val="clear" w:color="auto" w:fill="auto"/>
            <w:vAlign w:val="center"/>
            <w:hideMark/>
          </w:tcPr>
          <w:p w14:paraId="78B0B832" w14:textId="77777777" w:rsidR="00055C38" w:rsidRPr="003C5278" w:rsidRDefault="00055C38">
            <w:pPr>
              <w:rPr>
                <w:rFonts w:ascii="Calibri" w:hAnsi="Calibri" w:cs="Calibri"/>
                <w:color w:val="000000" w:themeColor="text1"/>
                <w:sz w:val="18"/>
                <w:szCs w:val="18"/>
              </w:rPr>
            </w:pPr>
          </w:p>
        </w:tc>
        <w:tc>
          <w:tcPr>
            <w:tcW w:w="1300" w:type="dxa"/>
            <w:tcBorders>
              <w:top w:val="nil"/>
              <w:left w:val="nil"/>
              <w:bottom w:val="nil"/>
              <w:right w:val="nil"/>
            </w:tcBorders>
            <w:shd w:val="clear" w:color="auto" w:fill="auto"/>
            <w:vAlign w:val="center"/>
            <w:hideMark/>
          </w:tcPr>
          <w:p w14:paraId="2E973D7E"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1.2</w:t>
            </w:r>
          </w:p>
        </w:tc>
      </w:tr>
      <w:tr w:rsidR="00055C38" w14:paraId="7CE4A9AC" w14:textId="77777777" w:rsidTr="00055C38">
        <w:trPr>
          <w:trHeight w:val="320"/>
        </w:trPr>
        <w:tc>
          <w:tcPr>
            <w:tcW w:w="1300" w:type="dxa"/>
            <w:vMerge/>
            <w:tcBorders>
              <w:top w:val="nil"/>
              <w:left w:val="nil"/>
              <w:bottom w:val="nil"/>
              <w:right w:val="nil"/>
            </w:tcBorders>
            <w:vAlign w:val="center"/>
            <w:hideMark/>
          </w:tcPr>
          <w:p w14:paraId="683E4ED9" w14:textId="77777777" w:rsidR="00055C38" w:rsidRDefault="00055C38">
            <w:pPr>
              <w:rPr>
                <w:rFonts w:ascii="Calibri" w:hAnsi="Calibri" w:cs="Calibri"/>
                <w:color w:val="000000"/>
                <w:sz w:val="18"/>
                <w:szCs w:val="18"/>
              </w:rPr>
            </w:pPr>
          </w:p>
        </w:tc>
        <w:tc>
          <w:tcPr>
            <w:tcW w:w="1300" w:type="dxa"/>
            <w:vMerge/>
            <w:tcBorders>
              <w:top w:val="nil"/>
              <w:left w:val="nil"/>
              <w:bottom w:val="nil"/>
              <w:right w:val="nil"/>
            </w:tcBorders>
            <w:vAlign w:val="center"/>
            <w:hideMark/>
          </w:tcPr>
          <w:p w14:paraId="3963C229" w14:textId="77777777" w:rsidR="00055C38" w:rsidRDefault="00055C38">
            <w:pPr>
              <w:rPr>
                <w:rFonts w:ascii="Calibri" w:hAnsi="Calibri" w:cs="Calibri"/>
                <w:color w:val="000000"/>
                <w:sz w:val="18"/>
                <w:szCs w:val="18"/>
              </w:rPr>
            </w:pPr>
          </w:p>
        </w:tc>
        <w:tc>
          <w:tcPr>
            <w:tcW w:w="1300" w:type="dxa"/>
            <w:tcBorders>
              <w:top w:val="nil"/>
              <w:left w:val="nil"/>
              <w:bottom w:val="nil"/>
              <w:right w:val="nil"/>
            </w:tcBorders>
            <w:shd w:val="clear" w:color="auto" w:fill="auto"/>
            <w:vAlign w:val="center"/>
            <w:hideMark/>
          </w:tcPr>
          <w:p w14:paraId="431C64E1"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p</w:t>
            </w:r>
          </w:p>
        </w:tc>
        <w:tc>
          <w:tcPr>
            <w:tcW w:w="1300" w:type="dxa"/>
            <w:tcBorders>
              <w:top w:val="nil"/>
              <w:left w:val="nil"/>
              <w:bottom w:val="nil"/>
              <w:right w:val="nil"/>
            </w:tcBorders>
            <w:shd w:val="clear" w:color="auto" w:fill="auto"/>
            <w:vAlign w:val="center"/>
            <w:hideMark/>
          </w:tcPr>
          <w:p w14:paraId="3356D83E"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.14</w:t>
            </w:r>
          </w:p>
        </w:tc>
        <w:tc>
          <w:tcPr>
            <w:tcW w:w="1300" w:type="dxa"/>
            <w:tcBorders>
              <w:top w:val="nil"/>
              <w:left w:val="nil"/>
              <w:bottom w:val="nil"/>
              <w:right w:val="nil"/>
            </w:tcBorders>
            <w:shd w:val="clear" w:color="auto" w:fill="auto"/>
            <w:vAlign w:val="center"/>
            <w:hideMark/>
          </w:tcPr>
          <w:p w14:paraId="25B28776"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.20</w:t>
            </w:r>
          </w:p>
        </w:tc>
        <w:tc>
          <w:tcPr>
            <w:tcW w:w="1300" w:type="dxa"/>
            <w:tcBorders>
              <w:top w:val="nil"/>
              <w:left w:val="nil"/>
              <w:bottom w:val="nil"/>
              <w:right w:val="nil"/>
            </w:tcBorders>
            <w:shd w:val="clear" w:color="auto" w:fill="auto"/>
            <w:vAlign w:val="center"/>
            <w:hideMark/>
          </w:tcPr>
          <w:p w14:paraId="4D03718A"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.96</w:t>
            </w:r>
          </w:p>
        </w:tc>
        <w:tc>
          <w:tcPr>
            <w:tcW w:w="1300" w:type="dxa"/>
            <w:tcBorders>
              <w:top w:val="nil"/>
              <w:left w:val="nil"/>
              <w:bottom w:val="nil"/>
              <w:right w:val="nil"/>
            </w:tcBorders>
            <w:shd w:val="clear" w:color="auto" w:fill="auto"/>
            <w:vAlign w:val="center"/>
            <w:hideMark/>
          </w:tcPr>
          <w:p w14:paraId="18279367" w14:textId="77777777" w:rsidR="00055C38" w:rsidRPr="003C5278" w:rsidRDefault="00055C38">
            <w:pPr>
              <w:rPr>
                <w:rFonts w:ascii="Calibri" w:hAnsi="Calibri" w:cs="Calibri"/>
                <w:color w:val="000000" w:themeColor="text1"/>
                <w:sz w:val="18"/>
                <w:szCs w:val="18"/>
              </w:rPr>
            </w:pPr>
          </w:p>
        </w:tc>
        <w:tc>
          <w:tcPr>
            <w:tcW w:w="1300" w:type="dxa"/>
            <w:tcBorders>
              <w:top w:val="nil"/>
              <w:left w:val="nil"/>
              <w:bottom w:val="nil"/>
              <w:right w:val="nil"/>
            </w:tcBorders>
            <w:shd w:val="clear" w:color="auto" w:fill="auto"/>
            <w:vAlign w:val="center"/>
            <w:hideMark/>
          </w:tcPr>
          <w:p w14:paraId="414E88D8"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.25</w:t>
            </w:r>
          </w:p>
        </w:tc>
      </w:tr>
      <w:tr w:rsidR="00055C38" w14:paraId="670BD337" w14:textId="77777777" w:rsidTr="00055C38">
        <w:trPr>
          <w:trHeight w:val="320"/>
        </w:trPr>
        <w:tc>
          <w:tcPr>
            <w:tcW w:w="1300" w:type="dxa"/>
            <w:vMerge/>
            <w:tcBorders>
              <w:top w:val="nil"/>
              <w:left w:val="nil"/>
              <w:bottom w:val="nil"/>
              <w:right w:val="nil"/>
            </w:tcBorders>
            <w:vAlign w:val="center"/>
            <w:hideMark/>
          </w:tcPr>
          <w:p w14:paraId="6B4E1834" w14:textId="77777777" w:rsidR="00055C38" w:rsidRDefault="00055C38">
            <w:pPr>
              <w:rPr>
                <w:rFonts w:ascii="Calibri" w:hAnsi="Calibri" w:cs="Calibri"/>
                <w:color w:val="000000"/>
                <w:sz w:val="18"/>
                <w:szCs w:val="18"/>
              </w:rPr>
            </w:pPr>
          </w:p>
        </w:tc>
        <w:tc>
          <w:tcPr>
            <w:tcW w:w="1300" w:type="dxa"/>
            <w:vMerge w:val="restart"/>
            <w:tcBorders>
              <w:top w:val="nil"/>
              <w:left w:val="nil"/>
              <w:bottom w:val="nil"/>
              <w:right w:val="nil"/>
            </w:tcBorders>
            <w:shd w:val="clear" w:color="auto" w:fill="auto"/>
            <w:vAlign w:val="center"/>
            <w:hideMark/>
          </w:tcPr>
          <w:p w14:paraId="2E03724F"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β diversity, adjusted</w:t>
            </w:r>
          </w:p>
        </w:tc>
        <w:tc>
          <w:tcPr>
            <w:tcW w:w="1300" w:type="dxa"/>
            <w:tcBorders>
              <w:top w:val="nil"/>
              <w:left w:val="nil"/>
              <w:bottom w:val="nil"/>
              <w:right w:val="nil"/>
            </w:tcBorders>
            <w:shd w:val="clear" w:color="auto" w:fill="auto"/>
            <w:vAlign w:val="center"/>
            <w:hideMark/>
          </w:tcPr>
          <w:p w14:paraId="55451E6F"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R</w:t>
            </w:r>
            <w:r>
              <w:rPr>
                <w:rFonts w:ascii="Calibri" w:hAnsi="Calibri" w:cs="Calibri"/>
                <w:color w:val="000000"/>
                <w:sz w:val="18"/>
                <w:szCs w:val="18"/>
                <w:vertAlign w:val="superscript"/>
                <w:lang w:val="en-US"/>
              </w:rPr>
              <w:t>2</w:t>
            </w:r>
          </w:p>
        </w:tc>
        <w:tc>
          <w:tcPr>
            <w:tcW w:w="1300" w:type="dxa"/>
            <w:tcBorders>
              <w:top w:val="nil"/>
              <w:left w:val="nil"/>
              <w:bottom w:val="nil"/>
              <w:right w:val="nil"/>
            </w:tcBorders>
            <w:shd w:val="clear" w:color="auto" w:fill="auto"/>
            <w:vAlign w:val="center"/>
            <w:hideMark/>
          </w:tcPr>
          <w:p w14:paraId="57AD6B14"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.01</w:t>
            </w:r>
          </w:p>
        </w:tc>
        <w:tc>
          <w:tcPr>
            <w:tcW w:w="1300" w:type="dxa"/>
            <w:tcBorders>
              <w:top w:val="nil"/>
              <w:left w:val="nil"/>
              <w:bottom w:val="nil"/>
              <w:right w:val="nil"/>
            </w:tcBorders>
            <w:shd w:val="clear" w:color="auto" w:fill="auto"/>
            <w:vAlign w:val="center"/>
            <w:hideMark/>
          </w:tcPr>
          <w:p w14:paraId="32F1C78A"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.01</w:t>
            </w:r>
          </w:p>
        </w:tc>
        <w:tc>
          <w:tcPr>
            <w:tcW w:w="1300" w:type="dxa"/>
            <w:tcBorders>
              <w:top w:val="nil"/>
              <w:left w:val="nil"/>
              <w:bottom w:val="nil"/>
              <w:right w:val="nil"/>
            </w:tcBorders>
            <w:shd w:val="clear" w:color="auto" w:fill="auto"/>
            <w:vAlign w:val="center"/>
            <w:hideMark/>
          </w:tcPr>
          <w:p w14:paraId="0080DAD8"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.01</w:t>
            </w:r>
          </w:p>
        </w:tc>
        <w:tc>
          <w:tcPr>
            <w:tcW w:w="1300" w:type="dxa"/>
            <w:tcBorders>
              <w:top w:val="nil"/>
              <w:left w:val="nil"/>
              <w:bottom w:val="nil"/>
              <w:right w:val="nil"/>
            </w:tcBorders>
            <w:shd w:val="clear" w:color="auto" w:fill="auto"/>
            <w:vAlign w:val="center"/>
            <w:hideMark/>
          </w:tcPr>
          <w:p w14:paraId="6A583E8C" w14:textId="06F045FC" w:rsidR="00055C38" w:rsidRPr="003C5278" w:rsidRDefault="00FE0E95">
            <w:pPr>
              <w:rPr>
                <w:rFonts w:ascii="Calibri" w:hAnsi="Calibri" w:cs="Calibri"/>
                <w:color w:val="000000" w:themeColor="text1"/>
                <w:sz w:val="18"/>
                <w:szCs w:val="18"/>
              </w:rPr>
            </w:pPr>
            <w:r w:rsidRPr="003C5278">
              <w:rPr>
                <w:rFonts w:ascii="Calibri" w:hAnsi="Calibri" w:cs="Calibri"/>
                <w:color w:val="000000" w:themeColor="text1"/>
                <w:sz w:val="18"/>
                <w:szCs w:val="18"/>
              </w:rPr>
              <w:t>.01</w:t>
            </w:r>
          </w:p>
        </w:tc>
        <w:tc>
          <w:tcPr>
            <w:tcW w:w="1300" w:type="dxa"/>
            <w:tcBorders>
              <w:top w:val="nil"/>
              <w:left w:val="nil"/>
              <w:bottom w:val="nil"/>
              <w:right w:val="nil"/>
            </w:tcBorders>
            <w:shd w:val="clear" w:color="auto" w:fill="auto"/>
            <w:vAlign w:val="center"/>
            <w:hideMark/>
          </w:tcPr>
          <w:p w14:paraId="566475E6"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.02</w:t>
            </w:r>
          </w:p>
        </w:tc>
      </w:tr>
      <w:tr w:rsidR="00055C38" w14:paraId="615BB117" w14:textId="77777777" w:rsidTr="00055C38">
        <w:trPr>
          <w:trHeight w:val="320"/>
        </w:trPr>
        <w:tc>
          <w:tcPr>
            <w:tcW w:w="1300" w:type="dxa"/>
            <w:vMerge/>
            <w:tcBorders>
              <w:top w:val="nil"/>
              <w:left w:val="nil"/>
              <w:bottom w:val="nil"/>
              <w:right w:val="nil"/>
            </w:tcBorders>
            <w:vAlign w:val="center"/>
            <w:hideMark/>
          </w:tcPr>
          <w:p w14:paraId="4BB2DCF1" w14:textId="77777777" w:rsidR="00055C38" w:rsidRDefault="00055C38">
            <w:pPr>
              <w:rPr>
                <w:rFonts w:ascii="Calibri" w:hAnsi="Calibri" w:cs="Calibri"/>
                <w:color w:val="000000"/>
                <w:sz w:val="18"/>
                <w:szCs w:val="18"/>
              </w:rPr>
            </w:pPr>
          </w:p>
        </w:tc>
        <w:tc>
          <w:tcPr>
            <w:tcW w:w="1300" w:type="dxa"/>
            <w:vMerge/>
            <w:tcBorders>
              <w:top w:val="nil"/>
              <w:left w:val="nil"/>
              <w:bottom w:val="nil"/>
              <w:right w:val="nil"/>
            </w:tcBorders>
            <w:vAlign w:val="center"/>
            <w:hideMark/>
          </w:tcPr>
          <w:p w14:paraId="27D2DBF9" w14:textId="77777777" w:rsidR="00055C38" w:rsidRDefault="00055C38">
            <w:pPr>
              <w:rPr>
                <w:rFonts w:ascii="Calibri" w:hAnsi="Calibri" w:cs="Calibri"/>
                <w:color w:val="000000"/>
                <w:sz w:val="18"/>
                <w:szCs w:val="18"/>
              </w:rPr>
            </w:pPr>
          </w:p>
        </w:tc>
        <w:tc>
          <w:tcPr>
            <w:tcW w:w="1300" w:type="dxa"/>
            <w:tcBorders>
              <w:top w:val="nil"/>
              <w:left w:val="nil"/>
              <w:bottom w:val="nil"/>
              <w:right w:val="nil"/>
            </w:tcBorders>
            <w:shd w:val="clear" w:color="auto" w:fill="auto"/>
            <w:vAlign w:val="center"/>
            <w:hideMark/>
          </w:tcPr>
          <w:p w14:paraId="5F4DB1CD"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F</w:t>
            </w:r>
          </w:p>
        </w:tc>
        <w:tc>
          <w:tcPr>
            <w:tcW w:w="1300" w:type="dxa"/>
            <w:tcBorders>
              <w:top w:val="nil"/>
              <w:left w:val="nil"/>
              <w:bottom w:val="nil"/>
              <w:right w:val="nil"/>
            </w:tcBorders>
            <w:shd w:val="clear" w:color="auto" w:fill="auto"/>
            <w:vAlign w:val="center"/>
            <w:hideMark/>
          </w:tcPr>
          <w:p w14:paraId="42AAF737"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1.3</w:t>
            </w:r>
          </w:p>
        </w:tc>
        <w:tc>
          <w:tcPr>
            <w:tcW w:w="1300" w:type="dxa"/>
            <w:tcBorders>
              <w:top w:val="nil"/>
              <w:left w:val="nil"/>
              <w:bottom w:val="nil"/>
              <w:right w:val="nil"/>
            </w:tcBorders>
            <w:shd w:val="clear" w:color="auto" w:fill="auto"/>
            <w:vAlign w:val="center"/>
            <w:hideMark/>
          </w:tcPr>
          <w:p w14:paraId="33DAC87B"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1.1</w:t>
            </w:r>
          </w:p>
        </w:tc>
        <w:tc>
          <w:tcPr>
            <w:tcW w:w="1300" w:type="dxa"/>
            <w:tcBorders>
              <w:top w:val="nil"/>
              <w:left w:val="nil"/>
              <w:bottom w:val="nil"/>
              <w:right w:val="nil"/>
            </w:tcBorders>
            <w:shd w:val="clear" w:color="auto" w:fill="auto"/>
            <w:vAlign w:val="center"/>
            <w:hideMark/>
          </w:tcPr>
          <w:p w14:paraId="6B49E5CE"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0.5</w:t>
            </w:r>
          </w:p>
        </w:tc>
        <w:tc>
          <w:tcPr>
            <w:tcW w:w="1300" w:type="dxa"/>
            <w:tcBorders>
              <w:top w:val="nil"/>
              <w:left w:val="nil"/>
              <w:bottom w:val="nil"/>
              <w:right w:val="nil"/>
            </w:tcBorders>
            <w:shd w:val="clear" w:color="auto" w:fill="auto"/>
            <w:vAlign w:val="center"/>
            <w:hideMark/>
          </w:tcPr>
          <w:p w14:paraId="0D0208D9" w14:textId="573CD1A7" w:rsidR="00055C38" w:rsidRPr="003C5278" w:rsidRDefault="00FE0E95">
            <w:pPr>
              <w:rPr>
                <w:rFonts w:ascii="Calibri" w:hAnsi="Calibri" w:cs="Calibri"/>
                <w:color w:val="000000" w:themeColor="text1"/>
                <w:sz w:val="18"/>
                <w:szCs w:val="18"/>
              </w:rPr>
            </w:pPr>
            <w:r w:rsidRPr="003C5278">
              <w:rPr>
                <w:rFonts w:ascii="Calibri" w:hAnsi="Calibri" w:cs="Calibri"/>
                <w:color w:val="000000" w:themeColor="text1"/>
                <w:sz w:val="18"/>
                <w:szCs w:val="18"/>
              </w:rPr>
              <w:t>0.5</w:t>
            </w:r>
          </w:p>
        </w:tc>
        <w:tc>
          <w:tcPr>
            <w:tcW w:w="1300" w:type="dxa"/>
            <w:tcBorders>
              <w:top w:val="nil"/>
              <w:left w:val="nil"/>
              <w:bottom w:val="nil"/>
              <w:right w:val="nil"/>
            </w:tcBorders>
            <w:shd w:val="clear" w:color="auto" w:fill="auto"/>
            <w:vAlign w:val="center"/>
            <w:hideMark/>
          </w:tcPr>
          <w:p w14:paraId="221A2DCC"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1.1</w:t>
            </w:r>
          </w:p>
        </w:tc>
      </w:tr>
      <w:tr w:rsidR="00055C38" w14:paraId="617A95A4" w14:textId="77777777" w:rsidTr="00055C38">
        <w:trPr>
          <w:trHeight w:val="320"/>
        </w:trPr>
        <w:tc>
          <w:tcPr>
            <w:tcW w:w="1300" w:type="dxa"/>
            <w:vMerge/>
            <w:tcBorders>
              <w:top w:val="nil"/>
              <w:left w:val="nil"/>
              <w:bottom w:val="nil"/>
              <w:right w:val="nil"/>
            </w:tcBorders>
            <w:vAlign w:val="center"/>
            <w:hideMark/>
          </w:tcPr>
          <w:p w14:paraId="15A5B239" w14:textId="77777777" w:rsidR="00055C38" w:rsidRDefault="00055C38">
            <w:pPr>
              <w:rPr>
                <w:rFonts w:ascii="Calibri" w:hAnsi="Calibri" w:cs="Calibri"/>
                <w:color w:val="000000"/>
                <w:sz w:val="18"/>
                <w:szCs w:val="18"/>
              </w:rPr>
            </w:pPr>
          </w:p>
        </w:tc>
        <w:tc>
          <w:tcPr>
            <w:tcW w:w="1300" w:type="dxa"/>
            <w:vMerge/>
            <w:tcBorders>
              <w:top w:val="nil"/>
              <w:left w:val="nil"/>
              <w:bottom w:val="nil"/>
              <w:right w:val="nil"/>
            </w:tcBorders>
            <w:vAlign w:val="center"/>
            <w:hideMark/>
          </w:tcPr>
          <w:p w14:paraId="10B2F9A5" w14:textId="77777777" w:rsidR="00055C38" w:rsidRDefault="00055C38">
            <w:pPr>
              <w:rPr>
                <w:rFonts w:ascii="Calibri" w:hAnsi="Calibri" w:cs="Calibri"/>
                <w:color w:val="000000"/>
                <w:sz w:val="18"/>
                <w:szCs w:val="18"/>
              </w:rPr>
            </w:pPr>
          </w:p>
        </w:tc>
        <w:tc>
          <w:tcPr>
            <w:tcW w:w="1300" w:type="dxa"/>
            <w:tcBorders>
              <w:top w:val="nil"/>
              <w:left w:val="nil"/>
              <w:bottom w:val="nil"/>
              <w:right w:val="nil"/>
            </w:tcBorders>
            <w:shd w:val="clear" w:color="auto" w:fill="auto"/>
            <w:vAlign w:val="center"/>
            <w:hideMark/>
          </w:tcPr>
          <w:p w14:paraId="3D1FE69D"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p</w:t>
            </w:r>
          </w:p>
        </w:tc>
        <w:tc>
          <w:tcPr>
            <w:tcW w:w="1300" w:type="dxa"/>
            <w:tcBorders>
              <w:top w:val="nil"/>
              <w:left w:val="nil"/>
              <w:bottom w:val="nil"/>
              <w:right w:val="nil"/>
            </w:tcBorders>
            <w:shd w:val="clear" w:color="auto" w:fill="auto"/>
            <w:vAlign w:val="center"/>
            <w:hideMark/>
          </w:tcPr>
          <w:p w14:paraId="0BDEED4E"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.19</w:t>
            </w:r>
          </w:p>
        </w:tc>
        <w:tc>
          <w:tcPr>
            <w:tcW w:w="1300" w:type="dxa"/>
            <w:tcBorders>
              <w:top w:val="nil"/>
              <w:left w:val="nil"/>
              <w:bottom w:val="nil"/>
              <w:right w:val="nil"/>
            </w:tcBorders>
            <w:shd w:val="clear" w:color="auto" w:fill="auto"/>
            <w:vAlign w:val="center"/>
            <w:hideMark/>
          </w:tcPr>
          <w:p w14:paraId="02427BC4"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.32</w:t>
            </w:r>
          </w:p>
        </w:tc>
        <w:tc>
          <w:tcPr>
            <w:tcW w:w="1300" w:type="dxa"/>
            <w:tcBorders>
              <w:top w:val="nil"/>
              <w:left w:val="nil"/>
              <w:bottom w:val="nil"/>
              <w:right w:val="nil"/>
            </w:tcBorders>
            <w:shd w:val="clear" w:color="auto" w:fill="auto"/>
            <w:vAlign w:val="center"/>
            <w:hideMark/>
          </w:tcPr>
          <w:p w14:paraId="4B92CB0B"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.95</w:t>
            </w:r>
          </w:p>
        </w:tc>
        <w:tc>
          <w:tcPr>
            <w:tcW w:w="1300" w:type="dxa"/>
            <w:tcBorders>
              <w:top w:val="nil"/>
              <w:left w:val="nil"/>
              <w:bottom w:val="nil"/>
              <w:right w:val="nil"/>
            </w:tcBorders>
            <w:shd w:val="clear" w:color="auto" w:fill="auto"/>
            <w:vAlign w:val="center"/>
            <w:hideMark/>
          </w:tcPr>
          <w:p w14:paraId="598451B8" w14:textId="5A5903CA" w:rsidR="00055C38" w:rsidRPr="003C5278" w:rsidRDefault="00FE0E95">
            <w:pPr>
              <w:rPr>
                <w:rFonts w:ascii="Calibri" w:hAnsi="Calibri" w:cs="Calibri"/>
                <w:color w:val="000000" w:themeColor="text1"/>
                <w:sz w:val="18"/>
                <w:szCs w:val="18"/>
              </w:rPr>
            </w:pPr>
            <w:r w:rsidRPr="003C5278">
              <w:rPr>
                <w:rFonts w:ascii="Calibri" w:hAnsi="Calibri" w:cs="Calibri"/>
                <w:color w:val="000000" w:themeColor="text1"/>
                <w:sz w:val="18"/>
                <w:szCs w:val="18"/>
              </w:rPr>
              <w:t>.95</w:t>
            </w:r>
          </w:p>
        </w:tc>
        <w:tc>
          <w:tcPr>
            <w:tcW w:w="1300" w:type="dxa"/>
            <w:tcBorders>
              <w:top w:val="nil"/>
              <w:left w:val="nil"/>
              <w:bottom w:val="nil"/>
              <w:right w:val="nil"/>
            </w:tcBorders>
            <w:shd w:val="clear" w:color="auto" w:fill="auto"/>
            <w:vAlign w:val="center"/>
            <w:hideMark/>
          </w:tcPr>
          <w:p w14:paraId="443FDFD4"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.29</w:t>
            </w:r>
          </w:p>
        </w:tc>
      </w:tr>
      <w:tr w:rsidR="00055C38" w14:paraId="5DCF331E" w14:textId="77777777" w:rsidTr="00055C38">
        <w:trPr>
          <w:trHeight w:val="320"/>
        </w:trPr>
        <w:tc>
          <w:tcPr>
            <w:tcW w:w="1300" w:type="dxa"/>
            <w:vMerge w:val="restart"/>
            <w:tcBorders>
              <w:top w:val="nil"/>
              <w:left w:val="nil"/>
              <w:bottom w:val="single" w:sz="8" w:space="0" w:color="000000"/>
              <w:right w:val="nil"/>
            </w:tcBorders>
            <w:shd w:val="clear" w:color="auto" w:fill="auto"/>
            <w:vAlign w:val="center"/>
            <w:hideMark/>
          </w:tcPr>
          <w:p w14:paraId="36CB9550"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Boys</w:t>
            </w:r>
          </w:p>
        </w:tc>
        <w:tc>
          <w:tcPr>
            <w:tcW w:w="1300" w:type="dxa"/>
            <w:vMerge w:val="restart"/>
            <w:tcBorders>
              <w:top w:val="nil"/>
              <w:left w:val="nil"/>
              <w:bottom w:val="nil"/>
              <w:right w:val="nil"/>
            </w:tcBorders>
            <w:shd w:val="clear" w:color="auto" w:fill="auto"/>
            <w:vAlign w:val="center"/>
            <w:hideMark/>
          </w:tcPr>
          <w:p w14:paraId="3B2BE4A5"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β diversity unadjusted</w:t>
            </w:r>
          </w:p>
        </w:tc>
        <w:tc>
          <w:tcPr>
            <w:tcW w:w="1300" w:type="dxa"/>
            <w:tcBorders>
              <w:top w:val="nil"/>
              <w:left w:val="nil"/>
              <w:bottom w:val="nil"/>
              <w:right w:val="nil"/>
            </w:tcBorders>
            <w:shd w:val="clear" w:color="auto" w:fill="auto"/>
            <w:vAlign w:val="center"/>
            <w:hideMark/>
          </w:tcPr>
          <w:p w14:paraId="1DEF6BD4"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R</w:t>
            </w:r>
            <w:r>
              <w:rPr>
                <w:rFonts w:ascii="Calibri" w:hAnsi="Calibri" w:cs="Calibri"/>
                <w:color w:val="000000"/>
                <w:sz w:val="18"/>
                <w:szCs w:val="18"/>
                <w:vertAlign w:val="superscript"/>
                <w:lang w:val="en-US"/>
              </w:rPr>
              <w:t>2</w:t>
            </w:r>
          </w:p>
        </w:tc>
        <w:tc>
          <w:tcPr>
            <w:tcW w:w="1300" w:type="dxa"/>
            <w:tcBorders>
              <w:top w:val="nil"/>
              <w:left w:val="nil"/>
              <w:bottom w:val="nil"/>
              <w:right w:val="nil"/>
            </w:tcBorders>
            <w:shd w:val="clear" w:color="auto" w:fill="auto"/>
            <w:vAlign w:val="center"/>
            <w:hideMark/>
          </w:tcPr>
          <w:p w14:paraId="05086E59" w14:textId="77777777" w:rsidR="00055C38" w:rsidRDefault="00055C38">
            <w:pPr>
              <w:rPr>
                <w:rFonts w:ascii="Calibri" w:hAnsi="Calibri" w:cs="Calibri"/>
                <w:b/>
                <w:bCs/>
                <w:color w:val="000000"/>
                <w:sz w:val="18"/>
                <w:szCs w:val="18"/>
              </w:rPr>
            </w:pPr>
            <w:r>
              <w:rPr>
                <w:rFonts w:ascii="Calibri" w:hAnsi="Calibri" w:cs="Calibri"/>
                <w:b/>
                <w:bCs/>
                <w:color w:val="000000"/>
                <w:sz w:val="18"/>
                <w:szCs w:val="18"/>
                <w:lang w:val="en-US"/>
              </w:rPr>
              <w:t>.01</w:t>
            </w:r>
          </w:p>
        </w:tc>
        <w:tc>
          <w:tcPr>
            <w:tcW w:w="1300" w:type="dxa"/>
            <w:tcBorders>
              <w:top w:val="nil"/>
              <w:left w:val="nil"/>
              <w:bottom w:val="nil"/>
              <w:right w:val="nil"/>
            </w:tcBorders>
            <w:shd w:val="clear" w:color="auto" w:fill="auto"/>
            <w:vAlign w:val="center"/>
            <w:hideMark/>
          </w:tcPr>
          <w:p w14:paraId="2F7E0701"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.01</w:t>
            </w:r>
          </w:p>
        </w:tc>
        <w:tc>
          <w:tcPr>
            <w:tcW w:w="1300" w:type="dxa"/>
            <w:tcBorders>
              <w:top w:val="nil"/>
              <w:left w:val="nil"/>
              <w:bottom w:val="nil"/>
              <w:right w:val="nil"/>
            </w:tcBorders>
            <w:shd w:val="clear" w:color="auto" w:fill="auto"/>
            <w:vAlign w:val="center"/>
            <w:hideMark/>
          </w:tcPr>
          <w:p w14:paraId="10DF6D75" w14:textId="77777777" w:rsidR="00055C38" w:rsidRDefault="00055C38">
            <w:pPr>
              <w:rPr>
                <w:rFonts w:ascii="Calibri" w:hAnsi="Calibri" w:cs="Calibri"/>
                <w:b/>
                <w:bCs/>
                <w:color w:val="000000"/>
                <w:sz w:val="18"/>
                <w:szCs w:val="18"/>
              </w:rPr>
            </w:pPr>
            <w:r>
              <w:rPr>
                <w:rFonts w:ascii="Calibri" w:hAnsi="Calibri" w:cs="Calibri"/>
                <w:b/>
                <w:bCs/>
                <w:color w:val="000000"/>
                <w:sz w:val="18"/>
                <w:szCs w:val="18"/>
                <w:lang w:val="en-US"/>
              </w:rPr>
              <w:t>.03</w:t>
            </w:r>
          </w:p>
        </w:tc>
        <w:tc>
          <w:tcPr>
            <w:tcW w:w="1300" w:type="dxa"/>
            <w:tcBorders>
              <w:top w:val="nil"/>
              <w:left w:val="nil"/>
              <w:bottom w:val="nil"/>
              <w:right w:val="nil"/>
            </w:tcBorders>
            <w:shd w:val="clear" w:color="auto" w:fill="auto"/>
            <w:vAlign w:val="center"/>
            <w:hideMark/>
          </w:tcPr>
          <w:p w14:paraId="6676EEE7" w14:textId="77777777" w:rsidR="00055C38" w:rsidRPr="003C5278" w:rsidRDefault="00055C38">
            <w:pPr>
              <w:rPr>
                <w:rFonts w:ascii="Calibri" w:hAnsi="Calibri" w:cs="Calibri"/>
                <w:b/>
                <w:bCs/>
                <w:color w:val="000000" w:themeColor="text1"/>
                <w:sz w:val="18"/>
                <w:szCs w:val="18"/>
              </w:rPr>
            </w:pPr>
          </w:p>
        </w:tc>
        <w:tc>
          <w:tcPr>
            <w:tcW w:w="1300" w:type="dxa"/>
            <w:tcBorders>
              <w:top w:val="nil"/>
              <w:left w:val="nil"/>
              <w:bottom w:val="nil"/>
              <w:right w:val="nil"/>
            </w:tcBorders>
            <w:shd w:val="clear" w:color="auto" w:fill="auto"/>
            <w:vAlign w:val="center"/>
            <w:hideMark/>
          </w:tcPr>
          <w:p w14:paraId="7BB8061B"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.01</w:t>
            </w:r>
          </w:p>
        </w:tc>
      </w:tr>
      <w:tr w:rsidR="00055C38" w14:paraId="5DA95A82" w14:textId="77777777" w:rsidTr="00055C38">
        <w:trPr>
          <w:trHeight w:val="320"/>
        </w:trPr>
        <w:tc>
          <w:tcPr>
            <w:tcW w:w="1300" w:type="dxa"/>
            <w:vMerge/>
            <w:tcBorders>
              <w:top w:val="nil"/>
              <w:left w:val="nil"/>
              <w:bottom w:val="single" w:sz="8" w:space="0" w:color="000000"/>
              <w:right w:val="nil"/>
            </w:tcBorders>
            <w:vAlign w:val="center"/>
            <w:hideMark/>
          </w:tcPr>
          <w:p w14:paraId="70E8E2BB" w14:textId="77777777" w:rsidR="00055C38" w:rsidRDefault="00055C38">
            <w:pPr>
              <w:rPr>
                <w:rFonts w:ascii="Calibri" w:hAnsi="Calibri" w:cs="Calibri"/>
                <w:color w:val="000000"/>
                <w:sz w:val="18"/>
                <w:szCs w:val="18"/>
              </w:rPr>
            </w:pPr>
          </w:p>
        </w:tc>
        <w:tc>
          <w:tcPr>
            <w:tcW w:w="1300" w:type="dxa"/>
            <w:vMerge/>
            <w:tcBorders>
              <w:top w:val="nil"/>
              <w:left w:val="nil"/>
              <w:bottom w:val="nil"/>
              <w:right w:val="nil"/>
            </w:tcBorders>
            <w:vAlign w:val="center"/>
            <w:hideMark/>
          </w:tcPr>
          <w:p w14:paraId="314F2229" w14:textId="77777777" w:rsidR="00055C38" w:rsidRDefault="00055C38">
            <w:pPr>
              <w:rPr>
                <w:rFonts w:ascii="Calibri" w:hAnsi="Calibri" w:cs="Calibri"/>
                <w:color w:val="000000"/>
                <w:sz w:val="18"/>
                <w:szCs w:val="18"/>
              </w:rPr>
            </w:pPr>
          </w:p>
        </w:tc>
        <w:tc>
          <w:tcPr>
            <w:tcW w:w="1300" w:type="dxa"/>
            <w:tcBorders>
              <w:top w:val="nil"/>
              <w:left w:val="nil"/>
              <w:bottom w:val="nil"/>
              <w:right w:val="nil"/>
            </w:tcBorders>
            <w:shd w:val="clear" w:color="auto" w:fill="auto"/>
            <w:vAlign w:val="center"/>
            <w:hideMark/>
          </w:tcPr>
          <w:p w14:paraId="43DE4D0B"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F</w:t>
            </w:r>
          </w:p>
        </w:tc>
        <w:tc>
          <w:tcPr>
            <w:tcW w:w="1300" w:type="dxa"/>
            <w:tcBorders>
              <w:top w:val="nil"/>
              <w:left w:val="nil"/>
              <w:bottom w:val="nil"/>
              <w:right w:val="nil"/>
            </w:tcBorders>
            <w:shd w:val="clear" w:color="auto" w:fill="auto"/>
            <w:vAlign w:val="center"/>
            <w:hideMark/>
          </w:tcPr>
          <w:p w14:paraId="423E8A25" w14:textId="77777777" w:rsidR="00055C38" w:rsidRDefault="00055C38">
            <w:pPr>
              <w:rPr>
                <w:rFonts w:ascii="Calibri" w:hAnsi="Calibri" w:cs="Calibri"/>
                <w:b/>
                <w:bCs/>
                <w:color w:val="000000"/>
                <w:sz w:val="18"/>
                <w:szCs w:val="18"/>
              </w:rPr>
            </w:pPr>
            <w:r>
              <w:rPr>
                <w:rFonts w:ascii="Calibri" w:hAnsi="Calibri" w:cs="Calibri"/>
                <w:b/>
                <w:bCs/>
                <w:color w:val="000000"/>
                <w:sz w:val="18"/>
                <w:szCs w:val="18"/>
                <w:lang w:val="en-US"/>
              </w:rPr>
              <w:t>1.2</w:t>
            </w:r>
          </w:p>
        </w:tc>
        <w:tc>
          <w:tcPr>
            <w:tcW w:w="1300" w:type="dxa"/>
            <w:tcBorders>
              <w:top w:val="nil"/>
              <w:left w:val="nil"/>
              <w:bottom w:val="nil"/>
              <w:right w:val="nil"/>
            </w:tcBorders>
            <w:shd w:val="clear" w:color="auto" w:fill="auto"/>
            <w:vAlign w:val="center"/>
            <w:hideMark/>
          </w:tcPr>
          <w:p w14:paraId="74467D89"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0.8</w:t>
            </w:r>
          </w:p>
        </w:tc>
        <w:tc>
          <w:tcPr>
            <w:tcW w:w="1300" w:type="dxa"/>
            <w:tcBorders>
              <w:top w:val="nil"/>
              <w:left w:val="nil"/>
              <w:bottom w:val="nil"/>
              <w:right w:val="nil"/>
            </w:tcBorders>
            <w:shd w:val="clear" w:color="auto" w:fill="auto"/>
            <w:vAlign w:val="center"/>
            <w:hideMark/>
          </w:tcPr>
          <w:p w14:paraId="4F4AF7A4" w14:textId="77777777" w:rsidR="00055C38" w:rsidRDefault="00055C38">
            <w:pPr>
              <w:rPr>
                <w:rFonts w:ascii="Calibri" w:hAnsi="Calibri" w:cs="Calibri"/>
                <w:b/>
                <w:bCs/>
                <w:color w:val="000000"/>
                <w:sz w:val="18"/>
                <w:szCs w:val="18"/>
              </w:rPr>
            </w:pPr>
            <w:r>
              <w:rPr>
                <w:rFonts w:ascii="Calibri" w:hAnsi="Calibri" w:cs="Calibri"/>
                <w:b/>
                <w:bCs/>
                <w:color w:val="000000"/>
                <w:sz w:val="18"/>
                <w:szCs w:val="18"/>
                <w:lang w:val="en-US"/>
              </w:rPr>
              <w:t>2.0</w:t>
            </w:r>
          </w:p>
        </w:tc>
        <w:tc>
          <w:tcPr>
            <w:tcW w:w="1300" w:type="dxa"/>
            <w:tcBorders>
              <w:top w:val="nil"/>
              <w:left w:val="nil"/>
              <w:bottom w:val="nil"/>
              <w:right w:val="nil"/>
            </w:tcBorders>
            <w:shd w:val="clear" w:color="auto" w:fill="auto"/>
            <w:vAlign w:val="center"/>
            <w:hideMark/>
          </w:tcPr>
          <w:p w14:paraId="0A0B269F" w14:textId="77777777" w:rsidR="00055C38" w:rsidRPr="003C5278" w:rsidRDefault="00055C38">
            <w:pPr>
              <w:rPr>
                <w:rFonts w:ascii="Calibri" w:hAnsi="Calibri" w:cs="Calibri"/>
                <w:b/>
                <w:bCs/>
                <w:color w:val="000000" w:themeColor="text1"/>
                <w:sz w:val="18"/>
                <w:szCs w:val="18"/>
              </w:rPr>
            </w:pPr>
          </w:p>
        </w:tc>
        <w:tc>
          <w:tcPr>
            <w:tcW w:w="1300" w:type="dxa"/>
            <w:tcBorders>
              <w:top w:val="nil"/>
              <w:left w:val="nil"/>
              <w:bottom w:val="nil"/>
              <w:right w:val="nil"/>
            </w:tcBorders>
            <w:shd w:val="clear" w:color="auto" w:fill="auto"/>
            <w:vAlign w:val="center"/>
            <w:hideMark/>
          </w:tcPr>
          <w:p w14:paraId="68D565A5"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0.7</w:t>
            </w:r>
          </w:p>
        </w:tc>
      </w:tr>
      <w:tr w:rsidR="00055C38" w14:paraId="21DCDC50" w14:textId="77777777" w:rsidTr="00055C38">
        <w:trPr>
          <w:trHeight w:val="320"/>
        </w:trPr>
        <w:tc>
          <w:tcPr>
            <w:tcW w:w="1300" w:type="dxa"/>
            <w:vMerge/>
            <w:tcBorders>
              <w:top w:val="nil"/>
              <w:left w:val="nil"/>
              <w:bottom w:val="single" w:sz="8" w:space="0" w:color="000000"/>
              <w:right w:val="nil"/>
            </w:tcBorders>
            <w:vAlign w:val="center"/>
            <w:hideMark/>
          </w:tcPr>
          <w:p w14:paraId="450218D3" w14:textId="77777777" w:rsidR="00055C38" w:rsidRDefault="00055C38">
            <w:pPr>
              <w:rPr>
                <w:rFonts w:ascii="Calibri" w:hAnsi="Calibri" w:cs="Calibri"/>
                <w:color w:val="000000"/>
                <w:sz w:val="18"/>
                <w:szCs w:val="18"/>
              </w:rPr>
            </w:pPr>
          </w:p>
        </w:tc>
        <w:tc>
          <w:tcPr>
            <w:tcW w:w="1300" w:type="dxa"/>
            <w:vMerge/>
            <w:tcBorders>
              <w:top w:val="nil"/>
              <w:left w:val="nil"/>
              <w:bottom w:val="nil"/>
              <w:right w:val="nil"/>
            </w:tcBorders>
            <w:vAlign w:val="center"/>
            <w:hideMark/>
          </w:tcPr>
          <w:p w14:paraId="7C7F2A32" w14:textId="77777777" w:rsidR="00055C38" w:rsidRDefault="00055C38">
            <w:pPr>
              <w:rPr>
                <w:rFonts w:ascii="Calibri" w:hAnsi="Calibri" w:cs="Calibri"/>
                <w:color w:val="000000"/>
                <w:sz w:val="18"/>
                <w:szCs w:val="18"/>
              </w:rPr>
            </w:pPr>
          </w:p>
        </w:tc>
        <w:tc>
          <w:tcPr>
            <w:tcW w:w="1300" w:type="dxa"/>
            <w:tcBorders>
              <w:top w:val="nil"/>
              <w:left w:val="nil"/>
              <w:bottom w:val="nil"/>
              <w:right w:val="nil"/>
            </w:tcBorders>
            <w:shd w:val="clear" w:color="auto" w:fill="auto"/>
            <w:vAlign w:val="center"/>
            <w:hideMark/>
          </w:tcPr>
          <w:p w14:paraId="3582AE4F"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p</w:t>
            </w:r>
          </w:p>
        </w:tc>
        <w:tc>
          <w:tcPr>
            <w:tcW w:w="1300" w:type="dxa"/>
            <w:tcBorders>
              <w:top w:val="nil"/>
              <w:left w:val="nil"/>
              <w:bottom w:val="nil"/>
              <w:right w:val="nil"/>
            </w:tcBorders>
            <w:shd w:val="clear" w:color="auto" w:fill="auto"/>
            <w:vAlign w:val="center"/>
            <w:hideMark/>
          </w:tcPr>
          <w:p w14:paraId="7165E723" w14:textId="77777777" w:rsidR="00055C38" w:rsidRDefault="00055C38">
            <w:pPr>
              <w:rPr>
                <w:rFonts w:ascii="Calibri" w:hAnsi="Calibri" w:cs="Calibri"/>
                <w:b/>
                <w:bCs/>
                <w:color w:val="000000"/>
                <w:sz w:val="18"/>
                <w:szCs w:val="18"/>
              </w:rPr>
            </w:pPr>
            <w:r>
              <w:rPr>
                <w:rFonts w:ascii="Calibri" w:hAnsi="Calibri" w:cs="Calibri"/>
                <w:b/>
                <w:bCs/>
                <w:color w:val="000000"/>
                <w:sz w:val="18"/>
                <w:szCs w:val="18"/>
                <w:lang w:val="en-US"/>
              </w:rPr>
              <w:t>.02*</w:t>
            </w:r>
          </w:p>
        </w:tc>
        <w:tc>
          <w:tcPr>
            <w:tcW w:w="1300" w:type="dxa"/>
            <w:tcBorders>
              <w:top w:val="nil"/>
              <w:left w:val="nil"/>
              <w:bottom w:val="nil"/>
              <w:right w:val="nil"/>
            </w:tcBorders>
            <w:shd w:val="clear" w:color="auto" w:fill="auto"/>
            <w:vAlign w:val="center"/>
            <w:hideMark/>
          </w:tcPr>
          <w:p w14:paraId="6D610CC5"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.72</w:t>
            </w:r>
          </w:p>
        </w:tc>
        <w:tc>
          <w:tcPr>
            <w:tcW w:w="1300" w:type="dxa"/>
            <w:tcBorders>
              <w:top w:val="nil"/>
              <w:left w:val="nil"/>
              <w:bottom w:val="nil"/>
              <w:right w:val="nil"/>
            </w:tcBorders>
            <w:shd w:val="clear" w:color="auto" w:fill="auto"/>
            <w:vAlign w:val="center"/>
            <w:hideMark/>
          </w:tcPr>
          <w:p w14:paraId="3F33C080" w14:textId="77777777" w:rsidR="00055C38" w:rsidRDefault="00055C38">
            <w:pPr>
              <w:rPr>
                <w:rFonts w:ascii="Calibri" w:hAnsi="Calibri" w:cs="Calibri"/>
                <w:b/>
                <w:bCs/>
                <w:color w:val="000000"/>
                <w:sz w:val="18"/>
                <w:szCs w:val="18"/>
              </w:rPr>
            </w:pPr>
            <w:r>
              <w:rPr>
                <w:rFonts w:ascii="Calibri" w:hAnsi="Calibri" w:cs="Calibri"/>
                <w:b/>
                <w:bCs/>
                <w:color w:val="000000"/>
                <w:sz w:val="18"/>
                <w:szCs w:val="18"/>
                <w:lang w:val="en-US"/>
              </w:rPr>
              <w:t>.02*</w:t>
            </w:r>
          </w:p>
        </w:tc>
        <w:tc>
          <w:tcPr>
            <w:tcW w:w="1300" w:type="dxa"/>
            <w:tcBorders>
              <w:top w:val="nil"/>
              <w:left w:val="nil"/>
              <w:bottom w:val="nil"/>
              <w:right w:val="nil"/>
            </w:tcBorders>
            <w:shd w:val="clear" w:color="auto" w:fill="auto"/>
            <w:vAlign w:val="center"/>
            <w:hideMark/>
          </w:tcPr>
          <w:p w14:paraId="3F6CCDBC" w14:textId="77777777" w:rsidR="00055C38" w:rsidRPr="003C5278" w:rsidRDefault="00055C38">
            <w:pPr>
              <w:rPr>
                <w:rFonts w:ascii="Calibri" w:hAnsi="Calibri" w:cs="Calibri"/>
                <w:b/>
                <w:bCs/>
                <w:color w:val="000000" w:themeColor="text1"/>
                <w:sz w:val="18"/>
                <w:szCs w:val="18"/>
              </w:rPr>
            </w:pPr>
          </w:p>
        </w:tc>
        <w:tc>
          <w:tcPr>
            <w:tcW w:w="1300" w:type="dxa"/>
            <w:tcBorders>
              <w:top w:val="nil"/>
              <w:left w:val="nil"/>
              <w:bottom w:val="nil"/>
              <w:right w:val="nil"/>
            </w:tcBorders>
            <w:shd w:val="clear" w:color="auto" w:fill="auto"/>
            <w:vAlign w:val="center"/>
            <w:hideMark/>
          </w:tcPr>
          <w:p w14:paraId="4C1D79F7"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.73</w:t>
            </w:r>
          </w:p>
        </w:tc>
      </w:tr>
      <w:tr w:rsidR="00055C38" w14:paraId="055BABC6" w14:textId="77777777" w:rsidTr="00055C38">
        <w:trPr>
          <w:trHeight w:val="320"/>
        </w:trPr>
        <w:tc>
          <w:tcPr>
            <w:tcW w:w="1300" w:type="dxa"/>
            <w:vMerge/>
            <w:tcBorders>
              <w:top w:val="nil"/>
              <w:left w:val="nil"/>
              <w:bottom w:val="single" w:sz="8" w:space="0" w:color="000000"/>
              <w:right w:val="nil"/>
            </w:tcBorders>
            <w:vAlign w:val="center"/>
            <w:hideMark/>
          </w:tcPr>
          <w:p w14:paraId="30FCABE6" w14:textId="77777777" w:rsidR="00055C38" w:rsidRDefault="00055C38">
            <w:pPr>
              <w:rPr>
                <w:rFonts w:ascii="Calibri" w:hAnsi="Calibri" w:cs="Calibri"/>
                <w:color w:val="000000"/>
                <w:sz w:val="18"/>
                <w:szCs w:val="18"/>
              </w:rPr>
            </w:pPr>
          </w:p>
        </w:tc>
        <w:tc>
          <w:tcPr>
            <w:tcW w:w="1300" w:type="dxa"/>
            <w:vMerge w:val="restart"/>
            <w:tcBorders>
              <w:top w:val="nil"/>
              <w:left w:val="nil"/>
              <w:bottom w:val="single" w:sz="8" w:space="0" w:color="000000"/>
              <w:right w:val="nil"/>
            </w:tcBorders>
            <w:shd w:val="clear" w:color="auto" w:fill="auto"/>
            <w:vAlign w:val="center"/>
            <w:hideMark/>
          </w:tcPr>
          <w:p w14:paraId="685B714A"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β diversity adjusted</w:t>
            </w:r>
          </w:p>
        </w:tc>
        <w:tc>
          <w:tcPr>
            <w:tcW w:w="1300" w:type="dxa"/>
            <w:tcBorders>
              <w:top w:val="nil"/>
              <w:left w:val="nil"/>
              <w:bottom w:val="nil"/>
              <w:right w:val="nil"/>
            </w:tcBorders>
            <w:shd w:val="clear" w:color="auto" w:fill="auto"/>
            <w:vAlign w:val="center"/>
            <w:hideMark/>
          </w:tcPr>
          <w:p w14:paraId="171622D0"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R</w:t>
            </w:r>
            <w:r>
              <w:rPr>
                <w:rFonts w:ascii="Calibri" w:hAnsi="Calibri" w:cs="Calibri"/>
                <w:color w:val="000000"/>
                <w:sz w:val="18"/>
                <w:szCs w:val="18"/>
                <w:vertAlign w:val="superscript"/>
                <w:lang w:val="en-US"/>
              </w:rPr>
              <w:t>2</w:t>
            </w:r>
          </w:p>
        </w:tc>
        <w:tc>
          <w:tcPr>
            <w:tcW w:w="1300" w:type="dxa"/>
            <w:tcBorders>
              <w:top w:val="nil"/>
              <w:left w:val="nil"/>
              <w:bottom w:val="nil"/>
              <w:right w:val="nil"/>
            </w:tcBorders>
            <w:shd w:val="clear" w:color="auto" w:fill="auto"/>
            <w:vAlign w:val="center"/>
            <w:hideMark/>
          </w:tcPr>
          <w:p w14:paraId="474253DD" w14:textId="77777777" w:rsidR="00055C38" w:rsidRDefault="00055C38">
            <w:pPr>
              <w:rPr>
                <w:rFonts w:ascii="Calibri" w:hAnsi="Calibri" w:cs="Calibri"/>
                <w:b/>
                <w:bCs/>
                <w:color w:val="000000"/>
                <w:sz w:val="18"/>
                <w:szCs w:val="18"/>
              </w:rPr>
            </w:pPr>
            <w:r>
              <w:rPr>
                <w:rFonts w:ascii="Calibri" w:hAnsi="Calibri" w:cs="Calibri"/>
                <w:b/>
                <w:bCs/>
                <w:color w:val="000000"/>
                <w:sz w:val="18"/>
                <w:szCs w:val="18"/>
                <w:lang w:val="en-US"/>
              </w:rPr>
              <w:t>.01</w:t>
            </w:r>
          </w:p>
        </w:tc>
        <w:tc>
          <w:tcPr>
            <w:tcW w:w="1300" w:type="dxa"/>
            <w:tcBorders>
              <w:top w:val="nil"/>
              <w:left w:val="nil"/>
              <w:bottom w:val="nil"/>
              <w:right w:val="nil"/>
            </w:tcBorders>
            <w:shd w:val="clear" w:color="auto" w:fill="auto"/>
            <w:vAlign w:val="center"/>
            <w:hideMark/>
          </w:tcPr>
          <w:p w14:paraId="56981801"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.01</w:t>
            </w:r>
          </w:p>
        </w:tc>
        <w:tc>
          <w:tcPr>
            <w:tcW w:w="1300" w:type="dxa"/>
            <w:tcBorders>
              <w:top w:val="nil"/>
              <w:left w:val="nil"/>
              <w:bottom w:val="nil"/>
              <w:right w:val="nil"/>
            </w:tcBorders>
            <w:shd w:val="clear" w:color="auto" w:fill="auto"/>
            <w:vAlign w:val="center"/>
            <w:hideMark/>
          </w:tcPr>
          <w:p w14:paraId="23DDCC96" w14:textId="77777777" w:rsidR="00055C38" w:rsidRDefault="00055C38">
            <w:pPr>
              <w:rPr>
                <w:rFonts w:ascii="Calibri" w:hAnsi="Calibri" w:cs="Calibri"/>
                <w:b/>
                <w:bCs/>
                <w:color w:val="000000"/>
                <w:sz w:val="18"/>
                <w:szCs w:val="18"/>
              </w:rPr>
            </w:pPr>
            <w:r>
              <w:rPr>
                <w:rFonts w:ascii="Calibri" w:hAnsi="Calibri" w:cs="Calibri"/>
                <w:b/>
                <w:bCs/>
                <w:color w:val="000000"/>
                <w:sz w:val="18"/>
                <w:szCs w:val="18"/>
                <w:lang w:val="en-US"/>
              </w:rPr>
              <w:t>.03</w:t>
            </w:r>
          </w:p>
        </w:tc>
        <w:tc>
          <w:tcPr>
            <w:tcW w:w="1300" w:type="dxa"/>
            <w:tcBorders>
              <w:top w:val="nil"/>
              <w:left w:val="nil"/>
              <w:bottom w:val="nil"/>
              <w:right w:val="nil"/>
            </w:tcBorders>
            <w:shd w:val="clear" w:color="auto" w:fill="auto"/>
            <w:vAlign w:val="center"/>
            <w:hideMark/>
          </w:tcPr>
          <w:p w14:paraId="0EFE5164" w14:textId="77777777" w:rsidR="00055C38" w:rsidRPr="003C5278" w:rsidRDefault="00055C38">
            <w:pPr>
              <w:rPr>
                <w:rFonts w:ascii="Calibri" w:hAnsi="Calibri" w:cs="Calibri"/>
                <w:b/>
                <w:bCs/>
                <w:color w:val="000000" w:themeColor="text1"/>
                <w:sz w:val="18"/>
                <w:szCs w:val="18"/>
              </w:rPr>
            </w:pPr>
            <w:r w:rsidRPr="003C5278">
              <w:rPr>
                <w:rFonts w:ascii="Calibri" w:hAnsi="Calibri" w:cs="Calibri"/>
                <w:b/>
                <w:bCs/>
                <w:color w:val="000000" w:themeColor="text1"/>
                <w:sz w:val="18"/>
                <w:szCs w:val="18"/>
              </w:rPr>
              <w:t>0.03</w:t>
            </w:r>
          </w:p>
        </w:tc>
        <w:tc>
          <w:tcPr>
            <w:tcW w:w="1300" w:type="dxa"/>
            <w:tcBorders>
              <w:top w:val="nil"/>
              <w:left w:val="nil"/>
              <w:bottom w:val="nil"/>
              <w:right w:val="nil"/>
            </w:tcBorders>
            <w:shd w:val="clear" w:color="auto" w:fill="auto"/>
            <w:vAlign w:val="center"/>
            <w:hideMark/>
          </w:tcPr>
          <w:p w14:paraId="4D8513F6"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.01</w:t>
            </w:r>
          </w:p>
        </w:tc>
      </w:tr>
      <w:tr w:rsidR="00055C38" w14:paraId="4D389E9B" w14:textId="77777777" w:rsidTr="00055C38">
        <w:trPr>
          <w:trHeight w:val="320"/>
        </w:trPr>
        <w:tc>
          <w:tcPr>
            <w:tcW w:w="1300" w:type="dxa"/>
            <w:vMerge/>
            <w:tcBorders>
              <w:top w:val="nil"/>
              <w:left w:val="nil"/>
              <w:bottom w:val="single" w:sz="8" w:space="0" w:color="000000"/>
              <w:right w:val="nil"/>
            </w:tcBorders>
            <w:vAlign w:val="center"/>
            <w:hideMark/>
          </w:tcPr>
          <w:p w14:paraId="28D97185" w14:textId="77777777" w:rsidR="00055C38" w:rsidRDefault="00055C38">
            <w:pPr>
              <w:rPr>
                <w:rFonts w:ascii="Calibri" w:hAnsi="Calibri" w:cs="Calibri"/>
                <w:color w:val="000000"/>
                <w:sz w:val="18"/>
                <w:szCs w:val="18"/>
              </w:rPr>
            </w:pPr>
          </w:p>
        </w:tc>
        <w:tc>
          <w:tcPr>
            <w:tcW w:w="1300" w:type="dxa"/>
            <w:vMerge/>
            <w:tcBorders>
              <w:top w:val="nil"/>
              <w:left w:val="nil"/>
              <w:bottom w:val="single" w:sz="8" w:space="0" w:color="000000"/>
              <w:right w:val="nil"/>
            </w:tcBorders>
            <w:vAlign w:val="center"/>
            <w:hideMark/>
          </w:tcPr>
          <w:p w14:paraId="38E4C3B3" w14:textId="77777777" w:rsidR="00055C38" w:rsidRDefault="00055C38">
            <w:pPr>
              <w:rPr>
                <w:rFonts w:ascii="Calibri" w:hAnsi="Calibri" w:cs="Calibri"/>
                <w:color w:val="000000"/>
                <w:sz w:val="18"/>
                <w:szCs w:val="18"/>
              </w:rPr>
            </w:pPr>
          </w:p>
        </w:tc>
        <w:tc>
          <w:tcPr>
            <w:tcW w:w="1300" w:type="dxa"/>
            <w:tcBorders>
              <w:top w:val="nil"/>
              <w:left w:val="nil"/>
              <w:bottom w:val="nil"/>
              <w:right w:val="nil"/>
            </w:tcBorders>
            <w:shd w:val="clear" w:color="auto" w:fill="auto"/>
            <w:vAlign w:val="center"/>
            <w:hideMark/>
          </w:tcPr>
          <w:p w14:paraId="3B346F56"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F</w:t>
            </w:r>
          </w:p>
        </w:tc>
        <w:tc>
          <w:tcPr>
            <w:tcW w:w="1300" w:type="dxa"/>
            <w:tcBorders>
              <w:top w:val="nil"/>
              <w:left w:val="nil"/>
              <w:bottom w:val="nil"/>
              <w:right w:val="nil"/>
            </w:tcBorders>
            <w:shd w:val="clear" w:color="auto" w:fill="auto"/>
            <w:vAlign w:val="center"/>
            <w:hideMark/>
          </w:tcPr>
          <w:p w14:paraId="65A010C1" w14:textId="77777777" w:rsidR="00055C38" w:rsidRDefault="00055C38">
            <w:pPr>
              <w:rPr>
                <w:rFonts w:ascii="Calibri" w:hAnsi="Calibri" w:cs="Calibri"/>
                <w:b/>
                <w:bCs/>
                <w:color w:val="000000"/>
                <w:sz w:val="18"/>
                <w:szCs w:val="18"/>
              </w:rPr>
            </w:pPr>
            <w:r>
              <w:rPr>
                <w:rFonts w:ascii="Calibri" w:hAnsi="Calibri" w:cs="Calibri"/>
                <w:b/>
                <w:bCs/>
                <w:color w:val="000000"/>
                <w:sz w:val="18"/>
                <w:szCs w:val="18"/>
                <w:lang w:val="en-US"/>
              </w:rPr>
              <w:t>2.0</w:t>
            </w:r>
          </w:p>
        </w:tc>
        <w:tc>
          <w:tcPr>
            <w:tcW w:w="1300" w:type="dxa"/>
            <w:tcBorders>
              <w:top w:val="nil"/>
              <w:left w:val="nil"/>
              <w:bottom w:val="nil"/>
              <w:right w:val="nil"/>
            </w:tcBorders>
            <w:shd w:val="clear" w:color="auto" w:fill="auto"/>
            <w:vAlign w:val="center"/>
            <w:hideMark/>
          </w:tcPr>
          <w:p w14:paraId="48AFA623"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0.7</w:t>
            </w:r>
          </w:p>
        </w:tc>
        <w:tc>
          <w:tcPr>
            <w:tcW w:w="1300" w:type="dxa"/>
            <w:tcBorders>
              <w:top w:val="nil"/>
              <w:left w:val="nil"/>
              <w:bottom w:val="nil"/>
              <w:right w:val="nil"/>
            </w:tcBorders>
            <w:shd w:val="clear" w:color="auto" w:fill="auto"/>
            <w:vAlign w:val="center"/>
            <w:hideMark/>
          </w:tcPr>
          <w:p w14:paraId="15856762" w14:textId="77777777" w:rsidR="00055C38" w:rsidRDefault="00055C38">
            <w:pPr>
              <w:rPr>
                <w:rFonts w:ascii="Calibri" w:hAnsi="Calibri" w:cs="Calibri"/>
                <w:b/>
                <w:bCs/>
                <w:color w:val="000000"/>
                <w:sz w:val="18"/>
                <w:szCs w:val="18"/>
              </w:rPr>
            </w:pPr>
            <w:r>
              <w:rPr>
                <w:rFonts w:ascii="Calibri" w:hAnsi="Calibri" w:cs="Calibri"/>
                <w:b/>
                <w:bCs/>
                <w:color w:val="000000"/>
                <w:sz w:val="18"/>
                <w:szCs w:val="18"/>
                <w:lang w:val="en-US"/>
              </w:rPr>
              <w:t>2.3</w:t>
            </w:r>
          </w:p>
        </w:tc>
        <w:tc>
          <w:tcPr>
            <w:tcW w:w="1300" w:type="dxa"/>
            <w:tcBorders>
              <w:top w:val="nil"/>
              <w:left w:val="nil"/>
              <w:bottom w:val="nil"/>
              <w:right w:val="nil"/>
            </w:tcBorders>
            <w:shd w:val="clear" w:color="auto" w:fill="auto"/>
            <w:vAlign w:val="center"/>
            <w:hideMark/>
          </w:tcPr>
          <w:p w14:paraId="39DBC5D6" w14:textId="77777777" w:rsidR="00055C38" w:rsidRPr="003C5278" w:rsidRDefault="00055C38">
            <w:pPr>
              <w:rPr>
                <w:rFonts w:ascii="Calibri" w:hAnsi="Calibri" w:cs="Calibri"/>
                <w:b/>
                <w:bCs/>
                <w:color w:val="000000" w:themeColor="text1"/>
                <w:sz w:val="18"/>
                <w:szCs w:val="18"/>
              </w:rPr>
            </w:pPr>
            <w:r w:rsidRPr="003C5278">
              <w:rPr>
                <w:rFonts w:ascii="Calibri" w:hAnsi="Calibri" w:cs="Calibri"/>
                <w:b/>
                <w:bCs/>
                <w:color w:val="000000" w:themeColor="text1"/>
                <w:sz w:val="18"/>
                <w:szCs w:val="18"/>
              </w:rPr>
              <w:t>2.2</w:t>
            </w:r>
          </w:p>
        </w:tc>
        <w:tc>
          <w:tcPr>
            <w:tcW w:w="1300" w:type="dxa"/>
            <w:tcBorders>
              <w:top w:val="nil"/>
              <w:left w:val="nil"/>
              <w:bottom w:val="nil"/>
              <w:right w:val="nil"/>
            </w:tcBorders>
            <w:shd w:val="clear" w:color="auto" w:fill="auto"/>
            <w:vAlign w:val="center"/>
            <w:hideMark/>
          </w:tcPr>
          <w:p w14:paraId="3F41752A"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0.6</w:t>
            </w:r>
          </w:p>
        </w:tc>
      </w:tr>
      <w:tr w:rsidR="00055C38" w14:paraId="38A3D13C" w14:textId="77777777" w:rsidTr="00055C38">
        <w:trPr>
          <w:trHeight w:val="340"/>
        </w:trPr>
        <w:tc>
          <w:tcPr>
            <w:tcW w:w="1300" w:type="dxa"/>
            <w:vMerge/>
            <w:tcBorders>
              <w:top w:val="nil"/>
              <w:left w:val="nil"/>
              <w:bottom w:val="single" w:sz="8" w:space="0" w:color="000000"/>
              <w:right w:val="nil"/>
            </w:tcBorders>
            <w:vAlign w:val="center"/>
            <w:hideMark/>
          </w:tcPr>
          <w:p w14:paraId="10296BB1" w14:textId="77777777" w:rsidR="00055C38" w:rsidRDefault="00055C38">
            <w:pPr>
              <w:rPr>
                <w:rFonts w:ascii="Calibri" w:hAnsi="Calibri" w:cs="Calibri"/>
                <w:color w:val="000000"/>
                <w:sz w:val="18"/>
                <w:szCs w:val="18"/>
              </w:rPr>
            </w:pPr>
          </w:p>
        </w:tc>
        <w:tc>
          <w:tcPr>
            <w:tcW w:w="1300" w:type="dxa"/>
            <w:vMerge/>
            <w:tcBorders>
              <w:top w:val="nil"/>
              <w:left w:val="nil"/>
              <w:bottom w:val="single" w:sz="8" w:space="0" w:color="000000"/>
              <w:right w:val="nil"/>
            </w:tcBorders>
            <w:vAlign w:val="center"/>
            <w:hideMark/>
          </w:tcPr>
          <w:p w14:paraId="20150E70" w14:textId="77777777" w:rsidR="00055C38" w:rsidRDefault="00055C38">
            <w:pPr>
              <w:rPr>
                <w:rFonts w:ascii="Calibri" w:hAnsi="Calibri" w:cs="Calibri"/>
                <w:color w:val="000000"/>
                <w:sz w:val="18"/>
                <w:szCs w:val="18"/>
              </w:rPr>
            </w:pPr>
          </w:p>
        </w:tc>
        <w:tc>
          <w:tcPr>
            <w:tcW w:w="1300" w:type="dxa"/>
            <w:tcBorders>
              <w:top w:val="nil"/>
              <w:left w:val="nil"/>
              <w:bottom w:val="single" w:sz="8" w:space="0" w:color="auto"/>
              <w:right w:val="nil"/>
            </w:tcBorders>
            <w:shd w:val="clear" w:color="auto" w:fill="auto"/>
            <w:vAlign w:val="center"/>
            <w:hideMark/>
          </w:tcPr>
          <w:p w14:paraId="62D7ADCF"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p</w:t>
            </w:r>
          </w:p>
        </w:tc>
        <w:tc>
          <w:tcPr>
            <w:tcW w:w="1300" w:type="dxa"/>
            <w:tcBorders>
              <w:top w:val="nil"/>
              <w:left w:val="nil"/>
              <w:bottom w:val="single" w:sz="8" w:space="0" w:color="auto"/>
              <w:right w:val="nil"/>
            </w:tcBorders>
            <w:shd w:val="clear" w:color="auto" w:fill="auto"/>
            <w:vAlign w:val="center"/>
            <w:hideMark/>
          </w:tcPr>
          <w:p w14:paraId="0733D736" w14:textId="77777777" w:rsidR="00055C38" w:rsidRDefault="00055C38">
            <w:pPr>
              <w:rPr>
                <w:rFonts w:ascii="Calibri" w:hAnsi="Calibri" w:cs="Calibri"/>
                <w:b/>
                <w:bCs/>
                <w:color w:val="000000"/>
                <w:sz w:val="18"/>
                <w:szCs w:val="18"/>
              </w:rPr>
            </w:pPr>
            <w:r>
              <w:rPr>
                <w:rFonts w:ascii="Calibri" w:hAnsi="Calibri" w:cs="Calibri"/>
                <w:b/>
                <w:bCs/>
                <w:color w:val="000000"/>
                <w:sz w:val="18"/>
                <w:szCs w:val="18"/>
                <w:lang w:val="en-US"/>
              </w:rPr>
              <w:t>.02*</w:t>
            </w:r>
          </w:p>
        </w:tc>
        <w:tc>
          <w:tcPr>
            <w:tcW w:w="1300" w:type="dxa"/>
            <w:tcBorders>
              <w:top w:val="nil"/>
              <w:left w:val="nil"/>
              <w:bottom w:val="single" w:sz="8" w:space="0" w:color="auto"/>
              <w:right w:val="nil"/>
            </w:tcBorders>
            <w:shd w:val="clear" w:color="auto" w:fill="auto"/>
            <w:vAlign w:val="center"/>
            <w:hideMark/>
          </w:tcPr>
          <w:p w14:paraId="6AD3F381"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.77</w:t>
            </w:r>
          </w:p>
        </w:tc>
        <w:tc>
          <w:tcPr>
            <w:tcW w:w="1300" w:type="dxa"/>
            <w:tcBorders>
              <w:top w:val="nil"/>
              <w:left w:val="nil"/>
              <w:bottom w:val="single" w:sz="8" w:space="0" w:color="auto"/>
              <w:right w:val="nil"/>
            </w:tcBorders>
            <w:shd w:val="clear" w:color="auto" w:fill="auto"/>
            <w:vAlign w:val="center"/>
            <w:hideMark/>
          </w:tcPr>
          <w:p w14:paraId="6031813D" w14:textId="77777777" w:rsidR="00055C38" w:rsidRDefault="00055C38">
            <w:pPr>
              <w:rPr>
                <w:rFonts w:ascii="Calibri" w:hAnsi="Calibri" w:cs="Calibri"/>
                <w:b/>
                <w:bCs/>
                <w:color w:val="000000"/>
                <w:sz w:val="18"/>
                <w:szCs w:val="18"/>
              </w:rPr>
            </w:pPr>
            <w:r>
              <w:rPr>
                <w:rFonts w:ascii="Calibri" w:hAnsi="Calibri" w:cs="Calibri"/>
                <w:b/>
                <w:bCs/>
                <w:color w:val="000000"/>
                <w:sz w:val="18"/>
                <w:szCs w:val="18"/>
                <w:lang w:val="en-US"/>
              </w:rPr>
              <w:t>.01*</w:t>
            </w:r>
          </w:p>
        </w:tc>
        <w:tc>
          <w:tcPr>
            <w:tcW w:w="1300" w:type="dxa"/>
            <w:tcBorders>
              <w:top w:val="nil"/>
              <w:left w:val="nil"/>
              <w:bottom w:val="single" w:sz="8" w:space="0" w:color="auto"/>
              <w:right w:val="nil"/>
            </w:tcBorders>
            <w:shd w:val="clear" w:color="auto" w:fill="auto"/>
            <w:vAlign w:val="center"/>
            <w:hideMark/>
          </w:tcPr>
          <w:p w14:paraId="6637F838" w14:textId="77777777" w:rsidR="00055C38" w:rsidRPr="003C5278" w:rsidRDefault="00055C38">
            <w:pPr>
              <w:rPr>
                <w:rFonts w:ascii="Calibri" w:hAnsi="Calibri" w:cs="Calibri"/>
                <w:b/>
                <w:bCs/>
                <w:color w:val="000000" w:themeColor="text1"/>
                <w:sz w:val="18"/>
                <w:szCs w:val="18"/>
              </w:rPr>
            </w:pPr>
            <w:r w:rsidRPr="003C5278">
              <w:rPr>
                <w:rFonts w:ascii="Calibri" w:hAnsi="Calibri" w:cs="Calibri"/>
                <w:b/>
                <w:bCs/>
                <w:color w:val="000000" w:themeColor="text1"/>
                <w:sz w:val="18"/>
                <w:szCs w:val="18"/>
              </w:rPr>
              <w:t>.02*</w:t>
            </w:r>
          </w:p>
        </w:tc>
        <w:tc>
          <w:tcPr>
            <w:tcW w:w="1300" w:type="dxa"/>
            <w:tcBorders>
              <w:top w:val="nil"/>
              <w:left w:val="nil"/>
              <w:bottom w:val="single" w:sz="8" w:space="0" w:color="auto"/>
              <w:right w:val="nil"/>
            </w:tcBorders>
            <w:shd w:val="clear" w:color="auto" w:fill="auto"/>
            <w:vAlign w:val="center"/>
            <w:hideMark/>
          </w:tcPr>
          <w:p w14:paraId="0C3A6E3D" w14:textId="77777777" w:rsidR="00055C38" w:rsidRDefault="00055C38">
            <w:pPr>
              <w:rPr>
                <w:rFonts w:ascii="Calibri" w:hAnsi="Calibri" w:cs="Calibri"/>
                <w:color w:val="000000"/>
                <w:sz w:val="18"/>
                <w:szCs w:val="18"/>
              </w:rPr>
            </w:pPr>
            <w:r>
              <w:rPr>
                <w:rFonts w:ascii="Calibri" w:hAnsi="Calibri" w:cs="Calibri"/>
                <w:color w:val="000000"/>
                <w:sz w:val="18"/>
                <w:szCs w:val="18"/>
                <w:lang w:val="en-US"/>
              </w:rPr>
              <w:t>.73</w:t>
            </w:r>
          </w:p>
        </w:tc>
      </w:tr>
    </w:tbl>
    <w:p w14:paraId="057B38EC" w14:textId="7B09973B" w:rsidR="008670C9" w:rsidRPr="008670C9" w:rsidRDefault="008670C9" w:rsidP="008670C9">
      <w:pPr>
        <w:pStyle w:val="Leipteksti"/>
        <w:rPr>
          <w:lang w:val="en-US"/>
        </w:rPr>
      </w:pPr>
    </w:p>
    <w:p w14:paraId="09C7F0D7" w14:textId="77777777" w:rsidR="00FA7CAF" w:rsidRDefault="00FA7CAF" w:rsidP="00FA7CAF">
      <w:pPr>
        <w:pStyle w:val="BodyText1"/>
        <w:jc w:val="both"/>
      </w:pPr>
      <w:r>
        <w:rPr>
          <w:noProof/>
        </w:rPr>
        <w:lastRenderedPageBreak/>
        <w:drawing>
          <wp:inline distT="0" distB="0" distL="0" distR="0" wp14:anchorId="39963750" wp14:editId="52D4D1AD">
            <wp:extent cx="5755640" cy="3647440"/>
            <wp:effectExtent l="0" t="0" r="0" b="0"/>
            <wp:docPr id="6" name="Kuva 6" descr="Kuva, joka sisältää kohteen pöytä&#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va 6" descr="Kuva, joka sisältää kohteen pöytä&#10;&#10;Kuvaus luotu automaattisesti"/>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5640" cy="3647440"/>
                    </a:xfrm>
                    <a:prstGeom prst="rect">
                      <a:avLst/>
                    </a:prstGeom>
                  </pic:spPr>
                </pic:pic>
              </a:graphicData>
            </a:graphic>
          </wp:inline>
        </w:drawing>
      </w:r>
    </w:p>
    <w:p w14:paraId="566F1849" w14:textId="77777777" w:rsidR="00FA7CAF" w:rsidRDefault="00FA7CAF" w:rsidP="00FA7CAF">
      <w:pPr>
        <w:pStyle w:val="Figurecaptiontext"/>
      </w:pPr>
      <w:r>
        <w:rPr>
          <w:rFonts w:eastAsia="Arial Unicode MS" w:cs="Arial Unicode MS"/>
        </w:rPr>
        <w:t>Figure 5. Volcano plots showing associations between genera and negative reactivity and fear for girls. Only statistically significant genera are labelled.</w:t>
      </w:r>
    </w:p>
    <w:p w14:paraId="7F037A7D" w14:textId="77777777" w:rsidR="00FA7CAF" w:rsidRDefault="00FA7CAF" w:rsidP="00FA7CAF">
      <w:pPr>
        <w:pStyle w:val="BodyText1"/>
        <w:jc w:val="both"/>
      </w:pPr>
      <w:r w:rsidRPr="008B7AF4">
        <w:t xml:space="preserve"> </w:t>
      </w:r>
      <w:r>
        <w:rPr>
          <w:noProof/>
        </w:rPr>
        <w:drawing>
          <wp:inline distT="0" distB="0" distL="0" distR="0" wp14:anchorId="497CBCFA" wp14:editId="516AA892">
            <wp:extent cx="5754930" cy="1777429"/>
            <wp:effectExtent l="0" t="0" r="0" b="635"/>
            <wp:docPr id="11" name="Kuva 11" descr="Kuva, joka sisältää kohteen pöytä&#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uva 11" descr="Kuva, joka sisältää kohteen pöytä&#10;&#10;Kuvaus luotu automaattisesti"/>
                    <pic:cNvPicPr/>
                  </pic:nvPicPr>
                  <pic:blipFill rotWithShape="1">
                    <a:blip r:embed="rId8" cstate="print">
                      <a:extLst>
                        <a:ext uri="{28A0092B-C50C-407E-A947-70E740481C1C}">
                          <a14:useLocalDpi xmlns:a14="http://schemas.microsoft.com/office/drawing/2010/main" val="0"/>
                        </a:ext>
                      </a:extLst>
                    </a:blip>
                    <a:srcRect b="51263"/>
                    <a:stretch/>
                  </pic:blipFill>
                  <pic:spPr bwMode="auto">
                    <a:xfrm>
                      <a:off x="0" y="0"/>
                      <a:ext cx="5755640" cy="1777648"/>
                    </a:xfrm>
                    <a:prstGeom prst="rect">
                      <a:avLst/>
                    </a:prstGeom>
                    <a:ln>
                      <a:noFill/>
                    </a:ln>
                    <a:extLst>
                      <a:ext uri="{53640926-AAD7-44D8-BBD7-CCE9431645EC}">
                        <a14:shadowObscured xmlns:a14="http://schemas.microsoft.com/office/drawing/2010/main"/>
                      </a:ext>
                    </a:extLst>
                  </pic:spPr>
                </pic:pic>
              </a:graphicData>
            </a:graphic>
          </wp:inline>
        </w:drawing>
      </w:r>
    </w:p>
    <w:p w14:paraId="437F02AC" w14:textId="77777777" w:rsidR="00FA7CAF" w:rsidRDefault="00FA7CAF" w:rsidP="00FA7CAF">
      <w:pPr>
        <w:pStyle w:val="Figurecaptiontext"/>
      </w:pPr>
      <w:r>
        <w:rPr>
          <w:rFonts w:eastAsia="Arial Unicode MS" w:cs="Arial Unicode MS"/>
        </w:rPr>
        <w:t>Figure 6. Volcano plots showing associations between genera and negative reactivity and fear for boys. Only statistically significant genera are labelled.</w:t>
      </w:r>
    </w:p>
    <w:p w14:paraId="7A9664A9" w14:textId="77777777" w:rsidR="00FA7CAF" w:rsidRDefault="00FA7CAF" w:rsidP="00FA7CAF">
      <w:pPr>
        <w:pStyle w:val="Figurecaptiontext"/>
      </w:pPr>
    </w:p>
    <w:p w14:paraId="76A0A1F9" w14:textId="77777777" w:rsidR="00FA7CAF" w:rsidRDefault="00FA7CAF" w:rsidP="00FA7CAF">
      <w:pPr>
        <w:pStyle w:val="Figurecaptiontext"/>
      </w:pPr>
    </w:p>
    <w:p w14:paraId="0B72D3F5" w14:textId="77777777" w:rsidR="00FA7CAF" w:rsidRDefault="00FA7CAF" w:rsidP="00FA7CAF">
      <w:pPr>
        <w:pStyle w:val="Figurecaptiontext"/>
      </w:pPr>
    </w:p>
    <w:p w14:paraId="4F3A1347" w14:textId="77777777" w:rsidR="00FA7CAF" w:rsidRDefault="00FA7CAF" w:rsidP="00FA7CAF">
      <w:pPr>
        <w:pStyle w:val="Figurecaptiontext"/>
      </w:pPr>
      <w:r>
        <w:rPr>
          <w:noProof/>
        </w:rPr>
        <w:lastRenderedPageBreak/>
        <w:drawing>
          <wp:inline distT="0" distB="0" distL="0" distR="0" wp14:anchorId="03D1DC82" wp14:editId="2505172F">
            <wp:extent cx="5755640" cy="3647440"/>
            <wp:effectExtent l="0" t="0" r="0" b="0"/>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uva 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5640" cy="3647440"/>
                    </a:xfrm>
                    <a:prstGeom prst="rect">
                      <a:avLst/>
                    </a:prstGeom>
                  </pic:spPr>
                </pic:pic>
              </a:graphicData>
            </a:graphic>
          </wp:inline>
        </w:drawing>
      </w:r>
    </w:p>
    <w:p w14:paraId="02026A41" w14:textId="77777777" w:rsidR="00FA7CAF" w:rsidRDefault="00FA7CAF" w:rsidP="00FA7CAF">
      <w:pPr>
        <w:pStyle w:val="Figurecaptiontext"/>
      </w:pPr>
      <w:r>
        <w:rPr>
          <w:rFonts w:eastAsia="Arial Unicode MS" w:cs="Arial Unicode MS"/>
        </w:rPr>
        <w:t>Figure 7. Observed negative reactivity and Isobutyric acid for the whole observed sample and girls. Outlier value included.</w:t>
      </w:r>
    </w:p>
    <w:p w14:paraId="31B302D3" w14:textId="77777777" w:rsidR="00FA7CAF" w:rsidRDefault="00FA7CAF" w:rsidP="00FA7CAF">
      <w:pPr>
        <w:pStyle w:val="Figurecaptiontext"/>
      </w:pPr>
      <w:r>
        <w:rPr>
          <w:noProof/>
        </w:rPr>
        <w:drawing>
          <wp:anchor distT="57150" distB="57150" distL="57150" distR="57150" simplePos="0" relativeHeight="251659264" behindDoc="0" locked="0" layoutInCell="1" allowOverlap="1" wp14:anchorId="4F572324" wp14:editId="5CEBF757">
            <wp:simplePos x="0" y="0"/>
            <wp:positionH relativeFrom="column">
              <wp:posOffset>0</wp:posOffset>
            </wp:positionH>
            <wp:positionV relativeFrom="line">
              <wp:posOffset>219075</wp:posOffset>
            </wp:positionV>
            <wp:extent cx="5759256" cy="3883639"/>
            <wp:effectExtent l="0" t="0" r="0" b="0"/>
            <wp:wrapSquare wrapText="bothSides" distT="57150" distB="57150" distL="57150" distR="57150"/>
            <wp:docPr id="1073741832" name="officeArt object" descr="Image1"/>
            <wp:cNvGraphicFramePr/>
            <a:graphic xmlns:a="http://schemas.openxmlformats.org/drawingml/2006/main">
              <a:graphicData uri="http://schemas.openxmlformats.org/drawingml/2006/picture">
                <pic:pic xmlns:pic="http://schemas.openxmlformats.org/drawingml/2006/picture">
                  <pic:nvPicPr>
                    <pic:cNvPr id="1073741832" name="Image1" descr="Image1"/>
                    <pic:cNvPicPr>
                      <a:picLocks noChangeAspect="1"/>
                    </pic:cNvPicPr>
                  </pic:nvPicPr>
                  <pic:blipFill>
                    <a:blip r:embed="rId10"/>
                    <a:stretch>
                      <a:fillRect/>
                    </a:stretch>
                  </pic:blipFill>
                  <pic:spPr>
                    <a:xfrm>
                      <a:off x="0" y="0"/>
                      <a:ext cx="5759256" cy="3883639"/>
                    </a:xfrm>
                    <a:prstGeom prst="rect">
                      <a:avLst/>
                    </a:prstGeom>
                    <a:ln w="12700" cap="flat">
                      <a:noFill/>
                      <a:miter lim="400000"/>
                    </a:ln>
                    <a:effectLst/>
                  </pic:spPr>
                </pic:pic>
              </a:graphicData>
            </a:graphic>
          </wp:anchor>
        </w:drawing>
      </w:r>
    </w:p>
    <w:p w14:paraId="1F70E34A" w14:textId="77777777" w:rsidR="002D5D50" w:rsidRDefault="00FA7CAF" w:rsidP="00FA7CAF">
      <w:pPr>
        <w:pStyle w:val="Figurecaptiontext"/>
      </w:pPr>
      <w:r>
        <w:t>Figure 8. Read counts of positive and negative controls included in the sequecing run. Aqua samples have low read count and plasmid mixes match the expected composition on genus level. 20 most abundant ASVs are used for illustation.</w:t>
      </w:r>
    </w:p>
    <w:p w14:paraId="3FB958FA" w14:textId="313027BA" w:rsidR="00FA7CAF" w:rsidRDefault="00FA7CAF" w:rsidP="00FA7CAF">
      <w:pPr>
        <w:pStyle w:val="Figurecaptiontext"/>
      </w:pPr>
      <w:r>
        <w:lastRenderedPageBreak/>
        <w:t xml:space="preserve">Table </w:t>
      </w:r>
      <w:r w:rsidR="003C5278">
        <w:t>3</w:t>
      </w:r>
      <w:r>
        <w:t xml:space="preserve">. Linear regression models for different diversity indices and </w:t>
      </w:r>
      <w:r w:rsidRPr="004E7DCA">
        <w:rPr>
          <w:color w:val="000000" w:themeColor="text1"/>
        </w:rPr>
        <w:t>rarefication</w:t>
      </w:r>
      <w:r>
        <w:t xml:space="preserve">. </w:t>
      </w:r>
    </w:p>
    <w:tbl>
      <w:tblPr>
        <w:tblStyle w:val="TaulukkoRuudukko"/>
        <w:tblW w:w="0" w:type="auto"/>
        <w:tblLook w:val="04A0" w:firstRow="1" w:lastRow="0" w:firstColumn="1" w:lastColumn="0" w:noHBand="0" w:noVBand="1"/>
      </w:tblPr>
      <w:tblGrid>
        <w:gridCol w:w="1347"/>
        <w:gridCol w:w="1103"/>
        <w:gridCol w:w="1136"/>
        <w:gridCol w:w="1360"/>
        <w:gridCol w:w="1374"/>
        <w:gridCol w:w="1360"/>
        <w:gridCol w:w="1374"/>
      </w:tblGrid>
      <w:tr w:rsidR="00FA7CAF" w:rsidRPr="00EE7F8E" w14:paraId="252416CC" w14:textId="77777777" w:rsidTr="000B5A88">
        <w:tc>
          <w:tcPr>
            <w:tcW w:w="1347" w:type="dxa"/>
            <w:tcBorders>
              <w:left w:val="nil"/>
              <w:bottom w:val="single" w:sz="4" w:space="0" w:color="auto"/>
              <w:right w:val="nil"/>
            </w:tcBorders>
          </w:tcPr>
          <w:p w14:paraId="449735ED"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p>
        </w:tc>
        <w:tc>
          <w:tcPr>
            <w:tcW w:w="1103" w:type="dxa"/>
            <w:tcBorders>
              <w:left w:val="nil"/>
              <w:bottom w:val="single" w:sz="4" w:space="0" w:color="auto"/>
              <w:right w:val="nil"/>
            </w:tcBorders>
          </w:tcPr>
          <w:p w14:paraId="77FCAD65"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p>
        </w:tc>
        <w:tc>
          <w:tcPr>
            <w:tcW w:w="1136" w:type="dxa"/>
            <w:tcBorders>
              <w:left w:val="nil"/>
              <w:bottom w:val="single" w:sz="4" w:space="0" w:color="auto"/>
              <w:right w:val="nil"/>
            </w:tcBorders>
          </w:tcPr>
          <w:p w14:paraId="3394F5E7"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p>
        </w:tc>
        <w:tc>
          <w:tcPr>
            <w:tcW w:w="1360" w:type="dxa"/>
            <w:tcBorders>
              <w:left w:val="nil"/>
              <w:bottom w:val="single" w:sz="4" w:space="0" w:color="auto"/>
              <w:right w:val="nil"/>
            </w:tcBorders>
          </w:tcPr>
          <w:p w14:paraId="74AA5C48"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Reported fear reactivity * sex</w:t>
            </w:r>
          </w:p>
        </w:tc>
        <w:tc>
          <w:tcPr>
            <w:tcW w:w="1374" w:type="dxa"/>
            <w:tcBorders>
              <w:left w:val="nil"/>
              <w:bottom w:val="single" w:sz="4" w:space="0" w:color="auto"/>
              <w:right w:val="nil"/>
            </w:tcBorders>
          </w:tcPr>
          <w:p w14:paraId="46A32D4B"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Observed negative reactivity * sex</w:t>
            </w:r>
          </w:p>
        </w:tc>
        <w:tc>
          <w:tcPr>
            <w:tcW w:w="1360" w:type="dxa"/>
            <w:tcBorders>
              <w:left w:val="nil"/>
              <w:bottom w:val="single" w:sz="4" w:space="0" w:color="auto"/>
              <w:right w:val="nil"/>
            </w:tcBorders>
          </w:tcPr>
          <w:p w14:paraId="7D0D68E3"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Reported fear reactivity for boys</w:t>
            </w:r>
          </w:p>
        </w:tc>
        <w:tc>
          <w:tcPr>
            <w:tcW w:w="1374" w:type="dxa"/>
            <w:tcBorders>
              <w:left w:val="nil"/>
              <w:bottom w:val="single" w:sz="4" w:space="0" w:color="auto"/>
              <w:right w:val="nil"/>
            </w:tcBorders>
          </w:tcPr>
          <w:p w14:paraId="067DDA15"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Observed negative reactivity for boys</w:t>
            </w:r>
          </w:p>
        </w:tc>
      </w:tr>
      <w:tr w:rsidR="00FA7CAF" w14:paraId="63C03DA9" w14:textId="77777777" w:rsidTr="000B5A88">
        <w:tc>
          <w:tcPr>
            <w:tcW w:w="1347" w:type="dxa"/>
            <w:tcBorders>
              <w:left w:val="nil"/>
              <w:bottom w:val="nil"/>
              <w:right w:val="nil"/>
            </w:tcBorders>
          </w:tcPr>
          <w:p w14:paraId="748B484D"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Shannon</w:t>
            </w:r>
          </w:p>
        </w:tc>
        <w:tc>
          <w:tcPr>
            <w:tcW w:w="1103" w:type="dxa"/>
            <w:tcBorders>
              <w:left w:val="nil"/>
              <w:bottom w:val="nil"/>
              <w:right w:val="nil"/>
            </w:tcBorders>
          </w:tcPr>
          <w:p w14:paraId="1E61BB05" w14:textId="77777777" w:rsidR="00FA7CAF" w:rsidRDefault="00FA7CAF" w:rsidP="000B5A88">
            <w:pPr>
              <w:pStyle w:val="Tabletext"/>
            </w:pPr>
          </w:p>
        </w:tc>
        <w:tc>
          <w:tcPr>
            <w:tcW w:w="1136" w:type="dxa"/>
            <w:tcBorders>
              <w:left w:val="nil"/>
              <w:bottom w:val="nil"/>
              <w:right w:val="nil"/>
            </w:tcBorders>
          </w:tcPr>
          <w:p w14:paraId="26506AD6" w14:textId="77777777" w:rsidR="00FA7CAF" w:rsidRDefault="00FA7CAF" w:rsidP="000B5A88">
            <w:pPr>
              <w:pStyle w:val="Tabletext"/>
            </w:pPr>
            <w:r>
              <w:t>β</w:t>
            </w:r>
          </w:p>
        </w:tc>
        <w:tc>
          <w:tcPr>
            <w:tcW w:w="1360" w:type="dxa"/>
            <w:tcBorders>
              <w:left w:val="nil"/>
              <w:bottom w:val="nil"/>
              <w:right w:val="nil"/>
            </w:tcBorders>
          </w:tcPr>
          <w:p w14:paraId="761F5A2C"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-0.68</w:t>
            </w:r>
          </w:p>
        </w:tc>
        <w:tc>
          <w:tcPr>
            <w:tcW w:w="1374" w:type="dxa"/>
            <w:tcBorders>
              <w:left w:val="nil"/>
              <w:bottom w:val="nil"/>
              <w:right w:val="nil"/>
            </w:tcBorders>
          </w:tcPr>
          <w:p w14:paraId="2BD3404C"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-0.67</w:t>
            </w:r>
          </w:p>
        </w:tc>
        <w:tc>
          <w:tcPr>
            <w:tcW w:w="1360" w:type="dxa"/>
            <w:tcBorders>
              <w:left w:val="nil"/>
              <w:bottom w:val="nil"/>
              <w:right w:val="nil"/>
            </w:tcBorders>
          </w:tcPr>
          <w:p w14:paraId="62567641"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0.42</w:t>
            </w:r>
          </w:p>
        </w:tc>
        <w:tc>
          <w:tcPr>
            <w:tcW w:w="1374" w:type="dxa"/>
            <w:tcBorders>
              <w:left w:val="nil"/>
              <w:bottom w:val="nil"/>
              <w:right w:val="nil"/>
            </w:tcBorders>
          </w:tcPr>
          <w:p w14:paraId="2A0382DE"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0.30</w:t>
            </w:r>
          </w:p>
        </w:tc>
      </w:tr>
      <w:tr w:rsidR="00FA7CAF" w14:paraId="4937876A" w14:textId="77777777" w:rsidTr="000B5A88">
        <w:tc>
          <w:tcPr>
            <w:tcW w:w="1347" w:type="dxa"/>
            <w:tcBorders>
              <w:top w:val="nil"/>
              <w:left w:val="nil"/>
              <w:bottom w:val="nil"/>
              <w:right w:val="nil"/>
            </w:tcBorders>
          </w:tcPr>
          <w:p w14:paraId="610A7361"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p>
        </w:tc>
        <w:tc>
          <w:tcPr>
            <w:tcW w:w="1103" w:type="dxa"/>
            <w:tcBorders>
              <w:top w:val="nil"/>
              <w:left w:val="nil"/>
              <w:bottom w:val="nil"/>
              <w:right w:val="nil"/>
            </w:tcBorders>
          </w:tcPr>
          <w:p w14:paraId="68F93B29" w14:textId="77777777" w:rsidR="00FA7CAF" w:rsidRDefault="00FA7CAF" w:rsidP="000B5A88">
            <w:pPr>
              <w:pStyle w:val="Tabletext"/>
            </w:pPr>
          </w:p>
        </w:tc>
        <w:tc>
          <w:tcPr>
            <w:tcW w:w="1136" w:type="dxa"/>
            <w:tcBorders>
              <w:top w:val="nil"/>
              <w:left w:val="nil"/>
              <w:bottom w:val="nil"/>
              <w:right w:val="nil"/>
            </w:tcBorders>
          </w:tcPr>
          <w:p w14:paraId="3C5F7574" w14:textId="77777777" w:rsidR="00FA7CAF" w:rsidRDefault="00FA7CAF" w:rsidP="000B5A88">
            <w:pPr>
              <w:pStyle w:val="Tabletext"/>
            </w:pPr>
            <w:r>
              <w:t>p</w:t>
            </w:r>
          </w:p>
        </w:tc>
        <w:tc>
          <w:tcPr>
            <w:tcW w:w="1360" w:type="dxa"/>
            <w:tcBorders>
              <w:top w:val="nil"/>
              <w:left w:val="nil"/>
              <w:bottom w:val="nil"/>
              <w:right w:val="nil"/>
            </w:tcBorders>
          </w:tcPr>
          <w:p w14:paraId="3529A9A6"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.03</w:t>
            </w:r>
          </w:p>
        </w:tc>
        <w:tc>
          <w:tcPr>
            <w:tcW w:w="1374" w:type="dxa"/>
            <w:tcBorders>
              <w:top w:val="nil"/>
              <w:left w:val="nil"/>
              <w:bottom w:val="nil"/>
              <w:right w:val="nil"/>
            </w:tcBorders>
          </w:tcPr>
          <w:p w14:paraId="1A5E1C39"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.01</w:t>
            </w:r>
          </w:p>
        </w:tc>
        <w:tc>
          <w:tcPr>
            <w:tcW w:w="1360" w:type="dxa"/>
            <w:tcBorders>
              <w:top w:val="nil"/>
              <w:left w:val="nil"/>
              <w:bottom w:val="nil"/>
              <w:right w:val="nil"/>
            </w:tcBorders>
          </w:tcPr>
          <w:p w14:paraId="276D8529"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.04</w:t>
            </w:r>
          </w:p>
        </w:tc>
        <w:tc>
          <w:tcPr>
            <w:tcW w:w="1374" w:type="dxa"/>
            <w:tcBorders>
              <w:top w:val="nil"/>
              <w:left w:val="nil"/>
              <w:bottom w:val="nil"/>
              <w:right w:val="nil"/>
            </w:tcBorders>
          </w:tcPr>
          <w:p w14:paraId="2F9A3031"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.09</w:t>
            </w:r>
          </w:p>
        </w:tc>
      </w:tr>
      <w:tr w:rsidR="00FA7CAF" w14:paraId="78759978" w14:textId="77777777" w:rsidTr="000B5A88">
        <w:tc>
          <w:tcPr>
            <w:tcW w:w="1347" w:type="dxa"/>
            <w:tcBorders>
              <w:top w:val="nil"/>
              <w:left w:val="nil"/>
              <w:bottom w:val="nil"/>
              <w:right w:val="nil"/>
            </w:tcBorders>
          </w:tcPr>
          <w:p w14:paraId="7252CF83"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p>
        </w:tc>
        <w:tc>
          <w:tcPr>
            <w:tcW w:w="1103" w:type="dxa"/>
            <w:tcBorders>
              <w:top w:val="nil"/>
              <w:left w:val="nil"/>
              <w:bottom w:val="nil"/>
              <w:right w:val="nil"/>
            </w:tcBorders>
          </w:tcPr>
          <w:p w14:paraId="6DEFC4E8" w14:textId="77777777" w:rsidR="00FA7CAF" w:rsidRDefault="00FA7CAF" w:rsidP="000B5A88">
            <w:pPr>
              <w:pStyle w:val="Tabletext"/>
            </w:pPr>
            <w:r>
              <w:t>rarefied</w:t>
            </w:r>
          </w:p>
        </w:tc>
        <w:tc>
          <w:tcPr>
            <w:tcW w:w="1136" w:type="dxa"/>
            <w:tcBorders>
              <w:top w:val="nil"/>
              <w:left w:val="nil"/>
              <w:bottom w:val="nil"/>
              <w:right w:val="nil"/>
            </w:tcBorders>
          </w:tcPr>
          <w:p w14:paraId="2261DCE9" w14:textId="77777777" w:rsidR="00FA7CAF" w:rsidRDefault="00FA7CAF" w:rsidP="000B5A88">
            <w:pPr>
              <w:pStyle w:val="Tabletext"/>
            </w:pPr>
            <w:r>
              <w:t>β</w:t>
            </w:r>
          </w:p>
        </w:tc>
        <w:tc>
          <w:tcPr>
            <w:tcW w:w="1360" w:type="dxa"/>
            <w:tcBorders>
              <w:top w:val="nil"/>
              <w:left w:val="nil"/>
              <w:bottom w:val="nil"/>
              <w:right w:val="nil"/>
            </w:tcBorders>
          </w:tcPr>
          <w:p w14:paraId="1F64AE63"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-0.68</w:t>
            </w:r>
          </w:p>
        </w:tc>
        <w:tc>
          <w:tcPr>
            <w:tcW w:w="1374" w:type="dxa"/>
            <w:tcBorders>
              <w:top w:val="nil"/>
              <w:left w:val="nil"/>
              <w:bottom w:val="nil"/>
              <w:right w:val="nil"/>
            </w:tcBorders>
          </w:tcPr>
          <w:p w14:paraId="7482DA56"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-0.67</w:t>
            </w:r>
          </w:p>
        </w:tc>
        <w:tc>
          <w:tcPr>
            <w:tcW w:w="1360" w:type="dxa"/>
            <w:tcBorders>
              <w:top w:val="nil"/>
              <w:left w:val="nil"/>
              <w:bottom w:val="nil"/>
              <w:right w:val="nil"/>
            </w:tcBorders>
          </w:tcPr>
          <w:p w14:paraId="5AFF154B"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0.42</w:t>
            </w:r>
          </w:p>
        </w:tc>
        <w:tc>
          <w:tcPr>
            <w:tcW w:w="1374" w:type="dxa"/>
            <w:tcBorders>
              <w:top w:val="nil"/>
              <w:left w:val="nil"/>
              <w:bottom w:val="nil"/>
              <w:right w:val="nil"/>
            </w:tcBorders>
          </w:tcPr>
          <w:p w14:paraId="06E0C86C"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0.30</w:t>
            </w:r>
          </w:p>
        </w:tc>
      </w:tr>
      <w:tr w:rsidR="00FA7CAF" w14:paraId="5ADB0715" w14:textId="77777777" w:rsidTr="000B5A88">
        <w:tc>
          <w:tcPr>
            <w:tcW w:w="1347" w:type="dxa"/>
            <w:tcBorders>
              <w:top w:val="nil"/>
              <w:left w:val="nil"/>
              <w:bottom w:val="nil"/>
              <w:right w:val="nil"/>
            </w:tcBorders>
          </w:tcPr>
          <w:p w14:paraId="528D8050"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p>
        </w:tc>
        <w:tc>
          <w:tcPr>
            <w:tcW w:w="1103" w:type="dxa"/>
            <w:tcBorders>
              <w:top w:val="nil"/>
              <w:left w:val="nil"/>
              <w:bottom w:val="nil"/>
              <w:right w:val="nil"/>
            </w:tcBorders>
          </w:tcPr>
          <w:p w14:paraId="1980504F" w14:textId="77777777" w:rsidR="00FA7CAF" w:rsidRDefault="00FA7CAF" w:rsidP="000B5A88">
            <w:pPr>
              <w:pStyle w:val="Tabletext"/>
            </w:pPr>
          </w:p>
        </w:tc>
        <w:tc>
          <w:tcPr>
            <w:tcW w:w="1136" w:type="dxa"/>
            <w:tcBorders>
              <w:top w:val="nil"/>
              <w:left w:val="nil"/>
              <w:bottom w:val="nil"/>
              <w:right w:val="nil"/>
            </w:tcBorders>
          </w:tcPr>
          <w:p w14:paraId="6A95B8F8" w14:textId="77777777" w:rsidR="00FA7CAF" w:rsidRDefault="00FA7CAF" w:rsidP="000B5A88">
            <w:pPr>
              <w:pStyle w:val="Tabletext"/>
            </w:pPr>
            <w:r>
              <w:t>p</w:t>
            </w:r>
          </w:p>
        </w:tc>
        <w:tc>
          <w:tcPr>
            <w:tcW w:w="1360" w:type="dxa"/>
            <w:tcBorders>
              <w:top w:val="nil"/>
              <w:left w:val="nil"/>
              <w:bottom w:val="nil"/>
              <w:right w:val="nil"/>
            </w:tcBorders>
          </w:tcPr>
          <w:p w14:paraId="0CE5ECDF"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.03</w:t>
            </w:r>
          </w:p>
        </w:tc>
        <w:tc>
          <w:tcPr>
            <w:tcW w:w="1374" w:type="dxa"/>
            <w:tcBorders>
              <w:top w:val="nil"/>
              <w:left w:val="nil"/>
              <w:bottom w:val="nil"/>
              <w:right w:val="nil"/>
            </w:tcBorders>
          </w:tcPr>
          <w:p w14:paraId="6BBCD444"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.01</w:t>
            </w:r>
          </w:p>
        </w:tc>
        <w:tc>
          <w:tcPr>
            <w:tcW w:w="1360" w:type="dxa"/>
            <w:tcBorders>
              <w:top w:val="nil"/>
              <w:left w:val="nil"/>
              <w:bottom w:val="nil"/>
              <w:right w:val="nil"/>
            </w:tcBorders>
          </w:tcPr>
          <w:p w14:paraId="462829D1"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.04</w:t>
            </w:r>
          </w:p>
        </w:tc>
        <w:tc>
          <w:tcPr>
            <w:tcW w:w="1374" w:type="dxa"/>
            <w:tcBorders>
              <w:top w:val="nil"/>
              <w:left w:val="nil"/>
              <w:bottom w:val="nil"/>
              <w:right w:val="nil"/>
            </w:tcBorders>
          </w:tcPr>
          <w:p w14:paraId="0DD90D2C"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.09</w:t>
            </w:r>
          </w:p>
        </w:tc>
      </w:tr>
      <w:tr w:rsidR="00FA7CAF" w14:paraId="09458D90" w14:textId="77777777" w:rsidTr="000B5A88">
        <w:tc>
          <w:tcPr>
            <w:tcW w:w="1347" w:type="dxa"/>
            <w:tcBorders>
              <w:top w:val="nil"/>
              <w:left w:val="nil"/>
              <w:bottom w:val="nil"/>
              <w:right w:val="nil"/>
            </w:tcBorders>
          </w:tcPr>
          <w:p w14:paraId="1FAB9004"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Inverse Simpson</w:t>
            </w:r>
          </w:p>
        </w:tc>
        <w:tc>
          <w:tcPr>
            <w:tcW w:w="1103" w:type="dxa"/>
            <w:tcBorders>
              <w:top w:val="nil"/>
              <w:left w:val="nil"/>
              <w:bottom w:val="nil"/>
              <w:right w:val="nil"/>
            </w:tcBorders>
          </w:tcPr>
          <w:p w14:paraId="13C0A5B3" w14:textId="77777777" w:rsidR="00FA7CAF" w:rsidRDefault="00FA7CAF" w:rsidP="000B5A88">
            <w:pPr>
              <w:pStyle w:val="Tabletext"/>
            </w:pPr>
          </w:p>
        </w:tc>
        <w:tc>
          <w:tcPr>
            <w:tcW w:w="1136" w:type="dxa"/>
            <w:tcBorders>
              <w:top w:val="nil"/>
              <w:left w:val="nil"/>
              <w:bottom w:val="nil"/>
              <w:right w:val="nil"/>
            </w:tcBorders>
          </w:tcPr>
          <w:p w14:paraId="60A17900" w14:textId="77777777" w:rsidR="00FA7CAF" w:rsidRDefault="00FA7CAF" w:rsidP="000B5A88">
            <w:pPr>
              <w:pStyle w:val="Tabletext"/>
            </w:pPr>
            <w:r>
              <w:t>β</w:t>
            </w:r>
          </w:p>
        </w:tc>
        <w:tc>
          <w:tcPr>
            <w:tcW w:w="1360" w:type="dxa"/>
            <w:tcBorders>
              <w:top w:val="nil"/>
              <w:left w:val="nil"/>
              <w:bottom w:val="nil"/>
              <w:right w:val="nil"/>
            </w:tcBorders>
          </w:tcPr>
          <w:p w14:paraId="2DABDEF3"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-0.13</w:t>
            </w:r>
          </w:p>
        </w:tc>
        <w:tc>
          <w:tcPr>
            <w:tcW w:w="1374" w:type="dxa"/>
            <w:tcBorders>
              <w:top w:val="nil"/>
              <w:left w:val="nil"/>
              <w:bottom w:val="nil"/>
              <w:right w:val="nil"/>
            </w:tcBorders>
          </w:tcPr>
          <w:p w14:paraId="3594E3F9"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-0.11</w:t>
            </w:r>
          </w:p>
        </w:tc>
        <w:tc>
          <w:tcPr>
            <w:tcW w:w="1360" w:type="dxa"/>
            <w:tcBorders>
              <w:top w:val="nil"/>
              <w:left w:val="nil"/>
              <w:bottom w:val="nil"/>
              <w:right w:val="nil"/>
            </w:tcBorders>
          </w:tcPr>
          <w:p w14:paraId="2BFA9D2D"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0.11</w:t>
            </w:r>
          </w:p>
        </w:tc>
        <w:tc>
          <w:tcPr>
            <w:tcW w:w="1374" w:type="dxa"/>
            <w:tcBorders>
              <w:top w:val="nil"/>
              <w:left w:val="nil"/>
              <w:bottom w:val="nil"/>
              <w:right w:val="nil"/>
            </w:tcBorders>
          </w:tcPr>
          <w:p w14:paraId="486C9965"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0.06</w:t>
            </w:r>
          </w:p>
        </w:tc>
      </w:tr>
      <w:tr w:rsidR="00FA7CAF" w14:paraId="2B4C72CA" w14:textId="77777777" w:rsidTr="000B5A88">
        <w:tc>
          <w:tcPr>
            <w:tcW w:w="1347" w:type="dxa"/>
            <w:tcBorders>
              <w:top w:val="nil"/>
              <w:left w:val="nil"/>
              <w:bottom w:val="nil"/>
              <w:right w:val="nil"/>
            </w:tcBorders>
          </w:tcPr>
          <w:p w14:paraId="4C5486EF"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p>
        </w:tc>
        <w:tc>
          <w:tcPr>
            <w:tcW w:w="1103" w:type="dxa"/>
            <w:tcBorders>
              <w:top w:val="nil"/>
              <w:left w:val="nil"/>
              <w:bottom w:val="nil"/>
              <w:right w:val="nil"/>
            </w:tcBorders>
          </w:tcPr>
          <w:p w14:paraId="61C94C73"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p>
        </w:tc>
        <w:tc>
          <w:tcPr>
            <w:tcW w:w="1136" w:type="dxa"/>
            <w:tcBorders>
              <w:top w:val="nil"/>
              <w:left w:val="nil"/>
              <w:bottom w:val="nil"/>
              <w:right w:val="nil"/>
            </w:tcBorders>
          </w:tcPr>
          <w:p w14:paraId="0286B884"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p</w:t>
            </w:r>
          </w:p>
        </w:tc>
        <w:tc>
          <w:tcPr>
            <w:tcW w:w="1360" w:type="dxa"/>
            <w:tcBorders>
              <w:top w:val="nil"/>
              <w:left w:val="nil"/>
              <w:bottom w:val="nil"/>
              <w:right w:val="nil"/>
            </w:tcBorders>
          </w:tcPr>
          <w:p w14:paraId="0561402D"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.08</w:t>
            </w:r>
          </w:p>
        </w:tc>
        <w:tc>
          <w:tcPr>
            <w:tcW w:w="1374" w:type="dxa"/>
            <w:tcBorders>
              <w:top w:val="nil"/>
              <w:left w:val="nil"/>
              <w:bottom w:val="nil"/>
              <w:right w:val="nil"/>
            </w:tcBorders>
          </w:tcPr>
          <w:p w14:paraId="7EE7B5DE"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.08</w:t>
            </w:r>
          </w:p>
        </w:tc>
        <w:tc>
          <w:tcPr>
            <w:tcW w:w="1360" w:type="dxa"/>
            <w:tcBorders>
              <w:top w:val="nil"/>
              <w:left w:val="nil"/>
              <w:bottom w:val="nil"/>
              <w:right w:val="nil"/>
            </w:tcBorders>
          </w:tcPr>
          <w:p w14:paraId="1A390D56"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.02</w:t>
            </w:r>
          </w:p>
        </w:tc>
        <w:tc>
          <w:tcPr>
            <w:tcW w:w="1374" w:type="dxa"/>
            <w:tcBorders>
              <w:top w:val="nil"/>
              <w:left w:val="nil"/>
              <w:bottom w:val="nil"/>
              <w:right w:val="nil"/>
            </w:tcBorders>
          </w:tcPr>
          <w:p w14:paraId="19C16500"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.12</w:t>
            </w:r>
          </w:p>
        </w:tc>
      </w:tr>
      <w:tr w:rsidR="00FA7CAF" w14:paraId="7F965888" w14:textId="77777777" w:rsidTr="000B5A88">
        <w:tc>
          <w:tcPr>
            <w:tcW w:w="1347" w:type="dxa"/>
            <w:tcBorders>
              <w:top w:val="nil"/>
              <w:left w:val="nil"/>
              <w:bottom w:val="nil"/>
              <w:right w:val="nil"/>
            </w:tcBorders>
          </w:tcPr>
          <w:p w14:paraId="2EDC754B"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p>
        </w:tc>
        <w:tc>
          <w:tcPr>
            <w:tcW w:w="1103" w:type="dxa"/>
            <w:tcBorders>
              <w:top w:val="nil"/>
              <w:left w:val="nil"/>
              <w:bottom w:val="nil"/>
              <w:right w:val="nil"/>
            </w:tcBorders>
          </w:tcPr>
          <w:p w14:paraId="5A8C83C7"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rarefied</w:t>
            </w:r>
          </w:p>
        </w:tc>
        <w:tc>
          <w:tcPr>
            <w:tcW w:w="1136" w:type="dxa"/>
            <w:tcBorders>
              <w:top w:val="nil"/>
              <w:left w:val="nil"/>
              <w:bottom w:val="nil"/>
              <w:right w:val="nil"/>
            </w:tcBorders>
          </w:tcPr>
          <w:p w14:paraId="5BA858B6"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β</w:t>
            </w:r>
          </w:p>
        </w:tc>
        <w:tc>
          <w:tcPr>
            <w:tcW w:w="1360" w:type="dxa"/>
            <w:tcBorders>
              <w:top w:val="nil"/>
              <w:left w:val="nil"/>
              <w:bottom w:val="nil"/>
              <w:right w:val="nil"/>
            </w:tcBorders>
          </w:tcPr>
          <w:p w14:paraId="64601BC7"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-0.13</w:t>
            </w:r>
          </w:p>
        </w:tc>
        <w:tc>
          <w:tcPr>
            <w:tcW w:w="1374" w:type="dxa"/>
            <w:tcBorders>
              <w:top w:val="nil"/>
              <w:left w:val="nil"/>
              <w:bottom w:val="nil"/>
              <w:right w:val="nil"/>
            </w:tcBorders>
          </w:tcPr>
          <w:p w14:paraId="56167D14"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-0.11</w:t>
            </w:r>
          </w:p>
        </w:tc>
        <w:tc>
          <w:tcPr>
            <w:tcW w:w="1360" w:type="dxa"/>
            <w:tcBorders>
              <w:top w:val="nil"/>
              <w:left w:val="nil"/>
              <w:bottom w:val="nil"/>
              <w:right w:val="nil"/>
            </w:tcBorders>
          </w:tcPr>
          <w:p w14:paraId="37C955A9"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0.11</w:t>
            </w:r>
          </w:p>
        </w:tc>
        <w:tc>
          <w:tcPr>
            <w:tcW w:w="1374" w:type="dxa"/>
            <w:tcBorders>
              <w:top w:val="nil"/>
              <w:left w:val="nil"/>
              <w:bottom w:val="nil"/>
              <w:right w:val="nil"/>
            </w:tcBorders>
          </w:tcPr>
          <w:p w14:paraId="41E815BA"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0.06</w:t>
            </w:r>
          </w:p>
        </w:tc>
      </w:tr>
      <w:tr w:rsidR="00FA7CAF" w14:paraId="4768679D" w14:textId="77777777" w:rsidTr="000B5A88">
        <w:tc>
          <w:tcPr>
            <w:tcW w:w="1347" w:type="dxa"/>
            <w:tcBorders>
              <w:top w:val="nil"/>
              <w:left w:val="nil"/>
              <w:bottom w:val="nil"/>
              <w:right w:val="nil"/>
            </w:tcBorders>
          </w:tcPr>
          <w:p w14:paraId="45CF630D"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p>
        </w:tc>
        <w:tc>
          <w:tcPr>
            <w:tcW w:w="1103" w:type="dxa"/>
            <w:tcBorders>
              <w:top w:val="nil"/>
              <w:left w:val="nil"/>
              <w:bottom w:val="nil"/>
              <w:right w:val="nil"/>
            </w:tcBorders>
          </w:tcPr>
          <w:p w14:paraId="4017B720"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p>
        </w:tc>
        <w:tc>
          <w:tcPr>
            <w:tcW w:w="1136" w:type="dxa"/>
            <w:tcBorders>
              <w:top w:val="nil"/>
              <w:left w:val="nil"/>
              <w:bottom w:val="nil"/>
              <w:right w:val="nil"/>
            </w:tcBorders>
          </w:tcPr>
          <w:p w14:paraId="68D91273"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p</w:t>
            </w:r>
          </w:p>
        </w:tc>
        <w:tc>
          <w:tcPr>
            <w:tcW w:w="1360" w:type="dxa"/>
            <w:tcBorders>
              <w:top w:val="nil"/>
              <w:left w:val="nil"/>
              <w:bottom w:val="nil"/>
              <w:right w:val="nil"/>
            </w:tcBorders>
          </w:tcPr>
          <w:p w14:paraId="6AA5BF15"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.08</w:t>
            </w:r>
          </w:p>
        </w:tc>
        <w:tc>
          <w:tcPr>
            <w:tcW w:w="1374" w:type="dxa"/>
            <w:tcBorders>
              <w:top w:val="nil"/>
              <w:left w:val="nil"/>
              <w:bottom w:val="nil"/>
              <w:right w:val="nil"/>
            </w:tcBorders>
          </w:tcPr>
          <w:p w14:paraId="73A08BC0"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.07</w:t>
            </w:r>
          </w:p>
        </w:tc>
        <w:tc>
          <w:tcPr>
            <w:tcW w:w="1360" w:type="dxa"/>
            <w:tcBorders>
              <w:top w:val="nil"/>
              <w:left w:val="nil"/>
              <w:bottom w:val="nil"/>
              <w:right w:val="nil"/>
            </w:tcBorders>
          </w:tcPr>
          <w:p w14:paraId="711E4001"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.02</w:t>
            </w:r>
          </w:p>
        </w:tc>
        <w:tc>
          <w:tcPr>
            <w:tcW w:w="1374" w:type="dxa"/>
            <w:tcBorders>
              <w:top w:val="nil"/>
              <w:left w:val="nil"/>
              <w:bottom w:val="nil"/>
              <w:right w:val="nil"/>
            </w:tcBorders>
          </w:tcPr>
          <w:p w14:paraId="308A5EED"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.12</w:t>
            </w:r>
          </w:p>
        </w:tc>
      </w:tr>
      <w:tr w:rsidR="00FA7CAF" w14:paraId="39D3AAF5" w14:textId="77777777" w:rsidTr="000B5A88">
        <w:tc>
          <w:tcPr>
            <w:tcW w:w="1347" w:type="dxa"/>
            <w:tcBorders>
              <w:top w:val="nil"/>
              <w:left w:val="nil"/>
              <w:bottom w:val="nil"/>
              <w:right w:val="nil"/>
            </w:tcBorders>
          </w:tcPr>
          <w:p w14:paraId="0B5BD0C0"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Gini-Simpson</w:t>
            </w:r>
          </w:p>
        </w:tc>
        <w:tc>
          <w:tcPr>
            <w:tcW w:w="1103" w:type="dxa"/>
            <w:tcBorders>
              <w:top w:val="nil"/>
              <w:left w:val="nil"/>
              <w:bottom w:val="nil"/>
              <w:right w:val="nil"/>
            </w:tcBorders>
          </w:tcPr>
          <w:p w14:paraId="5C63F9A4"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p>
        </w:tc>
        <w:tc>
          <w:tcPr>
            <w:tcW w:w="1136" w:type="dxa"/>
            <w:tcBorders>
              <w:top w:val="nil"/>
              <w:left w:val="nil"/>
              <w:bottom w:val="nil"/>
              <w:right w:val="nil"/>
            </w:tcBorders>
          </w:tcPr>
          <w:p w14:paraId="026CE2A5"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β</w:t>
            </w:r>
          </w:p>
        </w:tc>
        <w:tc>
          <w:tcPr>
            <w:tcW w:w="1360" w:type="dxa"/>
            <w:tcBorders>
              <w:top w:val="nil"/>
              <w:left w:val="nil"/>
              <w:bottom w:val="nil"/>
              <w:right w:val="nil"/>
            </w:tcBorders>
          </w:tcPr>
          <w:p w14:paraId="263F9428"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-2.04</w:t>
            </w:r>
          </w:p>
        </w:tc>
        <w:tc>
          <w:tcPr>
            <w:tcW w:w="1374" w:type="dxa"/>
            <w:tcBorders>
              <w:top w:val="nil"/>
              <w:left w:val="nil"/>
              <w:bottom w:val="nil"/>
              <w:right w:val="nil"/>
            </w:tcBorders>
          </w:tcPr>
          <w:p w14:paraId="70238F8F"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-2.21</w:t>
            </w:r>
          </w:p>
        </w:tc>
        <w:tc>
          <w:tcPr>
            <w:tcW w:w="1360" w:type="dxa"/>
            <w:tcBorders>
              <w:top w:val="nil"/>
              <w:left w:val="nil"/>
              <w:bottom w:val="nil"/>
              <w:right w:val="nil"/>
            </w:tcBorders>
          </w:tcPr>
          <w:p w14:paraId="1F47474E"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1.47</w:t>
            </w:r>
          </w:p>
        </w:tc>
        <w:tc>
          <w:tcPr>
            <w:tcW w:w="1374" w:type="dxa"/>
            <w:tcBorders>
              <w:top w:val="nil"/>
              <w:left w:val="nil"/>
              <w:bottom w:val="nil"/>
              <w:right w:val="nil"/>
            </w:tcBorders>
          </w:tcPr>
          <w:p w14:paraId="0C87339C"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1.00</w:t>
            </w:r>
          </w:p>
        </w:tc>
      </w:tr>
      <w:tr w:rsidR="00FA7CAF" w14:paraId="6415388E" w14:textId="77777777" w:rsidTr="000B5A88">
        <w:tc>
          <w:tcPr>
            <w:tcW w:w="1347" w:type="dxa"/>
            <w:tcBorders>
              <w:top w:val="nil"/>
              <w:left w:val="nil"/>
              <w:bottom w:val="nil"/>
              <w:right w:val="nil"/>
            </w:tcBorders>
          </w:tcPr>
          <w:p w14:paraId="08525731"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p>
        </w:tc>
        <w:tc>
          <w:tcPr>
            <w:tcW w:w="1103" w:type="dxa"/>
            <w:tcBorders>
              <w:top w:val="nil"/>
              <w:left w:val="nil"/>
              <w:bottom w:val="nil"/>
              <w:right w:val="nil"/>
            </w:tcBorders>
          </w:tcPr>
          <w:p w14:paraId="59E7B2A3"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p>
        </w:tc>
        <w:tc>
          <w:tcPr>
            <w:tcW w:w="1136" w:type="dxa"/>
            <w:tcBorders>
              <w:top w:val="nil"/>
              <w:left w:val="nil"/>
              <w:bottom w:val="nil"/>
              <w:right w:val="nil"/>
            </w:tcBorders>
          </w:tcPr>
          <w:p w14:paraId="28BD0E21"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p</w:t>
            </w:r>
          </w:p>
        </w:tc>
        <w:tc>
          <w:tcPr>
            <w:tcW w:w="1360" w:type="dxa"/>
            <w:tcBorders>
              <w:top w:val="nil"/>
              <w:left w:val="nil"/>
              <w:bottom w:val="nil"/>
              <w:right w:val="nil"/>
            </w:tcBorders>
          </w:tcPr>
          <w:p w14:paraId="77D3C594"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.05</w:t>
            </w:r>
          </w:p>
        </w:tc>
        <w:tc>
          <w:tcPr>
            <w:tcW w:w="1374" w:type="dxa"/>
            <w:tcBorders>
              <w:top w:val="nil"/>
              <w:left w:val="nil"/>
              <w:bottom w:val="nil"/>
              <w:right w:val="nil"/>
            </w:tcBorders>
          </w:tcPr>
          <w:p w14:paraId="124FA472"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.01</w:t>
            </w:r>
          </w:p>
        </w:tc>
        <w:tc>
          <w:tcPr>
            <w:tcW w:w="1360" w:type="dxa"/>
            <w:tcBorders>
              <w:top w:val="nil"/>
              <w:left w:val="nil"/>
              <w:bottom w:val="nil"/>
              <w:right w:val="nil"/>
            </w:tcBorders>
          </w:tcPr>
          <w:p w14:paraId="14646FA0"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.02</w:t>
            </w:r>
          </w:p>
        </w:tc>
        <w:tc>
          <w:tcPr>
            <w:tcW w:w="1374" w:type="dxa"/>
            <w:tcBorders>
              <w:top w:val="nil"/>
              <w:left w:val="nil"/>
              <w:bottom w:val="nil"/>
              <w:right w:val="nil"/>
            </w:tcBorders>
          </w:tcPr>
          <w:p w14:paraId="6C1B082B"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.11</w:t>
            </w:r>
          </w:p>
        </w:tc>
      </w:tr>
      <w:tr w:rsidR="00FA7CAF" w14:paraId="348E68D0" w14:textId="77777777" w:rsidTr="000B5A88">
        <w:tc>
          <w:tcPr>
            <w:tcW w:w="1347" w:type="dxa"/>
            <w:tcBorders>
              <w:top w:val="nil"/>
              <w:left w:val="nil"/>
              <w:bottom w:val="nil"/>
              <w:right w:val="nil"/>
            </w:tcBorders>
          </w:tcPr>
          <w:p w14:paraId="1D277ED2"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p>
        </w:tc>
        <w:tc>
          <w:tcPr>
            <w:tcW w:w="1103" w:type="dxa"/>
            <w:tcBorders>
              <w:top w:val="nil"/>
              <w:left w:val="nil"/>
              <w:bottom w:val="nil"/>
              <w:right w:val="nil"/>
            </w:tcBorders>
          </w:tcPr>
          <w:p w14:paraId="0F3912F6"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rarefied</w:t>
            </w:r>
          </w:p>
        </w:tc>
        <w:tc>
          <w:tcPr>
            <w:tcW w:w="1136" w:type="dxa"/>
            <w:tcBorders>
              <w:top w:val="nil"/>
              <w:left w:val="nil"/>
              <w:bottom w:val="nil"/>
              <w:right w:val="nil"/>
            </w:tcBorders>
          </w:tcPr>
          <w:p w14:paraId="1B992496"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β</w:t>
            </w:r>
          </w:p>
        </w:tc>
        <w:tc>
          <w:tcPr>
            <w:tcW w:w="1360" w:type="dxa"/>
            <w:tcBorders>
              <w:top w:val="nil"/>
              <w:left w:val="nil"/>
              <w:bottom w:val="nil"/>
              <w:right w:val="nil"/>
            </w:tcBorders>
          </w:tcPr>
          <w:p w14:paraId="5D1D5154"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-2.03</w:t>
            </w:r>
          </w:p>
        </w:tc>
        <w:tc>
          <w:tcPr>
            <w:tcW w:w="1374" w:type="dxa"/>
            <w:tcBorders>
              <w:top w:val="nil"/>
              <w:left w:val="nil"/>
              <w:bottom w:val="nil"/>
              <w:right w:val="nil"/>
            </w:tcBorders>
          </w:tcPr>
          <w:p w14:paraId="48C5DE41"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-2.22</w:t>
            </w:r>
          </w:p>
        </w:tc>
        <w:tc>
          <w:tcPr>
            <w:tcW w:w="1360" w:type="dxa"/>
            <w:tcBorders>
              <w:top w:val="nil"/>
              <w:left w:val="nil"/>
              <w:bottom w:val="nil"/>
              <w:right w:val="nil"/>
            </w:tcBorders>
          </w:tcPr>
          <w:p w14:paraId="69EC3C2D"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1.47</w:t>
            </w:r>
          </w:p>
        </w:tc>
        <w:tc>
          <w:tcPr>
            <w:tcW w:w="1374" w:type="dxa"/>
            <w:tcBorders>
              <w:top w:val="nil"/>
              <w:left w:val="nil"/>
              <w:bottom w:val="nil"/>
              <w:right w:val="nil"/>
            </w:tcBorders>
          </w:tcPr>
          <w:p w14:paraId="26CD7F03"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1.00</w:t>
            </w:r>
          </w:p>
        </w:tc>
      </w:tr>
      <w:tr w:rsidR="00FA7CAF" w14:paraId="61F589AD" w14:textId="77777777" w:rsidTr="000B5A88">
        <w:tc>
          <w:tcPr>
            <w:tcW w:w="1347" w:type="dxa"/>
            <w:tcBorders>
              <w:top w:val="nil"/>
              <w:left w:val="nil"/>
              <w:bottom w:val="nil"/>
              <w:right w:val="nil"/>
            </w:tcBorders>
          </w:tcPr>
          <w:p w14:paraId="5657BB6B"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p>
        </w:tc>
        <w:tc>
          <w:tcPr>
            <w:tcW w:w="1103" w:type="dxa"/>
            <w:tcBorders>
              <w:top w:val="nil"/>
              <w:left w:val="nil"/>
              <w:bottom w:val="nil"/>
              <w:right w:val="nil"/>
            </w:tcBorders>
          </w:tcPr>
          <w:p w14:paraId="7EBDD920"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p>
        </w:tc>
        <w:tc>
          <w:tcPr>
            <w:tcW w:w="1136" w:type="dxa"/>
            <w:tcBorders>
              <w:top w:val="nil"/>
              <w:left w:val="nil"/>
              <w:bottom w:val="nil"/>
              <w:right w:val="nil"/>
            </w:tcBorders>
          </w:tcPr>
          <w:p w14:paraId="543F97FC"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p</w:t>
            </w:r>
          </w:p>
        </w:tc>
        <w:tc>
          <w:tcPr>
            <w:tcW w:w="1360" w:type="dxa"/>
            <w:tcBorders>
              <w:top w:val="nil"/>
              <w:left w:val="nil"/>
              <w:bottom w:val="nil"/>
              <w:right w:val="nil"/>
            </w:tcBorders>
          </w:tcPr>
          <w:p w14:paraId="26B68606"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.05</w:t>
            </w:r>
          </w:p>
        </w:tc>
        <w:tc>
          <w:tcPr>
            <w:tcW w:w="1374" w:type="dxa"/>
            <w:tcBorders>
              <w:top w:val="nil"/>
              <w:left w:val="nil"/>
              <w:bottom w:val="nil"/>
              <w:right w:val="nil"/>
            </w:tcBorders>
          </w:tcPr>
          <w:p w14:paraId="43406819"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.01</w:t>
            </w:r>
          </w:p>
        </w:tc>
        <w:tc>
          <w:tcPr>
            <w:tcW w:w="1360" w:type="dxa"/>
            <w:tcBorders>
              <w:top w:val="nil"/>
              <w:left w:val="nil"/>
              <w:bottom w:val="nil"/>
              <w:right w:val="nil"/>
            </w:tcBorders>
          </w:tcPr>
          <w:p w14:paraId="18E671B5"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.02</w:t>
            </w:r>
          </w:p>
        </w:tc>
        <w:tc>
          <w:tcPr>
            <w:tcW w:w="1374" w:type="dxa"/>
            <w:tcBorders>
              <w:top w:val="nil"/>
              <w:left w:val="nil"/>
              <w:bottom w:val="nil"/>
              <w:right w:val="nil"/>
            </w:tcBorders>
          </w:tcPr>
          <w:p w14:paraId="5BA4F270"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.11</w:t>
            </w:r>
          </w:p>
        </w:tc>
      </w:tr>
      <w:tr w:rsidR="00FA7CAF" w14:paraId="4E31D0E1" w14:textId="77777777" w:rsidTr="000B5A88">
        <w:tc>
          <w:tcPr>
            <w:tcW w:w="1347" w:type="dxa"/>
            <w:tcBorders>
              <w:top w:val="nil"/>
              <w:left w:val="nil"/>
              <w:bottom w:val="nil"/>
              <w:right w:val="nil"/>
            </w:tcBorders>
          </w:tcPr>
          <w:p w14:paraId="23AFADA2"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Fisher</w:t>
            </w:r>
          </w:p>
        </w:tc>
        <w:tc>
          <w:tcPr>
            <w:tcW w:w="1103" w:type="dxa"/>
            <w:tcBorders>
              <w:top w:val="nil"/>
              <w:left w:val="nil"/>
              <w:bottom w:val="nil"/>
              <w:right w:val="nil"/>
            </w:tcBorders>
          </w:tcPr>
          <w:p w14:paraId="25A4D607"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p>
        </w:tc>
        <w:tc>
          <w:tcPr>
            <w:tcW w:w="1136" w:type="dxa"/>
            <w:tcBorders>
              <w:top w:val="nil"/>
              <w:left w:val="nil"/>
              <w:bottom w:val="nil"/>
              <w:right w:val="nil"/>
            </w:tcBorders>
          </w:tcPr>
          <w:p w14:paraId="3FB38A88"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β</w:t>
            </w:r>
          </w:p>
        </w:tc>
        <w:tc>
          <w:tcPr>
            <w:tcW w:w="1360" w:type="dxa"/>
            <w:tcBorders>
              <w:top w:val="nil"/>
              <w:left w:val="nil"/>
              <w:bottom w:val="nil"/>
              <w:right w:val="nil"/>
            </w:tcBorders>
          </w:tcPr>
          <w:p w14:paraId="65D661E4"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-0.14</w:t>
            </w:r>
          </w:p>
        </w:tc>
        <w:tc>
          <w:tcPr>
            <w:tcW w:w="1374" w:type="dxa"/>
            <w:tcBorders>
              <w:top w:val="nil"/>
              <w:left w:val="nil"/>
              <w:bottom w:val="nil"/>
              <w:right w:val="nil"/>
            </w:tcBorders>
          </w:tcPr>
          <w:p w14:paraId="6C76438A"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-0.13</w:t>
            </w:r>
          </w:p>
        </w:tc>
        <w:tc>
          <w:tcPr>
            <w:tcW w:w="1360" w:type="dxa"/>
            <w:tcBorders>
              <w:top w:val="nil"/>
              <w:left w:val="nil"/>
              <w:bottom w:val="nil"/>
              <w:right w:val="nil"/>
            </w:tcBorders>
          </w:tcPr>
          <w:p w14:paraId="1009EB90"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0.05</w:t>
            </w:r>
          </w:p>
        </w:tc>
        <w:tc>
          <w:tcPr>
            <w:tcW w:w="1374" w:type="dxa"/>
            <w:tcBorders>
              <w:top w:val="nil"/>
              <w:left w:val="nil"/>
              <w:bottom w:val="nil"/>
              <w:right w:val="nil"/>
            </w:tcBorders>
          </w:tcPr>
          <w:p w14:paraId="679EB27A"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0.09</w:t>
            </w:r>
          </w:p>
        </w:tc>
      </w:tr>
      <w:tr w:rsidR="00FA7CAF" w14:paraId="0FBC4F7A" w14:textId="77777777" w:rsidTr="000B5A88">
        <w:tc>
          <w:tcPr>
            <w:tcW w:w="1347" w:type="dxa"/>
            <w:tcBorders>
              <w:top w:val="nil"/>
              <w:left w:val="nil"/>
              <w:bottom w:val="nil"/>
              <w:right w:val="nil"/>
            </w:tcBorders>
          </w:tcPr>
          <w:p w14:paraId="68272A6B"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p>
        </w:tc>
        <w:tc>
          <w:tcPr>
            <w:tcW w:w="1103" w:type="dxa"/>
            <w:tcBorders>
              <w:top w:val="nil"/>
              <w:left w:val="nil"/>
              <w:bottom w:val="nil"/>
              <w:right w:val="nil"/>
            </w:tcBorders>
          </w:tcPr>
          <w:p w14:paraId="41932D2D"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p>
        </w:tc>
        <w:tc>
          <w:tcPr>
            <w:tcW w:w="1136" w:type="dxa"/>
            <w:tcBorders>
              <w:top w:val="nil"/>
              <w:left w:val="nil"/>
              <w:bottom w:val="nil"/>
              <w:right w:val="nil"/>
            </w:tcBorders>
          </w:tcPr>
          <w:p w14:paraId="4638FD2D"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p</w:t>
            </w:r>
          </w:p>
        </w:tc>
        <w:tc>
          <w:tcPr>
            <w:tcW w:w="1360" w:type="dxa"/>
            <w:tcBorders>
              <w:top w:val="nil"/>
              <w:left w:val="nil"/>
              <w:bottom w:val="nil"/>
              <w:right w:val="nil"/>
            </w:tcBorders>
          </w:tcPr>
          <w:p w14:paraId="13557B6C"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.24</w:t>
            </w:r>
          </w:p>
        </w:tc>
        <w:tc>
          <w:tcPr>
            <w:tcW w:w="1374" w:type="dxa"/>
            <w:tcBorders>
              <w:top w:val="nil"/>
              <w:left w:val="nil"/>
              <w:bottom w:val="nil"/>
              <w:right w:val="nil"/>
            </w:tcBorders>
          </w:tcPr>
          <w:p w14:paraId="516C8A11"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.26</w:t>
            </w:r>
          </w:p>
        </w:tc>
        <w:tc>
          <w:tcPr>
            <w:tcW w:w="1360" w:type="dxa"/>
            <w:tcBorders>
              <w:top w:val="nil"/>
              <w:left w:val="nil"/>
              <w:bottom w:val="nil"/>
              <w:right w:val="nil"/>
            </w:tcBorders>
          </w:tcPr>
          <w:p w14:paraId="4BF991FB"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.56</w:t>
            </w:r>
          </w:p>
        </w:tc>
        <w:tc>
          <w:tcPr>
            <w:tcW w:w="1374" w:type="dxa"/>
            <w:tcBorders>
              <w:top w:val="nil"/>
              <w:left w:val="nil"/>
              <w:bottom w:val="nil"/>
              <w:right w:val="nil"/>
            </w:tcBorders>
          </w:tcPr>
          <w:p w14:paraId="406221ED"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.21</w:t>
            </w:r>
          </w:p>
        </w:tc>
      </w:tr>
      <w:tr w:rsidR="00FA7CAF" w14:paraId="5E251E4B" w14:textId="77777777" w:rsidTr="000B5A88">
        <w:tc>
          <w:tcPr>
            <w:tcW w:w="1347" w:type="dxa"/>
            <w:tcBorders>
              <w:top w:val="nil"/>
              <w:left w:val="nil"/>
              <w:bottom w:val="nil"/>
              <w:right w:val="nil"/>
            </w:tcBorders>
          </w:tcPr>
          <w:p w14:paraId="4641AEA5"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p>
        </w:tc>
        <w:tc>
          <w:tcPr>
            <w:tcW w:w="1103" w:type="dxa"/>
            <w:tcBorders>
              <w:top w:val="nil"/>
              <w:left w:val="nil"/>
              <w:bottom w:val="nil"/>
              <w:right w:val="nil"/>
            </w:tcBorders>
          </w:tcPr>
          <w:p w14:paraId="60D5DA0A"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rarefied</w:t>
            </w:r>
          </w:p>
        </w:tc>
        <w:tc>
          <w:tcPr>
            <w:tcW w:w="1136" w:type="dxa"/>
            <w:tcBorders>
              <w:top w:val="nil"/>
              <w:left w:val="nil"/>
              <w:bottom w:val="nil"/>
              <w:right w:val="nil"/>
            </w:tcBorders>
          </w:tcPr>
          <w:p w14:paraId="071A9345"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β</w:t>
            </w:r>
          </w:p>
        </w:tc>
        <w:tc>
          <w:tcPr>
            <w:tcW w:w="1360" w:type="dxa"/>
            <w:tcBorders>
              <w:top w:val="nil"/>
              <w:left w:val="nil"/>
              <w:bottom w:val="nil"/>
              <w:right w:val="nil"/>
            </w:tcBorders>
          </w:tcPr>
          <w:p w14:paraId="2190652E"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-0.10</w:t>
            </w:r>
          </w:p>
        </w:tc>
        <w:tc>
          <w:tcPr>
            <w:tcW w:w="1374" w:type="dxa"/>
            <w:tcBorders>
              <w:top w:val="nil"/>
              <w:left w:val="nil"/>
              <w:bottom w:val="nil"/>
              <w:right w:val="nil"/>
            </w:tcBorders>
          </w:tcPr>
          <w:p w14:paraId="3B866882"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-0.09</w:t>
            </w:r>
          </w:p>
        </w:tc>
        <w:tc>
          <w:tcPr>
            <w:tcW w:w="1360" w:type="dxa"/>
            <w:tcBorders>
              <w:top w:val="nil"/>
              <w:left w:val="nil"/>
              <w:bottom w:val="nil"/>
              <w:right w:val="nil"/>
            </w:tcBorders>
          </w:tcPr>
          <w:p w14:paraId="2E64120D"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0.02</w:t>
            </w:r>
          </w:p>
        </w:tc>
        <w:tc>
          <w:tcPr>
            <w:tcW w:w="1374" w:type="dxa"/>
            <w:tcBorders>
              <w:top w:val="nil"/>
              <w:left w:val="nil"/>
              <w:bottom w:val="nil"/>
              <w:right w:val="nil"/>
            </w:tcBorders>
          </w:tcPr>
          <w:p w14:paraId="501559DC"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0.06</w:t>
            </w:r>
          </w:p>
        </w:tc>
      </w:tr>
      <w:tr w:rsidR="00FA7CAF" w14:paraId="51E63DE8" w14:textId="77777777" w:rsidTr="000B5A88">
        <w:tc>
          <w:tcPr>
            <w:tcW w:w="1347" w:type="dxa"/>
            <w:tcBorders>
              <w:top w:val="nil"/>
              <w:left w:val="nil"/>
              <w:bottom w:val="nil"/>
              <w:right w:val="nil"/>
            </w:tcBorders>
          </w:tcPr>
          <w:p w14:paraId="51080720"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p>
        </w:tc>
        <w:tc>
          <w:tcPr>
            <w:tcW w:w="1103" w:type="dxa"/>
            <w:tcBorders>
              <w:top w:val="nil"/>
              <w:left w:val="nil"/>
              <w:bottom w:val="nil"/>
              <w:right w:val="nil"/>
            </w:tcBorders>
          </w:tcPr>
          <w:p w14:paraId="3C063556"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p>
        </w:tc>
        <w:tc>
          <w:tcPr>
            <w:tcW w:w="1136" w:type="dxa"/>
            <w:tcBorders>
              <w:top w:val="nil"/>
              <w:left w:val="nil"/>
              <w:bottom w:val="nil"/>
              <w:right w:val="nil"/>
            </w:tcBorders>
          </w:tcPr>
          <w:p w14:paraId="5538EE7F"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p</w:t>
            </w:r>
          </w:p>
        </w:tc>
        <w:tc>
          <w:tcPr>
            <w:tcW w:w="1360" w:type="dxa"/>
            <w:tcBorders>
              <w:top w:val="nil"/>
              <w:left w:val="nil"/>
              <w:bottom w:val="nil"/>
              <w:right w:val="nil"/>
            </w:tcBorders>
          </w:tcPr>
          <w:p w14:paraId="04225834"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.28</w:t>
            </w:r>
          </w:p>
        </w:tc>
        <w:tc>
          <w:tcPr>
            <w:tcW w:w="1374" w:type="dxa"/>
            <w:tcBorders>
              <w:top w:val="nil"/>
              <w:left w:val="nil"/>
              <w:bottom w:val="nil"/>
              <w:right w:val="nil"/>
            </w:tcBorders>
          </w:tcPr>
          <w:p w14:paraId="349E831B"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.33</w:t>
            </w:r>
          </w:p>
        </w:tc>
        <w:tc>
          <w:tcPr>
            <w:tcW w:w="1360" w:type="dxa"/>
            <w:tcBorders>
              <w:top w:val="nil"/>
              <w:left w:val="nil"/>
              <w:bottom w:val="nil"/>
              <w:right w:val="nil"/>
            </w:tcBorders>
          </w:tcPr>
          <w:p w14:paraId="40186FD6"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.77</w:t>
            </w:r>
          </w:p>
        </w:tc>
        <w:tc>
          <w:tcPr>
            <w:tcW w:w="1374" w:type="dxa"/>
            <w:tcBorders>
              <w:top w:val="nil"/>
              <w:left w:val="nil"/>
              <w:bottom w:val="nil"/>
              <w:right w:val="nil"/>
            </w:tcBorders>
          </w:tcPr>
          <w:p w14:paraId="04873418"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.30</w:t>
            </w:r>
          </w:p>
        </w:tc>
      </w:tr>
      <w:tr w:rsidR="00FA7CAF" w14:paraId="624388DF" w14:textId="77777777" w:rsidTr="000B5A88">
        <w:tc>
          <w:tcPr>
            <w:tcW w:w="1347" w:type="dxa"/>
            <w:tcBorders>
              <w:top w:val="nil"/>
              <w:left w:val="nil"/>
              <w:bottom w:val="nil"/>
              <w:right w:val="nil"/>
            </w:tcBorders>
          </w:tcPr>
          <w:p w14:paraId="08E1C82C"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Chao1</w:t>
            </w:r>
          </w:p>
        </w:tc>
        <w:tc>
          <w:tcPr>
            <w:tcW w:w="1103" w:type="dxa"/>
            <w:tcBorders>
              <w:top w:val="nil"/>
              <w:left w:val="nil"/>
              <w:bottom w:val="nil"/>
              <w:right w:val="nil"/>
            </w:tcBorders>
          </w:tcPr>
          <w:p w14:paraId="58C9001F"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p>
        </w:tc>
        <w:tc>
          <w:tcPr>
            <w:tcW w:w="1136" w:type="dxa"/>
            <w:tcBorders>
              <w:top w:val="nil"/>
              <w:left w:val="nil"/>
              <w:bottom w:val="nil"/>
              <w:right w:val="nil"/>
            </w:tcBorders>
          </w:tcPr>
          <w:p w14:paraId="321691AF"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β</w:t>
            </w:r>
          </w:p>
        </w:tc>
        <w:tc>
          <w:tcPr>
            <w:tcW w:w="1360" w:type="dxa"/>
            <w:tcBorders>
              <w:top w:val="nil"/>
              <w:left w:val="nil"/>
              <w:bottom w:val="nil"/>
              <w:right w:val="nil"/>
            </w:tcBorders>
          </w:tcPr>
          <w:p w14:paraId="26DFBA0C"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-0.01</w:t>
            </w:r>
          </w:p>
        </w:tc>
        <w:tc>
          <w:tcPr>
            <w:tcW w:w="1374" w:type="dxa"/>
            <w:tcBorders>
              <w:top w:val="nil"/>
              <w:left w:val="nil"/>
              <w:bottom w:val="nil"/>
              <w:right w:val="nil"/>
            </w:tcBorders>
          </w:tcPr>
          <w:p w14:paraId="6FF11F2B"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-0.01</w:t>
            </w:r>
          </w:p>
        </w:tc>
        <w:tc>
          <w:tcPr>
            <w:tcW w:w="1360" w:type="dxa"/>
            <w:tcBorders>
              <w:top w:val="nil"/>
              <w:left w:val="nil"/>
              <w:bottom w:val="nil"/>
              <w:right w:val="nil"/>
            </w:tcBorders>
          </w:tcPr>
          <w:p w14:paraId="1045B966"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&lt;0.01</w:t>
            </w:r>
          </w:p>
        </w:tc>
        <w:tc>
          <w:tcPr>
            <w:tcW w:w="1374" w:type="dxa"/>
            <w:tcBorders>
              <w:top w:val="nil"/>
              <w:left w:val="nil"/>
              <w:bottom w:val="nil"/>
              <w:right w:val="nil"/>
            </w:tcBorders>
          </w:tcPr>
          <w:p w14:paraId="5DE62C6F"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&lt;0.01</w:t>
            </w:r>
          </w:p>
        </w:tc>
      </w:tr>
      <w:tr w:rsidR="00FA7CAF" w14:paraId="3D62F3C1" w14:textId="77777777" w:rsidTr="000B5A88">
        <w:tc>
          <w:tcPr>
            <w:tcW w:w="1347" w:type="dxa"/>
            <w:tcBorders>
              <w:top w:val="nil"/>
              <w:left w:val="nil"/>
              <w:bottom w:val="nil"/>
              <w:right w:val="nil"/>
            </w:tcBorders>
          </w:tcPr>
          <w:p w14:paraId="53E6B817"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p>
        </w:tc>
        <w:tc>
          <w:tcPr>
            <w:tcW w:w="1103" w:type="dxa"/>
            <w:tcBorders>
              <w:top w:val="nil"/>
              <w:left w:val="nil"/>
              <w:bottom w:val="nil"/>
              <w:right w:val="nil"/>
            </w:tcBorders>
          </w:tcPr>
          <w:p w14:paraId="55312578"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p>
        </w:tc>
        <w:tc>
          <w:tcPr>
            <w:tcW w:w="1136" w:type="dxa"/>
            <w:tcBorders>
              <w:top w:val="nil"/>
              <w:left w:val="nil"/>
              <w:bottom w:val="nil"/>
              <w:right w:val="nil"/>
            </w:tcBorders>
          </w:tcPr>
          <w:p w14:paraId="597741A3"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p</w:t>
            </w:r>
          </w:p>
        </w:tc>
        <w:tc>
          <w:tcPr>
            <w:tcW w:w="1360" w:type="dxa"/>
            <w:tcBorders>
              <w:top w:val="nil"/>
              <w:left w:val="nil"/>
              <w:bottom w:val="nil"/>
              <w:right w:val="nil"/>
            </w:tcBorders>
          </w:tcPr>
          <w:p w14:paraId="4F1DEA46"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.31</w:t>
            </w:r>
          </w:p>
        </w:tc>
        <w:tc>
          <w:tcPr>
            <w:tcW w:w="1374" w:type="dxa"/>
            <w:tcBorders>
              <w:top w:val="nil"/>
              <w:left w:val="nil"/>
              <w:bottom w:val="nil"/>
              <w:right w:val="nil"/>
            </w:tcBorders>
          </w:tcPr>
          <w:p w14:paraId="49B15406"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.29</w:t>
            </w:r>
          </w:p>
        </w:tc>
        <w:tc>
          <w:tcPr>
            <w:tcW w:w="1360" w:type="dxa"/>
            <w:tcBorders>
              <w:top w:val="nil"/>
              <w:left w:val="nil"/>
              <w:bottom w:val="nil"/>
              <w:right w:val="nil"/>
            </w:tcBorders>
          </w:tcPr>
          <w:p w14:paraId="32F146CB"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.60</w:t>
            </w:r>
          </w:p>
        </w:tc>
        <w:tc>
          <w:tcPr>
            <w:tcW w:w="1374" w:type="dxa"/>
            <w:tcBorders>
              <w:top w:val="nil"/>
              <w:left w:val="nil"/>
              <w:bottom w:val="nil"/>
              <w:right w:val="nil"/>
            </w:tcBorders>
          </w:tcPr>
          <w:p w14:paraId="6D35A0B3"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.21</w:t>
            </w:r>
          </w:p>
        </w:tc>
      </w:tr>
      <w:tr w:rsidR="00FA7CAF" w14:paraId="7BAC26F5" w14:textId="77777777" w:rsidTr="000B5A88">
        <w:tc>
          <w:tcPr>
            <w:tcW w:w="1347" w:type="dxa"/>
            <w:tcBorders>
              <w:top w:val="nil"/>
              <w:left w:val="nil"/>
              <w:bottom w:val="nil"/>
              <w:right w:val="nil"/>
            </w:tcBorders>
          </w:tcPr>
          <w:p w14:paraId="182E0F5A"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p>
        </w:tc>
        <w:tc>
          <w:tcPr>
            <w:tcW w:w="1103" w:type="dxa"/>
            <w:tcBorders>
              <w:top w:val="nil"/>
              <w:left w:val="nil"/>
              <w:bottom w:val="nil"/>
              <w:right w:val="nil"/>
            </w:tcBorders>
          </w:tcPr>
          <w:p w14:paraId="3A0FBA2D"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rarefied</w:t>
            </w:r>
          </w:p>
        </w:tc>
        <w:tc>
          <w:tcPr>
            <w:tcW w:w="1136" w:type="dxa"/>
            <w:tcBorders>
              <w:top w:val="nil"/>
              <w:left w:val="nil"/>
              <w:bottom w:val="nil"/>
              <w:right w:val="nil"/>
            </w:tcBorders>
          </w:tcPr>
          <w:p w14:paraId="086618F5"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β</w:t>
            </w:r>
          </w:p>
        </w:tc>
        <w:tc>
          <w:tcPr>
            <w:tcW w:w="1360" w:type="dxa"/>
            <w:tcBorders>
              <w:top w:val="nil"/>
              <w:left w:val="nil"/>
              <w:bottom w:val="nil"/>
              <w:right w:val="nil"/>
            </w:tcBorders>
          </w:tcPr>
          <w:p w14:paraId="4FD822DB"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-0.02</w:t>
            </w:r>
          </w:p>
        </w:tc>
        <w:tc>
          <w:tcPr>
            <w:tcW w:w="1374" w:type="dxa"/>
            <w:tcBorders>
              <w:top w:val="nil"/>
              <w:left w:val="nil"/>
              <w:bottom w:val="nil"/>
              <w:right w:val="nil"/>
            </w:tcBorders>
          </w:tcPr>
          <w:p w14:paraId="31BDF9B6"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-0.01</w:t>
            </w:r>
          </w:p>
        </w:tc>
        <w:tc>
          <w:tcPr>
            <w:tcW w:w="1360" w:type="dxa"/>
            <w:tcBorders>
              <w:top w:val="nil"/>
              <w:left w:val="nil"/>
              <w:bottom w:val="nil"/>
              <w:right w:val="nil"/>
            </w:tcBorders>
          </w:tcPr>
          <w:p w14:paraId="60217FE6"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&lt;0.01</w:t>
            </w:r>
          </w:p>
        </w:tc>
        <w:tc>
          <w:tcPr>
            <w:tcW w:w="1374" w:type="dxa"/>
            <w:tcBorders>
              <w:top w:val="nil"/>
              <w:left w:val="nil"/>
              <w:bottom w:val="nil"/>
              <w:right w:val="nil"/>
            </w:tcBorders>
          </w:tcPr>
          <w:p w14:paraId="00349105"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&lt;0.01</w:t>
            </w:r>
          </w:p>
        </w:tc>
      </w:tr>
      <w:tr w:rsidR="00FA7CAF" w14:paraId="38625D30" w14:textId="77777777" w:rsidTr="000B5A88">
        <w:tc>
          <w:tcPr>
            <w:tcW w:w="1347" w:type="dxa"/>
            <w:tcBorders>
              <w:top w:val="nil"/>
              <w:left w:val="nil"/>
              <w:bottom w:val="nil"/>
              <w:right w:val="nil"/>
            </w:tcBorders>
          </w:tcPr>
          <w:p w14:paraId="165F836A"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p>
        </w:tc>
        <w:tc>
          <w:tcPr>
            <w:tcW w:w="1103" w:type="dxa"/>
            <w:tcBorders>
              <w:top w:val="nil"/>
              <w:left w:val="nil"/>
              <w:bottom w:val="nil"/>
              <w:right w:val="nil"/>
            </w:tcBorders>
          </w:tcPr>
          <w:p w14:paraId="6941257D"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p>
        </w:tc>
        <w:tc>
          <w:tcPr>
            <w:tcW w:w="1136" w:type="dxa"/>
            <w:tcBorders>
              <w:top w:val="nil"/>
              <w:left w:val="nil"/>
              <w:bottom w:val="nil"/>
              <w:right w:val="nil"/>
            </w:tcBorders>
          </w:tcPr>
          <w:p w14:paraId="03481E28"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p</w:t>
            </w:r>
          </w:p>
        </w:tc>
        <w:tc>
          <w:tcPr>
            <w:tcW w:w="1360" w:type="dxa"/>
            <w:tcBorders>
              <w:top w:val="nil"/>
              <w:left w:val="nil"/>
              <w:bottom w:val="nil"/>
              <w:right w:val="nil"/>
            </w:tcBorders>
          </w:tcPr>
          <w:p w14:paraId="00B98DAC"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.16</w:t>
            </w:r>
          </w:p>
        </w:tc>
        <w:tc>
          <w:tcPr>
            <w:tcW w:w="1374" w:type="dxa"/>
            <w:tcBorders>
              <w:top w:val="nil"/>
              <w:left w:val="nil"/>
              <w:bottom w:val="nil"/>
              <w:right w:val="nil"/>
            </w:tcBorders>
          </w:tcPr>
          <w:p w14:paraId="697CA83F"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.29</w:t>
            </w:r>
          </w:p>
        </w:tc>
        <w:tc>
          <w:tcPr>
            <w:tcW w:w="1360" w:type="dxa"/>
            <w:tcBorders>
              <w:top w:val="nil"/>
              <w:left w:val="nil"/>
              <w:bottom w:val="nil"/>
              <w:right w:val="nil"/>
            </w:tcBorders>
          </w:tcPr>
          <w:p w14:paraId="6E4F6287"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.59</w:t>
            </w:r>
          </w:p>
        </w:tc>
        <w:tc>
          <w:tcPr>
            <w:tcW w:w="1374" w:type="dxa"/>
            <w:tcBorders>
              <w:top w:val="nil"/>
              <w:left w:val="nil"/>
              <w:bottom w:val="nil"/>
              <w:right w:val="nil"/>
            </w:tcBorders>
          </w:tcPr>
          <w:p w14:paraId="7683C67B"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.30</w:t>
            </w:r>
          </w:p>
        </w:tc>
      </w:tr>
      <w:tr w:rsidR="00FA7CAF" w14:paraId="56B4FB60" w14:textId="77777777" w:rsidTr="000B5A88">
        <w:tc>
          <w:tcPr>
            <w:tcW w:w="1347" w:type="dxa"/>
            <w:tcBorders>
              <w:top w:val="nil"/>
              <w:left w:val="nil"/>
              <w:bottom w:val="nil"/>
              <w:right w:val="nil"/>
            </w:tcBorders>
          </w:tcPr>
          <w:p w14:paraId="309DC1B2"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Observed richness</w:t>
            </w:r>
          </w:p>
        </w:tc>
        <w:tc>
          <w:tcPr>
            <w:tcW w:w="1103" w:type="dxa"/>
            <w:tcBorders>
              <w:top w:val="nil"/>
              <w:left w:val="nil"/>
              <w:bottom w:val="nil"/>
              <w:right w:val="nil"/>
            </w:tcBorders>
          </w:tcPr>
          <w:p w14:paraId="2F1C998A"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p>
        </w:tc>
        <w:tc>
          <w:tcPr>
            <w:tcW w:w="1136" w:type="dxa"/>
            <w:tcBorders>
              <w:top w:val="nil"/>
              <w:left w:val="nil"/>
              <w:bottom w:val="nil"/>
              <w:right w:val="nil"/>
            </w:tcBorders>
          </w:tcPr>
          <w:p w14:paraId="773B0EBB"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β</w:t>
            </w:r>
          </w:p>
        </w:tc>
        <w:tc>
          <w:tcPr>
            <w:tcW w:w="1360" w:type="dxa"/>
            <w:tcBorders>
              <w:top w:val="nil"/>
              <w:left w:val="nil"/>
              <w:bottom w:val="nil"/>
              <w:right w:val="nil"/>
            </w:tcBorders>
          </w:tcPr>
          <w:p w14:paraId="2FB126B4"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-0.01</w:t>
            </w:r>
          </w:p>
        </w:tc>
        <w:tc>
          <w:tcPr>
            <w:tcW w:w="1374" w:type="dxa"/>
            <w:tcBorders>
              <w:top w:val="nil"/>
              <w:left w:val="nil"/>
              <w:bottom w:val="nil"/>
              <w:right w:val="nil"/>
            </w:tcBorders>
          </w:tcPr>
          <w:p w14:paraId="3A268A27"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-0.01</w:t>
            </w:r>
          </w:p>
        </w:tc>
        <w:tc>
          <w:tcPr>
            <w:tcW w:w="1360" w:type="dxa"/>
            <w:tcBorders>
              <w:top w:val="nil"/>
              <w:left w:val="nil"/>
              <w:bottom w:val="nil"/>
              <w:right w:val="nil"/>
            </w:tcBorders>
          </w:tcPr>
          <w:p w14:paraId="738ECDEF"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&lt;0.01</w:t>
            </w:r>
          </w:p>
        </w:tc>
        <w:tc>
          <w:tcPr>
            <w:tcW w:w="1374" w:type="dxa"/>
            <w:tcBorders>
              <w:top w:val="nil"/>
              <w:left w:val="nil"/>
              <w:bottom w:val="nil"/>
              <w:right w:val="nil"/>
            </w:tcBorders>
          </w:tcPr>
          <w:p w14:paraId="487F4CE0"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&lt;0.01</w:t>
            </w:r>
          </w:p>
        </w:tc>
      </w:tr>
      <w:tr w:rsidR="00FA7CAF" w14:paraId="28174C70" w14:textId="77777777" w:rsidTr="000B5A88">
        <w:tc>
          <w:tcPr>
            <w:tcW w:w="1347" w:type="dxa"/>
            <w:tcBorders>
              <w:top w:val="nil"/>
              <w:left w:val="nil"/>
              <w:bottom w:val="nil"/>
              <w:right w:val="nil"/>
            </w:tcBorders>
          </w:tcPr>
          <w:p w14:paraId="781C6F15"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p>
        </w:tc>
        <w:tc>
          <w:tcPr>
            <w:tcW w:w="1103" w:type="dxa"/>
            <w:tcBorders>
              <w:top w:val="nil"/>
              <w:left w:val="nil"/>
              <w:bottom w:val="nil"/>
              <w:right w:val="nil"/>
            </w:tcBorders>
          </w:tcPr>
          <w:p w14:paraId="75DE7754"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p>
        </w:tc>
        <w:tc>
          <w:tcPr>
            <w:tcW w:w="1136" w:type="dxa"/>
            <w:tcBorders>
              <w:top w:val="nil"/>
              <w:left w:val="nil"/>
              <w:bottom w:val="nil"/>
              <w:right w:val="nil"/>
            </w:tcBorders>
          </w:tcPr>
          <w:p w14:paraId="7294D7B6"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p</w:t>
            </w:r>
          </w:p>
        </w:tc>
        <w:tc>
          <w:tcPr>
            <w:tcW w:w="1360" w:type="dxa"/>
            <w:tcBorders>
              <w:top w:val="nil"/>
              <w:left w:val="nil"/>
              <w:bottom w:val="nil"/>
              <w:right w:val="nil"/>
            </w:tcBorders>
          </w:tcPr>
          <w:p w14:paraId="5324473E"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.31</w:t>
            </w:r>
          </w:p>
        </w:tc>
        <w:tc>
          <w:tcPr>
            <w:tcW w:w="1374" w:type="dxa"/>
            <w:tcBorders>
              <w:top w:val="nil"/>
              <w:left w:val="nil"/>
              <w:bottom w:val="nil"/>
              <w:right w:val="nil"/>
            </w:tcBorders>
          </w:tcPr>
          <w:p w14:paraId="31CE058B"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.29</w:t>
            </w:r>
          </w:p>
        </w:tc>
        <w:tc>
          <w:tcPr>
            <w:tcW w:w="1360" w:type="dxa"/>
            <w:tcBorders>
              <w:top w:val="nil"/>
              <w:left w:val="nil"/>
              <w:bottom w:val="nil"/>
              <w:right w:val="nil"/>
            </w:tcBorders>
          </w:tcPr>
          <w:p w14:paraId="47B76E2D"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.60</w:t>
            </w:r>
          </w:p>
        </w:tc>
        <w:tc>
          <w:tcPr>
            <w:tcW w:w="1374" w:type="dxa"/>
            <w:tcBorders>
              <w:top w:val="nil"/>
              <w:left w:val="nil"/>
              <w:bottom w:val="nil"/>
              <w:right w:val="nil"/>
            </w:tcBorders>
          </w:tcPr>
          <w:p w14:paraId="630A9587"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.21</w:t>
            </w:r>
          </w:p>
        </w:tc>
      </w:tr>
      <w:tr w:rsidR="00FA7CAF" w14:paraId="78E688B3" w14:textId="77777777" w:rsidTr="000B5A88">
        <w:tc>
          <w:tcPr>
            <w:tcW w:w="1347" w:type="dxa"/>
            <w:tcBorders>
              <w:top w:val="nil"/>
              <w:left w:val="nil"/>
              <w:bottom w:val="nil"/>
              <w:right w:val="nil"/>
            </w:tcBorders>
          </w:tcPr>
          <w:p w14:paraId="20DC29D9"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p>
        </w:tc>
        <w:tc>
          <w:tcPr>
            <w:tcW w:w="1103" w:type="dxa"/>
            <w:tcBorders>
              <w:top w:val="nil"/>
              <w:left w:val="nil"/>
              <w:bottom w:val="nil"/>
              <w:right w:val="nil"/>
            </w:tcBorders>
          </w:tcPr>
          <w:p w14:paraId="393E3669"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rarefied</w:t>
            </w:r>
          </w:p>
        </w:tc>
        <w:tc>
          <w:tcPr>
            <w:tcW w:w="1136" w:type="dxa"/>
            <w:tcBorders>
              <w:top w:val="nil"/>
              <w:left w:val="nil"/>
              <w:bottom w:val="nil"/>
              <w:right w:val="nil"/>
            </w:tcBorders>
          </w:tcPr>
          <w:p w14:paraId="22BA260D"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β</w:t>
            </w:r>
          </w:p>
        </w:tc>
        <w:tc>
          <w:tcPr>
            <w:tcW w:w="1360" w:type="dxa"/>
            <w:tcBorders>
              <w:top w:val="nil"/>
              <w:left w:val="nil"/>
              <w:bottom w:val="nil"/>
              <w:right w:val="nil"/>
            </w:tcBorders>
          </w:tcPr>
          <w:p w14:paraId="5A527446"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-0.02</w:t>
            </w:r>
          </w:p>
        </w:tc>
        <w:tc>
          <w:tcPr>
            <w:tcW w:w="1374" w:type="dxa"/>
            <w:tcBorders>
              <w:top w:val="nil"/>
              <w:left w:val="nil"/>
              <w:bottom w:val="nil"/>
              <w:right w:val="nil"/>
            </w:tcBorders>
          </w:tcPr>
          <w:p w14:paraId="28437A12"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-0.01</w:t>
            </w:r>
          </w:p>
        </w:tc>
        <w:tc>
          <w:tcPr>
            <w:tcW w:w="1360" w:type="dxa"/>
            <w:tcBorders>
              <w:top w:val="nil"/>
              <w:left w:val="nil"/>
              <w:bottom w:val="nil"/>
              <w:right w:val="nil"/>
            </w:tcBorders>
          </w:tcPr>
          <w:p w14:paraId="3FAED9CF"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&lt;0.01</w:t>
            </w:r>
          </w:p>
        </w:tc>
        <w:tc>
          <w:tcPr>
            <w:tcW w:w="1374" w:type="dxa"/>
            <w:tcBorders>
              <w:top w:val="nil"/>
              <w:left w:val="nil"/>
              <w:bottom w:val="nil"/>
              <w:right w:val="nil"/>
            </w:tcBorders>
          </w:tcPr>
          <w:p w14:paraId="31E6A8CD"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&lt;0.01</w:t>
            </w:r>
          </w:p>
        </w:tc>
      </w:tr>
      <w:tr w:rsidR="00FA7CAF" w14:paraId="0A24CD25" w14:textId="77777777" w:rsidTr="000B5A88">
        <w:tc>
          <w:tcPr>
            <w:tcW w:w="1347" w:type="dxa"/>
            <w:tcBorders>
              <w:top w:val="nil"/>
              <w:left w:val="nil"/>
              <w:right w:val="nil"/>
            </w:tcBorders>
          </w:tcPr>
          <w:p w14:paraId="3F173F20"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p>
        </w:tc>
        <w:tc>
          <w:tcPr>
            <w:tcW w:w="1103" w:type="dxa"/>
            <w:tcBorders>
              <w:top w:val="nil"/>
              <w:left w:val="nil"/>
              <w:right w:val="nil"/>
            </w:tcBorders>
          </w:tcPr>
          <w:p w14:paraId="79DD9174"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p>
        </w:tc>
        <w:tc>
          <w:tcPr>
            <w:tcW w:w="1136" w:type="dxa"/>
            <w:tcBorders>
              <w:top w:val="nil"/>
              <w:left w:val="nil"/>
              <w:right w:val="nil"/>
            </w:tcBorders>
          </w:tcPr>
          <w:p w14:paraId="4421FF62"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p</w:t>
            </w:r>
          </w:p>
        </w:tc>
        <w:tc>
          <w:tcPr>
            <w:tcW w:w="1360" w:type="dxa"/>
            <w:tcBorders>
              <w:top w:val="nil"/>
              <w:left w:val="nil"/>
              <w:right w:val="nil"/>
            </w:tcBorders>
          </w:tcPr>
          <w:p w14:paraId="674F3056"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.25</w:t>
            </w:r>
          </w:p>
        </w:tc>
        <w:tc>
          <w:tcPr>
            <w:tcW w:w="1374" w:type="dxa"/>
            <w:tcBorders>
              <w:top w:val="nil"/>
              <w:left w:val="nil"/>
              <w:right w:val="nil"/>
            </w:tcBorders>
          </w:tcPr>
          <w:p w14:paraId="63FE35FF"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.34</w:t>
            </w:r>
          </w:p>
        </w:tc>
        <w:tc>
          <w:tcPr>
            <w:tcW w:w="1360" w:type="dxa"/>
            <w:tcBorders>
              <w:top w:val="nil"/>
              <w:left w:val="nil"/>
              <w:right w:val="nil"/>
            </w:tcBorders>
          </w:tcPr>
          <w:p w14:paraId="2A6A60EA"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.73</w:t>
            </w:r>
          </w:p>
        </w:tc>
        <w:tc>
          <w:tcPr>
            <w:tcW w:w="1374" w:type="dxa"/>
            <w:tcBorders>
              <w:top w:val="nil"/>
              <w:left w:val="nil"/>
              <w:right w:val="nil"/>
            </w:tcBorders>
          </w:tcPr>
          <w:p w14:paraId="4E14AC5A" w14:textId="77777777" w:rsidR="00FA7CAF" w:rsidRDefault="00FA7CAF" w:rsidP="000B5A88">
            <w:pPr>
              <w:pStyle w:val="Figurecaptiontext"/>
              <w:pBdr>
                <w:top w:val="none" w:sz="0" w:space="0" w:color="auto"/>
                <w:left w:val="none" w:sz="0" w:space="0" w:color="auto"/>
                <w:bottom w:val="none" w:sz="0" w:space="0" w:color="auto"/>
                <w:right w:val="none" w:sz="0" w:space="0" w:color="auto"/>
                <w:between w:val="none" w:sz="0" w:space="0" w:color="auto"/>
                <w:bar w:val="none" w:sz="0" w:color="auto"/>
              </w:pBdr>
            </w:pPr>
            <w:r>
              <w:t>.30</w:t>
            </w:r>
          </w:p>
        </w:tc>
      </w:tr>
    </w:tbl>
    <w:p w14:paraId="329515C4" w14:textId="4FC37E50" w:rsidR="00FB7BF2" w:rsidRDefault="00FB7BF2"/>
    <w:p w14:paraId="27628756" w14:textId="03483BAE" w:rsidR="002466F1" w:rsidRPr="00EE7F8E" w:rsidRDefault="002466F1" w:rsidP="002466F1">
      <w:pPr>
        <w:pStyle w:val="Otsikko2"/>
        <w:rPr>
          <w:rFonts w:asciiTheme="minorHAnsi" w:hAnsiTheme="minorHAnsi" w:cstheme="minorHAnsi"/>
          <w:b/>
          <w:bCs/>
          <w:color w:val="000000" w:themeColor="text1"/>
          <w:sz w:val="28"/>
          <w:szCs w:val="28"/>
        </w:rPr>
      </w:pPr>
      <w:r w:rsidRPr="00EE7F8E">
        <w:rPr>
          <w:rFonts w:asciiTheme="minorHAnsi" w:hAnsiTheme="minorHAnsi" w:cstheme="minorHAnsi"/>
          <w:b/>
          <w:bCs/>
          <w:color w:val="000000" w:themeColor="text1"/>
          <w:sz w:val="28"/>
          <w:szCs w:val="28"/>
        </w:rPr>
        <w:lastRenderedPageBreak/>
        <w:t>References</w:t>
      </w:r>
    </w:p>
    <w:p w14:paraId="1B3F1CCE" w14:textId="77777777" w:rsidR="002466F1" w:rsidRDefault="002466F1" w:rsidP="002466F1"/>
    <w:p w14:paraId="3D61CE0B" w14:textId="77777777" w:rsidR="002466F1" w:rsidRPr="002466F1" w:rsidRDefault="002466F1" w:rsidP="002466F1">
      <w:pPr>
        <w:pStyle w:val="Lhdeluettelo1"/>
        <w:rPr>
          <w:b/>
          <w:bCs/>
          <w:lang w:val="en-US"/>
        </w:rPr>
      </w:pPr>
      <w:r w:rsidRPr="002466F1">
        <w:rPr>
          <w:b/>
          <w:bCs/>
        </w:rPr>
        <w:fldChar w:fldCharType="begin"/>
      </w:r>
      <w:r w:rsidRPr="002466F1">
        <w:rPr>
          <w:b/>
          <w:bCs/>
        </w:rPr>
        <w:instrText xml:space="preserve"> ADDIN ZOTERO_BIBL {"uncited":[],"omitted":[],"custom":[]} CSL_BIBLIOGRAPHY </w:instrText>
      </w:r>
      <w:r w:rsidRPr="002466F1">
        <w:rPr>
          <w:b/>
          <w:bCs/>
        </w:rPr>
        <w:fldChar w:fldCharType="separate"/>
      </w:r>
      <w:r w:rsidRPr="002466F1">
        <w:rPr>
          <w:b/>
          <w:bCs/>
        </w:rPr>
        <w:t xml:space="preserve">Aatsinki, A.-K., Lahti, L., Uusitupa, H.-M., Munukka, E., Keskitalo, A., Nolvi, S., O’Mahony, S., Pietilä, S., Elo, L. L., Eerola, E., Karlsson, H., &amp; Karlsson, L. (2019). </w:t>
      </w:r>
      <w:r w:rsidRPr="002466F1">
        <w:rPr>
          <w:b/>
          <w:bCs/>
          <w:lang w:val="en-US"/>
        </w:rPr>
        <w:t xml:space="preserve">Gut microbiota composition is associated with temperament traits in infants. </w:t>
      </w:r>
      <w:r w:rsidRPr="002466F1">
        <w:rPr>
          <w:b/>
          <w:bCs/>
          <w:i/>
          <w:iCs/>
          <w:lang w:val="en-US"/>
        </w:rPr>
        <w:t>Brain, Behavior, and Immunity</w:t>
      </w:r>
      <w:r w:rsidRPr="002466F1">
        <w:rPr>
          <w:b/>
          <w:bCs/>
          <w:lang w:val="en-US"/>
        </w:rPr>
        <w:t xml:space="preserve">, </w:t>
      </w:r>
      <w:r w:rsidRPr="002466F1">
        <w:rPr>
          <w:b/>
          <w:bCs/>
          <w:i/>
          <w:iCs/>
          <w:lang w:val="en-US"/>
        </w:rPr>
        <w:t>80</w:t>
      </w:r>
      <w:r w:rsidRPr="002466F1">
        <w:rPr>
          <w:b/>
          <w:bCs/>
          <w:lang w:val="en-US"/>
        </w:rPr>
        <w:t>, 849–858. https://doi.org/10.1016/j.bbi.2019.05.035</w:t>
      </w:r>
    </w:p>
    <w:p w14:paraId="6C2A615F" w14:textId="77777777" w:rsidR="002466F1" w:rsidRPr="002466F1" w:rsidRDefault="002466F1" w:rsidP="002466F1">
      <w:pPr>
        <w:pStyle w:val="Lhdeluettelo1"/>
        <w:rPr>
          <w:b/>
          <w:bCs/>
          <w:lang w:val="en-US"/>
        </w:rPr>
      </w:pPr>
      <w:r w:rsidRPr="002466F1">
        <w:rPr>
          <w:b/>
          <w:bCs/>
          <w:lang w:val="en-US"/>
        </w:rPr>
        <w:t xml:space="preserve">Aminabadi, N. A., Ghoreishizadeh, A., Ghoreishizadeh, M., Oskouei, S. G., &amp; Ghojazadeh, M. (2014). Can Child Temperament Be Related to Early Childhood Caries? </w:t>
      </w:r>
      <w:r w:rsidRPr="002466F1">
        <w:rPr>
          <w:b/>
          <w:bCs/>
          <w:i/>
          <w:iCs/>
          <w:lang w:val="en-US"/>
        </w:rPr>
        <w:t>Caries Research</w:t>
      </w:r>
      <w:r w:rsidRPr="002466F1">
        <w:rPr>
          <w:b/>
          <w:bCs/>
          <w:lang w:val="en-US"/>
        </w:rPr>
        <w:t xml:space="preserve">, </w:t>
      </w:r>
      <w:r w:rsidRPr="002466F1">
        <w:rPr>
          <w:b/>
          <w:bCs/>
          <w:i/>
          <w:iCs/>
          <w:lang w:val="en-US"/>
        </w:rPr>
        <w:t>48</w:t>
      </w:r>
      <w:r w:rsidRPr="002466F1">
        <w:rPr>
          <w:b/>
          <w:bCs/>
          <w:lang w:val="en-US"/>
        </w:rPr>
        <w:t>(1), 3–12. https://doi.org/10.1159/000351636</w:t>
      </w:r>
    </w:p>
    <w:p w14:paraId="30E67080" w14:textId="77777777" w:rsidR="002466F1" w:rsidRPr="002466F1" w:rsidRDefault="002466F1" w:rsidP="002466F1">
      <w:pPr>
        <w:pStyle w:val="Lhdeluettelo1"/>
        <w:rPr>
          <w:b/>
          <w:bCs/>
          <w:lang w:val="en-US"/>
        </w:rPr>
      </w:pPr>
      <w:r w:rsidRPr="002466F1">
        <w:rPr>
          <w:b/>
          <w:bCs/>
          <w:lang w:val="en-US"/>
        </w:rPr>
        <w:t xml:space="preserve">Borewicz, K., Gu, F., Saccenti, E., Hechler, C., Beijers, R., de Weerth, C., van Leeuwen, S. S., Schols, H. A., &amp; Smidt, H. (2020). The association between breastmilk oligosaccharides and faecal microbiota in healthy breastfed infants at two, six, and twelve weeks of age. </w:t>
      </w:r>
      <w:r w:rsidRPr="002466F1">
        <w:rPr>
          <w:b/>
          <w:bCs/>
          <w:i/>
          <w:iCs/>
          <w:lang w:val="en-US"/>
        </w:rPr>
        <w:t>Scientific Reports</w:t>
      </w:r>
      <w:r w:rsidRPr="002466F1">
        <w:rPr>
          <w:b/>
          <w:bCs/>
          <w:lang w:val="en-US"/>
        </w:rPr>
        <w:t xml:space="preserve">, </w:t>
      </w:r>
      <w:r w:rsidRPr="002466F1">
        <w:rPr>
          <w:b/>
          <w:bCs/>
          <w:i/>
          <w:iCs/>
          <w:lang w:val="en-US"/>
        </w:rPr>
        <w:t>10</w:t>
      </w:r>
      <w:r w:rsidRPr="002466F1">
        <w:rPr>
          <w:b/>
          <w:bCs/>
          <w:lang w:val="en-US"/>
        </w:rPr>
        <w:t>(1), 4270. https://doi.org/10.1038/s41598-020-61024-z</w:t>
      </w:r>
    </w:p>
    <w:p w14:paraId="1376A310" w14:textId="77777777" w:rsidR="002466F1" w:rsidRPr="002466F1" w:rsidRDefault="002466F1" w:rsidP="002466F1">
      <w:pPr>
        <w:pStyle w:val="Lhdeluettelo1"/>
        <w:rPr>
          <w:b/>
          <w:bCs/>
          <w:lang w:val="en-US"/>
        </w:rPr>
      </w:pPr>
      <w:r w:rsidRPr="002466F1">
        <w:rPr>
          <w:b/>
          <w:bCs/>
          <w:lang w:val="en-US"/>
        </w:rPr>
        <w:t xml:space="preserve">Callahan, B. J., McMurdie, P. J., Rosen, M. J., Han, A. W., Johnson, A. J. A., &amp; Holmes, S. P. (2016). DADA2: High-resolution sample inference from Illumina amplicon data. </w:t>
      </w:r>
      <w:r w:rsidRPr="002466F1">
        <w:rPr>
          <w:b/>
          <w:bCs/>
          <w:i/>
          <w:iCs/>
          <w:lang w:val="en-US"/>
        </w:rPr>
        <w:t>Nature Methods</w:t>
      </w:r>
      <w:r w:rsidRPr="002466F1">
        <w:rPr>
          <w:b/>
          <w:bCs/>
          <w:lang w:val="en-US"/>
        </w:rPr>
        <w:t xml:space="preserve">, </w:t>
      </w:r>
      <w:r w:rsidRPr="002466F1">
        <w:rPr>
          <w:b/>
          <w:bCs/>
          <w:i/>
          <w:iCs/>
          <w:lang w:val="en-US"/>
        </w:rPr>
        <w:t>13</w:t>
      </w:r>
      <w:r w:rsidRPr="002466F1">
        <w:rPr>
          <w:b/>
          <w:bCs/>
          <w:lang w:val="en-US"/>
        </w:rPr>
        <w:t>(7), Article 7. https://doi.org/10.1038/nmeth.3869</w:t>
      </w:r>
    </w:p>
    <w:p w14:paraId="495A5801" w14:textId="77777777" w:rsidR="002466F1" w:rsidRPr="002466F1" w:rsidRDefault="002466F1" w:rsidP="002466F1">
      <w:pPr>
        <w:pStyle w:val="Lhdeluettelo1"/>
        <w:rPr>
          <w:b/>
          <w:bCs/>
          <w:lang w:val="en-US"/>
        </w:rPr>
      </w:pPr>
      <w:r w:rsidRPr="002466F1">
        <w:rPr>
          <w:b/>
          <w:bCs/>
          <w:lang w:val="en-US"/>
        </w:rPr>
        <w:t xml:space="preserve">Christian, L. M., Galley, J. D., Hade, E. M., Schoppe-Sullivan, S., Kamp Dush, C., &amp; Bailey, M. T. (2015). Gut microbiome composition is associated with temperament during early childhood. </w:t>
      </w:r>
      <w:r w:rsidRPr="002466F1">
        <w:rPr>
          <w:b/>
          <w:bCs/>
          <w:i/>
          <w:iCs/>
          <w:lang w:val="en-US"/>
        </w:rPr>
        <w:t>Brain, Behavior, and Immunity</w:t>
      </w:r>
      <w:r w:rsidRPr="002466F1">
        <w:rPr>
          <w:b/>
          <w:bCs/>
          <w:lang w:val="en-US"/>
        </w:rPr>
        <w:t xml:space="preserve">, </w:t>
      </w:r>
      <w:r w:rsidRPr="002466F1">
        <w:rPr>
          <w:b/>
          <w:bCs/>
          <w:i/>
          <w:iCs/>
          <w:lang w:val="en-US"/>
        </w:rPr>
        <w:t>45</w:t>
      </w:r>
      <w:r w:rsidRPr="002466F1">
        <w:rPr>
          <w:b/>
          <w:bCs/>
          <w:lang w:val="en-US"/>
        </w:rPr>
        <w:t>, 118–127. https://doi.org/10.1016/j.bbi.2014.10.018</w:t>
      </w:r>
    </w:p>
    <w:p w14:paraId="29EF0B3C" w14:textId="77777777" w:rsidR="002466F1" w:rsidRPr="002466F1" w:rsidRDefault="002466F1" w:rsidP="002466F1">
      <w:pPr>
        <w:pStyle w:val="Lhdeluettelo1"/>
        <w:rPr>
          <w:b/>
          <w:bCs/>
          <w:lang w:val="en-US"/>
        </w:rPr>
      </w:pPr>
      <w:r w:rsidRPr="002466F1">
        <w:rPr>
          <w:b/>
          <w:bCs/>
          <w:lang w:val="en-US"/>
        </w:rPr>
        <w:t xml:space="preserve">di Pietro, J. A., Larson, S. K., &amp; Porges, S. W. (1987). Behavioral and heart rate pattern differences between breast-fed and bottle-fed neonates. </w:t>
      </w:r>
      <w:r w:rsidRPr="002466F1">
        <w:rPr>
          <w:b/>
          <w:bCs/>
          <w:i/>
          <w:iCs/>
          <w:lang w:val="en-US"/>
        </w:rPr>
        <w:t>Developmental Psychology</w:t>
      </w:r>
      <w:r w:rsidRPr="002466F1">
        <w:rPr>
          <w:b/>
          <w:bCs/>
          <w:lang w:val="en-US"/>
        </w:rPr>
        <w:t xml:space="preserve">, </w:t>
      </w:r>
      <w:r w:rsidRPr="002466F1">
        <w:rPr>
          <w:b/>
          <w:bCs/>
          <w:i/>
          <w:iCs/>
          <w:lang w:val="en-US"/>
        </w:rPr>
        <w:t>23</w:t>
      </w:r>
      <w:r w:rsidRPr="002466F1">
        <w:rPr>
          <w:b/>
          <w:bCs/>
          <w:lang w:val="en-US"/>
        </w:rPr>
        <w:t>, 467–474. https://doi.org/10.1037/0012-1649.23.4.467</w:t>
      </w:r>
    </w:p>
    <w:p w14:paraId="528ED3B6" w14:textId="77777777" w:rsidR="002466F1" w:rsidRPr="00EE7F8E" w:rsidRDefault="002466F1" w:rsidP="002466F1">
      <w:pPr>
        <w:pStyle w:val="Lhdeluettelo1"/>
        <w:rPr>
          <w:b/>
          <w:bCs/>
          <w:lang w:val="en-US"/>
        </w:rPr>
      </w:pPr>
      <w:r w:rsidRPr="002466F1">
        <w:rPr>
          <w:b/>
          <w:bCs/>
          <w:lang w:val="en-US"/>
        </w:rPr>
        <w:t xml:space="preserve">Dominguez-Bello, M. G., Costello, E. K., Contreras, M., Magris, M., Hidalgo, G., Fierer, N., &amp; Knight, R. (2010). Delivery mode shapes the acquisition and structure of the initial </w:t>
      </w:r>
      <w:r w:rsidRPr="002466F1">
        <w:rPr>
          <w:b/>
          <w:bCs/>
          <w:lang w:val="en-US"/>
        </w:rPr>
        <w:lastRenderedPageBreak/>
        <w:t xml:space="preserve">microbiota across multiple body habitats in newborns. </w:t>
      </w:r>
      <w:r w:rsidRPr="00EE7F8E">
        <w:rPr>
          <w:b/>
          <w:bCs/>
          <w:i/>
          <w:iCs/>
          <w:lang w:val="en-US"/>
        </w:rPr>
        <w:t>Proceedings of the National Academy of Sciences</w:t>
      </w:r>
      <w:r w:rsidRPr="00EE7F8E">
        <w:rPr>
          <w:b/>
          <w:bCs/>
          <w:lang w:val="en-US"/>
        </w:rPr>
        <w:t xml:space="preserve">, </w:t>
      </w:r>
      <w:r w:rsidRPr="00EE7F8E">
        <w:rPr>
          <w:b/>
          <w:bCs/>
          <w:i/>
          <w:iCs/>
          <w:lang w:val="en-US"/>
        </w:rPr>
        <w:t>107</w:t>
      </w:r>
      <w:r w:rsidRPr="00EE7F8E">
        <w:rPr>
          <w:b/>
          <w:bCs/>
          <w:lang w:val="en-US"/>
        </w:rPr>
        <w:t>(26), 11971–11975. https://doi.org/10.1073/pnas.1002601107</w:t>
      </w:r>
    </w:p>
    <w:p w14:paraId="4C5CE1EE" w14:textId="77777777" w:rsidR="002466F1" w:rsidRPr="002466F1" w:rsidRDefault="002466F1" w:rsidP="002466F1">
      <w:pPr>
        <w:pStyle w:val="Lhdeluettelo1"/>
        <w:rPr>
          <w:b/>
          <w:bCs/>
        </w:rPr>
      </w:pPr>
      <w:r w:rsidRPr="00EE7F8E">
        <w:rPr>
          <w:b/>
          <w:bCs/>
          <w:lang w:val="en-US"/>
        </w:rPr>
        <w:t xml:space="preserve">Hill, M. O. (1973). Diversity and Evenness: A Unifying Notation and Its Consequences. </w:t>
      </w:r>
      <w:r w:rsidRPr="002466F1">
        <w:rPr>
          <w:b/>
          <w:bCs/>
          <w:i/>
          <w:iCs/>
        </w:rPr>
        <w:t>Ecology</w:t>
      </w:r>
      <w:r w:rsidRPr="002466F1">
        <w:rPr>
          <w:b/>
          <w:bCs/>
        </w:rPr>
        <w:t xml:space="preserve">, </w:t>
      </w:r>
      <w:r w:rsidRPr="002466F1">
        <w:rPr>
          <w:b/>
          <w:bCs/>
          <w:i/>
          <w:iCs/>
        </w:rPr>
        <w:t>54</w:t>
      </w:r>
      <w:r w:rsidRPr="002466F1">
        <w:rPr>
          <w:b/>
          <w:bCs/>
        </w:rPr>
        <w:t>(2), 427–432. https://doi.org/10.2307/1934352</w:t>
      </w:r>
    </w:p>
    <w:p w14:paraId="2254481F" w14:textId="77777777" w:rsidR="002466F1" w:rsidRPr="002466F1" w:rsidRDefault="002466F1" w:rsidP="002466F1">
      <w:pPr>
        <w:pStyle w:val="Lhdeluettelo1"/>
        <w:rPr>
          <w:b/>
          <w:bCs/>
        </w:rPr>
      </w:pPr>
      <w:r w:rsidRPr="002466F1">
        <w:rPr>
          <w:b/>
          <w:bCs/>
        </w:rPr>
        <w:t xml:space="preserve">Keskitalo, A., Aatsinki, A.-K., Kortesluoma, S., Pelto, J., Korhonen, L., Lahti, L., Lukkarinen, M., Munukka, E., Karlsson, H., &amp; Karlsson, L. (2021). </w:t>
      </w:r>
      <w:r w:rsidRPr="00EE7F8E">
        <w:rPr>
          <w:b/>
          <w:bCs/>
          <w:lang w:val="en-US"/>
        </w:rPr>
        <w:t xml:space="preserve">Gut microbiota diversity but not composition is related to saliva cortisol stress response at the age of 2.5 months. </w:t>
      </w:r>
      <w:r w:rsidRPr="002466F1">
        <w:rPr>
          <w:b/>
          <w:bCs/>
          <w:i/>
          <w:iCs/>
        </w:rPr>
        <w:t>Stress</w:t>
      </w:r>
      <w:r w:rsidRPr="002466F1">
        <w:rPr>
          <w:b/>
          <w:bCs/>
        </w:rPr>
        <w:t xml:space="preserve">, </w:t>
      </w:r>
      <w:r w:rsidRPr="002466F1">
        <w:rPr>
          <w:b/>
          <w:bCs/>
          <w:i/>
          <w:iCs/>
        </w:rPr>
        <w:t>24</w:t>
      </w:r>
      <w:r w:rsidRPr="002466F1">
        <w:rPr>
          <w:b/>
          <w:bCs/>
        </w:rPr>
        <w:t>(5), 551–560. https://doi.org/10.1080/10253890.2021.1895110</w:t>
      </w:r>
    </w:p>
    <w:p w14:paraId="165F8CE1" w14:textId="77777777" w:rsidR="002466F1" w:rsidRPr="002466F1" w:rsidRDefault="002466F1" w:rsidP="002466F1">
      <w:pPr>
        <w:pStyle w:val="Lhdeluettelo1"/>
        <w:rPr>
          <w:b/>
          <w:bCs/>
        </w:rPr>
      </w:pPr>
      <w:r w:rsidRPr="002466F1">
        <w:rPr>
          <w:b/>
          <w:bCs/>
        </w:rPr>
        <w:t xml:space="preserve">Nolvi, S., Uusitupa, H.-M., Bridgett, D. J., Pesonen, H., Aatsinki, A.-K., Kataja, E.-L., Korja, R., Karlsson, H., &amp; Karlsson, L. (2018). </w:t>
      </w:r>
      <w:r w:rsidRPr="00EE7F8E">
        <w:rPr>
          <w:b/>
          <w:bCs/>
          <w:lang w:val="en-US"/>
        </w:rPr>
        <w:t xml:space="preserve">Human milk cortisol concentration predicts experimentally induced infant fear reactivity: Moderation by infant sex. </w:t>
      </w:r>
      <w:r w:rsidRPr="002466F1">
        <w:rPr>
          <w:b/>
          <w:bCs/>
          <w:i/>
          <w:iCs/>
        </w:rPr>
        <w:t>Developmental Science</w:t>
      </w:r>
      <w:r w:rsidRPr="002466F1">
        <w:rPr>
          <w:b/>
          <w:bCs/>
        </w:rPr>
        <w:t xml:space="preserve">, </w:t>
      </w:r>
      <w:r w:rsidRPr="002466F1">
        <w:rPr>
          <w:b/>
          <w:bCs/>
          <w:i/>
          <w:iCs/>
        </w:rPr>
        <w:t>21</w:t>
      </w:r>
      <w:r w:rsidRPr="002466F1">
        <w:rPr>
          <w:b/>
          <w:bCs/>
        </w:rPr>
        <w:t>(4), e12625. https://doi.org/10.1111/desc.12625</w:t>
      </w:r>
    </w:p>
    <w:p w14:paraId="6AAC4F61" w14:textId="77777777" w:rsidR="002466F1" w:rsidRPr="002466F1" w:rsidRDefault="002466F1" w:rsidP="002466F1">
      <w:pPr>
        <w:pStyle w:val="Lhdeluettelo1"/>
        <w:rPr>
          <w:b/>
          <w:bCs/>
        </w:rPr>
      </w:pPr>
      <w:r w:rsidRPr="002466F1">
        <w:rPr>
          <w:b/>
          <w:bCs/>
        </w:rPr>
        <w:t xml:space="preserve">Rintala, A., Riikonen, I., Toivonen, A., Pietilä, S., Munukka, E., Pursiheimo, J.-P., Elo, L. L., Arikoski, P., Luopajärvi, K., Schwab, U., Uusitupa, M., Heinonen, S., Savilahti, E., Eerola, E., &amp; Ilonen, J. (2018). </w:t>
      </w:r>
      <w:r w:rsidRPr="00EE7F8E">
        <w:rPr>
          <w:b/>
          <w:bCs/>
          <w:lang w:val="en-US"/>
        </w:rPr>
        <w:t xml:space="preserve">Early fecal microbiota composition in children who later develop celiac disease and associated autoimmunity. </w:t>
      </w:r>
      <w:r w:rsidRPr="002466F1">
        <w:rPr>
          <w:b/>
          <w:bCs/>
          <w:i/>
          <w:iCs/>
        </w:rPr>
        <w:t>Scandinavian Journal of Gastroenterology</w:t>
      </w:r>
      <w:r w:rsidRPr="002466F1">
        <w:rPr>
          <w:b/>
          <w:bCs/>
        </w:rPr>
        <w:t xml:space="preserve">, </w:t>
      </w:r>
      <w:r w:rsidRPr="002466F1">
        <w:rPr>
          <w:b/>
          <w:bCs/>
          <w:i/>
          <w:iCs/>
        </w:rPr>
        <w:t>53</w:t>
      </w:r>
      <w:r w:rsidRPr="002466F1">
        <w:rPr>
          <w:b/>
          <w:bCs/>
        </w:rPr>
        <w:t>(4), 403–409. https://doi.org/10.1080/00365521.2018.1444788</w:t>
      </w:r>
    </w:p>
    <w:p w14:paraId="6F6E2C8E" w14:textId="77777777" w:rsidR="002466F1" w:rsidRPr="002466F1" w:rsidRDefault="002466F1" w:rsidP="002466F1">
      <w:pPr>
        <w:pStyle w:val="Lhdeluettelo1"/>
        <w:rPr>
          <w:b/>
          <w:bCs/>
        </w:rPr>
      </w:pPr>
      <w:r w:rsidRPr="002466F1">
        <w:rPr>
          <w:b/>
          <w:bCs/>
        </w:rPr>
        <w:t xml:space="preserve">Wang, Y., Chen, X., Yu, Y., Liu, Y., Zhang, Q., &amp; Bai, J. (2020). Association between Gut Microbiota and Infant’s Temperament in the First Year of Life in a Chinese Birth Cohort. </w:t>
      </w:r>
      <w:r w:rsidRPr="002466F1">
        <w:rPr>
          <w:b/>
          <w:bCs/>
          <w:i/>
          <w:iCs/>
        </w:rPr>
        <w:t>Microorganisms</w:t>
      </w:r>
      <w:r w:rsidRPr="002466F1">
        <w:rPr>
          <w:b/>
          <w:bCs/>
        </w:rPr>
        <w:t xml:space="preserve">, </w:t>
      </w:r>
      <w:r w:rsidRPr="002466F1">
        <w:rPr>
          <w:b/>
          <w:bCs/>
          <w:i/>
          <w:iCs/>
        </w:rPr>
        <w:t>8</w:t>
      </w:r>
      <w:r w:rsidRPr="002466F1">
        <w:rPr>
          <w:b/>
          <w:bCs/>
        </w:rPr>
        <w:t>(5), Article 5. https://doi.org/10.3390/microorganisms8050753</w:t>
      </w:r>
    </w:p>
    <w:p w14:paraId="70B02823" w14:textId="77777777" w:rsidR="002466F1" w:rsidRPr="002466F1" w:rsidRDefault="002466F1" w:rsidP="002466F1">
      <w:pPr>
        <w:pStyle w:val="Lhdeluettelo1"/>
        <w:rPr>
          <w:b/>
          <w:bCs/>
        </w:rPr>
      </w:pPr>
      <w:r w:rsidRPr="002466F1">
        <w:rPr>
          <w:b/>
          <w:bCs/>
        </w:rPr>
        <w:t xml:space="preserve">Wasser, H., Bentley, M., Borja, J., Davis Goldman, B., Thompson, A., Slining, M., &amp; Adair, L. (2011). Infants Perceived as “Fussy” Are More Likely to Receive Complementary Foods Before 4 Months. </w:t>
      </w:r>
      <w:r w:rsidRPr="002466F1">
        <w:rPr>
          <w:b/>
          <w:bCs/>
          <w:i/>
          <w:iCs/>
        </w:rPr>
        <w:t>Pediatrics</w:t>
      </w:r>
      <w:r w:rsidRPr="002466F1">
        <w:rPr>
          <w:b/>
          <w:bCs/>
        </w:rPr>
        <w:t xml:space="preserve">, </w:t>
      </w:r>
      <w:r w:rsidRPr="002466F1">
        <w:rPr>
          <w:b/>
          <w:bCs/>
          <w:i/>
          <w:iCs/>
        </w:rPr>
        <w:t>127</w:t>
      </w:r>
      <w:r w:rsidRPr="002466F1">
        <w:rPr>
          <w:b/>
          <w:bCs/>
        </w:rPr>
        <w:t>(2), 229–237. https://doi.org/10.1542/peds.2010-0166</w:t>
      </w:r>
    </w:p>
    <w:p w14:paraId="531F45BB" w14:textId="3A31E758" w:rsidR="002466F1" w:rsidRPr="002466F1" w:rsidRDefault="002466F1" w:rsidP="002466F1">
      <w:pPr>
        <w:rPr>
          <w:b/>
          <w:bCs/>
        </w:rPr>
      </w:pPr>
      <w:r w:rsidRPr="002466F1">
        <w:rPr>
          <w:b/>
          <w:bCs/>
        </w:rPr>
        <w:lastRenderedPageBreak/>
        <w:fldChar w:fldCharType="end"/>
      </w:r>
    </w:p>
    <w:sectPr w:rsidR="002466F1" w:rsidRPr="002466F1">
      <w:footerReference w:type="even" r:id="rId11"/>
      <w:foot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69B91" w14:textId="77777777" w:rsidR="00653080" w:rsidRDefault="00653080" w:rsidP="00C75A0A">
      <w:r>
        <w:separator/>
      </w:r>
    </w:p>
  </w:endnote>
  <w:endnote w:type="continuationSeparator" w:id="0">
    <w:p w14:paraId="0D47C2EB" w14:textId="77777777" w:rsidR="00653080" w:rsidRDefault="00653080" w:rsidP="00C7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2052884341"/>
      <w:docPartObj>
        <w:docPartGallery w:val="Page Numbers (Bottom of Page)"/>
        <w:docPartUnique/>
      </w:docPartObj>
    </w:sdtPr>
    <w:sdtContent>
      <w:p w14:paraId="76518777" w14:textId="59F8A459" w:rsidR="00C75A0A" w:rsidRDefault="00C75A0A" w:rsidP="004A008B">
        <w:pPr>
          <w:pStyle w:val="Alatunniste"/>
          <w:framePr w:wrap="none" w:vAnchor="text" w:hAnchor="margin" w:xAlign="center" w:y="1"/>
          <w:rPr>
            <w:rStyle w:val="Sivunumero"/>
          </w:rPr>
        </w:pPr>
        <w:r>
          <w:rPr>
            <w:rStyle w:val="Sivunumero"/>
          </w:rPr>
          <w:fldChar w:fldCharType="begin"/>
        </w:r>
        <w:r>
          <w:rPr>
            <w:rStyle w:val="Sivunumero"/>
          </w:rPr>
          <w:instrText xml:space="preserve"> PAGE </w:instrText>
        </w:r>
        <w:r>
          <w:rPr>
            <w:rStyle w:val="Sivunumero"/>
          </w:rPr>
          <w:fldChar w:fldCharType="end"/>
        </w:r>
      </w:p>
    </w:sdtContent>
  </w:sdt>
  <w:p w14:paraId="07CD9ECB" w14:textId="77777777" w:rsidR="00C75A0A" w:rsidRDefault="00C75A0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2075258190"/>
      <w:docPartObj>
        <w:docPartGallery w:val="Page Numbers (Bottom of Page)"/>
        <w:docPartUnique/>
      </w:docPartObj>
    </w:sdtPr>
    <w:sdtContent>
      <w:p w14:paraId="59BF1111" w14:textId="572EE88C" w:rsidR="00C75A0A" w:rsidRDefault="00C75A0A" w:rsidP="004A008B">
        <w:pPr>
          <w:pStyle w:val="Alatunniste"/>
          <w:framePr w:wrap="none" w:vAnchor="text" w:hAnchor="margin" w:xAlign="center" w:y="1"/>
          <w:rPr>
            <w:rStyle w:val="Sivunumero"/>
          </w:rPr>
        </w:pPr>
        <w:r>
          <w:rPr>
            <w:rStyle w:val="Sivunumero"/>
          </w:rPr>
          <w:fldChar w:fldCharType="begin"/>
        </w:r>
        <w:r>
          <w:rPr>
            <w:rStyle w:val="Sivunumero"/>
          </w:rPr>
          <w:instrText xml:space="preserve"> PAGE </w:instrText>
        </w:r>
        <w:r>
          <w:rPr>
            <w:rStyle w:val="Sivunumero"/>
          </w:rPr>
          <w:fldChar w:fldCharType="separate"/>
        </w:r>
        <w:r>
          <w:rPr>
            <w:rStyle w:val="Sivunumero"/>
            <w:noProof/>
          </w:rPr>
          <w:t>1</w:t>
        </w:r>
        <w:r>
          <w:rPr>
            <w:rStyle w:val="Sivunumero"/>
          </w:rPr>
          <w:fldChar w:fldCharType="end"/>
        </w:r>
      </w:p>
    </w:sdtContent>
  </w:sdt>
  <w:p w14:paraId="6CC842FF" w14:textId="77777777" w:rsidR="00C75A0A" w:rsidRDefault="00C75A0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05723" w14:textId="77777777" w:rsidR="00653080" w:rsidRDefault="00653080" w:rsidP="00C75A0A">
      <w:r>
        <w:separator/>
      </w:r>
    </w:p>
  </w:footnote>
  <w:footnote w:type="continuationSeparator" w:id="0">
    <w:p w14:paraId="697D5734" w14:textId="77777777" w:rsidR="00653080" w:rsidRDefault="00653080" w:rsidP="00C75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7F9"/>
    <w:multiLevelType w:val="hybridMultilevel"/>
    <w:tmpl w:val="CAD4AD9E"/>
    <w:lvl w:ilvl="0" w:tplc="6E2CEED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3B5574B3"/>
    <w:multiLevelType w:val="hybridMultilevel"/>
    <w:tmpl w:val="C4940102"/>
    <w:lvl w:ilvl="0" w:tplc="8E72101E">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4E945BDC"/>
    <w:multiLevelType w:val="hybridMultilevel"/>
    <w:tmpl w:val="A5C4C7BA"/>
    <w:lvl w:ilvl="0" w:tplc="CE985620">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5E203E59"/>
    <w:multiLevelType w:val="multilevel"/>
    <w:tmpl w:val="345E767E"/>
    <w:lvl w:ilvl="0">
      <w:start w:val="1"/>
      <w:numFmt w:val="decimal"/>
      <w:lvlText w:val="%1."/>
      <w:lvlJc w:val="left"/>
      <w:pPr>
        <w:tabs>
          <w:tab w:val="num" w:pos="0"/>
        </w:tabs>
        <w:ind w:left="432" w:hanging="432"/>
      </w:pPr>
      <w:rPr>
        <w:b/>
        <w:bCs/>
        <w:caps w:val="0"/>
        <w:smallCaps w:val="0"/>
        <w:strike w:val="0"/>
        <w:dstrike w:val="0"/>
        <w:outline w:val="0"/>
        <w:emboss w:val="0"/>
        <w:imprint w:val="0"/>
        <w:spacing w:val="0"/>
        <w:w w:val="100"/>
        <w:kern w:val="0"/>
        <w:position w:val="0"/>
        <w:sz w:val="20"/>
        <w:vertAlign w:val="baseline"/>
      </w:rPr>
    </w:lvl>
    <w:lvl w:ilvl="1">
      <w:start w:val="1"/>
      <w:numFmt w:val="decimal"/>
      <w:lvlText w:val="%1.%2."/>
      <w:lvlJc w:val="left"/>
      <w:pPr>
        <w:tabs>
          <w:tab w:val="num" w:pos="0"/>
        </w:tabs>
        <w:ind w:left="578" w:hanging="578"/>
      </w:pPr>
      <w:rPr>
        <w:b/>
        <w:bCs/>
        <w:caps w:val="0"/>
        <w:smallCaps w:val="0"/>
        <w:strike w:val="0"/>
        <w:dstrike w:val="0"/>
        <w:outline w:val="0"/>
        <w:emboss w:val="0"/>
        <w:imprint w:val="0"/>
        <w:spacing w:val="0"/>
        <w:w w:val="100"/>
        <w:kern w:val="0"/>
        <w:position w:val="0"/>
        <w:sz w:val="20"/>
        <w:vertAlign w:val="baseline"/>
      </w:rPr>
    </w:lvl>
    <w:lvl w:ilvl="2">
      <w:start w:val="1"/>
      <w:numFmt w:val="decimal"/>
      <w:lvlText w:val="%1.%2.%3."/>
      <w:lvlJc w:val="left"/>
      <w:pPr>
        <w:tabs>
          <w:tab w:val="num" w:pos="709"/>
        </w:tabs>
        <w:ind w:left="720" w:hanging="720"/>
      </w:pPr>
      <w:rPr>
        <w:caps w:val="0"/>
        <w:smallCaps w:val="0"/>
        <w:strike w:val="0"/>
        <w:dstrike w:val="0"/>
        <w:outline w:val="0"/>
        <w:emboss w:val="0"/>
        <w:imprint w:val="0"/>
        <w:spacing w:val="0"/>
        <w:w w:val="100"/>
        <w:kern w:val="0"/>
        <w:position w:val="0"/>
        <w:sz w:val="20"/>
        <w:vertAlign w:val="baseline"/>
      </w:rPr>
    </w:lvl>
    <w:lvl w:ilvl="3">
      <w:start w:val="1"/>
      <w:numFmt w:val="decimal"/>
      <w:lvlText w:val="%1.%2.%3.%4."/>
      <w:lvlJc w:val="left"/>
      <w:pPr>
        <w:tabs>
          <w:tab w:val="num" w:pos="864"/>
        </w:tabs>
        <w:ind w:left="875" w:hanging="875"/>
      </w:pPr>
      <w:rPr>
        <w:caps w:val="0"/>
        <w:smallCaps w:val="0"/>
        <w:strike w:val="0"/>
        <w:dstrike w:val="0"/>
        <w:outline w:val="0"/>
        <w:emboss w:val="0"/>
        <w:imprint w:val="0"/>
        <w:spacing w:val="0"/>
        <w:w w:val="100"/>
        <w:kern w:val="0"/>
        <w:position w:val="0"/>
        <w:sz w:val="20"/>
        <w:vertAlign w:val="baseline"/>
      </w:rPr>
    </w:lvl>
    <w:lvl w:ilvl="4">
      <w:start w:val="1"/>
      <w:numFmt w:val="decimal"/>
      <w:suff w:val="nothing"/>
      <w:lvlText w:val="%1.%2.%3.%4.%5."/>
      <w:lvlJc w:val="left"/>
      <w:pPr>
        <w:tabs>
          <w:tab w:val="num" w:pos="0"/>
        </w:tabs>
        <w:ind w:left="1019" w:hanging="1019"/>
      </w:pPr>
      <w:rPr>
        <w:caps w:val="0"/>
        <w:smallCaps w:val="0"/>
        <w:strike w:val="0"/>
        <w:dstrike w:val="0"/>
        <w:outline w:val="0"/>
        <w:emboss w:val="0"/>
        <w:imprint w:val="0"/>
        <w:spacing w:val="0"/>
        <w:w w:val="100"/>
        <w:kern w:val="0"/>
        <w:position w:val="0"/>
        <w:sz w:val="20"/>
        <w:vertAlign w:val="baseline"/>
      </w:rPr>
    </w:lvl>
    <w:lvl w:ilvl="5">
      <w:start w:val="1"/>
      <w:numFmt w:val="decimal"/>
      <w:suff w:val="nothing"/>
      <w:lvlText w:val="%1.%2.%3.%4.%5.%6."/>
      <w:lvlJc w:val="left"/>
      <w:pPr>
        <w:tabs>
          <w:tab w:val="num" w:pos="0"/>
        </w:tabs>
        <w:ind w:left="1163" w:hanging="1163"/>
      </w:pPr>
      <w:rPr>
        <w:caps w:val="0"/>
        <w:smallCaps w:val="0"/>
        <w:strike w:val="0"/>
        <w:dstrike w:val="0"/>
        <w:outline w:val="0"/>
        <w:emboss w:val="0"/>
        <w:imprint w:val="0"/>
        <w:spacing w:val="0"/>
        <w:w w:val="100"/>
        <w:kern w:val="0"/>
        <w:position w:val="0"/>
        <w:sz w:val="20"/>
        <w:vertAlign w:val="baseline"/>
      </w:rPr>
    </w:lvl>
    <w:lvl w:ilvl="6">
      <w:start w:val="1"/>
      <w:numFmt w:val="decimal"/>
      <w:suff w:val="nothing"/>
      <w:lvlText w:val="%1.%2.%3.%4.%5.%6.%7."/>
      <w:lvlJc w:val="left"/>
      <w:pPr>
        <w:tabs>
          <w:tab w:val="num" w:pos="0"/>
        </w:tabs>
        <w:ind w:left="1307" w:hanging="1307"/>
      </w:pPr>
      <w:rPr>
        <w:caps w:val="0"/>
        <w:smallCaps w:val="0"/>
        <w:strike w:val="0"/>
        <w:dstrike w:val="0"/>
        <w:outline w:val="0"/>
        <w:emboss w:val="0"/>
        <w:imprint w:val="0"/>
        <w:spacing w:val="0"/>
        <w:w w:val="100"/>
        <w:kern w:val="0"/>
        <w:position w:val="0"/>
        <w:sz w:val="20"/>
        <w:vertAlign w:val="baseline"/>
      </w:rPr>
    </w:lvl>
    <w:lvl w:ilvl="7">
      <w:start w:val="1"/>
      <w:numFmt w:val="decimal"/>
      <w:suff w:val="nothing"/>
      <w:lvlText w:val="%1.%2.%3.%4.%5.%6.%7.%8."/>
      <w:lvlJc w:val="left"/>
      <w:pPr>
        <w:tabs>
          <w:tab w:val="num" w:pos="0"/>
        </w:tabs>
        <w:ind w:left="1451" w:hanging="1451"/>
      </w:pPr>
      <w:rPr>
        <w:caps w:val="0"/>
        <w:smallCaps w:val="0"/>
        <w:strike w:val="0"/>
        <w:dstrike w:val="0"/>
        <w:outline w:val="0"/>
        <w:emboss w:val="0"/>
        <w:imprint w:val="0"/>
        <w:spacing w:val="0"/>
        <w:w w:val="100"/>
        <w:kern w:val="0"/>
        <w:position w:val="0"/>
        <w:sz w:val="20"/>
        <w:vertAlign w:val="baseline"/>
      </w:rPr>
    </w:lvl>
    <w:lvl w:ilvl="8">
      <w:start w:val="1"/>
      <w:numFmt w:val="decimal"/>
      <w:suff w:val="nothing"/>
      <w:lvlText w:val="%1.%2.%3.%4.%5.%6.%7.%8.%9."/>
      <w:lvlJc w:val="left"/>
      <w:pPr>
        <w:tabs>
          <w:tab w:val="num" w:pos="0"/>
        </w:tabs>
        <w:ind w:left="1595" w:hanging="1595"/>
      </w:pPr>
      <w:rPr>
        <w:caps w:val="0"/>
        <w:smallCaps w:val="0"/>
        <w:strike w:val="0"/>
        <w:dstrike w:val="0"/>
        <w:outline w:val="0"/>
        <w:emboss w:val="0"/>
        <w:imprint w:val="0"/>
        <w:spacing w:val="0"/>
        <w:w w:val="100"/>
        <w:kern w:val="0"/>
        <w:position w:val="0"/>
        <w:sz w:val="20"/>
        <w:vertAlign w:val="baseline"/>
      </w:rPr>
    </w:lvl>
  </w:abstractNum>
  <w:abstractNum w:abstractNumId="4" w15:restartNumberingAfterBreak="0">
    <w:nsid w:val="66DB2D63"/>
    <w:multiLevelType w:val="multilevel"/>
    <w:tmpl w:val="6EDEC3FA"/>
    <w:lvl w:ilvl="0">
      <w:start w:val="1"/>
      <w:numFmt w:val="decimal"/>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928535200">
    <w:abstractNumId w:val="3"/>
  </w:num>
  <w:num w:numId="2" w16cid:durableId="1732658361">
    <w:abstractNumId w:val="0"/>
  </w:num>
  <w:num w:numId="3" w16cid:durableId="1222402126">
    <w:abstractNumId w:val="2"/>
  </w:num>
  <w:num w:numId="4" w16cid:durableId="446970458">
    <w:abstractNumId w:val="1"/>
  </w:num>
  <w:num w:numId="5" w16cid:durableId="14622647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CAF"/>
    <w:rsid w:val="00055C38"/>
    <w:rsid w:val="00073685"/>
    <w:rsid w:val="000F6436"/>
    <w:rsid w:val="001C24A0"/>
    <w:rsid w:val="001F0890"/>
    <w:rsid w:val="00220F05"/>
    <w:rsid w:val="002466F1"/>
    <w:rsid w:val="002A5400"/>
    <w:rsid w:val="002B1A6C"/>
    <w:rsid w:val="002D5D50"/>
    <w:rsid w:val="0034570C"/>
    <w:rsid w:val="00370A84"/>
    <w:rsid w:val="00387420"/>
    <w:rsid w:val="003B744F"/>
    <w:rsid w:val="003C5278"/>
    <w:rsid w:val="00504B89"/>
    <w:rsid w:val="00570562"/>
    <w:rsid w:val="00570F79"/>
    <w:rsid w:val="005E2144"/>
    <w:rsid w:val="00615EEC"/>
    <w:rsid w:val="00653080"/>
    <w:rsid w:val="00663F6C"/>
    <w:rsid w:val="0066404D"/>
    <w:rsid w:val="006A153A"/>
    <w:rsid w:val="007A78A9"/>
    <w:rsid w:val="008509D3"/>
    <w:rsid w:val="008670C9"/>
    <w:rsid w:val="008D3014"/>
    <w:rsid w:val="00A208ED"/>
    <w:rsid w:val="00A678A0"/>
    <w:rsid w:val="00C75A0A"/>
    <w:rsid w:val="00CD3790"/>
    <w:rsid w:val="00D34CFB"/>
    <w:rsid w:val="00DB788F"/>
    <w:rsid w:val="00DC1407"/>
    <w:rsid w:val="00EE2E92"/>
    <w:rsid w:val="00EE7F8E"/>
    <w:rsid w:val="00FA7CAF"/>
    <w:rsid w:val="00FB7BF2"/>
    <w:rsid w:val="00FE0E9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314B33AD"/>
  <w15:chartTrackingRefBased/>
  <w15:docId w15:val="{ECA995EB-A381-A642-AFCE-3DDA8477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A7CAF"/>
    <w:rPr>
      <w:rFonts w:ascii="Times New Roman" w:eastAsia="Times New Roman" w:hAnsi="Times New Roman" w:cs="Times New Roman"/>
      <w:lang w:eastAsia="fi-FI"/>
    </w:rPr>
  </w:style>
  <w:style w:type="paragraph" w:styleId="Otsikko1">
    <w:name w:val="heading 1"/>
    <w:basedOn w:val="Normaali"/>
    <w:next w:val="Normaali"/>
    <w:link w:val="Otsikko1Char"/>
    <w:uiPriority w:val="9"/>
    <w:qFormat/>
    <w:rsid w:val="008670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8670C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tsikko3">
    <w:name w:val="heading 3"/>
    <w:next w:val="Leipteksti"/>
    <w:link w:val="Otsikko3Char"/>
    <w:uiPriority w:val="9"/>
    <w:unhideWhenUsed/>
    <w:qFormat/>
    <w:rsid w:val="008670C9"/>
    <w:pPr>
      <w:keepNext/>
      <w:keepLines/>
      <w:tabs>
        <w:tab w:val="left" w:pos="709"/>
        <w:tab w:val="left" w:pos="851"/>
      </w:tabs>
      <w:suppressAutoHyphens/>
      <w:spacing w:before="240" w:after="240" w:line="360" w:lineRule="auto"/>
      <w:ind w:left="11" w:hanging="11"/>
      <w:outlineLvl w:val="2"/>
    </w:pPr>
    <w:rPr>
      <w:rFonts w:ascii="Arial" w:eastAsia="Arial Unicode MS" w:hAnsi="Arial" w:cs="Arial Unicode MS"/>
      <w:color w:val="000000"/>
      <w:u w:color="000000"/>
      <w:lang w:val="en-US" w:eastAsia="fi-FI"/>
      <w14:textOutline w14:w="0" w14:cap="flat" w14:cmpd="sng" w14:algn="ctr">
        <w14:noFill/>
        <w14:prstDash w14:val="solid"/>
        <w14:bevel/>
      </w14:textOutli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next w:val="Leipteksti"/>
    <w:link w:val="OtsikkoChar"/>
    <w:uiPriority w:val="10"/>
    <w:qFormat/>
    <w:rsid w:val="00FA7CAF"/>
    <w:pPr>
      <w:keepNext/>
      <w:keepLines/>
      <w:pageBreakBefore/>
      <w:pBdr>
        <w:top w:val="nil"/>
        <w:left w:val="nil"/>
        <w:bottom w:val="nil"/>
        <w:right w:val="nil"/>
        <w:between w:val="nil"/>
        <w:bar w:val="nil"/>
      </w:pBdr>
      <w:tabs>
        <w:tab w:val="left" w:pos="709"/>
      </w:tabs>
      <w:spacing w:after="240" w:line="360" w:lineRule="auto"/>
      <w:outlineLvl w:val="0"/>
    </w:pPr>
    <w:rPr>
      <w:rFonts w:ascii="Arial" w:eastAsia="Arial Unicode MS" w:hAnsi="Arial" w:cs="Arial Unicode MS"/>
      <w:b/>
      <w:bCs/>
      <w:color w:val="000000"/>
      <w:sz w:val="28"/>
      <w:szCs w:val="28"/>
      <w:u w:color="000000"/>
      <w:bdr w:val="nil"/>
      <w:lang w:val="fr-FR" w:eastAsia="fi-FI"/>
      <w14:textOutline w14:w="0" w14:cap="flat" w14:cmpd="sng" w14:algn="ctr">
        <w14:noFill/>
        <w14:prstDash w14:val="solid"/>
        <w14:bevel/>
      </w14:textOutline>
    </w:rPr>
  </w:style>
  <w:style w:type="character" w:customStyle="1" w:styleId="OtsikkoChar">
    <w:name w:val="Otsikko Char"/>
    <w:basedOn w:val="Kappaleenoletusfontti"/>
    <w:link w:val="Otsikko"/>
    <w:uiPriority w:val="10"/>
    <w:rsid w:val="00FA7CAF"/>
    <w:rPr>
      <w:rFonts w:ascii="Arial" w:eastAsia="Arial Unicode MS" w:hAnsi="Arial" w:cs="Arial Unicode MS"/>
      <w:b/>
      <w:bCs/>
      <w:color w:val="000000"/>
      <w:sz w:val="28"/>
      <w:szCs w:val="28"/>
      <w:u w:color="000000"/>
      <w:bdr w:val="nil"/>
      <w:lang w:val="fr-FR" w:eastAsia="fi-FI"/>
      <w14:textOutline w14:w="0" w14:cap="flat" w14:cmpd="sng" w14:algn="ctr">
        <w14:noFill/>
        <w14:prstDash w14:val="solid"/>
        <w14:bevel/>
      </w14:textOutline>
    </w:rPr>
  </w:style>
  <w:style w:type="paragraph" w:customStyle="1" w:styleId="BodyText1">
    <w:name w:val="Body Text 1"/>
    <w:link w:val="BodyText1Char"/>
    <w:qFormat/>
    <w:rsid w:val="00FA7CAF"/>
    <w:pPr>
      <w:pBdr>
        <w:top w:val="nil"/>
        <w:left w:val="nil"/>
        <w:bottom w:val="nil"/>
        <w:right w:val="nil"/>
        <w:between w:val="nil"/>
        <w:bar w:val="nil"/>
      </w:pBdr>
      <w:spacing w:line="360" w:lineRule="auto"/>
    </w:pPr>
    <w:rPr>
      <w:rFonts w:ascii="Times New Roman" w:eastAsia="Arial Unicode MS" w:hAnsi="Times New Roman" w:cs="Arial Unicode MS"/>
      <w:color w:val="000000"/>
      <w:u w:color="000000"/>
      <w:bdr w:val="nil"/>
      <w:lang w:val="en-US" w:eastAsia="fi-FI"/>
    </w:rPr>
  </w:style>
  <w:style w:type="paragraph" w:customStyle="1" w:styleId="Tabletext">
    <w:name w:val="Table text"/>
    <w:rsid w:val="00FA7CAF"/>
    <w:pPr>
      <w:pBdr>
        <w:top w:val="nil"/>
        <w:left w:val="nil"/>
        <w:bottom w:val="nil"/>
        <w:right w:val="nil"/>
        <w:between w:val="nil"/>
        <w:bar w:val="nil"/>
      </w:pBdr>
      <w:spacing w:before="60" w:after="60"/>
    </w:pPr>
    <w:rPr>
      <w:rFonts w:ascii="Arial" w:eastAsia="Arial Unicode MS" w:hAnsi="Arial" w:cs="Arial Unicode MS"/>
      <w:color w:val="000000"/>
      <w:sz w:val="20"/>
      <w:szCs w:val="20"/>
      <w:u w:color="000000"/>
      <w:bdr w:val="nil"/>
      <w:lang w:val="en-US" w:eastAsia="fi-FI"/>
    </w:rPr>
  </w:style>
  <w:style w:type="paragraph" w:customStyle="1" w:styleId="Figurecaptiontext">
    <w:name w:val="Figure caption text"/>
    <w:rsid w:val="00FA7CAF"/>
    <w:pPr>
      <w:pBdr>
        <w:top w:val="nil"/>
        <w:left w:val="nil"/>
        <w:bottom w:val="nil"/>
        <w:right w:val="nil"/>
        <w:between w:val="nil"/>
        <w:bar w:val="nil"/>
      </w:pBdr>
      <w:spacing w:before="120" w:after="120"/>
    </w:pPr>
    <w:rPr>
      <w:rFonts w:ascii="Arial" w:eastAsia="Arial" w:hAnsi="Arial" w:cs="Arial"/>
      <w:color w:val="000000"/>
      <w:sz w:val="20"/>
      <w:szCs w:val="20"/>
      <w:u w:color="000000"/>
      <w:bdr w:val="nil"/>
      <w:lang w:val="en-US" w:eastAsia="fi-FI"/>
    </w:rPr>
  </w:style>
  <w:style w:type="character" w:customStyle="1" w:styleId="BodyText1Char">
    <w:name w:val="Body Text 1 Char"/>
    <w:basedOn w:val="Kappaleenoletusfontti"/>
    <w:link w:val="BodyText1"/>
    <w:qFormat/>
    <w:rsid w:val="00FA7CAF"/>
    <w:rPr>
      <w:rFonts w:ascii="Times New Roman" w:eastAsia="Arial Unicode MS" w:hAnsi="Times New Roman" w:cs="Arial Unicode MS"/>
      <w:color w:val="000000"/>
      <w:u w:color="000000"/>
      <w:bdr w:val="nil"/>
      <w:lang w:val="en-US" w:eastAsia="fi-FI"/>
    </w:rPr>
  </w:style>
  <w:style w:type="table" w:styleId="TaulukkoRuudukko">
    <w:name w:val="Table Grid"/>
    <w:basedOn w:val="Normaalitaulukko"/>
    <w:uiPriority w:val="39"/>
    <w:rsid w:val="00FA7CAF"/>
    <w:pPr>
      <w:pBdr>
        <w:top w:val="nil"/>
        <w:left w:val="nil"/>
        <w:bottom w:val="nil"/>
        <w:right w:val="nil"/>
        <w:between w:val="nil"/>
        <w:bar w:val="nil"/>
      </w:pBdr>
    </w:pPr>
    <w:rPr>
      <w:rFonts w:ascii="Times New Roman" w:eastAsia="Arial Unicode MS" w:hAnsi="Times New Roman" w:cs="Times New Roman"/>
      <w:sz w:val="20"/>
      <w:szCs w:val="20"/>
      <w:bdr w:val="nil"/>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ipteksti">
    <w:name w:val="Body Text"/>
    <w:basedOn w:val="Normaali"/>
    <w:link w:val="LeiptekstiChar"/>
    <w:uiPriority w:val="99"/>
    <w:semiHidden/>
    <w:unhideWhenUsed/>
    <w:rsid w:val="00FA7CAF"/>
    <w:pPr>
      <w:spacing w:after="120"/>
    </w:pPr>
  </w:style>
  <w:style w:type="character" w:customStyle="1" w:styleId="LeiptekstiChar">
    <w:name w:val="Leipäteksti Char"/>
    <w:basedOn w:val="Kappaleenoletusfontti"/>
    <w:link w:val="Leipteksti"/>
    <w:uiPriority w:val="99"/>
    <w:semiHidden/>
    <w:rsid w:val="00FA7CAF"/>
    <w:rPr>
      <w:rFonts w:ascii="Times New Roman" w:eastAsia="Times New Roman" w:hAnsi="Times New Roman" w:cs="Times New Roman"/>
      <w:lang w:eastAsia="fi-FI"/>
    </w:rPr>
  </w:style>
  <w:style w:type="character" w:customStyle="1" w:styleId="Otsikko3Char">
    <w:name w:val="Otsikko 3 Char"/>
    <w:basedOn w:val="Kappaleenoletusfontti"/>
    <w:link w:val="Otsikko3"/>
    <w:uiPriority w:val="9"/>
    <w:rsid w:val="008670C9"/>
    <w:rPr>
      <w:rFonts w:ascii="Arial" w:eastAsia="Arial Unicode MS" w:hAnsi="Arial" w:cs="Arial Unicode MS"/>
      <w:color w:val="000000"/>
      <w:u w:color="000000"/>
      <w:lang w:val="en-US" w:eastAsia="fi-FI"/>
      <w14:textOutline w14:w="0" w14:cap="flat" w14:cmpd="sng" w14:algn="ctr">
        <w14:noFill/>
        <w14:prstDash w14:val="solid"/>
        <w14:bevel/>
      </w14:textOutline>
    </w:rPr>
  </w:style>
  <w:style w:type="character" w:customStyle="1" w:styleId="Otsikko2Char">
    <w:name w:val="Otsikko 2 Char"/>
    <w:basedOn w:val="Kappaleenoletusfontti"/>
    <w:link w:val="Otsikko2"/>
    <w:uiPriority w:val="9"/>
    <w:rsid w:val="008670C9"/>
    <w:rPr>
      <w:rFonts w:asciiTheme="majorHAnsi" w:eastAsiaTheme="majorEastAsia" w:hAnsiTheme="majorHAnsi" w:cstheme="majorBidi"/>
      <w:color w:val="2F5496" w:themeColor="accent1" w:themeShade="BF"/>
      <w:sz w:val="26"/>
      <w:szCs w:val="26"/>
      <w:lang w:eastAsia="fi-FI"/>
    </w:rPr>
  </w:style>
  <w:style w:type="character" w:customStyle="1" w:styleId="Otsikko1Char">
    <w:name w:val="Otsikko 1 Char"/>
    <w:basedOn w:val="Kappaleenoletusfontti"/>
    <w:link w:val="Otsikko1"/>
    <w:uiPriority w:val="9"/>
    <w:rsid w:val="008670C9"/>
    <w:rPr>
      <w:rFonts w:asciiTheme="majorHAnsi" w:eastAsiaTheme="majorEastAsia" w:hAnsiTheme="majorHAnsi" w:cstheme="majorBidi"/>
      <w:color w:val="2F5496" w:themeColor="accent1" w:themeShade="BF"/>
      <w:sz w:val="32"/>
      <w:szCs w:val="32"/>
      <w:lang w:eastAsia="fi-FI"/>
    </w:rPr>
  </w:style>
  <w:style w:type="character" w:styleId="Hyperlinkki">
    <w:name w:val="Hyperlink"/>
    <w:rsid w:val="00FB7BF2"/>
    <w:rPr>
      <w:u w:val="single"/>
    </w:rPr>
  </w:style>
  <w:style w:type="character" w:customStyle="1" w:styleId="Eimitn">
    <w:name w:val="Ei mitään"/>
    <w:qFormat/>
    <w:rsid w:val="00FB7BF2"/>
  </w:style>
  <w:style w:type="character" w:customStyle="1" w:styleId="Hyperlink2">
    <w:name w:val="Hyperlink.2"/>
    <w:basedOn w:val="Eimitn"/>
    <w:qFormat/>
    <w:rsid w:val="00FB7BF2"/>
    <w:rPr>
      <w:lang w:val="en-US"/>
    </w:rPr>
  </w:style>
  <w:style w:type="character" w:styleId="Korostus">
    <w:name w:val="Emphasis"/>
    <w:basedOn w:val="Kappaleenoletusfontti"/>
    <w:uiPriority w:val="20"/>
    <w:qFormat/>
    <w:rsid w:val="00FB7BF2"/>
    <w:rPr>
      <w:i/>
      <w:iCs/>
    </w:rPr>
  </w:style>
  <w:style w:type="paragraph" w:customStyle="1" w:styleId="References">
    <w:name w:val="References"/>
    <w:qFormat/>
    <w:rsid w:val="00FB7BF2"/>
    <w:pPr>
      <w:suppressAutoHyphens/>
      <w:spacing w:line="360" w:lineRule="auto"/>
      <w:ind w:left="709" w:hanging="709"/>
    </w:pPr>
    <w:rPr>
      <w:rFonts w:ascii="Times New Roman" w:eastAsia="Arial Unicode MS" w:hAnsi="Times New Roman" w:cs="Arial Unicode MS"/>
      <w:color w:val="000000"/>
      <w:u w:color="000000"/>
      <w:lang w:val="en-US" w:eastAsia="fi-FI"/>
    </w:rPr>
  </w:style>
  <w:style w:type="paragraph" w:styleId="NormaaliWWW">
    <w:name w:val="Normal (Web)"/>
    <w:basedOn w:val="Normaali"/>
    <w:uiPriority w:val="99"/>
    <w:semiHidden/>
    <w:unhideWhenUsed/>
    <w:rsid w:val="00A208ED"/>
    <w:pPr>
      <w:spacing w:before="100" w:beforeAutospacing="1" w:after="100" w:afterAutospacing="1"/>
    </w:pPr>
  </w:style>
  <w:style w:type="paragraph" w:customStyle="1" w:styleId="Tablecaptiontext">
    <w:name w:val="Table caption text"/>
    <w:next w:val="Leipteksti"/>
    <w:rsid w:val="00DB788F"/>
    <w:pPr>
      <w:pBdr>
        <w:top w:val="nil"/>
        <w:left w:val="nil"/>
        <w:bottom w:val="nil"/>
        <w:right w:val="nil"/>
        <w:between w:val="nil"/>
        <w:bar w:val="nil"/>
      </w:pBdr>
      <w:spacing w:before="120" w:after="120"/>
    </w:pPr>
    <w:rPr>
      <w:rFonts w:ascii="Arial" w:eastAsia="Arial Unicode MS" w:hAnsi="Arial" w:cs="Arial Unicode MS"/>
      <w:color w:val="000000"/>
      <w:sz w:val="20"/>
      <w:szCs w:val="20"/>
      <w:u w:color="000000"/>
      <w:bdr w:val="nil"/>
      <w:lang w:val="en-US" w:eastAsia="fi-FI"/>
    </w:rPr>
  </w:style>
  <w:style w:type="paragraph" w:styleId="Alatunniste">
    <w:name w:val="footer"/>
    <w:basedOn w:val="Normaali"/>
    <w:link w:val="AlatunnisteChar"/>
    <w:uiPriority w:val="99"/>
    <w:unhideWhenUsed/>
    <w:rsid w:val="00C75A0A"/>
    <w:pPr>
      <w:tabs>
        <w:tab w:val="center" w:pos="4819"/>
        <w:tab w:val="right" w:pos="9638"/>
      </w:tabs>
    </w:pPr>
  </w:style>
  <w:style w:type="character" w:customStyle="1" w:styleId="AlatunnisteChar">
    <w:name w:val="Alatunniste Char"/>
    <w:basedOn w:val="Kappaleenoletusfontti"/>
    <w:link w:val="Alatunniste"/>
    <w:uiPriority w:val="99"/>
    <w:rsid w:val="00C75A0A"/>
    <w:rPr>
      <w:rFonts w:ascii="Times New Roman" w:eastAsia="Times New Roman" w:hAnsi="Times New Roman" w:cs="Times New Roman"/>
      <w:lang w:eastAsia="fi-FI"/>
    </w:rPr>
  </w:style>
  <w:style w:type="character" w:styleId="Sivunumero">
    <w:name w:val="page number"/>
    <w:basedOn w:val="Kappaleenoletusfontti"/>
    <w:uiPriority w:val="99"/>
    <w:semiHidden/>
    <w:unhideWhenUsed/>
    <w:rsid w:val="00C75A0A"/>
  </w:style>
  <w:style w:type="paragraph" w:customStyle="1" w:styleId="Lhdeluettelo1">
    <w:name w:val="Lähdeluettelo1"/>
    <w:basedOn w:val="Normaali"/>
    <w:link w:val="BibliographyChar"/>
    <w:rsid w:val="002466F1"/>
    <w:pPr>
      <w:spacing w:line="480" w:lineRule="auto"/>
      <w:ind w:left="720" w:hanging="720"/>
    </w:pPr>
  </w:style>
  <w:style w:type="character" w:customStyle="1" w:styleId="BibliographyChar">
    <w:name w:val="Bibliography Char"/>
    <w:basedOn w:val="Kappaleenoletusfontti"/>
    <w:link w:val="Lhdeluettelo1"/>
    <w:rsid w:val="002466F1"/>
    <w:rPr>
      <w:rFonts w:ascii="Times New Roman" w:eastAsia="Times New Roman" w:hAnsi="Times New Roman" w:cs="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4291">
      <w:bodyDiv w:val="1"/>
      <w:marLeft w:val="0"/>
      <w:marRight w:val="0"/>
      <w:marTop w:val="0"/>
      <w:marBottom w:val="0"/>
      <w:divBdr>
        <w:top w:val="none" w:sz="0" w:space="0" w:color="auto"/>
        <w:left w:val="none" w:sz="0" w:space="0" w:color="auto"/>
        <w:bottom w:val="none" w:sz="0" w:space="0" w:color="auto"/>
        <w:right w:val="none" w:sz="0" w:space="0" w:color="auto"/>
      </w:divBdr>
    </w:div>
    <w:div w:id="386535254">
      <w:bodyDiv w:val="1"/>
      <w:marLeft w:val="0"/>
      <w:marRight w:val="0"/>
      <w:marTop w:val="0"/>
      <w:marBottom w:val="0"/>
      <w:divBdr>
        <w:top w:val="none" w:sz="0" w:space="0" w:color="auto"/>
        <w:left w:val="none" w:sz="0" w:space="0" w:color="auto"/>
        <w:bottom w:val="none" w:sz="0" w:space="0" w:color="auto"/>
        <w:right w:val="none" w:sz="0" w:space="0" w:color="auto"/>
      </w:divBdr>
    </w:div>
    <w:div w:id="521280340">
      <w:bodyDiv w:val="1"/>
      <w:marLeft w:val="0"/>
      <w:marRight w:val="0"/>
      <w:marTop w:val="0"/>
      <w:marBottom w:val="0"/>
      <w:divBdr>
        <w:top w:val="none" w:sz="0" w:space="0" w:color="auto"/>
        <w:left w:val="none" w:sz="0" w:space="0" w:color="auto"/>
        <w:bottom w:val="none" w:sz="0" w:space="0" w:color="auto"/>
        <w:right w:val="none" w:sz="0" w:space="0" w:color="auto"/>
      </w:divBdr>
    </w:div>
    <w:div w:id="738671396">
      <w:bodyDiv w:val="1"/>
      <w:marLeft w:val="0"/>
      <w:marRight w:val="0"/>
      <w:marTop w:val="0"/>
      <w:marBottom w:val="0"/>
      <w:divBdr>
        <w:top w:val="none" w:sz="0" w:space="0" w:color="auto"/>
        <w:left w:val="none" w:sz="0" w:space="0" w:color="auto"/>
        <w:bottom w:val="none" w:sz="0" w:space="0" w:color="auto"/>
        <w:right w:val="none" w:sz="0" w:space="0" w:color="auto"/>
      </w:divBdr>
    </w:div>
    <w:div w:id="1046488394">
      <w:bodyDiv w:val="1"/>
      <w:marLeft w:val="0"/>
      <w:marRight w:val="0"/>
      <w:marTop w:val="0"/>
      <w:marBottom w:val="0"/>
      <w:divBdr>
        <w:top w:val="none" w:sz="0" w:space="0" w:color="auto"/>
        <w:left w:val="none" w:sz="0" w:space="0" w:color="auto"/>
        <w:bottom w:val="none" w:sz="0" w:space="0" w:color="auto"/>
        <w:right w:val="none" w:sz="0" w:space="0" w:color="auto"/>
      </w:divBdr>
    </w:div>
    <w:div w:id="1449272786">
      <w:bodyDiv w:val="1"/>
      <w:marLeft w:val="0"/>
      <w:marRight w:val="0"/>
      <w:marTop w:val="0"/>
      <w:marBottom w:val="0"/>
      <w:divBdr>
        <w:top w:val="none" w:sz="0" w:space="0" w:color="auto"/>
        <w:left w:val="none" w:sz="0" w:space="0" w:color="auto"/>
        <w:bottom w:val="none" w:sz="0" w:space="0" w:color="auto"/>
        <w:right w:val="none" w:sz="0" w:space="0" w:color="auto"/>
      </w:divBdr>
    </w:div>
    <w:div w:id="1483110431">
      <w:bodyDiv w:val="1"/>
      <w:marLeft w:val="0"/>
      <w:marRight w:val="0"/>
      <w:marTop w:val="0"/>
      <w:marBottom w:val="0"/>
      <w:divBdr>
        <w:top w:val="none" w:sz="0" w:space="0" w:color="auto"/>
        <w:left w:val="none" w:sz="0" w:space="0" w:color="auto"/>
        <w:bottom w:val="none" w:sz="0" w:space="0" w:color="auto"/>
        <w:right w:val="none" w:sz="0" w:space="0" w:color="auto"/>
      </w:divBdr>
    </w:div>
    <w:div w:id="1612931338">
      <w:bodyDiv w:val="1"/>
      <w:marLeft w:val="0"/>
      <w:marRight w:val="0"/>
      <w:marTop w:val="0"/>
      <w:marBottom w:val="0"/>
      <w:divBdr>
        <w:top w:val="none" w:sz="0" w:space="0" w:color="auto"/>
        <w:left w:val="none" w:sz="0" w:space="0" w:color="auto"/>
        <w:bottom w:val="none" w:sz="0" w:space="0" w:color="auto"/>
        <w:right w:val="none" w:sz="0" w:space="0" w:color="auto"/>
      </w:divBdr>
    </w:div>
    <w:div w:id="1894927526">
      <w:bodyDiv w:val="1"/>
      <w:marLeft w:val="0"/>
      <w:marRight w:val="0"/>
      <w:marTop w:val="0"/>
      <w:marBottom w:val="0"/>
      <w:divBdr>
        <w:top w:val="none" w:sz="0" w:space="0" w:color="auto"/>
        <w:left w:val="none" w:sz="0" w:space="0" w:color="auto"/>
        <w:bottom w:val="none" w:sz="0" w:space="0" w:color="auto"/>
        <w:right w:val="none" w:sz="0" w:space="0" w:color="auto"/>
      </w:divBdr>
    </w:div>
    <w:div w:id="208791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5249</Words>
  <Characters>42525</Characters>
  <Application>Microsoft Office Word</Application>
  <DocSecurity>0</DocSecurity>
  <Lines>354</Lines>
  <Paragraphs>95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Venla Huovinen</dc:creator>
  <cp:keywords/>
  <dc:description/>
  <cp:lastModifiedBy>Venla Huovinen</cp:lastModifiedBy>
  <cp:revision>15</cp:revision>
  <dcterms:created xsi:type="dcterms:W3CDTF">2023-06-27T11:26:00Z</dcterms:created>
  <dcterms:modified xsi:type="dcterms:W3CDTF">2023-07-07T11:37:00Z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id="NvEA736W"/&gt;&lt;style id="http://www.zotero.org/styles/apa" locale="en-GB"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